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01AC" w14:textId="35A511C0" w:rsidR="00CF6828" w:rsidRPr="00A1389F" w:rsidRDefault="00E9042A" w:rsidP="00314492">
      <w:pPr>
        <w:pStyle w:val="Documentsubtitle"/>
      </w:pPr>
      <w:r>
        <w:rPr>
          <w:noProof/>
        </w:rPr>
        <w:drawing>
          <wp:anchor distT="0" distB="0" distL="114300" distR="114300" simplePos="0" relativeHeight="251658240" behindDoc="1" locked="1" layoutInCell="1" allowOverlap="0" wp14:anchorId="0A6FD8EC" wp14:editId="44114435">
            <wp:simplePos x="0" y="0"/>
            <wp:positionH relativeFrom="page">
              <wp:align>right</wp:align>
            </wp:positionH>
            <wp:positionV relativeFrom="page">
              <wp:align>top</wp:align>
            </wp:positionV>
            <wp:extent cx="7552690" cy="10675620"/>
            <wp:effectExtent l="0" t="0" r="0" b="0"/>
            <wp:wrapNone/>
            <wp:docPr id="3" name="Picture 1"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2690" cy="10675620"/>
                    </a:xfrm>
                    <a:prstGeom prst="rect">
                      <a:avLst/>
                    </a:prstGeom>
                  </pic:spPr>
                </pic:pic>
              </a:graphicData>
            </a:graphic>
            <wp14:sizeRelH relativeFrom="margin">
              <wp14:pctWidth>0</wp14:pctWidth>
            </wp14:sizeRelH>
            <wp14:sizeRelV relativeFrom="margin">
              <wp14:pctHeight>0</wp14:pctHeight>
            </wp14:sizeRelV>
          </wp:anchor>
        </w:drawing>
      </w:r>
    </w:p>
    <w:p w14:paraId="78069EBF" w14:textId="463B83B2" w:rsidR="000B27B9" w:rsidRPr="00A1389F" w:rsidRDefault="002D6A3E" w:rsidP="00314492">
      <w:pPr>
        <w:pStyle w:val="Documentsubtitle"/>
      </w:pPr>
      <w:r>
        <w:t>Po</w:t>
      </w:r>
      <w:r w:rsidR="000B27B9" w:rsidRPr="000B27B9">
        <w:t xml:space="preserve">licy and </w:t>
      </w:r>
      <w:r w:rsidR="00A83A84">
        <w:t>F</w:t>
      </w:r>
      <w:r w:rsidR="000B27B9" w:rsidRPr="000B27B9">
        <w:t xml:space="preserve">unding </w:t>
      </w:r>
      <w:r w:rsidR="00A83A84">
        <w:t>G</w:t>
      </w:r>
      <w:r w:rsidR="00523CA1" w:rsidRPr="009C35D2">
        <w:t>uidelines</w:t>
      </w:r>
      <w:r w:rsidR="00523CA1" w:rsidRPr="000B27B9">
        <w:t xml:space="preserve"> </w:t>
      </w:r>
      <w:r w:rsidR="000071C6" w:rsidRPr="009C35D2">
        <w:t>2022</w:t>
      </w:r>
      <w:r w:rsidR="00523CA1">
        <w:t>–</w:t>
      </w:r>
      <w:r w:rsidR="000071C6" w:rsidRPr="009C35D2">
        <w:t>23</w:t>
      </w:r>
    </w:p>
    <w:p w14:paraId="1F7352A6" w14:textId="732F0339" w:rsidR="000B27B9" w:rsidRDefault="000B27B9" w:rsidP="00A83A84">
      <w:pPr>
        <w:pStyle w:val="Documenttitle"/>
      </w:pPr>
      <w:r>
        <w:t xml:space="preserve">Funding </w:t>
      </w:r>
      <w:r w:rsidR="00A83A84">
        <w:t>Rules</w:t>
      </w:r>
    </w:p>
    <w:p w14:paraId="30AE0D87" w14:textId="00DA6A2F" w:rsidR="000B27B9" w:rsidRPr="0081079C" w:rsidRDefault="00523CA1" w:rsidP="001626B5">
      <w:pPr>
        <w:pStyle w:val="Documentsubtitle"/>
        <w:spacing w:before="1200"/>
        <w:ind w:right="3119"/>
      </w:pPr>
      <w:r>
        <w:t>This document sets out the</w:t>
      </w:r>
      <w:r w:rsidR="000B27B9" w:rsidRPr="00491158">
        <w:t xml:space="preserve"> financial parameters</w:t>
      </w:r>
      <w:r>
        <w:t xml:space="preserve"> – and </w:t>
      </w:r>
      <w:r w:rsidR="000B27B9" w:rsidRPr="00491158">
        <w:t>specifically</w:t>
      </w:r>
      <w:r>
        <w:t>,</w:t>
      </w:r>
      <w:r w:rsidR="000B27B9" w:rsidRPr="00491158">
        <w:t xml:space="preserve"> the detailed pricing </w:t>
      </w:r>
      <w:r w:rsidRPr="00491158">
        <w:t>and</w:t>
      </w:r>
      <w:r>
        <w:t xml:space="preserve"> </w:t>
      </w:r>
      <w:r w:rsidR="000B27B9" w:rsidRPr="00491158">
        <w:t>budgetary targets</w:t>
      </w:r>
      <w:r>
        <w:t xml:space="preserve"> – </w:t>
      </w:r>
      <w:r w:rsidR="000B27B9" w:rsidRPr="00491158">
        <w:t xml:space="preserve">that funded organisations </w:t>
      </w:r>
      <w:r>
        <w:t>will</w:t>
      </w:r>
      <w:r w:rsidR="000B27B9" w:rsidRPr="00491158">
        <w:t xml:space="preserve"> </w:t>
      </w:r>
      <w:r>
        <w:t xml:space="preserve">use </w:t>
      </w:r>
      <w:r w:rsidR="000B27B9" w:rsidRPr="00491158">
        <w:t>to achieve the Victorian Government’s outcomes.</w:t>
      </w:r>
    </w:p>
    <w:p w14:paraId="36665FAE" w14:textId="625A3560" w:rsidR="00FE4081" w:rsidRDefault="00FE4081" w:rsidP="00FE4081">
      <w:pPr>
        <w:pStyle w:val="Body"/>
      </w:pPr>
    </w:p>
    <w:p w14:paraId="3B4B7FED" w14:textId="5A778641"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0853B95" w14:textId="5F761B52" w:rsidR="00CB54D8" w:rsidRPr="00A81C88" w:rsidRDefault="00CB54D8" w:rsidP="00A83A84">
      <w:pPr>
        <w:pStyle w:val="DHHSbody"/>
        <w:rPr>
          <w:sz w:val="21"/>
          <w:szCs w:val="21"/>
        </w:rPr>
      </w:pPr>
      <w:r w:rsidRPr="00A81C88">
        <w:rPr>
          <w:sz w:val="21"/>
          <w:szCs w:val="21"/>
        </w:rPr>
        <w:lastRenderedPageBreak/>
        <w:t xml:space="preserve">The </w:t>
      </w:r>
      <w:r w:rsidRPr="00A81C88">
        <w:rPr>
          <w:i/>
          <w:iCs/>
          <w:sz w:val="21"/>
          <w:szCs w:val="21"/>
        </w:rPr>
        <w:t>Policy and Funding Guidelines</w:t>
      </w:r>
      <w:r w:rsidR="00523CA1" w:rsidRPr="00A81C88">
        <w:rPr>
          <w:i/>
          <w:iCs/>
          <w:sz w:val="21"/>
          <w:szCs w:val="21"/>
        </w:rPr>
        <w:t xml:space="preserve"> </w:t>
      </w:r>
      <w:r w:rsidRPr="00A81C88">
        <w:rPr>
          <w:i/>
          <w:iCs/>
          <w:sz w:val="21"/>
          <w:szCs w:val="21"/>
        </w:rPr>
        <w:t xml:space="preserve">2022–2023 </w:t>
      </w:r>
      <w:r w:rsidRPr="00A81C88">
        <w:rPr>
          <w:sz w:val="21"/>
          <w:szCs w:val="21"/>
        </w:rPr>
        <w:t xml:space="preserve">(the Guidelines) represent the system-wide terms and conditions </w:t>
      </w:r>
      <w:r w:rsidRPr="00A81C88">
        <w:rPr>
          <w:rFonts w:cs="Arial"/>
          <w:color w:val="000000" w:themeColor="text1"/>
          <w:sz w:val="21"/>
          <w:szCs w:val="21"/>
        </w:rPr>
        <w:t>(for funding, administrative and clinical policy) of funding</w:t>
      </w:r>
      <w:r w:rsidRPr="00A81C88">
        <w:rPr>
          <w:sz w:val="21"/>
          <w:szCs w:val="21"/>
        </w:rPr>
        <w:t xml:space="preserve"> for government-funded healthcare organisations.</w:t>
      </w:r>
    </w:p>
    <w:p w14:paraId="024B8B97" w14:textId="46955995" w:rsidR="00CB54D8" w:rsidRDefault="00CB54D8" w:rsidP="009E5137">
      <w:pPr>
        <w:pStyle w:val="Body"/>
        <w:rPr>
          <w:rFonts w:cs="Arial"/>
          <w:color w:val="000000" w:themeColor="text1"/>
        </w:rPr>
      </w:pPr>
      <w:r w:rsidRPr="00A81C88">
        <w:rPr>
          <w:rFonts w:cs="Arial"/>
          <w:color w:val="000000" w:themeColor="text1"/>
          <w:szCs w:val="21"/>
        </w:rPr>
        <w:t>The</w:t>
      </w:r>
      <w:r w:rsidRPr="24978AEB">
        <w:rPr>
          <w:rFonts w:cs="Arial"/>
          <w:color w:val="000000" w:themeColor="text1"/>
        </w:rPr>
        <w:t xml:space="preserve"> </w:t>
      </w:r>
      <w:r>
        <w:rPr>
          <w:rFonts w:cs="Arial"/>
          <w:color w:val="000000" w:themeColor="text1"/>
        </w:rPr>
        <w:t>G</w:t>
      </w:r>
      <w:r w:rsidRPr="000519FC">
        <w:rPr>
          <w:rFonts w:cs="Arial"/>
          <w:color w:val="000000" w:themeColor="text1"/>
        </w:rPr>
        <w:t>uidelines</w:t>
      </w:r>
      <w:r w:rsidR="00523CA1" w:rsidRPr="24978AEB">
        <w:rPr>
          <w:rFonts w:cs="Arial"/>
          <w:color w:val="000000" w:themeColor="text1"/>
        </w:rPr>
        <w:t xml:space="preserve"> </w:t>
      </w:r>
      <w:r w:rsidRPr="24978AEB">
        <w:rPr>
          <w:rFonts w:cs="Arial"/>
          <w:color w:val="000000" w:themeColor="text1"/>
        </w:rPr>
        <w:t>reflect the government’s and department’s role as</w:t>
      </w:r>
      <w:r w:rsidRPr="24978AEB" w:rsidDel="00CB54D8">
        <w:rPr>
          <w:rFonts w:cs="Arial"/>
          <w:color w:val="000000" w:themeColor="text1"/>
        </w:rPr>
        <w:t xml:space="preserve"> </w:t>
      </w:r>
      <w:r w:rsidRPr="24978AEB">
        <w:rPr>
          <w:rFonts w:cs="Arial"/>
          <w:color w:val="000000" w:themeColor="text1"/>
        </w:rPr>
        <w:t>system stewards, and underpin the department’s individual contracts with funded organisations</w:t>
      </w:r>
      <w:r w:rsidR="008D4261" w:rsidRPr="000519FC">
        <w:rPr>
          <w:rFonts w:cs="Arial"/>
          <w:color w:val="000000" w:themeColor="text1"/>
        </w:rPr>
        <w:t xml:space="preserve"> </w:t>
      </w:r>
      <w:r w:rsidRPr="24978AEB">
        <w:rPr>
          <w:rFonts w:cs="Arial"/>
          <w:color w:val="000000" w:themeColor="text1"/>
        </w:rPr>
        <w:t>(including but not limited to Statements of Priorities (SOPs) and service agreements). They set out the requirements that funded organisations must comply with as part of their contractual and statutory obligations, outline activity that is required to receive funding, and provide detailed expectations of administrative and clinical conduct.</w:t>
      </w:r>
    </w:p>
    <w:p w14:paraId="2736C5C5" w14:textId="6A9A9254" w:rsidR="00CB54D8" w:rsidRPr="00C97358" w:rsidRDefault="00CB54D8" w:rsidP="009E5137">
      <w:pPr>
        <w:pStyle w:val="Body"/>
      </w:pPr>
      <w:r w:rsidRPr="000519FC">
        <w:rPr>
          <w:rFonts w:cs="Arial"/>
          <w:color w:val="000000" w:themeColor="text1"/>
        </w:rPr>
        <w:t>The guidelines are relevant for all funded organisations</w:t>
      </w:r>
      <w:r w:rsidR="00523CA1">
        <w:rPr>
          <w:rFonts w:cs="Arial"/>
          <w:color w:val="000000" w:themeColor="text1"/>
        </w:rPr>
        <w:t>.</w:t>
      </w:r>
      <w:r w:rsidR="00523CA1" w:rsidRPr="000519FC">
        <w:rPr>
          <w:rFonts w:cs="Arial"/>
          <w:color w:val="000000" w:themeColor="text1"/>
        </w:rPr>
        <w:t xml:space="preserve"> </w:t>
      </w:r>
      <w:r w:rsidR="00523CA1">
        <w:rPr>
          <w:rFonts w:cs="Arial"/>
          <w:color w:val="000000" w:themeColor="text1"/>
        </w:rPr>
        <w:t>This</w:t>
      </w:r>
      <w:r w:rsidR="00523CA1" w:rsidRPr="000519FC">
        <w:rPr>
          <w:rFonts w:cs="Arial"/>
          <w:color w:val="000000" w:themeColor="text1"/>
        </w:rPr>
        <w:t xml:space="preserve"> </w:t>
      </w:r>
      <w:r w:rsidRPr="000519FC">
        <w:rPr>
          <w:rFonts w:cs="Arial"/>
          <w:color w:val="000000" w:themeColor="text1"/>
        </w:rPr>
        <w:t>include</w:t>
      </w:r>
      <w:r w:rsidR="00523CA1">
        <w:rPr>
          <w:rFonts w:cs="Arial"/>
          <w:color w:val="000000" w:themeColor="text1"/>
        </w:rPr>
        <w:t>s</w:t>
      </w:r>
      <w:r w:rsidRPr="000519FC">
        <w:rPr>
          <w:rFonts w:cs="Arial"/>
          <w:color w:val="000000" w:themeColor="text1"/>
        </w:rPr>
        <w:t xml:space="preserve"> health services, community service organisations and other funded organisations</w:t>
      </w:r>
      <w:r>
        <w:rPr>
          <w:rFonts w:cs="Arial"/>
          <w:color w:val="000000" w:themeColor="text1"/>
        </w:rPr>
        <w:t>,</w:t>
      </w:r>
      <w:r w:rsidRPr="000519FC">
        <w:rPr>
          <w:rFonts w:cs="Arial"/>
          <w:color w:val="000000" w:themeColor="text1"/>
        </w:rPr>
        <w:t xml:space="preserve"> such as Ambulance Victoria.</w:t>
      </w:r>
    </w:p>
    <w:p w14:paraId="04F2A462" w14:textId="77777777" w:rsidR="00CB54D8" w:rsidRPr="00C97358" w:rsidRDefault="00CB54D8" w:rsidP="009E5137">
      <w:pPr>
        <w:pStyle w:val="Body"/>
      </w:pPr>
      <w:r w:rsidRPr="00C97358">
        <w:t>In addition to these guidelines, funded organisations are expected to comply with all other applicable policies.</w:t>
      </w:r>
    </w:p>
    <w:p w14:paraId="639C8AD8" w14:textId="1CDA7865" w:rsidR="00CB54D8" w:rsidRPr="007334BD" w:rsidRDefault="00CB54D8" w:rsidP="009E5137">
      <w:pPr>
        <w:pStyle w:val="Body"/>
      </w:pPr>
      <w:r w:rsidRPr="007334BD">
        <w:t xml:space="preserve">Funded organisations should always refer to the </w:t>
      </w:r>
      <w:hyperlink r:id="rId18" w:history="1">
        <w:r>
          <w:rPr>
            <w:rStyle w:val="Hyperlink"/>
            <w:lang w:val="en-US"/>
          </w:rPr>
          <w:t>Policy and Funding Guidelines webpage</w:t>
        </w:r>
      </w:hyperlink>
      <w:r w:rsidRPr="009E378B">
        <w:rPr>
          <w:lang w:val="en-US"/>
        </w:rPr>
        <w:t xml:space="preserve"> </w:t>
      </w:r>
      <w:r w:rsidR="00892731" w:rsidRPr="00D43734">
        <w:t>&lt;</w:t>
      </w:r>
      <w:r w:rsidR="00523CA1" w:rsidRPr="00D43734">
        <w:t>https://www.health.vic.gov.au/policy-and-funding-guidelines-for-health-services</w:t>
      </w:r>
      <w:r w:rsidR="00892731" w:rsidRPr="00D43734">
        <w:t>&gt;</w:t>
      </w:r>
      <w:r w:rsidRPr="00D43734">
        <w:t xml:space="preserve"> </w:t>
      </w:r>
      <w:r w:rsidRPr="007334BD">
        <w:t>for the most recent version of the publications that comprise the guidelines, as items may be updated throughout the year.</w:t>
      </w:r>
    </w:p>
    <w:p w14:paraId="2B7811E5" w14:textId="77777777" w:rsidR="00CB54D8" w:rsidRPr="00C97358" w:rsidRDefault="00CB54D8" w:rsidP="009E5137">
      <w:pPr>
        <w:pStyle w:val="Body"/>
      </w:pPr>
      <w:r w:rsidRPr="00C97358">
        <w:t>Where these guidelines refer to a statute, regulation or contract, the reference and information provided is descriptive only.</w:t>
      </w:r>
    </w:p>
    <w:p w14:paraId="38535A0E" w14:textId="77777777" w:rsidR="00CB54D8" w:rsidRPr="00C97358" w:rsidRDefault="00CB54D8" w:rsidP="009E5137">
      <w:pPr>
        <w:pStyle w:val="Body"/>
      </w:pPr>
      <w:r w:rsidRPr="00C97358">
        <w:t xml:space="preserve">In the case of any inconsistencies or ambiguities between these guidelines, and any legislation, regulations and contractual obligations with the State of Victoria, acting through the Department of Health (the department) or the Secretary </w:t>
      </w:r>
      <w:r>
        <w:t>of</w:t>
      </w:r>
      <w:r w:rsidRPr="00C97358">
        <w:t xml:space="preserve"> the department, the legislative, regulatory and contractual obligations take precedence. </w:t>
      </w:r>
    </w:p>
    <w:p w14:paraId="70B29915" w14:textId="77777777" w:rsidR="00CB54D8" w:rsidRPr="00C97358" w:rsidRDefault="00CB54D8" w:rsidP="009E5137">
      <w:pPr>
        <w:pStyle w:val="Body"/>
      </w:pPr>
      <w:r w:rsidRPr="00C97358">
        <w:t>Each funded organisation should refer to the relevant statute, regulation or contract to ascertain all details of its legal obligations. If any funded organisation has specific queries regarding its legal obligations, it should seek independent legal advice.</w:t>
      </w:r>
    </w:p>
    <w:p w14:paraId="0EA7BE35" w14:textId="04497E21" w:rsidR="00CB54D8" w:rsidRPr="00C97358" w:rsidRDefault="00CB54D8" w:rsidP="009E5137">
      <w:pPr>
        <w:pStyle w:val="Body"/>
        <w:rPr>
          <w:b/>
          <w:bCs/>
        </w:rPr>
      </w:pPr>
      <w:r w:rsidRPr="3C638E30">
        <w:rPr>
          <w:b/>
          <w:bCs/>
        </w:rPr>
        <w:t xml:space="preserve">Please note: </w:t>
      </w:r>
      <w:r>
        <w:t xml:space="preserve">Service agreements are contractual arrangements between entities funded to deliver services in the community and the department, which provides funding for this. Should your entity be funded through a service agreement, for funding information and activity tables that underpin service agreements, please visit the </w:t>
      </w:r>
      <w:hyperlink r:id="rId19">
        <w:r w:rsidRPr="3C638E30">
          <w:rPr>
            <w:rStyle w:val="Hyperlink"/>
            <w:lang w:val="en-US"/>
          </w:rPr>
          <w:t>service agreement website</w:t>
        </w:r>
      </w:hyperlink>
      <w:r>
        <w:t xml:space="preserve"> &lt;https://fac.dffh.vic.gov.au/service-agreement&gt;.</w:t>
      </w:r>
    </w:p>
    <w:p w14:paraId="311C4A86" w14:textId="77777777" w:rsidR="006B18AF" w:rsidRDefault="006B18AF" w:rsidP="009E5137">
      <w:pPr>
        <w:pStyle w:val="Body"/>
      </w:pPr>
    </w:p>
    <w:p w14:paraId="544D85A5" w14:textId="77777777" w:rsidR="001652EC" w:rsidRDefault="001652EC" w:rsidP="00741904">
      <w:pPr>
        <w:pStyle w:val="DHHSaccessibilitypara"/>
        <w:rPr>
          <w:lang w:val="en-US"/>
        </w:rPr>
      </w:pPr>
    </w:p>
    <w:p w14:paraId="74F9E2BC" w14:textId="26D1A902" w:rsidR="00774811" w:rsidRDefault="00494760" w:rsidP="00741904">
      <w:pPr>
        <w:pStyle w:val="DHHSaccessibilitypara"/>
      </w:pPr>
      <w:r w:rsidRPr="000F3F7F">
        <w:rPr>
          <w:lang w:val="en-US"/>
        </w:rPr>
        <w:t>To receive this publication in an accessible format</w:t>
      </w:r>
      <w:r w:rsidR="00E7609D">
        <w:rPr>
          <w:lang w:val="en-US"/>
        </w:rPr>
        <w:t xml:space="preserve"> email </w:t>
      </w:r>
      <w:hyperlink r:id="rId20" w:history="1">
        <w:r w:rsidR="00741904">
          <w:rPr>
            <w:rStyle w:val="Hyperlink"/>
          </w:rPr>
          <w:t>Commissioning and System Improvement; Accountability</w:t>
        </w:r>
      </w:hyperlink>
      <w:r w:rsidR="00741904">
        <w:rPr>
          <w:rStyle w:val="Hyperlink"/>
        </w:rPr>
        <w:t xml:space="preserve"> on</w:t>
      </w:r>
      <w:r w:rsidR="00741904">
        <w:t xml:space="preserve"> &lt;Accountability</w:t>
      </w:r>
      <w:r w:rsidR="00741904" w:rsidRPr="00E41295">
        <w:t>@</w:t>
      </w:r>
      <w:r w:rsidR="00741904">
        <w:t>health</w:t>
      </w:r>
      <w:r w:rsidR="00741904" w:rsidRPr="00E41295">
        <w:t>.vic.gov.au</w:t>
      </w:r>
      <w:r w:rsidR="00741904">
        <w:t>&gt;.</w:t>
      </w:r>
    </w:p>
    <w:p w14:paraId="3B518EAE" w14:textId="0F4213AF" w:rsidR="00494760" w:rsidRPr="00741904" w:rsidRDefault="00494760" w:rsidP="00741904">
      <w:pPr>
        <w:pStyle w:val="DHHSaccessibilitypara"/>
      </w:pPr>
      <w:r w:rsidRPr="00903B70">
        <w:rPr>
          <w:sz w:val="20"/>
        </w:rPr>
        <w:t>Authorised and published by the Victorian Government, 1 Treasury Place, Melbourne.</w:t>
      </w:r>
    </w:p>
    <w:p w14:paraId="42DB781C" w14:textId="5D4CB30F" w:rsidR="00494760" w:rsidRPr="00903B70" w:rsidRDefault="00494760" w:rsidP="00B92CD4">
      <w:pPr>
        <w:pStyle w:val="Body"/>
        <w:rPr>
          <w:sz w:val="20"/>
        </w:rPr>
      </w:pPr>
      <w:r w:rsidRPr="00903B70">
        <w:rPr>
          <w:sz w:val="20"/>
        </w:rPr>
        <w:t>© State of Victoria, Department of Health</w:t>
      </w:r>
      <w:r w:rsidRPr="003728B4">
        <w:rPr>
          <w:sz w:val="20"/>
        </w:rPr>
        <w:t xml:space="preserve">, </w:t>
      </w:r>
      <w:r w:rsidR="003728B4" w:rsidRPr="003728B4">
        <w:rPr>
          <w:sz w:val="20"/>
        </w:rPr>
        <w:t>December</w:t>
      </w:r>
      <w:r w:rsidR="00084A83" w:rsidRPr="003728B4">
        <w:rPr>
          <w:sz w:val="20"/>
        </w:rPr>
        <w:t xml:space="preserve"> 2022</w:t>
      </w:r>
      <w:r w:rsidRPr="003728B4">
        <w:rPr>
          <w:sz w:val="20"/>
        </w:rPr>
        <w:t>.</w:t>
      </w:r>
    </w:p>
    <w:p w14:paraId="04159040" w14:textId="77777777" w:rsidR="007E108B" w:rsidRPr="00903B70" w:rsidRDefault="007E108B" w:rsidP="007E108B">
      <w:pPr>
        <w:pStyle w:val="Imprint"/>
        <w:rPr>
          <w:color w:val="auto"/>
        </w:rPr>
      </w:pPr>
      <w:r w:rsidRPr="00903B70">
        <w:rPr>
          <w:color w:val="auto"/>
        </w:rPr>
        <w:t>In this document, ‘Aboriginal’ refers to both Aboriginal and Torres Strait Islander people. ‘Indigenous’ or ‘Koori/Koorie’ is retained when part of the title of a report, program or quotation</w:t>
      </w:r>
      <w:r w:rsidRPr="00903B70">
        <w:t>.</w:t>
      </w:r>
    </w:p>
    <w:p w14:paraId="0779A70C" w14:textId="411807E3" w:rsidR="00494760" w:rsidRPr="00903B70" w:rsidRDefault="00494760" w:rsidP="00B92CD4">
      <w:pPr>
        <w:pStyle w:val="Body"/>
        <w:rPr>
          <w:sz w:val="20"/>
          <w:lang w:val="en-US"/>
        </w:rPr>
      </w:pPr>
      <w:r w:rsidRPr="00C45C95">
        <w:rPr>
          <w:sz w:val="20"/>
          <w:lang w:val="en-US"/>
        </w:rPr>
        <w:t xml:space="preserve">ISSN </w:t>
      </w:r>
      <w:r w:rsidR="007E6E59" w:rsidRPr="00C45C95">
        <w:rPr>
          <w:rFonts w:cs="Arial"/>
          <w:color w:val="000000"/>
          <w:sz w:val="20"/>
        </w:rPr>
        <w:t>2653-4207</w:t>
      </w:r>
      <w:r w:rsidRPr="00C45C95">
        <w:rPr>
          <w:sz w:val="20"/>
          <w:lang w:val="en-US"/>
        </w:rPr>
        <w:t xml:space="preserve"> (online)</w:t>
      </w:r>
    </w:p>
    <w:p w14:paraId="610A3553" w14:textId="337CE659" w:rsidR="000F1413" w:rsidRPr="00903B70" w:rsidRDefault="000F1413" w:rsidP="000F1413">
      <w:pPr>
        <w:pStyle w:val="Imprint"/>
        <w:rPr>
          <w:lang w:val="en-US"/>
        </w:rPr>
      </w:pPr>
      <w:bookmarkStart w:id="0" w:name="_Toc96525158"/>
      <w:bookmarkStart w:id="1" w:name="_Toc100263255"/>
      <w:r w:rsidRPr="00903B70">
        <w:rPr>
          <w:lang w:val="en-US"/>
        </w:rPr>
        <w:t xml:space="preserve">Available on the </w:t>
      </w:r>
      <w:hyperlink r:id="rId21" w:history="1">
        <w:r w:rsidRPr="00903B70">
          <w:rPr>
            <w:rStyle w:val="Hyperlink"/>
            <w:lang w:val="en-US"/>
          </w:rPr>
          <w:t>Policy and Funding Guidelines webpage</w:t>
        </w:r>
      </w:hyperlink>
      <w:r w:rsidRPr="00903B70">
        <w:rPr>
          <w:lang w:val="en-US"/>
        </w:rPr>
        <w:t xml:space="preserve"> &lt;https://www.health.vic.gov.au/policy-and-funding-guidelines-for-health-services&gt;.</w:t>
      </w:r>
    </w:p>
    <w:p w14:paraId="1FCE8320" w14:textId="77777777" w:rsidR="000B27B9" w:rsidRPr="00ED6DDD" w:rsidRDefault="000B27B9" w:rsidP="00E02B46">
      <w:pPr>
        <w:pStyle w:val="Heading1"/>
        <w:numPr>
          <w:ilvl w:val="0"/>
          <w:numId w:val="0"/>
        </w:numPr>
      </w:pPr>
      <w:bookmarkStart w:id="2" w:name="_Toc127191892"/>
      <w:r w:rsidRPr="00ED6DDD">
        <w:lastRenderedPageBreak/>
        <w:t>Contents</w:t>
      </w:r>
      <w:bookmarkEnd w:id="0"/>
      <w:bookmarkEnd w:id="1"/>
      <w:bookmarkEnd w:id="2"/>
    </w:p>
    <w:p w14:paraId="7F434AED" w14:textId="6BA4ACA5" w:rsidR="00AC6AAD" w:rsidRDefault="000B27B9">
      <w:pPr>
        <w:pStyle w:val="TOC1"/>
        <w:rPr>
          <w:rFonts w:asciiTheme="minorHAnsi" w:eastAsiaTheme="minorEastAsia" w:hAnsiTheme="minorHAnsi" w:cstheme="minorBidi"/>
          <w:b w:val="0"/>
          <w:sz w:val="22"/>
          <w:szCs w:val="22"/>
          <w:lang w:eastAsia="en-AU"/>
        </w:rPr>
      </w:pPr>
      <w:r>
        <w:rPr>
          <w:caps/>
        </w:rPr>
        <w:fldChar w:fldCharType="begin"/>
      </w:r>
      <w:r>
        <w:rPr>
          <w:caps/>
        </w:rPr>
        <w:instrText xml:space="preserve"> TOC \o "1-3" \h \z \u </w:instrText>
      </w:r>
      <w:r>
        <w:rPr>
          <w:caps/>
        </w:rPr>
        <w:fldChar w:fldCharType="separate"/>
      </w:r>
      <w:hyperlink w:anchor="_Toc127191892" w:history="1">
        <w:r w:rsidR="00AC6AAD" w:rsidRPr="00397A34">
          <w:rPr>
            <w:rStyle w:val="Hyperlink"/>
          </w:rPr>
          <w:t>Contents</w:t>
        </w:r>
        <w:r w:rsidR="00AC6AAD">
          <w:rPr>
            <w:webHidden/>
          </w:rPr>
          <w:tab/>
        </w:r>
        <w:r w:rsidR="00AC6AAD">
          <w:rPr>
            <w:webHidden/>
          </w:rPr>
          <w:fldChar w:fldCharType="begin"/>
        </w:r>
        <w:r w:rsidR="00AC6AAD">
          <w:rPr>
            <w:webHidden/>
          </w:rPr>
          <w:instrText xml:space="preserve"> PAGEREF _Toc127191892 \h </w:instrText>
        </w:r>
        <w:r w:rsidR="00AC6AAD">
          <w:rPr>
            <w:webHidden/>
          </w:rPr>
        </w:r>
        <w:r w:rsidR="00AC6AAD">
          <w:rPr>
            <w:webHidden/>
          </w:rPr>
          <w:fldChar w:fldCharType="separate"/>
        </w:r>
        <w:r w:rsidR="00AC6AAD">
          <w:rPr>
            <w:webHidden/>
          </w:rPr>
          <w:t>iii</w:t>
        </w:r>
        <w:r w:rsidR="00AC6AAD">
          <w:rPr>
            <w:webHidden/>
          </w:rPr>
          <w:fldChar w:fldCharType="end"/>
        </w:r>
      </w:hyperlink>
    </w:p>
    <w:p w14:paraId="539E634D" w14:textId="17C58E48" w:rsidR="00AC6AAD" w:rsidRDefault="00D36400">
      <w:pPr>
        <w:pStyle w:val="TOC1"/>
        <w:rPr>
          <w:rFonts w:asciiTheme="minorHAnsi" w:eastAsiaTheme="minorEastAsia" w:hAnsiTheme="minorHAnsi" w:cstheme="minorBidi"/>
          <w:b w:val="0"/>
          <w:sz w:val="22"/>
          <w:szCs w:val="22"/>
          <w:lang w:eastAsia="en-AU"/>
        </w:rPr>
      </w:pPr>
      <w:hyperlink w:anchor="_Toc127191893" w:history="1">
        <w:r w:rsidR="00AC6AAD" w:rsidRPr="00397A34">
          <w:rPr>
            <w:rStyle w:val="Hyperlink"/>
          </w:rPr>
          <w:t xml:space="preserve">Overview of the </w:t>
        </w:r>
        <w:r w:rsidR="00AC6AAD" w:rsidRPr="00397A34">
          <w:rPr>
            <w:rStyle w:val="Hyperlink"/>
            <w:i/>
          </w:rPr>
          <w:t xml:space="preserve">Policy and </w:t>
        </w:r>
        <w:r w:rsidR="00AC6AAD" w:rsidRPr="00397A34">
          <w:rPr>
            <w:rStyle w:val="Hyperlink"/>
            <w:i/>
            <w:iCs/>
          </w:rPr>
          <w:t>Funding Guidelines</w:t>
        </w:r>
        <w:r w:rsidR="00AC6AAD" w:rsidRPr="00397A34">
          <w:rPr>
            <w:rStyle w:val="Hyperlink"/>
          </w:rPr>
          <w:t xml:space="preserve"> </w:t>
        </w:r>
        <w:r w:rsidR="00AC6AAD" w:rsidRPr="00397A34">
          <w:rPr>
            <w:rStyle w:val="Hyperlink"/>
            <w:i/>
          </w:rPr>
          <w:t>2022</w:t>
        </w:r>
        <w:r w:rsidR="00AC6AAD" w:rsidRPr="00397A34">
          <w:rPr>
            <w:rStyle w:val="Hyperlink"/>
            <w:i/>
            <w:iCs/>
          </w:rPr>
          <w:t>–</w:t>
        </w:r>
        <w:r w:rsidR="00AC6AAD" w:rsidRPr="00397A34">
          <w:rPr>
            <w:rStyle w:val="Hyperlink"/>
            <w:i/>
          </w:rPr>
          <w:t>23</w:t>
        </w:r>
        <w:r w:rsidR="00AC6AAD">
          <w:rPr>
            <w:webHidden/>
          </w:rPr>
          <w:tab/>
        </w:r>
        <w:r w:rsidR="00AC6AAD">
          <w:rPr>
            <w:webHidden/>
          </w:rPr>
          <w:fldChar w:fldCharType="begin"/>
        </w:r>
        <w:r w:rsidR="00AC6AAD">
          <w:rPr>
            <w:webHidden/>
          </w:rPr>
          <w:instrText xml:space="preserve"> PAGEREF _Toc127191893 \h </w:instrText>
        </w:r>
        <w:r w:rsidR="00AC6AAD">
          <w:rPr>
            <w:webHidden/>
          </w:rPr>
        </w:r>
        <w:r w:rsidR="00AC6AAD">
          <w:rPr>
            <w:webHidden/>
          </w:rPr>
          <w:fldChar w:fldCharType="separate"/>
        </w:r>
        <w:r w:rsidR="00AC6AAD">
          <w:rPr>
            <w:webHidden/>
          </w:rPr>
          <w:t>1</w:t>
        </w:r>
        <w:r w:rsidR="00AC6AAD">
          <w:rPr>
            <w:webHidden/>
          </w:rPr>
          <w:fldChar w:fldCharType="end"/>
        </w:r>
      </w:hyperlink>
    </w:p>
    <w:p w14:paraId="7E546EE4" w14:textId="0109B88F" w:rsidR="00AC6AAD" w:rsidRDefault="00D36400">
      <w:pPr>
        <w:pStyle w:val="TOC2"/>
        <w:rPr>
          <w:rFonts w:asciiTheme="minorHAnsi" w:eastAsiaTheme="minorEastAsia" w:hAnsiTheme="minorHAnsi" w:cstheme="minorBidi"/>
          <w:b w:val="0"/>
          <w:bCs w:val="0"/>
          <w:sz w:val="22"/>
          <w:szCs w:val="22"/>
          <w:lang w:eastAsia="en-AU"/>
        </w:rPr>
      </w:pPr>
      <w:hyperlink w:anchor="_Toc127191894" w:history="1">
        <w:r w:rsidR="00AC6AAD" w:rsidRPr="00397A34">
          <w:rPr>
            <w:rStyle w:val="Hyperlink"/>
            <w:rFonts w:eastAsia="MS Gothic"/>
            <w:i/>
            <w:iCs/>
          </w:rPr>
          <w:t>Policy Guide (separate publication)</w:t>
        </w:r>
        <w:r w:rsidR="00AC6AAD">
          <w:rPr>
            <w:webHidden/>
          </w:rPr>
          <w:tab/>
        </w:r>
        <w:r w:rsidR="00AC6AAD">
          <w:rPr>
            <w:webHidden/>
          </w:rPr>
          <w:fldChar w:fldCharType="begin"/>
        </w:r>
        <w:r w:rsidR="00AC6AAD">
          <w:rPr>
            <w:webHidden/>
          </w:rPr>
          <w:instrText xml:space="preserve"> PAGEREF _Toc127191894 \h </w:instrText>
        </w:r>
        <w:r w:rsidR="00AC6AAD">
          <w:rPr>
            <w:webHidden/>
          </w:rPr>
        </w:r>
        <w:r w:rsidR="00AC6AAD">
          <w:rPr>
            <w:webHidden/>
          </w:rPr>
          <w:fldChar w:fldCharType="separate"/>
        </w:r>
        <w:r w:rsidR="00AC6AAD">
          <w:rPr>
            <w:webHidden/>
          </w:rPr>
          <w:t>1</w:t>
        </w:r>
        <w:r w:rsidR="00AC6AAD">
          <w:rPr>
            <w:webHidden/>
          </w:rPr>
          <w:fldChar w:fldCharType="end"/>
        </w:r>
      </w:hyperlink>
    </w:p>
    <w:p w14:paraId="082F0C94" w14:textId="474BE442" w:rsidR="00AC6AAD" w:rsidRDefault="00D36400">
      <w:pPr>
        <w:pStyle w:val="TOC3"/>
        <w:rPr>
          <w:rFonts w:asciiTheme="minorHAnsi" w:eastAsiaTheme="minorEastAsia" w:hAnsiTheme="minorHAnsi" w:cstheme="minorBidi"/>
          <w:noProof/>
          <w:sz w:val="22"/>
          <w:szCs w:val="22"/>
          <w:lang w:eastAsia="en-AU"/>
        </w:rPr>
      </w:pPr>
      <w:hyperlink w:anchor="_Toc127191895" w:history="1">
        <w:r w:rsidR="00AC6AAD" w:rsidRPr="00397A34">
          <w:rPr>
            <w:rStyle w:val="Hyperlink"/>
            <w:noProof/>
          </w:rPr>
          <w:t>Part 1: Operational and service delivery policy</w:t>
        </w:r>
        <w:r w:rsidR="00AC6AAD">
          <w:rPr>
            <w:noProof/>
            <w:webHidden/>
          </w:rPr>
          <w:tab/>
        </w:r>
        <w:r w:rsidR="00AC6AAD">
          <w:rPr>
            <w:noProof/>
            <w:webHidden/>
          </w:rPr>
          <w:fldChar w:fldCharType="begin"/>
        </w:r>
        <w:r w:rsidR="00AC6AAD">
          <w:rPr>
            <w:noProof/>
            <w:webHidden/>
          </w:rPr>
          <w:instrText xml:space="preserve"> PAGEREF _Toc127191895 \h </w:instrText>
        </w:r>
        <w:r w:rsidR="00AC6AAD">
          <w:rPr>
            <w:noProof/>
            <w:webHidden/>
          </w:rPr>
        </w:r>
        <w:r w:rsidR="00AC6AAD">
          <w:rPr>
            <w:noProof/>
            <w:webHidden/>
          </w:rPr>
          <w:fldChar w:fldCharType="separate"/>
        </w:r>
        <w:r w:rsidR="00AC6AAD">
          <w:rPr>
            <w:noProof/>
            <w:webHidden/>
          </w:rPr>
          <w:t>1</w:t>
        </w:r>
        <w:r w:rsidR="00AC6AAD">
          <w:rPr>
            <w:noProof/>
            <w:webHidden/>
          </w:rPr>
          <w:fldChar w:fldCharType="end"/>
        </w:r>
      </w:hyperlink>
    </w:p>
    <w:p w14:paraId="1002450A" w14:textId="5454131C" w:rsidR="00AC6AAD" w:rsidRDefault="00D36400">
      <w:pPr>
        <w:pStyle w:val="TOC3"/>
        <w:rPr>
          <w:rFonts w:asciiTheme="minorHAnsi" w:eastAsiaTheme="minorEastAsia" w:hAnsiTheme="minorHAnsi" w:cstheme="minorBidi"/>
          <w:noProof/>
          <w:sz w:val="22"/>
          <w:szCs w:val="22"/>
          <w:lang w:eastAsia="en-AU"/>
        </w:rPr>
      </w:pPr>
      <w:hyperlink w:anchor="_Toc127191896" w:history="1">
        <w:r w:rsidR="00AC6AAD" w:rsidRPr="00397A34">
          <w:rPr>
            <w:rStyle w:val="Hyperlink"/>
            <w:noProof/>
          </w:rPr>
          <w:t>Part 2: Obligations, standards and requirements</w:t>
        </w:r>
        <w:r w:rsidR="00AC6AAD">
          <w:rPr>
            <w:noProof/>
            <w:webHidden/>
          </w:rPr>
          <w:tab/>
        </w:r>
        <w:r w:rsidR="00AC6AAD">
          <w:rPr>
            <w:noProof/>
            <w:webHidden/>
          </w:rPr>
          <w:fldChar w:fldCharType="begin"/>
        </w:r>
        <w:r w:rsidR="00AC6AAD">
          <w:rPr>
            <w:noProof/>
            <w:webHidden/>
          </w:rPr>
          <w:instrText xml:space="preserve"> PAGEREF _Toc127191896 \h </w:instrText>
        </w:r>
        <w:r w:rsidR="00AC6AAD">
          <w:rPr>
            <w:noProof/>
            <w:webHidden/>
          </w:rPr>
        </w:r>
        <w:r w:rsidR="00AC6AAD">
          <w:rPr>
            <w:noProof/>
            <w:webHidden/>
          </w:rPr>
          <w:fldChar w:fldCharType="separate"/>
        </w:r>
        <w:r w:rsidR="00AC6AAD">
          <w:rPr>
            <w:noProof/>
            <w:webHidden/>
          </w:rPr>
          <w:t>1</w:t>
        </w:r>
        <w:r w:rsidR="00AC6AAD">
          <w:rPr>
            <w:noProof/>
            <w:webHidden/>
          </w:rPr>
          <w:fldChar w:fldCharType="end"/>
        </w:r>
      </w:hyperlink>
    </w:p>
    <w:p w14:paraId="421F37BF" w14:textId="158257D9" w:rsidR="00AC6AAD" w:rsidRDefault="00D36400">
      <w:pPr>
        <w:pStyle w:val="TOC2"/>
        <w:rPr>
          <w:rFonts w:asciiTheme="minorHAnsi" w:eastAsiaTheme="minorEastAsia" w:hAnsiTheme="minorHAnsi" w:cstheme="minorBidi"/>
          <w:b w:val="0"/>
          <w:bCs w:val="0"/>
          <w:sz w:val="22"/>
          <w:szCs w:val="22"/>
          <w:lang w:eastAsia="en-AU"/>
        </w:rPr>
      </w:pPr>
      <w:hyperlink w:anchor="_Toc127191897" w:history="1">
        <w:r w:rsidR="00AC6AAD" w:rsidRPr="00397A34">
          <w:rPr>
            <w:rStyle w:val="Hyperlink"/>
            <w:rFonts w:eastAsia="MS Gothic"/>
            <w:i/>
            <w:iCs/>
          </w:rPr>
          <w:t>Funding Rules</w:t>
        </w:r>
        <w:r w:rsidR="00AC6AAD">
          <w:rPr>
            <w:webHidden/>
          </w:rPr>
          <w:tab/>
        </w:r>
        <w:r w:rsidR="00AC6AAD">
          <w:rPr>
            <w:webHidden/>
          </w:rPr>
          <w:fldChar w:fldCharType="begin"/>
        </w:r>
        <w:r w:rsidR="00AC6AAD">
          <w:rPr>
            <w:webHidden/>
          </w:rPr>
          <w:instrText xml:space="preserve"> PAGEREF _Toc127191897 \h </w:instrText>
        </w:r>
        <w:r w:rsidR="00AC6AAD">
          <w:rPr>
            <w:webHidden/>
          </w:rPr>
        </w:r>
        <w:r w:rsidR="00AC6AAD">
          <w:rPr>
            <w:webHidden/>
          </w:rPr>
          <w:fldChar w:fldCharType="separate"/>
        </w:r>
        <w:r w:rsidR="00AC6AAD">
          <w:rPr>
            <w:webHidden/>
          </w:rPr>
          <w:t>1</w:t>
        </w:r>
        <w:r w:rsidR="00AC6AAD">
          <w:rPr>
            <w:webHidden/>
          </w:rPr>
          <w:fldChar w:fldCharType="end"/>
        </w:r>
      </w:hyperlink>
    </w:p>
    <w:p w14:paraId="42AA6D2F" w14:textId="6FC68681" w:rsidR="00AC6AAD" w:rsidRDefault="00D36400">
      <w:pPr>
        <w:pStyle w:val="TOC3"/>
        <w:rPr>
          <w:rFonts w:asciiTheme="minorHAnsi" w:eastAsiaTheme="minorEastAsia" w:hAnsiTheme="minorHAnsi" w:cstheme="minorBidi"/>
          <w:noProof/>
          <w:sz w:val="22"/>
          <w:szCs w:val="22"/>
          <w:lang w:eastAsia="en-AU"/>
        </w:rPr>
      </w:pPr>
      <w:hyperlink w:anchor="_Toc127191898" w:history="1">
        <w:r w:rsidR="00AC6AAD" w:rsidRPr="00397A34">
          <w:rPr>
            <w:rStyle w:val="Hyperlink"/>
            <w:noProof/>
          </w:rPr>
          <w:t>Part 1: Budgetary landscape and pricing arrangements</w:t>
        </w:r>
        <w:r w:rsidR="00AC6AAD">
          <w:rPr>
            <w:noProof/>
            <w:webHidden/>
          </w:rPr>
          <w:tab/>
        </w:r>
        <w:r w:rsidR="00AC6AAD">
          <w:rPr>
            <w:noProof/>
            <w:webHidden/>
          </w:rPr>
          <w:fldChar w:fldCharType="begin"/>
        </w:r>
        <w:r w:rsidR="00AC6AAD">
          <w:rPr>
            <w:noProof/>
            <w:webHidden/>
          </w:rPr>
          <w:instrText xml:space="preserve"> PAGEREF _Toc127191898 \h </w:instrText>
        </w:r>
        <w:r w:rsidR="00AC6AAD">
          <w:rPr>
            <w:noProof/>
            <w:webHidden/>
          </w:rPr>
        </w:r>
        <w:r w:rsidR="00AC6AAD">
          <w:rPr>
            <w:noProof/>
            <w:webHidden/>
          </w:rPr>
          <w:fldChar w:fldCharType="separate"/>
        </w:r>
        <w:r w:rsidR="00AC6AAD">
          <w:rPr>
            <w:noProof/>
            <w:webHidden/>
          </w:rPr>
          <w:t>1</w:t>
        </w:r>
        <w:r w:rsidR="00AC6AAD">
          <w:rPr>
            <w:noProof/>
            <w:webHidden/>
          </w:rPr>
          <w:fldChar w:fldCharType="end"/>
        </w:r>
      </w:hyperlink>
    </w:p>
    <w:p w14:paraId="1F2B72E7" w14:textId="1C897D36" w:rsidR="00AC6AAD" w:rsidRDefault="00D36400">
      <w:pPr>
        <w:pStyle w:val="TOC3"/>
        <w:rPr>
          <w:rFonts w:asciiTheme="minorHAnsi" w:eastAsiaTheme="minorEastAsia" w:hAnsiTheme="minorHAnsi" w:cstheme="minorBidi"/>
          <w:noProof/>
          <w:sz w:val="22"/>
          <w:szCs w:val="22"/>
          <w:lang w:eastAsia="en-AU"/>
        </w:rPr>
      </w:pPr>
      <w:hyperlink w:anchor="_Toc127191899" w:history="1">
        <w:r w:rsidR="00AC6AAD" w:rsidRPr="00397A34">
          <w:rPr>
            <w:rStyle w:val="Hyperlink"/>
            <w:noProof/>
          </w:rPr>
          <w:t>Part 2: Funding and activity levels</w:t>
        </w:r>
        <w:r w:rsidR="00AC6AAD">
          <w:rPr>
            <w:noProof/>
            <w:webHidden/>
          </w:rPr>
          <w:tab/>
        </w:r>
        <w:r w:rsidR="00AC6AAD">
          <w:rPr>
            <w:noProof/>
            <w:webHidden/>
          </w:rPr>
          <w:fldChar w:fldCharType="begin"/>
        </w:r>
        <w:r w:rsidR="00AC6AAD">
          <w:rPr>
            <w:noProof/>
            <w:webHidden/>
          </w:rPr>
          <w:instrText xml:space="preserve"> PAGEREF _Toc127191899 \h </w:instrText>
        </w:r>
        <w:r w:rsidR="00AC6AAD">
          <w:rPr>
            <w:noProof/>
            <w:webHidden/>
          </w:rPr>
        </w:r>
        <w:r w:rsidR="00AC6AAD">
          <w:rPr>
            <w:noProof/>
            <w:webHidden/>
          </w:rPr>
          <w:fldChar w:fldCharType="separate"/>
        </w:r>
        <w:r w:rsidR="00AC6AAD">
          <w:rPr>
            <w:noProof/>
            <w:webHidden/>
          </w:rPr>
          <w:t>1</w:t>
        </w:r>
        <w:r w:rsidR="00AC6AAD">
          <w:rPr>
            <w:noProof/>
            <w:webHidden/>
          </w:rPr>
          <w:fldChar w:fldCharType="end"/>
        </w:r>
      </w:hyperlink>
    </w:p>
    <w:p w14:paraId="60E3BEB0" w14:textId="55F1CC0F" w:rsidR="00AC6AAD" w:rsidRDefault="00D36400">
      <w:pPr>
        <w:pStyle w:val="TOC1"/>
        <w:rPr>
          <w:rFonts w:asciiTheme="minorHAnsi" w:eastAsiaTheme="minorEastAsia" w:hAnsiTheme="minorHAnsi" w:cstheme="minorBidi"/>
          <w:b w:val="0"/>
          <w:sz w:val="22"/>
          <w:szCs w:val="22"/>
          <w:lang w:eastAsia="en-AU"/>
        </w:rPr>
      </w:pPr>
      <w:hyperlink w:anchor="_Toc127191900" w:history="1">
        <w:r w:rsidR="00AC6AAD" w:rsidRPr="00397A34">
          <w:rPr>
            <w:rStyle w:val="Hyperlink"/>
          </w:rPr>
          <w:t>Terminology</w:t>
        </w:r>
        <w:r w:rsidR="00AC6AAD">
          <w:rPr>
            <w:webHidden/>
          </w:rPr>
          <w:tab/>
        </w:r>
        <w:r w:rsidR="00AC6AAD">
          <w:rPr>
            <w:webHidden/>
          </w:rPr>
          <w:fldChar w:fldCharType="begin"/>
        </w:r>
        <w:r w:rsidR="00AC6AAD">
          <w:rPr>
            <w:webHidden/>
          </w:rPr>
          <w:instrText xml:space="preserve"> PAGEREF _Toc127191900 \h </w:instrText>
        </w:r>
        <w:r w:rsidR="00AC6AAD">
          <w:rPr>
            <w:webHidden/>
          </w:rPr>
        </w:r>
        <w:r w:rsidR="00AC6AAD">
          <w:rPr>
            <w:webHidden/>
          </w:rPr>
          <w:fldChar w:fldCharType="separate"/>
        </w:r>
        <w:r w:rsidR="00AC6AAD">
          <w:rPr>
            <w:webHidden/>
          </w:rPr>
          <w:t>2</w:t>
        </w:r>
        <w:r w:rsidR="00AC6AAD">
          <w:rPr>
            <w:webHidden/>
          </w:rPr>
          <w:fldChar w:fldCharType="end"/>
        </w:r>
      </w:hyperlink>
    </w:p>
    <w:p w14:paraId="1C175DAD" w14:textId="19B63C62" w:rsidR="00AC6AAD" w:rsidRDefault="00D36400">
      <w:pPr>
        <w:pStyle w:val="TOC1"/>
        <w:tabs>
          <w:tab w:val="left" w:pos="794"/>
        </w:tabs>
        <w:rPr>
          <w:rFonts w:asciiTheme="minorHAnsi" w:eastAsiaTheme="minorEastAsia" w:hAnsiTheme="minorHAnsi" w:cstheme="minorBidi"/>
          <w:b w:val="0"/>
          <w:sz w:val="22"/>
          <w:szCs w:val="22"/>
          <w:lang w:eastAsia="en-AU"/>
        </w:rPr>
      </w:pPr>
      <w:hyperlink w:anchor="_Toc127191901" w:history="1">
        <w:r w:rsidR="00AC6AAD" w:rsidRPr="00397A34">
          <w:rPr>
            <w:rStyle w:val="Hyperlink"/>
          </w:rPr>
          <w:t>1</w:t>
        </w:r>
        <w:r w:rsidR="00AC6AAD">
          <w:rPr>
            <w:rFonts w:asciiTheme="minorHAnsi" w:eastAsiaTheme="minorEastAsia" w:hAnsiTheme="minorHAnsi" w:cstheme="minorBidi"/>
            <w:b w:val="0"/>
            <w:sz w:val="22"/>
            <w:szCs w:val="22"/>
            <w:lang w:eastAsia="en-AU"/>
          </w:rPr>
          <w:tab/>
        </w:r>
        <w:r w:rsidR="00AC6AAD" w:rsidRPr="00397A34">
          <w:rPr>
            <w:rStyle w:val="Hyperlink"/>
          </w:rPr>
          <w:t>Budgetary Landscape and Pricing Arrangements</w:t>
        </w:r>
        <w:r w:rsidR="00AC6AAD">
          <w:rPr>
            <w:webHidden/>
          </w:rPr>
          <w:tab/>
        </w:r>
        <w:r w:rsidR="00AC6AAD">
          <w:rPr>
            <w:webHidden/>
          </w:rPr>
          <w:fldChar w:fldCharType="begin"/>
        </w:r>
        <w:r w:rsidR="00AC6AAD">
          <w:rPr>
            <w:webHidden/>
          </w:rPr>
          <w:instrText xml:space="preserve"> PAGEREF _Toc127191901 \h </w:instrText>
        </w:r>
        <w:r w:rsidR="00AC6AAD">
          <w:rPr>
            <w:webHidden/>
          </w:rPr>
        </w:r>
        <w:r w:rsidR="00AC6AAD">
          <w:rPr>
            <w:webHidden/>
          </w:rPr>
          <w:fldChar w:fldCharType="separate"/>
        </w:r>
        <w:r w:rsidR="00AC6AAD">
          <w:rPr>
            <w:webHidden/>
          </w:rPr>
          <w:t>3</w:t>
        </w:r>
        <w:r w:rsidR="00AC6AAD">
          <w:rPr>
            <w:webHidden/>
          </w:rPr>
          <w:fldChar w:fldCharType="end"/>
        </w:r>
      </w:hyperlink>
    </w:p>
    <w:p w14:paraId="4771735D" w14:textId="2A7019E5" w:rsidR="00AC6AAD" w:rsidRDefault="00D36400">
      <w:pPr>
        <w:pStyle w:val="TOC2"/>
        <w:rPr>
          <w:rFonts w:asciiTheme="minorHAnsi" w:eastAsiaTheme="minorEastAsia" w:hAnsiTheme="minorHAnsi" w:cstheme="minorBidi"/>
          <w:b w:val="0"/>
          <w:bCs w:val="0"/>
          <w:sz w:val="22"/>
          <w:szCs w:val="22"/>
          <w:lang w:eastAsia="en-AU"/>
        </w:rPr>
      </w:pPr>
      <w:hyperlink w:anchor="_Toc127191902" w:history="1">
        <w:r w:rsidR="00AC6AAD" w:rsidRPr="00397A34">
          <w:rPr>
            <w:rStyle w:val="Hyperlink"/>
          </w:rPr>
          <w:t>1.1</w:t>
        </w:r>
        <w:r w:rsidR="00AC6AAD">
          <w:rPr>
            <w:rFonts w:asciiTheme="minorHAnsi" w:eastAsiaTheme="minorEastAsia" w:hAnsiTheme="minorHAnsi" w:cstheme="minorBidi"/>
            <w:b w:val="0"/>
            <w:bCs w:val="0"/>
            <w:sz w:val="22"/>
            <w:szCs w:val="22"/>
            <w:lang w:eastAsia="en-AU"/>
          </w:rPr>
          <w:tab/>
        </w:r>
        <w:r w:rsidR="00AC6AAD" w:rsidRPr="00397A34">
          <w:rPr>
            <w:rStyle w:val="Hyperlink"/>
          </w:rPr>
          <w:t>Budget Highlights</w:t>
        </w:r>
        <w:r w:rsidR="00AC6AAD">
          <w:rPr>
            <w:webHidden/>
          </w:rPr>
          <w:tab/>
        </w:r>
        <w:r w:rsidR="00AC6AAD">
          <w:rPr>
            <w:webHidden/>
          </w:rPr>
          <w:fldChar w:fldCharType="begin"/>
        </w:r>
        <w:r w:rsidR="00AC6AAD">
          <w:rPr>
            <w:webHidden/>
          </w:rPr>
          <w:instrText xml:space="preserve"> PAGEREF _Toc127191902 \h </w:instrText>
        </w:r>
        <w:r w:rsidR="00AC6AAD">
          <w:rPr>
            <w:webHidden/>
          </w:rPr>
        </w:r>
        <w:r w:rsidR="00AC6AAD">
          <w:rPr>
            <w:webHidden/>
          </w:rPr>
          <w:fldChar w:fldCharType="separate"/>
        </w:r>
        <w:r w:rsidR="00AC6AAD">
          <w:rPr>
            <w:webHidden/>
          </w:rPr>
          <w:t>4</w:t>
        </w:r>
        <w:r w:rsidR="00AC6AAD">
          <w:rPr>
            <w:webHidden/>
          </w:rPr>
          <w:fldChar w:fldCharType="end"/>
        </w:r>
      </w:hyperlink>
    </w:p>
    <w:p w14:paraId="6663957E" w14:textId="0F45E031" w:rsidR="00AC6AAD" w:rsidRDefault="00D36400">
      <w:pPr>
        <w:pStyle w:val="TOC2"/>
        <w:rPr>
          <w:rFonts w:asciiTheme="minorHAnsi" w:eastAsiaTheme="minorEastAsia" w:hAnsiTheme="minorHAnsi" w:cstheme="minorBidi"/>
          <w:b w:val="0"/>
          <w:bCs w:val="0"/>
          <w:sz w:val="22"/>
          <w:szCs w:val="22"/>
          <w:lang w:eastAsia="en-AU"/>
        </w:rPr>
      </w:pPr>
      <w:hyperlink w:anchor="_Toc127191903" w:history="1">
        <w:r w:rsidR="00AC6AAD" w:rsidRPr="00397A34">
          <w:rPr>
            <w:rStyle w:val="Hyperlink"/>
          </w:rPr>
          <w:t>1.2</w:t>
        </w:r>
        <w:r w:rsidR="00AC6AAD">
          <w:rPr>
            <w:rFonts w:asciiTheme="minorHAnsi" w:eastAsiaTheme="minorEastAsia" w:hAnsiTheme="minorHAnsi" w:cstheme="minorBidi"/>
            <w:b w:val="0"/>
            <w:bCs w:val="0"/>
            <w:sz w:val="22"/>
            <w:szCs w:val="22"/>
            <w:lang w:eastAsia="en-AU"/>
          </w:rPr>
          <w:tab/>
        </w:r>
        <w:r w:rsidR="00AC6AAD" w:rsidRPr="00397A34">
          <w:rPr>
            <w:rStyle w:val="Hyperlink"/>
          </w:rPr>
          <w:t>Output Initiatives</w:t>
        </w:r>
        <w:r w:rsidR="00AC6AAD">
          <w:rPr>
            <w:webHidden/>
          </w:rPr>
          <w:tab/>
        </w:r>
        <w:r w:rsidR="00AC6AAD">
          <w:rPr>
            <w:webHidden/>
          </w:rPr>
          <w:fldChar w:fldCharType="begin"/>
        </w:r>
        <w:r w:rsidR="00AC6AAD">
          <w:rPr>
            <w:webHidden/>
          </w:rPr>
          <w:instrText xml:space="preserve"> PAGEREF _Toc127191903 \h </w:instrText>
        </w:r>
        <w:r w:rsidR="00AC6AAD">
          <w:rPr>
            <w:webHidden/>
          </w:rPr>
        </w:r>
        <w:r w:rsidR="00AC6AAD">
          <w:rPr>
            <w:webHidden/>
          </w:rPr>
          <w:fldChar w:fldCharType="separate"/>
        </w:r>
        <w:r w:rsidR="00AC6AAD">
          <w:rPr>
            <w:webHidden/>
          </w:rPr>
          <w:t>6</w:t>
        </w:r>
        <w:r w:rsidR="00AC6AAD">
          <w:rPr>
            <w:webHidden/>
          </w:rPr>
          <w:fldChar w:fldCharType="end"/>
        </w:r>
      </w:hyperlink>
    </w:p>
    <w:p w14:paraId="156AF365" w14:textId="69D22F9D" w:rsidR="00AC6AAD" w:rsidRDefault="00D36400">
      <w:pPr>
        <w:pStyle w:val="TOC3"/>
        <w:rPr>
          <w:rFonts w:asciiTheme="minorHAnsi" w:eastAsiaTheme="minorEastAsia" w:hAnsiTheme="minorHAnsi" w:cstheme="minorBidi"/>
          <w:noProof/>
          <w:sz w:val="22"/>
          <w:szCs w:val="22"/>
          <w:lang w:eastAsia="en-AU"/>
        </w:rPr>
      </w:pPr>
      <w:hyperlink w:anchor="_Toc127191904" w:history="1">
        <w:r w:rsidR="00AC6AAD" w:rsidRPr="00397A34">
          <w:rPr>
            <w:rStyle w:val="Hyperlink"/>
            <w:noProof/>
          </w:rPr>
          <w:t>1.2.1</w:t>
        </w:r>
        <w:r w:rsidR="00AC6AAD">
          <w:rPr>
            <w:rFonts w:asciiTheme="minorHAnsi" w:eastAsiaTheme="minorEastAsia" w:hAnsiTheme="minorHAnsi" w:cstheme="minorBidi"/>
            <w:noProof/>
            <w:sz w:val="22"/>
            <w:szCs w:val="22"/>
            <w:lang w:eastAsia="en-AU"/>
          </w:rPr>
          <w:tab/>
        </w:r>
        <w:r w:rsidR="00AC6AAD" w:rsidRPr="00397A34">
          <w:rPr>
            <w:rStyle w:val="Hyperlink"/>
            <w:noProof/>
          </w:rPr>
          <w:t>Admitted Services</w:t>
        </w:r>
        <w:r w:rsidR="00AC6AAD">
          <w:rPr>
            <w:noProof/>
            <w:webHidden/>
          </w:rPr>
          <w:tab/>
        </w:r>
        <w:r w:rsidR="00AC6AAD">
          <w:rPr>
            <w:noProof/>
            <w:webHidden/>
          </w:rPr>
          <w:fldChar w:fldCharType="begin"/>
        </w:r>
        <w:r w:rsidR="00AC6AAD">
          <w:rPr>
            <w:noProof/>
            <w:webHidden/>
          </w:rPr>
          <w:instrText xml:space="preserve"> PAGEREF _Toc127191904 \h </w:instrText>
        </w:r>
        <w:r w:rsidR="00AC6AAD">
          <w:rPr>
            <w:noProof/>
            <w:webHidden/>
          </w:rPr>
        </w:r>
        <w:r w:rsidR="00AC6AAD">
          <w:rPr>
            <w:noProof/>
            <w:webHidden/>
          </w:rPr>
          <w:fldChar w:fldCharType="separate"/>
        </w:r>
        <w:r w:rsidR="00AC6AAD">
          <w:rPr>
            <w:noProof/>
            <w:webHidden/>
          </w:rPr>
          <w:t>6</w:t>
        </w:r>
        <w:r w:rsidR="00AC6AAD">
          <w:rPr>
            <w:noProof/>
            <w:webHidden/>
          </w:rPr>
          <w:fldChar w:fldCharType="end"/>
        </w:r>
      </w:hyperlink>
    </w:p>
    <w:p w14:paraId="43081D64" w14:textId="440E4226" w:rsidR="00AC6AAD" w:rsidRDefault="00D36400">
      <w:pPr>
        <w:pStyle w:val="TOC3"/>
        <w:rPr>
          <w:rFonts w:asciiTheme="minorHAnsi" w:eastAsiaTheme="minorEastAsia" w:hAnsiTheme="minorHAnsi" w:cstheme="minorBidi"/>
          <w:noProof/>
          <w:sz w:val="22"/>
          <w:szCs w:val="22"/>
          <w:lang w:eastAsia="en-AU"/>
        </w:rPr>
      </w:pPr>
      <w:hyperlink w:anchor="_Toc127191905" w:history="1">
        <w:r w:rsidR="00AC6AAD" w:rsidRPr="00397A34">
          <w:rPr>
            <w:rStyle w:val="Hyperlink"/>
            <w:noProof/>
          </w:rPr>
          <w:t>1.2.2</w:t>
        </w:r>
        <w:r w:rsidR="00AC6AAD">
          <w:rPr>
            <w:rFonts w:asciiTheme="minorHAnsi" w:eastAsiaTheme="minorEastAsia" w:hAnsiTheme="minorHAnsi" w:cstheme="minorBidi"/>
            <w:noProof/>
            <w:sz w:val="22"/>
            <w:szCs w:val="22"/>
            <w:lang w:eastAsia="en-AU"/>
          </w:rPr>
          <w:tab/>
        </w:r>
        <w:r w:rsidR="00AC6AAD" w:rsidRPr="00397A34">
          <w:rPr>
            <w:rStyle w:val="Hyperlink"/>
            <w:noProof/>
          </w:rPr>
          <w:t>Aged Support Services</w:t>
        </w:r>
        <w:r w:rsidR="00AC6AAD">
          <w:rPr>
            <w:noProof/>
            <w:webHidden/>
          </w:rPr>
          <w:tab/>
        </w:r>
        <w:r w:rsidR="00AC6AAD">
          <w:rPr>
            <w:noProof/>
            <w:webHidden/>
          </w:rPr>
          <w:fldChar w:fldCharType="begin"/>
        </w:r>
        <w:r w:rsidR="00AC6AAD">
          <w:rPr>
            <w:noProof/>
            <w:webHidden/>
          </w:rPr>
          <w:instrText xml:space="preserve"> PAGEREF _Toc127191905 \h </w:instrText>
        </w:r>
        <w:r w:rsidR="00AC6AAD">
          <w:rPr>
            <w:noProof/>
            <w:webHidden/>
          </w:rPr>
        </w:r>
        <w:r w:rsidR="00AC6AAD">
          <w:rPr>
            <w:noProof/>
            <w:webHidden/>
          </w:rPr>
          <w:fldChar w:fldCharType="separate"/>
        </w:r>
        <w:r w:rsidR="00AC6AAD">
          <w:rPr>
            <w:noProof/>
            <w:webHidden/>
          </w:rPr>
          <w:t>7</w:t>
        </w:r>
        <w:r w:rsidR="00AC6AAD">
          <w:rPr>
            <w:noProof/>
            <w:webHidden/>
          </w:rPr>
          <w:fldChar w:fldCharType="end"/>
        </w:r>
      </w:hyperlink>
    </w:p>
    <w:p w14:paraId="295C6BE8" w14:textId="0F19B040" w:rsidR="00AC6AAD" w:rsidRDefault="00D36400">
      <w:pPr>
        <w:pStyle w:val="TOC3"/>
        <w:rPr>
          <w:rFonts w:asciiTheme="minorHAnsi" w:eastAsiaTheme="minorEastAsia" w:hAnsiTheme="minorHAnsi" w:cstheme="minorBidi"/>
          <w:noProof/>
          <w:sz w:val="22"/>
          <w:szCs w:val="22"/>
          <w:lang w:eastAsia="en-AU"/>
        </w:rPr>
      </w:pPr>
      <w:hyperlink w:anchor="_Toc127191906" w:history="1">
        <w:r w:rsidR="00AC6AAD" w:rsidRPr="00397A34">
          <w:rPr>
            <w:rStyle w:val="Hyperlink"/>
            <w:noProof/>
          </w:rPr>
          <w:t>1.2.3</w:t>
        </w:r>
        <w:r w:rsidR="00AC6AAD">
          <w:rPr>
            <w:rFonts w:asciiTheme="minorHAnsi" w:eastAsiaTheme="minorEastAsia" w:hAnsiTheme="minorHAnsi" w:cstheme="minorBidi"/>
            <w:noProof/>
            <w:sz w:val="22"/>
            <w:szCs w:val="22"/>
            <w:lang w:eastAsia="en-AU"/>
          </w:rPr>
          <w:tab/>
        </w:r>
        <w:r w:rsidR="00AC6AAD" w:rsidRPr="00397A34">
          <w:rPr>
            <w:rStyle w:val="Hyperlink"/>
            <w:noProof/>
          </w:rPr>
          <w:t>Ambulance Emergency Services</w:t>
        </w:r>
        <w:r w:rsidR="00AC6AAD">
          <w:rPr>
            <w:noProof/>
            <w:webHidden/>
          </w:rPr>
          <w:tab/>
        </w:r>
        <w:r w:rsidR="00AC6AAD">
          <w:rPr>
            <w:noProof/>
            <w:webHidden/>
          </w:rPr>
          <w:fldChar w:fldCharType="begin"/>
        </w:r>
        <w:r w:rsidR="00AC6AAD">
          <w:rPr>
            <w:noProof/>
            <w:webHidden/>
          </w:rPr>
          <w:instrText xml:space="preserve"> PAGEREF _Toc127191906 \h </w:instrText>
        </w:r>
        <w:r w:rsidR="00AC6AAD">
          <w:rPr>
            <w:noProof/>
            <w:webHidden/>
          </w:rPr>
        </w:r>
        <w:r w:rsidR="00AC6AAD">
          <w:rPr>
            <w:noProof/>
            <w:webHidden/>
          </w:rPr>
          <w:fldChar w:fldCharType="separate"/>
        </w:r>
        <w:r w:rsidR="00AC6AAD">
          <w:rPr>
            <w:noProof/>
            <w:webHidden/>
          </w:rPr>
          <w:t>7</w:t>
        </w:r>
        <w:r w:rsidR="00AC6AAD">
          <w:rPr>
            <w:noProof/>
            <w:webHidden/>
          </w:rPr>
          <w:fldChar w:fldCharType="end"/>
        </w:r>
      </w:hyperlink>
    </w:p>
    <w:p w14:paraId="59A4704E" w14:textId="06292FCC" w:rsidR="00AC6AAD" w:rsidRDefault="00D36400">
      <w:pPr>
        <w:pStyle w:val="TOC3"/>
        <w:rPr>
          <w:rFonts w:asciiTheme="minorHAnsi" w:eastAsiaTheme="minorEastAsia" w:hAnsiTheme="minorHAnsi" w:cstheme="minorBidi"/>
          <w:noProof/>
          <w:sz w:val="22"/>
          <w:szCs w:val="22"/>
          <w:lang w:eastAsia="en-AU"/>
        </w:rPr>
      </w:pPr>
      <w:hyperlink w:anchor="_Toc127191907" w:history="1">
        <w:r w:rsidR="00AC6AAD" w:rsidRPr="00397A34">
          <w:rPr>
            <w:rStyle w:val="Hyperlink"/>
            <w:noProof/>
          </w:rPr>
          <w:t>1.2.4</w:t>
        </w:r>
        <w:r w:rsidR="00AC6AAD">
          <w:rPr>
            <w:rFonts w:asciiTheme="minorHAnsi" w:eastAsiaTheme="minorEastAsia" w:hAnsiTheme="minorHAnsi" w:cstheme="minorBidi"/>
            <w:noProof/>
            <w:sz w:val="22"/>
            <w:szCs w:val="22"/>
            <w:lang w:eastAsia="en-AU"/>
          </w:rPr>
          <w:tab/>
        </w:r>
        <w:r w:rsidR="00AC6AAD" w:rsidRPr="00397A34">
          <w:rPr>
            <w:rStyle w:val="Hyperlink"/>
            <w:noProof/>
          </w:rPr>
          <w:t>Community Health Care</w:t>
        </w:r>
        <w:r w:rsidR="00AC6AAD">
          <w:rPr>
            <w:noProof/>
            <w:webHidden/>
          </w:rPr>
          <w:tab/>
        </w:r>
        <w:r w:rsidR="00AC6AAD">
          <w:rPr>
            <w:noProof/>
            <w:webHidden/>
          </w:rPr>
          <w:fldChar w:fldCharType="begin"/>
        </w:r>
        <w:r w:rsidR="00AC6AAD">
          <w:rPr>
            <w:noProof/>
            <w:webHidden/>
          </w:rPr>
          <w:instrText xml:space="preserve"> PAGEREF _Toc127191907 \h </w:instrText>
        </w:r>
        <w:r w:rsidR="00AC6AAD">
          <w:rPr>
            <w:noProof/>
            <w:webHidden/>
          </w:rPr>
        </w:r>
        <w:r w:rsidR="00AC6AAD">
          <w:rPr>
            <w:noProof/>
            <w:webHidden/>
          </w:rPr>
          <w:fldChar w:fldCharType="separate"/>
        </w:r>
        <w:r w:rsidR="00AC6AAD">
          <w:rPr>
            <w:noProof/>
            <w:webHidden/>
          </w:rPr>
          <w:t>7</w:t>
        </w:r>
        <w:r w:rsidR="00AC6AAD">
          <w:rPr>
            <w:noProof/>
            <w:webHidden/>
          </w:rPr>
          <w:fldChar w:fldCharType="end"/>
        </w:r>
      </w:hyperlink>
    </w:p>
    <w:p w14:paraId="1475560D" w14:textId="41B6A9DA" w:rsidR="00AC6AAD" w:rsidRDefault="00D36400">
      <w:pPr>
        <w:pStyle w:val="TOC3"/>
        <w:rPr>
          <w:rFonts w:asciiTheme="minorHAnsi" w:eastAsiaTheme="minorEastAsia" w:hAnsiTheme="minorHAnsi" w:cstheme="minorBidi"/>
          <w:noProof/>
          <w:sz w:val="22"/>
          <w:szCs w:val="22"/>
          <w:lang w:eastAsia="en-AU"/>
        </w:rPr>
      </w:pPr>
      <w:hyperlink w:anchor="_Toc127191908" w:history="1">
        <w:r w:rsidR="00AC6AAD" w:rsidRPr="00397A34">
          <w:rPr>
            <w:rStyle w:val="Hyperlink"/>
            <w:noProof/>
          </w:rPr>
          <w:t>1.2.5</w:t>
        </w:r>
        <w:r w:rsidR="00AC6AAD">
          <w:rPr>
            <w:rFonts w:asciiTheme="minorHAnsi" w:eastAsiaTheme="minorEastAsia" w:hAnsiTheme="minorHAnsi" w:cstheme="minorBidi"/>
            <w:noProof/>
            <w:sz w:val="22"/>
            <w:szCs w:val="22"/>
            <w:lang w:eastAsia="en-AU"/>
          </w:rPr>
          <w:tab/>
        </w:r>
        <w:r w:rsidR="00AC6AAD" w:rsidRPr="00397A34">
          <w:rPr>
            <w:rStyle w:val="Hyperlink"/>
            <w:noProof/>
          </w:rPr>
          <w:t>Dental Services</w:t>
        </w:r>
        <w:r w:rsidR="00AC6AAD">
          <w:rPr>
            <w:noProof/>
            <w:webHidden/>
          </w:rPr>
          <w:tab/>
        </w:r>
        <w:r w:rsidR="00AC6AAD">
          <w:rPr>
            <w:noProof/>
            <w:webHidden/>
          </w:rPr>
          <w:fldChar w:fldCharType="begin"/>
        </w:r>
        <w:r w:rsidR="00AC6AAD">
          <w:rPr>
            <w:noProof/>
            <w:webHidden/>
          </w:rPr>
          <w:instrText xml:space="preserve"> PAGEREF _Toc127191908 \h </w:instrText>
        </w:r>
        <w:r w:rsidR="00AC6AAD">
          <w:rPr>
            <w:noProof/>
            <w:webHidden/>
          </w:rPr>
        </w:r>
        <w:r w:rsidR="00AC6AAD">
          <w:rPr>
            <w:noProof/>
            <w:webHidden/>
          </w:rPr>
          <w:fldChar w:fldCharType="separate"/>
        </w:r>
        <w:r w:rsidR="00AC6AAD">
          <w:rPr>
            <w:noProof/>
            <w:webHidden/>
          </w:rPr>
          <w:t>8</w:t>
        </w:r>
        <w:r w:rsidR="00AC6AAD">
          <w:rPr>
            <w:noProof/>
            <w:webHidden/>
          </w:rPr>
          <w:fldChar w:fldCharType="end"/>
        </w:r>
      </w:hyperlink>
    </w:p>
    <w:p w14:paraId="7472F1E8" w14:textId="171D9D17" w:rsidR="00AC6AAD" w:rsidRDefault="00D36400">
      <w:pPr>
        <w:pStyle w:val="TOC3"/>
        <w:rPr>
          <w:rFonts w:asciiTheme="minorHAnsi" w:eastAsiaTheme="minorEastAsia" w:hAnsiTheme="minorHAnsi" w:cstheme="minorBidi"/>
          <w:noProof/>
          <w:sz w:val="22"/>
          <w:szCs w:val="22"/>
          <w:lang w:eastAsia="en-AU"/>
        </w:rPr>
      </w:pPr>
      <w:hyperlink w:anchor="_Toc127191909" w:history="1">
        <w:r w:rsidR="00AC6AAD" w:rsidRPr="00397A34">
          <w:rPr>
            <w:rStyle w:val="Hyperlink"/>
            <w:noProof/>
          </w:rPr>
          <w:t>1.2.6</w:t>
        </w:r>
        <w:r w:rsidR="00AC6AAD">
          <w:rPr>
            <w:rFonts w:asciiTheme="minorHAnsi" w:eastAsiaTheme="minorEastAsia" w:hAnsiTheme="minorHAnsi" w:cstheme="minorBidi"/>
            <w:noProof/>
            <w:sz w:val="22"/>
            <w:szCs w:val="22"/>
            <w:lang w:eastAsia="en-AU"/>
          </w:rPr>
          <w:tab/>
        </w:r>
        <w:r w:rsidR="00AC6AAD" w:rsidRPr="00397A34">
          <w:rPr>
            <w:rStyle w:val="Hyperlink"/>
            <w:noProof/>
          </w:rPr>
          <w:t>Drug Treatment and Rehabilitation</w:t>
        </w:r>
        <w:r w:rsidR="00AC6AAD">
          <w:rPr>
            <w:noProof/>
            <w:webHidden/>
          </w:rPr>
          <w:tab/>
        </w:r>
        <w:r w:rsidR="00AC6AAD">
          <w:rPr>
            <w:noProof/>
            <w:webHidden/>
          </w:rPr>
          <w:fldChar w:fldCharType="begin"/>
        </w:r>
        <w:r w:rsidR="00AC6AAD">
          <w:rPr>
            <w:noProof/>
            <w:webHidden/>
          </w:rPr>
          <w:instrText xml:space="preserve"> PAGEREF _Toc127191909 \h </w:instrText>
        </w:r>
        <w:r w:rsidR="00AC6AAD">
          <w:rPr>
            <w:noProof/>
            <w:webHidden/>
          </w:rPr>
        </w:r>
        <w:r w:rsidR="00AC6AAD">
          <w:rPr>
            <w:noProof/>
            <w:webHidden/>
          </w:rPr>
          <w:fldChar w:fldCharType="separate"/>
        </w:r>
        <w:r w:rsidR="00AC6AAD">
          <w:rPr>
            <w:noProof/>
            <w:webHidden/>
          </w:rPr>
          <w:t>8</w:t>
        </w:r>
        <w:r w:rsidR="00AC6AAD">
          <w:rPr>
            <w:noProof/>
            <w:webHidden/>
          </w:rPr>
          <w:fldChar w:fldCharType="end"/>
        </w:r>
      </w:hyperlink>
    </w:p>
    <w:p w14:paraId="78B75288" w14:textId="1B842A2C" w:rsidR="00AC6AAD" w:rsidRDefault="00D36400">
      <w:pPr>
        <w:pStyle w:val="TOC3"/>
        <w:rPr>
          <w:rFonts w:asciiTheme="minorHAnsi" w:eastAsiaTheme="minorEastAsia" w:hAnsiTheme="minorHAnsi" w:cstheme="minorBidi"/>
          <w:noProof/>
          <w:sz w:val="22"/>
          <w:szCs w:val="22"/>
          <w:lang w:eastAsia="en-AU"/>
        </w:rPr>
      </w:pPr>
      <w:hyperlink w:anchor="_Toc127191910" w:history="1">
        <w:r w:rsidR="00AC6AAD" w:rsidRPr="00397A34">
          <w:rPr>
            <w:rStyle w:val="Hyperlink"/>
            <w:noProof/>
          </w:rPr>
          <w:t>1.2.7</w:t>
        </w:r>
        <w:r w:rsidR="00AC6AAD">
          <w:rPr>
            <w:rFonts w:asciiTheme="minorHAnsi" w:eastAsiaTheme="minorEastAsia" w:hAnsiTheme="minorHAnsi" w:cstheme="minorBidi"/>
            <w:noProof/>
            <w:sz w:val="22"/>
            <w:szCs w:val="22"/>
            <w:lang w:eastAsia="en-AU"/>
          </w:rPr>
          <w:tab/>
        </w:r>
        <w:r w:rsidR="00AC6AAD" w:rsidRPr="00397A34">
          <w:rPr>
            <w:rStyle w:val="Hyperlink"/>
            <w:noProof/>
          </w:rPr>
          <w:t>Health Protection</w:t>
        </w:r>
        <w:r w:rsidR="00AC6AAD">
          <w:rPr>
            <w:noProof/>
            <w:webHidden/>
          </w:rPr>
          <w:tab/>
        </w:r>
        <w:r w:rsidR="00AC6AAD">
          <w:rPr>
            <w:noProof/>
            <w:webHidden/>
          </w:rPr>
          <w:fldChar w:fldCharType="begin"/>
        </w:r>
        <w:r w:rsidR="00AC6AAD">
          <w:rPr>
            <w:noProof/>
            <w:webHidden/>
          </w:rPr>
          <w:instrText xml:space="preserve"> PAGEREF _Toc127191910 \h </w:instrText>
        </w:r>
        <w:r w:rsidR="00AC6AAD">
          <w:rPr>
            <w:noProof/>
            <w:webHidden/>
          </w:rPr>
        </w:r>
        <w:r w:rsidR="00AC6AAD">
          <w:rPr>
            <w:noProof/>
            <w:webHidden/>
          </w:rPr>
          <w:fldChar w:fldCharType="separate"/>
        </w:r>
        <w:r w:rsidR="00AC6AAD">
          <w:rPr>
            <w:noProof/>
            <w:webHidden/>
          </w:rPr>
          <w:t>8</w:t>
        </w:r>
        <w:r w:rsidR="00AC6AAD">
          <w:rPr>
            <w:noProof/>
            <w:webHidden/>
          </w:rPr>
          <w:fldChar w:fldCharType="end"/>
        </w:r>
      </w:hyperlink>
    </w:p>
    <w:p w14:paraId="2BE611FC" w14:textId="2FF4D997" w:rsidR="00AC6AAD" w:rsidRDefault="00D36400">
      <w:pPr>
        <w:pStyle w:val="TOC3"/>
        <w:rPr>
          <w:rFonts w:asciiTheme="minorHAnsi" w:eastAsiaTheme="minorEastAsia" w:hAnsiTheme="minorHAnsi" w:cstheme="minorBidi"/>
          <w:noProof/>
          <w:sz w:val="22"/>
          <w:szCs w:val="22"/>
          <w:lang w:eastAsia="en-AU"/>
        </w:rPr>
      </w:pPr>
      <w:hyperlink w:anchor="_Toc127191911" w:history="1">
        <w:r w:rsidR="00AC6AAD" w:rsidRPr="00397A34">
          <w:rPr>
            <w:rStyle w:val="Hyperlink"/>
            <w:noProof/>
          </w:rPr>
          <w:t>1.2.8</w:t>
        </w:r>
        <w:r w:rsidR="00AC6AAD">
          <w:rPr>
            <w:rFonts w:asciiTheme="minorHAnsi" w:eastAsiaTheme="minorEastAsia" w:hAnsiTheme="minorHAnsi" w:cstheme="minorBidi"/>
            <w:noProof/>
            <w:sz w:val="22"/>
            <w:szCs w:val="22"/>
            <w:lang w:eastAsia="en-AU"/>
          </w:rPr>
          <w:tab/>
        </w:r>
        <w:r w:rsidR="00AC6AAD" w:rsidRPr="00397A34">
          <w:rPr>
            <w:rStyle w:val="Hyperlink"/>
            <w:noProof/>
          </w:rPr>
          <w:t>Health Workforce Training and Development</w:t>
        </w:r>
        <w:r w:rsidR="00AC6AAD">
          <w:rPr>
            <w:noProof/>
            <w:webHidden/>
          </w:rPr>
          <w:tab/>
        </w:r>
        <w:r w:rsidR="00AC6AAD">
          <w:rPr>
            <w:noProof/>
            <w:webHidden/>
          </w:rPr>
          <w:fldChar w:fldCharType="begin"/>
        </w:r>
        <w:r w:rsidR="00AC6AAD">
          <w:rPr>
            <w:noProof/>
            <w:webHidden/>
          </w:rPr>
          <w:instrText xml:space="preserve"> PAGEREF _Toc127191911 \h </w:instrText>
        </w:r>
        <w:r w:rsidR="00AC6AAD">
          <w:rPr>
            <w:noProof/>
            <w:webHidden/>
          </w:rPr>
        </w:r>
        <w:r w:rsidR="00AC6AAD">
          <w:rPr>
            <w:noProof/>
            <w:webHidden/>
          </w:rPr>
          <w:fldChar w:fldCharType="separate"/>
        </w:r>
        <w:r w:rsidR="00AC6AAD">
          <w:rPr>
            <w:noProof/>
            <w:webHidden/>
          </w:rPr>
          <w:t>9</w:t>
        </w:r>
        <w:r w:rsidR="00AC6AAD">
          <w:rPr>
            <w:noProof/>
            <w:webHidden/>
          </w:rPr>
          <w:fldChar w:fldCharType="end"/>
        </w:r>
      </w:hyperlink>
    </w:p>
    <w:p w14:paraId="344CBDA6" w14:textId="072C4154" w:rsidR="00AC6AAD" w:rsidRDefault="00D36400">
      <w:pPr>
        <w:pStyle w:val="TOC3"/>
        <w:rPr>
          <w:rFonts w:asciiTheme="minorHAnsi" w:eastAsiaTheme="minorEastAsia" w:hAnsiTheme="minorHAnsi" w:cstheme="minorBidi"/>
          <w:noProof/>
          <w:sz w:val="22"/>
          <w:szCs w:val="22"/>
          <w:lang w:eastAsia="en-AU"/>
        </w:rPr>
      </w:pPr>
      <w:hyperlink w:anchor="_Toc127191912" w:history="1">
        <w:r w:rsidR="00AC6AAD" w:rsidRPr="00397A34">
          <w:rPr>
            <w:rStyle w:val="Hyperlink"/>
            <w:noProof/>
          </w:rPr>
          <w:t>1.2.9</w:t>
        </w:r>
        <w:r w:rsidR="00AC6AAD">
          <w:rPr>
            <w:rFonts w:asciiTheme="minorHAnsi" w:eastAsiaTheme="minorEastAsia" w:hAnsiTheme="minorHAnsi" w:cstheme="minorBidi"/>
            <w:noProof/>
            <w:sz w:val="22"/>
            <w:szCs w:val="22"/>
            <w:lang w:eastAsia="en-AU"/>
          </w:rPr>
          <w:tab/>
        </w:r>
        <w:r w:rsidR="00AC6AAD" w:rsidRPr="00397A34">
          <w:rPr>
            <w:rStyle w:val="Hyperlink"/>
            <w:noProof/>
          </w:rPr>
          <w:t>Ageing, Aged and Home Care</w:t>
        </w:r>
        <w:r w:rsidR="00AC6AAD">
          <w:rPr>
            <w:noProof/>
            <w:webHidden/>
          </w:rPr>
          <w:tab/>
        </w:r>
        <w:r w:rsidR="00AC6AAD">
          <w:rPr>
            <w:noProof/>
            <w:webHidden/>
          </w:rPr>
          <w:fldChar w:fldCharType="begin"/>
        </w:r>
        <w:r w:rsidR="00AC6AAD">
          <w:rPr>
            <w:noProof/>
            <w:webHidden/>
          </w:rPr>
          <w:instrText xml:space="preserve"> PAGEREF _Toc127191912 \h </w:instrText>
        </w:r>
        <w:r w:rsidR="00AC6AAD">
          <w:rPr>
            <w:noProof/>
            <w:webHidden/>
          </w:rPr>
        </w:r>
        <w:r w:rsidR="00AC6AAD">
          <w:rPr>
            <w:noProof/>
            <w:webHidden/>
          </w:rPr>
          <w:fldChar w:fldCharType="separate"/>
        </w:r>
        <w:r w:rsidR="00AC6AAD">
          <w:rPr>
            <w:noProof/>
            <w:webHidden/>
          </w:rPr>
          <w:t>9</w:t>
        </w:r>
        <w:r w:rsidR="00AC6AAD">
          <w:rPr>
            <w:noProof/>
            <w:webHidden/>
          </w:rPr>
          <w:fldChar w:fldCharType="end"/>
        </w:r>
      </w:hyperlink>
    </w:p>
    <w:p w14:paraId="7F145F9E" w14:textId="41B494EF" w:rsidR="00AC6AAD" w:rsidRDefault="00D36400">
      <w:pPr>
        <w:pStyle w:val="TOC3"/>
        <w:rPr>
          <w:rFonts w:asciiTheme="minorHAnsi" w:eastAsiaTheme="minorEastAsia" w:hAnsiTheme="minorHAnsi" w:cstheme="minorBidi"/>
          <w:noProof/>
          <w:sz w:val="22"/>
          <w:szCs w:val="22"/>
          <w:lang w:eastAsia="en-AU"/>
        </w:rPr>
      </w:pPr>
      <w:hyperlink w:anchor="_Toc127191913" w:history="1">
        <w:r w:rsidR="00AC6AAD" w:rsidRPr="00397A34">
          <w:rPr>
            <w:rStyle w:val="Hyperlink"/>
            <w:noProof/>
          </w:rPr>
          <w:t>1.2.10</w:t>
        </w:r>
        <w:r w:rsidR="00AC6AAD">
          <w:rPr>
            <w:rFonts w:asciiTheme="minorHAnsi" w:eastAsiaTheme="minorEastAsia" w:hAnsiTheme="minorHAnsi" w:cstheme="minorBidi"/>
            <w:noProof/>
            <w:sz w:val="22"/>
            <w:szCs w:val="22"/>
            <w:lang w:eastAsia="en-AU"/>
          </w:rPr>
          <w:tab/>
        </w:r>
        <w:r w:rsidR="00AC6AAD" w:rsidRPr="00397A34">
          <w:rPr>
            <w:rStyle w:val="Hyperlink"/>
            <w:noProof/>
          </w:rPr>
          <w:t>Maternal and Child Health and Early Parenting Services</w:t>
        </w:r>
        <w:r w:rsidR="00AC6AAD">
          <w:rPr>
            <w:noProof/>
            <w:webHidden/>
          </w:rPr>
          <w:tab/>
        </w:r>
        <w:r w:rsidR="00AC6AAD">
          <w:rPr>
            <w:noProof/>
            <w:webHidden/>
          </w:rPr>
          <w:fldChar w:fldCharType="begin"/>
        </w:r>
        <w:r w:rsidR="00AC6AAD">
          <w:rPr>
            <w:noProof/>
            <w:webHidden/>
          </w:rPr>
          <w:instrText xml:space="preserve"> PAGEREF _Toc127191913 \h </w:instrText>
        </w:r>
        <w:r w:rsidR="00AC6AAD">
          <w:rPr>
            <w:noProof/>
            <w:webHidden/>
          </w:rPr>
        </w:r>
        <w:r w:rsidR="00AC6AAD">
          <w:rPr>
            <w:noProof/>
            <w:webHidden/>
          </w:rPr>
          <w:fldChar w:fldCharType="separate"/>
        </w:r>
        <w:r w:rsidR="00AC6AAD">
          <w:rPr>
            <w:noProof/>
            <w:webHidden/>
          </w:rPr>
          <w:t>9</w:t>
        </w:r>
        <w:r w:rsidR="00AC6AAD">
          <w:rPr>
            <w:noProof/>
            <w:webHidden/>
          </w:rPr>
          <w:fldChar w:fldCharType="end"/>
        </w:r>
      </w:hyperlink>
    </w:p>
    <w:p w14:paraId="4BA53A31" w14:textId="6A23A41E" w:rsidR="00AC6AAD" w:rsidRDefault="00D36400">
      <w:pPr>
        <w:pStyle w:val="TOC3"/>
        <w:rPr>
          <w:rFonts w:asciiTheme="minorHAnsi" w:eastAsiaTheme="minorEastAsia" w:hAnsiTheme="minorHAnsi" w:cstheme="minorBidi"/>
          <w:noProof/>
          <w:sz w:val="22"/>
          <w:szCs w:val="22"/>
          <w:lang w:eastAsia="en-AU"/>
        </w:rPr>
      </w:pPr>
      <w:hyperlink w:anchor="_Toc127191914" w:history="1">
        <w:r w:rsidR="00AC6AAD" w:rsidRPr="00397A34">
          <w:rPr>
            <w:rStyle w:val="Hyperlink"/>
            <w:noProof/>
          </w:rPr>
          <w:t>1.2.11</w:t>
        </w:r>
        <w:r w:rsidR="00AC6AAD">
          <w:rPr>
            <w:rFonts w:asciiTheme="minorHAnsi" w:eastAsiaTheme="minorEastAsia" w:hAnsiTheme="minorHAnsi" w:cstheme="minorBidi"/>
            <w:noProof/>
            <w:sz w:val="22"/>
            <w:szCs w:val="22"/>
            <w:lang w:eastAsia="en-AU"/>
          </w:rPr>
          <w:tab/>
        </w:r>
        <w:r w:rsidR="00AC6AAD" w:rsidRPr="00397A34">
          <w:rPr>
            <w:rStyle w:val="Hyperlink"/>
            <w:noProof/>
          </w:rPr>
          <w:t>Mental Health Clinical Care</w:t>
        </w:r>
        <w:r w:rsidR="00AC6AAD">
          <w:rPr>
            <w:noProof/>
            <w:webHidden/>
          </w:rPr>
          <w:tab/>
        </w:r>
        <w:r w:rsidR="00AC6AAD">
          <w:rPr>
            <w:noProof/>
            <w:webHidden/>
          </w:rPr>
          <w:fldChar w:fldCharType="begin"/>
        </w:r>
        <w:r w:rsidR="00AC6AAD">
          <w:rPr>
            <w:noProof/>
            <w:webHidden/>
          </w:rPr>
          <w:instrText xml:space="preserve"> PAGEREF _Toc127191914 \h </w:instrText>
        </w:r>
        <w:r w:rsidR="00AC6AAD">
          <w:rPr>
            <w:noProof/>
            <w:webHidden/>
          </w:rPr>
        </w:r>
        <w:r w:rsidR="00AC6AAD">
          <w:rPr>
            <w:noProof/>
            <w:webHidden/>
          </w:rPr>
          <w:fldChar w:fldCharType="separate"/>
        </w:r>
        <w:r w:rsidR="00AC6AAD">
          <w:rPr>
            <w:noProof/>
            <w:webHidden/>
          </w:rPr>
          <w:t>9</w:t>
        </w:r>
        <w:r w:rsidR="00AC6AAD">
          <w:rPr>
            <w:noProof/>
            <w:webHidden/>
          </w:rPr>
          <w:fldChar w:fldCharType="end"/>
        </w:r>
      </w:hyperlink>
    </w:p>
    <w:p w14:paraId="1CB64524" w14:textId="60FB769B" w:rsidR="00AC6AAD" w:rsidRDefault="00D36400">
      <w:pPr>
        <w:pStyle w:val="TOC3"/>
        <w:rPr>
          <w:rFonts w:asciiTheme="minorHAnsi" w:eastAsiaTheme="minorEastAsia" w:hAnsiTheme="minorHAnsi" w:cstheme="minorBidi"/>
          <w:noProof/>
          <w:sz w:val="22"/>
          <w:szCs w:val="22"/>
          <w:lang w:eastAsia="en-AU"/>
        </w:rPr>
      </w:pPr>
      <w:hyperlink w:anchor="_Toc127191915" w:history="1">
        <w:r w:rsidR="00AC6AAD" w:rsidRPr="00397A34">
          <w:rPr>
            <w:rStyle w:val="Hyperlink"/>
            <w:noProof/>
          </w:rPr>
          <w:t>1.2.12</w:t>
        </w:r>
        <w:r w:rsidR="00AC6AAD">
          <w:rPr>
            <w:rFonts w:asciiTheme="minorHAnsi" w:eastAsiaTheme="minorEastAsia" w:hAnsiTheme="minorHAnsi" w:cstheme="minorBidi"/>
            <w:noProof/>
            <w:sz w:val="22"/>
            <w:szCs w:val="22"/>
            <w:lang w:eastAsia="en-AU"/>
          </w:rPr>
          <w:tab/>
        </w:r>
        <w:r w:rsidR="00AC6AAD" w:rsidRPr="00397A34">
          <w:rPr>
            <w:rStyle w:val="Hyperlink"/>
            <w:noProof/>
          </w:rPr>
          <w:t>Non-Admitted Services</w:t>
        </w:r>
        <w:r w:rsidR="00AC6AAD">
          <w:rPr>
            <w:noProof/>
            <w:webHidden/>
          </w:rPr>
          <w:tab/>
        </w:r>
        <w:r w:rsidR="00AC6AAD">
          <w:rPr>
            <w:noProof/>
            <w:webHidden/>
          </w:rPr>
          <w:fldChar w:fldCharType="begin"/>
        </w:r>
        <w:r w:rsidR="00AC6AAD">
          <w:rPr>
            <w:noProof/>
            <w:webHidden/>
          </w:rPr>
          <w:instrText xml:space="preserve"> PAGEREF _Toc127191915 \h </w:instrText>
        </w:r>
        <w:r w:rsidR="00AC6AAD">
          <w:rPr>
            <w:noProof/>
            <w:webHidden/>
          </w:rPr>
        </w:r>
        <w:r w:rsidR="00AC6AAD">
          <w:rPr>
            <w:noProof/>
            <w:webHidden/>
          </w:rPr>
          <w:fldChar w:fldCharType="separate"/>
        </w:r>
        <w:r w:rsidR="00AC6AAD">
          <w:rPr>
            <w:noProof/>
            <w:webHidden/>
          </w:rPr>
          <w:t>10</w:t>
        </w:r>
        <w:r w:rsidR="00AC6AAD">
          <w:rPr>
            <w:noProof/>
            <w:webHidden/>
          </w:rPr>
          <w:fldChar w:fldCharType="end"/>
        </w:r>
      </w:hyperlink>
    </w:p>
    <w:p w14:paraId="178739AB" w14:textId="543494A2" w:rsidR="00AC6AAD" w:rsidRDefault="00D36400">
      <w:pPr>
        <w:pStyle w:val="TOC3"/>
        <w:rPr>
          <w:rFonts w:asciiTheme="minorHAnsi" w:eastAsiaTheme="minorEastAsia" w:hAnsiTheme="minorHAnsi" w:cstheme="minorBidi"/>
          <w:noProof/>
          <w:sz w:val="22"/>
          <w:szCs w:val="22"/>
          <w:lang w:eastAsia="en-AU"/>
        </w:rPr>
      </w:pPr>
      <w:hyperlink w:anchor="_Toc127191916" w:history="1">
        <w:r w:rsidR="00AC6AAD" w:rsidRPr="00397A34">
          <w:rPr>
            <w:rStyle w:val="Hyperlink"/>
            <w:noProof/>
          </w:rPr>
          <w:t>1.2.13</w:t>
        </w:r>
        <w:r w:rsidR="00AC6AAD">
          <w:rPr>
            <w:rFonts w:asciiTheme="minorHAnsi" w:eastAsiaTheme="minorEastAsia" w:hAnsiTheme="minorHAnsi" w:cstheme="minorBidi"/>
            <w:noProof/>
            <w:sz w:val="22"/>
            <w:szCs w:val="22"/>
            <w:lang w:eastAsia="en-AU"/>
          </w:rPr>
          <w:tab/>
        </w:r>
        <w:r w:rsidR="00AC6AAD" w:rsidRPr="00397A34">
          <w:rPr>
            <w:rStyle w:val="Hyperlink"/>
            <w:noProof/>
          </w:rPr>
          <w:t>Residential Aged Care</w:t>
        </w:r>
        <w:r w:rsidR="00AC6AAD">
          <w:rPr>
            <w:noProof/>
            <w:webHidden/>
          </w:rPr>
          <w:tab/>
        </w:r>
        <w:r w:rsidR="00AC6AAD">
          <w:rPr>
            <w:noProof/>
            <w:webHidden/>
          </w:rPr>
          <w:fldChar w:fldCharType="begin"/>
        </w:r>
        <w:r w:rsidR="00AC6AAD">
          <w:rPr>
            <w:noProof/>
            <w:webHidden/>
          </w:rPr>
          <w:instrText xml:space="preserve"> PAGEREF _Toc127191916 \h </w:instrText>
        </w:r>
        <w:r w:rsidR="00AC6AAD">
          <w:rPr>
            <w:noProof/>
            <w:webHidden/>
          </w:rPr>
        </w:r>
        <w:r w:rsidR="00AC6AAD">
          <w:rPr>
            <w:noProof/>
            <w:webHidden/>
          </w:rPr>
          <w:fldChar w:fldCharType="separate"/>
        </w:r>
        <w:r w:rsidR="00AC6AAD">
          <w:rPr>
            <w:noProof/>
            <w:webHidden/>
          </w:rPr>
          <w:t>10</w:t>
        </w:r>
        <w:r w:rsidR="00AC6AAD">
          <w:rPr>
            <w:noProof/>
            <w:webHidden/>
          </w:rPr>
          <w:fldChar w:fldCharType="end"/>
        </w:r>
      </w:hyperlink>
    </w:p>
    <w:p w14:paraId="39BC0274" w14:textId="63633B1B" w:rsidR="00AC6AAD" w:rsidRDefault="00D36400">
      <w:pPr>
        <w:pStyle w:val="TOC2"/>
        <w:rPr>
          <w:rFonts w:asciiTheme="minorHAnsi" w:eastAsiaTheme="minorEastAsia" w:hAnsiTheme="minorHAnsi" w:cstheme="minorBidi"/>
          <w:b w:val="0"/>
          <w:bCs w:val="0"/>
          <w:sz w:val="22"/>
          <w:szCs w:val="22"/>
          <w:lang w:eastAsia="en-AU"/>
        </w:rPr>
      </w:pPr>
      <w:hyperlink w:anchor="_Toc127191917" w:history="1">
        <w:r w:rsidR="00AC6AAD" w:rsidRPr="00397A34">
          <w:rPr>
            <w:rStyle w:val="Hyperlink"/>
          </w:rPr>
          <w:t>1.3</w:t>
        </w:r>
        <w:r w:rsidR="00AC6AAD">
          <w:rPr>
            <w:rFonts w:asciiTheme="minorHAnsi" w:eastAsiaTheme="minorEastAsia" w:hAnsiTheme="minorHAnsi" w:cstheme="minorBidi"/>
            <w:b w:val="0"/>
            <w:bCs w:val="0"/>
            <w:sz w:val="22"/>
            <w:szCs w:val="22"/>
            <w:lang w:eastAsia="en-AU"/>
          </w:rPr>
          <w:tab/>
        </w:r>
        <w:r w:rsidR="00AC6AAD" w:rsidRPr="00397A34">
          <w:rPr>
            <w:rStyle w:val="Hyperlink"/>
          </w:rPr>
          <w:t>Asset Initiatives</w:t>
        </w:r>
        <w:r w:rsidR="00AC6AAD">
          <w:rPr>
            <w:webHidden/>
          </w:rPr>
          <w:tab/>
        </w:r>
        <w:r w:rsidR="00AC6AAD">
          <w:rPr>
            <w:webHidden/>
          </w:rPr>
          <w:fldChar w:fldCharType="begin"/>
        </w:r>
        <w:r w:rsidR="00AC6AAD">
          <w:rPr>
            <w:webHidden/>
          </w:rPr>
          <w:instrText xml:space="preserve"> PAGEREF _Toc127191917 \h </w:instrText>
        </w:r>
        <w:r w:rsidR="00AC6AAD">
          <w:rPr>
            <w:webHidden/>
          </w:rPr>
        </w:r>
        <w:r w:rsidR="00AC6AAD">
          <w:rPr>
            <w:webHidden/>
          </w:rPr>
          <w:fldChar w:fldCharType="separate"/>
        </w:r>
        <w:r w:rsidR="00AC6AAD">
          <w:rPr>
            <w:webHidden/>
          </w:rPr>
          <w:t>11</w:t>
        </w:r>
        <w:r w:rsidR="00AC6AAD">
          <w:rPr>
            <w:webHidden/>
          </w:rPr>
          <w:fldChar w:fldCharType="end"/>
        </w:r>
      </w:hyperlink>
    </w:p>
    <w:p w14:paraId="7CB6F1DB" w14:textId="760F1103" w:rsidR="00AC6AAD" w:rsidRDefault="00D36400">
      <w:pPr>
        <w:pStyle w:val="TOC2"/>
        <w:rPr>
          <w:rFonts w:asciiTheme="minorHAnsi" w:eastAsiaTheme="minorEastAsia" w:hAnsiTheme="minorHAnsi" w:cstheme="minorBidi"/>
          <w:b w:val="0"/>
          <w:bCs w:val="0"/>
          <w:sz w:val="22"/>
          <w:szCs w:val="22"/>
          <w:lang w:eastAsia="en-AU"/>
        </w:rPr>
      </w:pPr>
      <w:hyperlink w:anchor="_Toc127191918" w:history="1">
        <w:r w:rsidR="00AC6AAD" w:rsidRPr="00397A34">
          <w:rPr>
            <w:rStyle w:val="Hyperlink"/>
          </w:rPr>
          <w:t>1.4</w:t>
        </w:r>
        <w:r w:rsidR="00AC6AAD">
          <w:rPr>
            <w:rFonts w:asciiTheme="minorHAnsi" w:eastAsiaTheme="minorEastAsia" w:hAnsiTheme="minorHAnsi" w:cstheme="minorBidi"/>
            <w:b w:val="0"/>
            <w:bCs w:val="0"/>
            <w:sz w:val="22"/>
            <w:szCs w:val="22"/>
            <w:lang w:eastAsia="en-AU"/>
          </w:rPr>
          <w:tab/>
        </w:r>
        <w:r w:rsidR="00AC6AAD" w:rsidRPr="00397A34">
          <w:rPr>
            <w:rStyle w:val="Hyperlink"/>
          </w:rPr>
          <w:t>National programs</w:t>
        </w:r>
        <w:r w:rsidR="00AC6AAD">
          <w:rPr>
            <w:webHidden/>
          </w:rPr>
          <w:tab/>
        </w:r>
        <w:r w:rsidR="00AC6AAD">
          <w:rPr>
            <w:webHidden/>
          </w:rPr>
          <w:fldChar w:fldCharType="begin"/>
        </w:r>
        <w:r w:rsidR="00AC6AAD">
          <w:rPr>
            <w:webHidden/>
          </w:rPr>
          <w:instrText xml:space="preserve"> PAGEREF _Toc127191918 \h </w:instrText>
        </w:r>
        <w:r w:rsidR="00AC6AAD">
          <w:rPr>
            <w:webHidden/>
          </w:rPr>
        </w:r>
        <w:r w:rsidR="00AC6AAD">
          <w:rPr>
            <w:webHidden/>
          </w:rPr>
          <w:fldChar w:fldCharType="separate"/>
        </w:r>
        <w:r w:rsidR="00AC6AAD">
          <w:rPr>
            <w:webHidden/>
          </w:rPr>
          <w:t>15</w:t>
        </w:r>
        <w:r w:rsidR="00AC6AAD">
          <w:rPr>
            <w:webHidden/>
          </w:rPr>
          <w:fldChar w:fldCharType="end"/>
        </w:r>
      </w:hyperlink>
    </w:p>
    <w:p w14:paraId="116956F9" w14:textId="0027833F" w:rsidR="00AC6AAD" w:rsidRDefault="00D36400">
      <w:pPr>
        <w:pStyle w:val="TOC3"/>
        <w:rPr>
          <w:rFonts w:asciiTheme="minorHAnsi" w:eastAsiaTheme="minorEastAsia" w:hAnsiTheme="minorHAnsi" w:cstheme="minorBidi"/>
          <w:noProof/>
          <w:sz w:val="22"/>
          <w:szCs w:val="22"/>
          <w:lang w:eastAsia="en-AU"/>
        </w:rPr>
      </w:pPr>
      <w:hyperlink w:anchor="_Toc127191919" w:history="1">
        <w:r w:rsidR="00AC6AAD" w:rsidRPr="00397A34">
          <w:rPr>
            <w:rStyle w:val="Hyperlink"/>
            <w:noProof/>
          </w:rPr>
          <w:t>1.4.1</w:t>
        </w:r>
        <w:r w:rsidR="00AC6AAD">
          <w:rPr>
            <w:rFonts w:asciiTheme="minorHAnsi" w:eastAsiaTheme="minorEastAsia" w:hAnsiTheme="minorHAnsi" w:cstheme="minorBidi"/>
            <w:noProof/>
            <w:sz w:val="22"/>
            <w:szCs w:val="22"/>
            <w:lang w:eastAsia="en-AU"/>
          </w:rPr>
          <w:tab/>
        </w:r>
        <w:r w:rsidR="00AC6AAD" w:rsidRPr="00397A34">
          <w:rPr>
            <w:rStyle w:val="Hyperlink"/>
            <w:noProof/>
          </w:rPr>
          <w:t>Transition Care Program</w:t>
        </w:r>
        <w:r w:rsidR="00AC6AAD">
          <w:rPr>
            <w:noProof/>
            <w:webHidden/>
          </w:rPr>
          <w:tab/>
        </w:r>
        <w:r w:rsidR="00AC6AAD">
          <w:rPr>
            <w:noProof/>
            <w:webHidden/>
          </w:rPr>
          <w:fldChar w:fldCharType="begin"/>
        </w:r>
        <w:r w:rsidR="00AC6AAD">
          <w:rPr>
            <w:noProof/>
            <w:webHidden/>
          </w:rPr>
          <w:instrText xml:space="preserve"> PAGEREF _Toc127191919 \h </w:instrText>
        </w:r>
        <w:r w:rsidR="00AC6AAD">
          <w:rPr>
            <w:noProof/>
            <w:webHidden/>
          </w:rPr>
        </w:r>
        <w:r w:rsidR="00AC6AAD">
          <w:rPr>
            <w:noProof/>
            <w:webHidden/>
          </w:rPr>
          <w:fldChar w:fldCharType="separate"/>
        </w:r>
        <w:r w:rsidR="00AC6AAD">
          <w:rPr>
            <w:noProof/>
            <w:webHidden/>
          </w:rPr>
          <w:t>15</w:t>
        </w:r>
        <w:r w:rsidR="00AC6AAD">
          <w:rPr>
            <w:noProof/>
            <w:webHidden/>
          </w:rPr>
          <w:fldChar w:fldCharType="end"/>
        </w:r>
      </w:hyperlink>
    </w:p>
    <w:p w14:paraId="113A3E0A" w14:textId="1F2EB0D8" w:rsidR="00AC6AAD" w:rsidRDefault="00D36400">
      <w:pPr>
        <w:pStyle w:val="TOC3"/>
        <w:rPr>
          <w:rFonts w:asciiTheme="minorHAnsi" w:eastAsiaTheme="minorEastAsia" w:hAnsiTheme="minorHAnsi" w:cstheme="minorBidi"/>
          <w:noProof/>
          <w:sz w:val="22"/>
          <w:szCs w:val="22"/>
          <w:lang w:eastAsia="en-AU"/>
        </w:rPr>
      </w:pPr>
      <w:hyperlink w:anchor="_Toc127191920" w:history="1">
        <w:r w:rsidR="00AC6AAD" w:rsidRPr="00397A34">
          <w:rPr>
            <w:rStyle w:val="Hyperlink"/>
            <w:noProof/>
          </w:rPr>
          <w:t>1.4.2</w:t>
        </w:r>
        <w:r w:rsidR="00AC6AAD">
          <w:rPr>
            <w:rFonts w:asciiTheme="minorHAnsi" w:eastAsiaTheme="minorEastAsia" w:hAnsiTheme="minorHAnsi" w:cstheme="minorBidi"/>
            <w:noProof/>
            <w:sz w:val="22"/>
            <w:szCs w:val="22"/>
            <w:lang w:eastAsia="en-AU"/>
          </w:rPr>
          <w:tab/>
        </w:r>
        <w:r w:rsidR="00AC6AAD" w:rsidRPr="00397A34">
          <w:rPr>
            <w:rStyle w:val="Hyperlink"/>
            <w:noProof/>
          </w:rPr>
          <w:t>National Bowel Cancer Screening Program</w:t>
        </w:r>
        <w:r w:rsidR="00AC6AAD">
          <w:rPr>
            <w:noProof/>
            <w:webHidden/>
          </w:rPr>
          <w:tab/>
        </w:r>
        <w:r w:rsidR="00AC6AAD">
          <w:rPr>
            <w:noProof/>
            <w:webHidden/>
          </w:rPr>
          <w:fldChar w:fldCharType="begin"/>
        </w:r>
        <w:r w:rsidR="00AC6AAD">
          <w:rPr>
            <w:noProof/>
            <w:webHidden/>
          </w:rPr>
          <w:instrText xml:space="preserve"> PAGEREF _Toc127191920 \h </w:instrText>
        </w:r>
        <w:r w:rsidR="00AC6AAD">
          <w:rPr>
            <w:noProof/>
            <w:webHidden/>
          </w:rPr>
        </w:r>
        <w:r w:rsidR="00AC6AAD">
          <w:rPr>
            <w:noProof/>
            <w:webHidden/>
          </w:rPr>
          <w:fldChar w:fldCharType="separate"/>
        </w:r>
        <w:r w:rsidR="00AC6AAD">
          <w:rPr>
            <w:noProof/>
            <w:webHidden/>
          </w:rPr>
          <w:t>15</w:t>
        </w:r>
        <w:r w:rsidR="00AC6AAD">
          <w:rPr>
            <w:noProof/>
            <w:webHidden/>
          </w:rPr>
          <w:fldChar w:fldCharType="end"/>
        </w:r>
      </w:hyperlink>
    </w:p>
    <w:p w14:paraId="026AC63A" w14:textId="39FB27E6" w:rsidR="00AC6AAD" w:rsidRDefault="00D36400">
      <w:pPr>
        <w:pStyle w:val="TOC2"/>
        <w:rPr>
          <w:rFonts w:asciiTheme="minorHAnsi" w:eastAsiaTheme="minorEastAsia" w:hAnsiTheme="minorHAnsi" w:cstheme="minorBidi"/>
          <w:b w:val="0"/>
          <w:bCs w:val="0"/>
          <w:sz w:val="22"/>
          <w:szCs w:val="22"/>
          <w:lang w:eastAsia="en-AU"/>
        </w:rPr>
      </w:pPr>
      <w:hyperlink w:anchor="_Toc127191921" w:history="1">
        <w:r w:rsidR="00AC6AAD" w:rsidRPr="00397A34">
          <w:rPr>
            <w:rStyle w:val="Hyperlink"/>
          </w:rPr>
          <w:t>1.5</w:t>
        </w:r>
        <w:r w:rsidR="00AC6AAD">
          <w:rPr>
            <w:rFonts w:asciiTheme="minorHAnsi" w:eastAsiaTheme="minorEastAsia" w:hAnsiTheme="minorHAnsi" w:cstheme="minorBidi"/>
            <w:b w:val="0"/>
            <w:bCs w:val="0"/>
            <w:sz w:val="22"/>
            <w:szCs w:val="22"/>
            <w:lang w:eastAsia="en-AU"/>
          </w:rPr>
          <w:tab/>
        </w:r>
        <w:r w:rsidR="00AC6AAD" w:rsidRPr="00397A34">
          <w:rPr>
            <w:rStyle w:val="Hyperlink"/>
          </w:rPr>
          <w:t>Pricing and Funding</w:t>
        </w:r>
        <w:r w:rsidR="00AC6AAD">
          <w:rPr>
            <w:webHidden/>
          </w:rPr>
          <w:tab/>
        </w:r>
        <w:r w:rsidR="00AC6AAD">
          <w:rPr>
            <w:webHidden/>
          </w:rPr>
          <w:fldChar w:fldCharType="begin"/>
        </w:r>
        <w:r w:rsidR="00AC6AAD">
          <w:rPr>
            <w:webHidden/>
          </w:rPr>
          <w:instrText xml:space="preserve"> PAGEREF _Toc127191921 \h </w:instrText>
        </w:r>
        <w:r w:rsidR="00AC6AAD">
          <w:rPr>
            <w:webHidden/>
          </w:rPr>
        </w:r>
        <w:r w:rsidR="00AC6AAD">
          <w:rPr>
            <w:webHidden/>
          </w:rPr>
          <w:fldChar w:fldCharType="separate"/>
        </w:r>
        <w:r w:rsidR="00AC6AAD">
          <w:rPr>
            <w:webHidden/>
          </w:rPr>
          <w:t>17</w:t>
        </w:r>
        <w:r w:rsidR="00AC6AAD">
          <w:rPr>
            <w:webHidden/>
          </w:rPr>
          <w:fldChar w:fldCharType="end"/>
        </w:r>
      </w:hyperlink>
    </w:p>
    <w:p w14:paraId="55434236" w14:textId="2667AD2E" w:rsidR="00AC6AAD" w:rsidRDefault="00D36400">
      <w:pPr>
        <w:pStyle w:val="TOC3"/>
        <w:rPr>
          <w:rFonts w:asciiTheme="minorHAnsi" w:eastAsiaTheme="minorEastAsia" w:hAnsiTheme="minorHAnsi" w:cstheme="minorBidi"/>
          <w:noProof/>
          <w:sz w:val="22"/>
          <w:szCs w:val="22"/>
          <w:lang w:eastAsia="en-AU"/>
        </w:rPr>
      </w:pPr>
      <w:hyperlink w:anchor="_Toc127191922" w:history="1">
        <w:r w:rsidR="00AC6AAD" w:rsidRPr="00397A34">
          <w:rPr>
            <w:rStyle w:val="Hyperlink"/>
            <w:noProof/>
          </w:rPr>
          <w:t>1.5.1</w:t>
        </w:r>
        <w:r w:rsidR="00AC6AAD">
          <w:rPr>
            <w:rFonts w:asciiTheme="minorHAnsi" w:eastAsiaTheme="minorEastAsia" w:hAnsiTheme="minorHAnsi" w:cstheme="minorBidi"/>
            <w:noProof/>
            <w:sz w:val="22"/>
            <w:szCs w:val="22"/>
            <w:lang w:eastAsia="en-AU"/>
          </w:rPr>
          <w:tab/>
        </w:r>
        <w:r w:rsidR="00AC6AAD" w:rsidRPr="00397A34">
          <w:rPr>
            <w:rStyle w:val="Hyperlink"/>
            <w:noProof/>
          </w:rPr>
          <w:t>Pricing and Funding Framework</w:t>
        </w:r>
        <w:r w:rsidR="00AC6AAD">
          <w:rPr>
            <w:noProof/>
            <w:webHidden/>
          </w:rPr>
          <w:tab/>
        </w:r>
        <w:r w:rsidR="00AC6AAD">
          <w:rPr>
            <w:noProof/>
            <w:webHidden/>
          </w:rPr>
          <w:fldChar w:fldCharType="begin"/>
        </w:r>
        <w:r w:rsidR="00AC6AAD">
          <w:rPr>
            <w:noProof/>
            <w:webHidden/>
          </w:rPr>
          <w:instrText xml:space="preserve"> PAGEREF _Toc127191922 \h </w:instrText>
        </w:r>
        <w:r w:rsidR="00AC6AAD">
          <w:rPr>
            <w:noProof/>
            <w:webHidden/>
          </w:rPr>
        </w:r>
        <w:r w:rsidR="00AC6AAD">
          <w:rPr>
            <w:noProof/>
            <w:webHidden/>
          </w:rPr>
          <w:fldChar w:fldCharType="separate"/>
        </w:r>
        <w:r w:rsidR="00AC6AAD">
          <w:rPr>
            <w:noProof/>
            <w:webHidden/>
          </w:rPr>
          <w:t>17</w:t>
        </w:r>
        <w:r w:rsidR="00AC6AAD">
          <w:rPr>
            <w:noProof/>
            <w:webHidden/>
          </w:rPr>
          <w:fldChar w:fldCharType="end"/>
        </w:r>
      </w:hyperlink>
    </w:p>
    <w:p w14:paraId="104FF2BB" w14:textId="54B9DAB6" w:rsidR="00AC6AAD" w:rsidRDefault="00D36400">
      <w:pPr>
        <w:pStyle w:val="TOC3"/>
        <w:rPr>
          <w:rFonts w:asciiTheme="minorHAnsi" w:eastAsiaTheme="minorEastAsia" w:hAnsiTheme="minorHAnsi" w:cstheme="minorBidi"/>
          <w:noProof/>
          <w:sz w:val="22"/>
          <w:szCs w:val="22"/>
          <w:lang w:eastAsia="en-AU"/>
        </w:rPr>
      </w:pPr>
      <w:hyperlink w:anchor="_Toc127191923" w:history="1">
        <w:r w:rsidR="00AC6AAD" w:rsidRPr="00397A34">
          <w:rPr>
            <w:rStyle w:val="Hyperlink"/>
            <w:noProof/>
          </w:rPr>
          <w:t>1.5.2</w:t>
        </w:r>
        <w:r w:rsidR="00AC6AAD">
          <w:rPr>
            <w:rFonts w:asciiTheme="minorHAnsi" w:eastAsiaTheme="minorEastAsia" w:hAnsiTheme="minorHAnsi" w:cstheme="minorBidi"/>
            <w:noProof/>
            <w:sz w:val="22"/>
            <w:szCs w:val="22"/>
            <w:lang w:eastAsia="en-AU"/>
          </w:rPr>
          <w:tab/>
        </w:r>
        <w:r w:rsidR="00AC6AAD" w:rsidRPr="00397A34">
          <w:rPr>
            <w:rStyle w:val="Hyperlink"/>
            <w:noProof/>
          </w:rPr>
          <w:t>Commonwealth Funding</w:t>
        </w:r>
        <w:r w:rsidR="00AC6AAD">
          <w:rPr>
            <w:noProof/>
            <w:webHidden/>
          </w:rPr>
          <w:tab/>
        </w:r>
        <w:r w:rsidR="00AC6AAD">
          <w:rPr>
            <w:noProof/>
            <w:webHidden/>
          </w:rPr>
          <w:fldChar w:fldCharType="begin"/>
        </w:r>
        <w:r w:rsidR="00AC6AAD">
          <w:rPr>
            <w:noProof/>
            <w:webHidden/>
          </w:rPr>
          <w:instrText xml:space="preserve"> PAGEREF _Toc127191923 \h </w:instrText>
        </w:r>
        <w:r w:rsidR="00AC6AAD">
          <w:rPr>
            <w:noProof/>
            <w:webHidden/>
          </w:rPr>
        </w:r>
        <w:r w:rsidR="00AC6AAD">
          <w:rPr>
            <w:noProof/>
            <w:webHidden/>
          </w:rPr>
          <w:fldChar w:fldCharType="separate"/>
        </w:r>
        <w:r w:rsidR="00AC6AAD">
          <w:rPr>
            <w:noProof/>
            <w:webHidden/>
          </w:rPr>
          <w:t>17</w:t>
        </w:r>
        <w:r w:rsidR="00AC6AAD">
          <w:rPr>
            <w:noProof/>
            <w:webHidden/>
          </w:rPr>
          <w:fldChar w:fldCharType="end"/>
        </w:r>
      </w:hyperlink>
    </w:p>
    <w:p w14:paraId="661FA3A2" w14:textId="5436EC1C" w:rsidR="00AC6AAD" w:rsidRDefault="00D36400">
      <w:pPr>
        <w:pStyle w:val="TOC3"/>
        <w:rPr>
          <w:rFonts w:asciiTheme="minorHAnsi" w:eastAsiaTheme="minorEastAsia" w:hAnsiTheme="minorHAnsi" w:cstheme="minorBidi"/>
          <w:noProof/>
          <w:sz w:val="22"/>
          <w:szCs w:val="22"/>
          <w:lang w:eastAsia="en-AU"/>
        </w:rPr>
      </w:pPr>
      <w:hyperlink w:anchor="_Toc127191924" w:history="1">
        <w:r w:rsidR="00AC6AAD" w:rsidRPr="00397A34">
          <w:rPr>
            <w:rStyle w:val="Hyperlink"/>
            <w:rFonts w:eastAsia="Arial"/>
            <w:noProof/>
          </w:rPr>
          <w:t>1.5.3</w:t>
        </w:r>
        <w:r w:rsidR="00AC6AAD">
          <w:rPr>
            <w:rFonts w:asciiTheme="minorHAnsi" w:eastAsiaTheme="minorEastAsia" w:hAnsiTheme="minorHAnsi" w:cstheme="minorBidi"/>
            <w:noProof/>
            <w:sz w:val="22"/>
            <w:szCs w:val="22"/>
            <w:lang w:eastAsia="en-AU"/>
          </w:rPr>
          <w:tab/>
        </w:r>
        <w:r w:rsidR="00AC6AAD" w:rsidRPr="00397A34">
          <w:rPr>
            <w:rStyle w:val="Hyperlink"/>
            <w:noProof/>
          </w:rPr>
          <w:t>Funding Reforms 2022–23</w:t>
        </w:r>
        <w:r w:rsidR="00AC6AAD">
          <w:rPr>
            <w:noProof/>
            <w:webHidden/>
          </w:rPr>
          <w:tab/>
        </w:r>
        <w:r w:rsidR="00AC6AAD">
          <w:rPr>
            <w:noProof/>
            <w:webHidden/>
          </w:rPr>
          <w:fldChar w:fldCharType="begin"/>
        </w:r>
        <w:r w:rsidR="00AC6AAD">
          <w:rPr>
            <w:noProof/>
            <w:webHidden/>
          </w:rPr>
          <w:instrText xml:space="preserve"> PAGEREF _Toc127191924 \h </w:instrText>
        </w:r>
        <w:r w:rsidR="00AC6AAD">
          <w:rPr>
            <w:noProof/>
            <w:webHidden/>
          </w:rPr>
        </w:r>
        <w:r w:rsidR="00AC6AAD">
          <w:rPr>
            <w:noProof/>
            <w:webHidden/>
          </w:rPr>
          <w:fldChar w:fldCharType="separate"/>
        </w:r>
        <w:r w:rsidR="00AC6AAD">
          <w:rPr>
            <w:noProof/>
            <w:webHidden/>
          </w:rPr>
          <w:t>18</w:t>
        </w:r>
        <w:r w:rsidR="00AC6AAD">
          <w:rPr>
            <w:noProof/>
            <w:webHidden/>
          </w:rPr>
          <w:fldChar w:fldCharType="end"/>
        </w:r>
      </w:hyperlink>
    </w:p>
    <w:p w14:paraId="66D5646D" w14:textId="6A2954BF" w:rsidR="00AC6AAD" w:rsidRDefault="00D36400">
      <w:pPr>
        <w:pStyle w:val="TOC2"/>
        <w:rPr>
          <w:rFonts w:asciiTheme="minorHAnsi" w:eastAsiaTheme="minorEastAsia" w:hAnsiTheme="minorHAnsi" w:cstheme="minorBidi"/>
          <w:b w:val="0"/>
          <w:bCs w:val="0"/>
          <w:sz w:val="22"/>
          <w:szCs w:val="22"/>
          <w:lang w:eastAsia="en-AU"/>
        </w:rPr>
      </w:pPr>
      <w:hyperlink w:anchor="_Toc127191925" w:history="1">
        <w:r w:rsidR="00AC6AAD" w:rsidRPr="00397A34">
          <w:rPr>
            <w:rStyle w:val="Hyperlink"/>
          </w:rPr>
          <w:t>1.6</w:t>
        </w:r>
        <w:r w:rsidR="00AC6AAD">
          <w:rPr>
            <w:rFonts w:asciiTheme="minorHAnsi" w:eastAsiaTheme="minorEastAsia" w:hAnsiTheme="minorHAnsi" w:cstheme="minorBidi"/>
            <w:b w:val="0"/>
            <w:bCs w:val="0"/>
            <w:sz w:val="22"/>
            <w:szCs w:val="22"/>
            <w:lang w:eastAsia="en-AU"/>
          </w:rPr>
          <w:tab/>
        </w:r>
        <w:r w:rsidR="00AC6AAD" w:rsidRPr="00397A34">
          <w:rPr>
            <w:rStyle w:val="Hyperlink"/>
          </w:rPr>
          <w:t>National Funding Arrangements</w:t>
        </w:r>
        <w:r w:rsidR="00AC6AAD">
          <w:rPr>
            <w:webHidden/>
          </w:rPr>
          <w:tab/>
        </w:r>
        <w:r w:rsidR="00AC6AAD">
          <w:rPr>
            <w:webHidden/>
          </w:rPr>
          <w:fldChar w:fldCharType="begin"/>
        </w:r>
        <w:r w:rsidR="00AC6AAD">
          <w:rPr>
            <w:webHidden/>
          </w:rPr>
          <w:instrText xml:space="preserve"> PAGEREF _Toc127191925 \h </w:instrText>
        </w:r>
        <w:r w:rsidR="00AC6AAD">
          <w:rPr>
            <w:webHidden/>
          </w:rPr>
        </w:r>
        <w:r w:rsidR="00AC6AAD">
          <w:rPr>
            <w:webHidden/>
          </w:rPr>
          <w:fldChar w:fldCharType="separate"/>
        </w:r>
        <w:r w:rsidR="00AC6AAD">
          <w:rPr>
            <w:webHidden/>
          </w:rPr>
          <w:t>22</w:t>
        </w:r>
        <w:r w:rsidR="00AC6AAD">
          <w:rPr>
            <w:webHidden/>
          </w:rPr>
          <w:fldChar w:fldCharType="end"/>
        </w:r>
      </w:hyperlink>
    </w:p>
    <w:p w14:paraId="237A9CFD" w14:textId="1440CF79" w:rsidR="00AC6AAD" w:rsidRDefault="00D36400">
      <w:pPr>
        <w:pStyle w:val="TOC3"/>
        <w:rPr>
          <w:rFonts w:asciiTheme="minorHAnsi" w:eastAsiaTheme="minorEastAsia" w:hAnsiTheme="minorHAnsi" w:cstheme="minorBidi"/>
          <w:noProof/>
          <w:sz w:val="22"/>
          <w:szCs w:val="22"/>
          <w:lang w:eastAsia="en-AU"/>
        </w:rPr>
      </w:pPr>
      <w:hyperlink w:anchor="_Toc127191926" w:history="1">
        <w:r w:rsidR="00AC6AAD" w:rsidRPr="00397A34">
          <w:rPr>
            <w:rStyle w:val="Hyperlink"/>
            <w:noProof/>
          </w:rPr>
          <w:t>1.6.1</w:t>
        </w:r>
        <w:r w:rsidR="00AC6AAD">
          <w:rPr>
            <w:rFonts w:asciiTheme="minorHAnsi" w:eastAsiaTheme="minorEastAsia" w:hAnsiTheme="minorHAnsi" w:cstheme="minorBidi"/>
            <w:noProof/>
            <w:sz w:val="22"/>
            <w:szCs w:val="22"/>
            <w:lang w:eastAsia="en-AU"/>
          </w:rPr>
          <w:tab/>
        </w:r>
        <w:r w:rsidR="00AC6AAD" w:rsidRPr="00397A34">
          <w:rPr>
            <w:rStyle w:val="Hyperlink"/>
            <w:noProof/>
          </w:rPr>
          <w:t>Pricing Framework for Australian Public Hospitals</w:t>
        </w:r>
        <w:r w:rsidR="00AC6AAD">
          <w:rPr>
            <w:noProof/>
            <w:webHidden/>
          </w:rPr>
          <w:tab/>
        </w:r>
        <w:r w:rsidR="00AC6AAD">
          <w:rPr>
            <w:noProof/>
            <w:webHidden/>
          </w:rPr>
          <w:fldChar w:fldCharType="begin"/>
        </w:r>
        <w:r w:rsidR="00AC6AAD">
          <w:rPr>
            <w:noProof/>
            <w:webHidden/>
          </w:rPr>
          <w:instrText xml:space="preserve"> PAGEREF _Toc127191926 \h </w:instrText>
        </w:r>
        <w:r w:rsidR="00AC6AAD">
          <w:rPr>
            <w:noProof/>
            <w:webHidden/>
          </w:rPr>
        </w:r>
        <w:r w:rsidR="00AC6AAD">
          <w:rPr>
            <w:noProof/>
            <w:webHidden/>
          </w:rPr>
          <w:fldChar w:fldCharType="separate"/>
        </w:r>
        <w:r w:rsidR="00AC6AAD">
          <w:rPr>
            <w:noProof/>
            <w:webHidden/>
          </w:rPr>
          <w:t>22</w:t>
        </w:r>
        <w:r w:rsidR="00AC6AAD">
          <w:rPr>
            <w:noProof/>
            <w:webHidden/>
          </w:rPr>
          <w:fldChar w:fldCharType="end"/>
        </w:r>
      </w:hyperlink>
    </w:p>
    <w:p w14:paraId="31E56543" w14:textId="78922F91" w:rsidR="00AC6AAD" w:rsidRDefault="00D36400">
      <w:pPr>
        <w:pStyle w:val="TOC3"/>
        <w:rPr>
          <w:rFonts w:asciiTheme="minorHAnsi" w:eastAsiaTheme="minorEastAsia" w:hAnsiTheme="minorHAnsi" w:cstheme="minorBidi"/>
          <w:noProof/>
          <w:sz w:val="22"/>
          <w:szCs w:val="22"/>
          <w:lang w:eastAsia="en-AU"/>
        </w:rPr>
      </w:pPr>
      <w:hyperlink w:anchor="_Toc127191927" w:history="1">
        <w:r w:rsidR="00AC6AAD" w:rsidRPr="00397A34">
          <w:rPr>
            <w:rStyle w:val="Hyperlink"/>
            <w:noProof/>
          </w:rPr>
          <w:t>1.6.2</w:t>
        </w:r>
        <w:r w:rsidR="00AC6AAD">
          <w:rPr>
            <w:rFonts w:asciiTheme="minorHAnsi" w:eastAsiaTheme="minorEastAsia" w:hAnsiTheme="minorHAnsi" w:cstheme="minorBidi"/>
            <w:noProof/>
            <w:sz w:val="22"/>
            <w:szCs w:val="22"/>
            <w:lang w:eastAsia="en-AU"/>
          </w:rPr>
          <w:tab/>
        </w:r>
        <w:r w:rsidR="00AC6AAD" w:rsidRPr="00397A34">
          <w:rPr>
            <w:rStyle w:val="Hyperlink"/>
            <w:noProof/>
          </w:rPr>
          <w:t>Victorian Alignment with the National Funding Model</w:t>
        </w:r>
        <w:r w:rsidR="00AC6AAD">
          <w:rPr>
            <w:noProof/>
            <w:webHidden/>
          </w:rPr>
          <w:tab/>
        </w:r>
        <w:r w:rsidR="00AC6AAD">
          <w:rPr>
            <w:noProof/>
            <w:webHidden/>
          </w:rPr>
          <w:fldChar w:fldCharType="begin"/>
        </w:r>
        <w:r w:rsidR="00AC6AAD">
          <w:rPr>
            <w:noProof/>
            <w:webHidden/>
          </w:rPr>
          <w:instrText xml:space="preserve"> PAGEREF _Toc127191927 \h </w:instrText>
        </w:r>
        <w:r w:rsidR="00AC6AAD">
          <w:rPr>
            <w:noProof/>
            <w:webHidden/>
          </w:rPr>
        </w:r>
        <w:r w:rsidR="00AC6AAD">
          <w:rPr>
            <w:noProof/>
            <w:webHidden/>
          </w:rPr>
          <w:fldChar w:fldCharType="separate"/>
        </w:r>
        <w:r w:rsidR="00AC6AAD">
          <w:rPr>
            <w:noProof/>
            <w:webHidden/>
          </w:rPr>
          <w:t>24</w:t>
        </w:r>
        <w:r w:rsidR="00AC6AAD">
          <w:rPr>
            <w:noProof/>
            <w:webHidden/>
          </w:rPr>
          <w:fldChar w:fldCharType="end"/>
        </w:r>
      </w:hyperlink>
    </w:p>
    <w:p w14:paraId="486A7C87" w14:textId="7E41E517" w:rsidR="00AC6AAD" w:rsidRDefault="00D36400">
      <w:pPr>
        <w:pStyle w:val="TOC2"/>
        <w:rPr>
          <w:rFonts w:asciiTheme="minorHAnsi" w:eastAsiaTheme="minorEastAsia" w:hAnsiTheme="minorHAnsi" w:cstheme="minorBidi"/>
          <w:b w:val="0"/>
          <w:bCs w:val="0"/>
          <w:sz w:val="22"/>
          <w:szCs w:val="22"/>
          <w:lang w:eastAsia="en-AU"/>
        </w:rPr>
      </w:pPr>
      <w:hyperlink w:anchor="_Toc127191928" w:history="1">
        <w:r w:rsidR="00AC6AAD" w:rsidRPr="00397A34">
          <w:rPr>
            <w:rStyle w:val="Hyperlink"/>
          </w:rPr>
          <w:t>1.7</w:t>
        </w:r>
        <w:r w:rsidR="00AC6AAD">
          <w:rPr>
            <w:rFonts w:asciiTheme="minorHAnsi" w:eastAsiaTheme="minorEastAsia" w:hAnsiTheme="minorHAnsi" w:cstheme="minorBidi"/>
            <w:b w:val="0"/>
            <w:bCs w:val="0"/>
            <w:sz w:val="22"/>
            <w:szCs w:val="22"/>
            <w:lang w:eastAsia="en-AU"/>
          </w:rPr>
          <w:tab/>
        </w:r>
        <w:r w:rsidR="00AC6AAD" w:rsidRPr="00397A34">
          <w:rPr>
            <w:rStyle w:val="Hyperlink"/>
          </w:rPr>
          <w:t>Pricing for Quality</w:t>
        </w:r>
        <w:r w:rsidR="00AC6AAD">
          <w:rPr>
            <w:webHidden/>
          </w:rPr>
          <w:tab/>
        </w:r>
        <w:r w:rsidR="00AC6AAD">
          <w:rPr>
            <w:webHidden/>
          </w:rPr>
          <w:fldChar w:fldCharType="begin"/>
        </w:r>
        <w:r w:rsidR="00AC6AAD">
          <w:rPr>
            <w:webHidden/>
          </w:rPr>
          <w:instrText xml:space="preserve"> PAGEREF _Toc127191928 \h </w:instrText>
        </w:r>
        <w:r w:rsidR="00AC6AAD">
          <w:rPr>
            <w:webHidden/>
          </w:rPr>
        </w:r>
        <w:r w:rsidR="00AC6AAD">
          <w:rPr>
            <w:webHidden/>
          </w:rPr>
          <w:fldChar w:fldCharType="separate"/>
        </w:r>
        <w:r w:rsidR="00AC6AAD">
          <w:rPr>
            <w:webHidden/>
          </w:rPr>
          <w:t>26</w:t>
        </w:r>
        <w:r w:rsidR="00AC6AAD">
          <w:rPr>
            <w:webHidden/>
          </w:rPr>
          <w:fldChar w:fldCharType="end"/>
        </w:r>
      </w:hyperlink>
    </w:p>
    <w:p w14:paraId="383821EF" w14:textId="2EA01DA6" w:rsidR="00AC6AAD" w:rsidRDefault="00D36400">
      <w:pPr>
        <w:pStyle w:val="TOC3"/>
        <w:rPr>
          <w:rFonts w:asciiTheme="minorHAnsi" w:eastAsiaTheme="minorEastAsia" w:hAnsiTheme="minorHAnsi" w:cstheme="minorBidi"/>
          <w:noProof/>
          <w:sz w:val="22"/>
          <w:szCs w:val="22"/>
          <w:lang w:eastAsia="en-AU"/>
        </w:rPr>
      </w:pPr>
      <w:hyperlink w:anchor="_Toc127191929" w:history="1">
        <w:r w:rsidR="00AC6AAD" w:rsidRPr="00397A34">
          <w:rPr>
            <w:rStyle w:val="Hyperlink"/>
            <w:noProof/>
            <w:lang w:eastAsia="en-AU"/>
          </w:rPr>
          <w:t>1.7.1</w:t>
        </w:r>
        <w:r w:rsidR="00AC6AAD">
          <w:rPr>
            <w:rFonts w:asciiTheme="minorHAnsi" w:eastAsiaTheme="minorEastAsia" w:hAnsiTheme="minorHAnsi" w:cstheme="minorBidi"/>
            <w:noProof/>
            <w:sz w:val="22"/>
            <w:szCs w:val="22"/>
            <w:lang w:eastAsia="en-AU"/>
          </w:rPr>
          <w:tab/>
        </w:r>
        <w:r w:rsidR="00AC6AAD" w:rsidRPr="00397A34">
          <w:rPr>
            <w:rStyle w:val="Hyperlink"/>
            <w:noProof/>
            <w:lang w:eastAsia="en-AU"/>
          </w:rPr>
          <w:t>Sentinel Events List</w:t>
        </w:r>
        <w:r w:rsidR="00AC6AAD">
          <w:rPr>
            <w:noProof/>
            <w:webHidden/>
          </w:rPr>
          <w:tab/>
        </w:r>
        <w:r w:rsidR="00AC6AAD">
          <w:rPr>
            <w:noProof/>
            <w:webHidden/>
          </w:rPr>
          <w:fldChar w:fldCharType="begin"/>
        </w:r>
        <w:r w:rsidR="00AC6AAD">
          <w:rPr>
            <w:noProof/>
            <w:webHidden/>
          </w:rPr>
          <w:instrText xml:space="preserve"> PAGEREF _Toc127191929 \h </w:instrText>
        </w:r>
        <w:r w:rsidR="00AC6AAD">
          <w:rPr>
            <w:noProof/>
            <w:webHidden/>
          </w:rPr>
        </w:r>
        <w:r w:rsidR="00AC6AAD">
          <w:rPr>
            <w:noProof/>
            <w:webHidden/>
          </w:rPr>
          <w:fldChar w:fldCharType="separate"/>
        </w:r>
        <w:r w:rsidR="00AC6AAD">
          <w:rPr>
            <w:noProof/>
            <w:webHidden/>
          </w:rPr>
          <w:t>26</w:t>
        </w:r>
        <w:r w:rsidR="00AC6AAD">
          <w:rPr>
            <w:noProof/>
            <w:webHidden/>
          </w:rPr>
          <w:fldChar w:fldCharType="end"/>
        </w:r>
      </w:hyperlink>
    </w:p>
    <w:p w14:paraId="5C7A8DF6" w14:textId="161663E1" w:rsidR="00AC6AAD" w:rsidRDefault="00D36400">
      <w:pPr>
        <w:pStyle w:val="TOC3"/>
        <w:rPr>
          <w:rFonts w:asciiTheme="minorHAnsi" w:eastAsiaTheme="minorEastAsia" w:hAnsiTheme="minorHAnsi" w:cstheme="minorBidi"/>
          <w:noProof/>
          <w:sz w:val="22"/>
          <w:szCs w:val="22"/>
          <w:lang w:eastAsia="en-AU"/>
        </w:rPr>
      </w:pPr>
      <w:hyperlink w:anchor="_Toc127191930" w:history="1">
        <w:r w:rsidR="00AC6AAD" w:rsidRPr="00397A34">
          <w:rPr>
            <w:rStyle w:val="Hyperlink"/>
            <w:noProof/>
            <w:lang w:eastAsia="en-AU"/>
          </w:rPr>
          <w:t>1.7.2</w:t>
        </w:r>
        <w:r w:rsidR="00AC6AAD">
          <w:rPr>
            <w:rFonts w:asciiTheme="minorHAnsi" w:eastAsiaTheme="minorEastAsia" w:hAnsiTheme="minorHAnsi" w:cstheme="minorBidi"/>
            <w:noProof/>
            <w:sz w:val="22"/>
            <w:szCs w:val="22"/>
            <w:lang w:eastAsia="en-AU"/>
          </w:rPr>
          <w:tab/>
        </w:r>
        <w:r w:rsidR="00AC6AAD" w:rsidRPr="00397A34">
          <w:rPr>
            <w:rStyle w:val="Hyperlink"/>
            <w:noProof/>
            <w:lang w:eastAsia="en-AU"/>
          </w:rPr>
          <w:t>Hospital-Acquired Conditions</w:t>
        </w:r>
        <w:r w:rsidR="00AC6AAD">
          <w:rPr>
            <w:noProof/>
            <w:webHidden/>
          </w:rPr>
          <w:tab/>
        </w:r>
        <w:r w:rsidR="00AC6AAD">
          <w:rPr>
            <w:noProof/>
            <w:webHidden/>
          </w:rPr>
          <w:fldChar w:fldCharType="begin"/>
        </w:r>
        <w:r w:rsidR="00AC6AAD">
          <w:rPr>
            <w:noProof/>
            <w:webHidden/>
          </w:rPr>
          <w:instrText xml:space="preserve"> PAGEREF _Toc127191930 \h </w:instrText>
        </w:r>
        <w:r w:rsidR="00AC6AAD">
          <w:rPr>
            <w:noProof/>
            <w:webHidden/>
          </w:rPr>
        </w:r>
        <w:r w:rsidR="00AC6AAD">
          <w:rPr>
            <w:noProof/>
            <w:webHidden/>
          </w:rPr>
          <w:fldChar w:fldCharType="separate"/>
        </w:r>
        <w:r w:rsidR="00AC6AAD">
          <w:rPr>
            <w:noProof/>
            <w:webHidden/>
          </w:rPr>
          <w:t>27</w:t>
        </w:r>
        <w:r w:rsidR="00AC6AAD">
          <w:rPr>
            <w:noProof/>
            <w:webHidden/>
          </w:rPr>
          <w:fldChar w:fldCharType="end"/>
        </w:r>
      </w:hyperlink>
    </w:p>
    <w:p w14:paraId="64A502C9" w14:textId="418A76B6" w:rsidR="00AC6AAD" w:rsidRDefault="00D36400">
      <w:pPr>
        <w:pStyle w:val="TOC2"/>
        <w:rPr>
          <w:rFonts w:asciiTheme="minorHAnsi" w:eastAsiaTheme="minorEastAsia" w:hAnsiTheme="minorHAnsi" w:cstheme="minorBidi"/>
          <w:b w:val="0"/>
          <w:bCs w:val="0"/>
          <w:sz w:val="22"/>
          <w:szCs w:val="22"/>
          <w:lang w:eastAsia="en-AU"/>
        </w:rPr>
      </w:pPr>
      <w:hyperlink w:anchor="_Toc127191931" w:history="1">
        <w:r w:rsidR="00AC6AAD" w:rsidRPr="00397A34">
          <w:rPr>
            <w:rStyle w:val="Hyperlink"/>
          </w:rPr>
          <w:t>1.8</w:t>
        </w:r>
        <w:r w:rsidR="00AC6AAD">
          <w:rPr>
            <w:rFonts w:asciiTheme="minorHAnsi" w:eastAsiaTheme="minorEastAsia" w:hAnsiTheme="minorHAnsi" w:cstheme="minorBidi"/>
            <w:b w:val="0"/>
            <w:bCs w:val="0"/>
            <w:sz w:val="22"/>
            <w:szCs w:val="22"/>
            <w:lang w:eastAsia="en-AU"/>
          </w:rPr>
          <w:tab/>
        </w:r>
        <w:r w:rsidR="00AC6AAD" w:rsidRPr="00397A34">
          <w:rPr>
            <w:rStyle w:val="Hyperlink"/>
          </w:rPr>
          <w:t>Health Service Requirements</w:t>
        </w:r>
        <w:r w:rsidR="00AC6AAD">
          <w:rPr>
            <w:webHidden/>
          </w:rPr>
          <w:tab/>
        </w:r>
        <w:r w:rsidR="00AC6AAD">
          <w:rPr>
            <w:webHidden/>
          </w:rPr>
          <w:fldChar w:fldCharType="begin"/>
        </w:r>
        <w:r w:rsidR="00AC6AAD">
          <w:rPr>
            <w:webHidden/>
          </w:rPr>
          <w:instrText xml:space="preserve"> PAGEREF _Toc127191931 \h </w:instrText>
        </w:r>
        <w:r w:rsidR="00AC6AAD">
          <w:rPr>
            <w:webHidden/>
          </w:rPr>
        </w:r>
        <w:r w:rsidR="00AC6AAD">
          <w:rPr>
            <w:webHidden/>
          </w:rPr>
          <w:fldChar w:fldCharType="separate"/>
        </w:r>
        <w:r w:rsidR="00AC6AAD">
          <w:rPr>
            <w:webHidden/>
          </w:rPr>
          <w:t>28</w:t>
        </w:r>
        <w:r w:rsidR="00AC6AAD">
          <w:rPr>
            <w:webHidden/>
          </w:rPr>
          <w:fldChar w:fldCharType="end"/>
        </w:r>
      </w:hyperlink>
    </w:p>
    <w:p w14:paraId="2968D2DB" w14:textId="01F88B3B" w:rsidR="00AC6AAD" w:rsidRDefault="00D36400">
      <w:pPr>
        <w:pStyle w:val="TOC3"/>
        <w:rPr>
          <w:rFonts w:asciiTheme="minorHAnsi" w:eastAsiaTheme="minorEastAsia" w:hAnsiTheme="minorHAnsi" w:cstheme="minorBidi"/>
          <w:noProof/>
          <w:sz w:val="22"/>
          <w:szCs w:val="22"/>
          <w:lang w:eastAsia="en-AU"/>
        </w:rPr>
      </w:pPr>
      <w:hyperlink w:anchor="_Toc127191932" w:history="1">
        <w:r w:rsidR="00AC6AAD" w:rsidRPr="00397A34">
          <w:rPr>
            <w:rStyle w:val="Hyperlink"/>
            <w:noProof/>
          </w:rPr>
          <w:t>1.8.1</w:t>
        </w:r>
        <w:r w:rsidR="00AC6AAD">
          <w:rPr>
            <w:rFonts w:asciiTheme="minorHAnsi" w:eastAsiaTheme="minorEastAsia" w:hAnsiTheme="minorHAnsi" w:cstheme="minorBidi"/>
            <w:noProof/>
            <w:sz w:val="22"/>
            <w:szCs w:val="22"/>
            <w:lang w:eastAsia="en-AU"/>
          </w:rPr>
          <w:tab/>
        </w:r>
        <w:r w:rsidR="00AC6AAD" w:rsidRPr="00397A34">
          <w:rPr>
            <w:rStyle w:val="Hyperlink"/>
            <w:noProof/>
          </w:rPr>
          <w:t>Patient Costing</w:t>
        </w:r>
        <w:r w:rsidR="00AC6AAD">
          <w:rPr>
            <w:noProof/>
            <w:webHidden/>
          </w:rPr>
          <w:tab/>
        </w:r>
        <w:r w:rsidR="00AC6AAD">
          <w:rPr>
            <w:noProof/>
            <w:webHidden/>
          </w:rPr>
          <w:fldChar w:fldCharType="begin"/>
        </w:r>
        <w:r w:rsidR="00AC6AAD">
          <w:rPr>
            <w:noProof/>
            <w:webHidden/>
          </w:rPr>
          <w:instrText xml:space="preserve"> PAGEREF _Toc127191932 \h </w:instrText>
        </w:r>
        <w:r w:rsidR="00AC6AAD">
          <w:rPr>
            <w:noProof/>
            <w:webHidden/>
          </w:rPr>
        </w:r>
        <w:r w:rsidR="00AC6AAD">
          <w:rPr>
            <w:noProof/>
            <w:webHidden/>
          </w:rPr>
          <w:fldChar w:fldCharType="separate"/>
        </w:r>
        <w:r w:rsidR="00AC6AAD">
          <w:rPr>
            <w:noProof/>
            <w:webHidden/>
          </w:rPr>
          <w:t>28</w:t>
        </w:r>
        <w:r w:rsidR="00AC6AAD">
          <w:rPr>
            <w:noProof/>
            <w:webHidden/>
          </w:rPr>
          <w:fldChar w:fldCharType="end"/>
        </w:r>
      </w:hyperlink>
    </w:p>
    <w:p w14:paraId="356DDC5F" w14:textId="5BE60DE7" w:rsidR="00AC6AAD" w:rsidRDefault="00D36400">
      <w:pPr>
        <w:pStyle w:val="TOC3"/>
        <w:rPr>
          <w:rFonts w:asciiTheme="minorHAnsi" w:eastAsiaTheme="minorEastAsia" w:hAnsiTheme="minorHAnsi" w:cstheme="minorBidi"/>
          <w:noProof/>
          <w:sz w:val="22"/>
          <w:szCs w:val="22"/>
          <w:lang w:eastAsia="en-AU"/>
        </w:rPr>
      </w:pPr>
      <w:hyperlink w:anchor="_Toc127191933" w:history="1">
        <w:r w:rsidR="00AC6AAD" w:rsidRPr="00397A34">
          <w:rPr>
            <w:rStyle w:val="Hyperlink"/>
            <w:noProof/>
          </w:rPr>
          <w:t>1.8.2</w:t>
        </w:r>
        <w:r w:rsidR="00AC6AAD">
          <w:rPr>
            <w:rFonts w:asciiTheme="minorHAnsi" w:eastAsiaTheme="minorEastAsia" w:hAnsiTheme="minorHAnsi" w:cstheme="minorBidi"/>
            <w:noProof/>
            <w:sz w:val="22"/>
            <w:szCs w:val="22"/>
            <w:lang w:eastAsia="en-AU"/>
          </w:rPr>
          <w:tab/>
        </w:r>
        <w:r w:rsidR="00AC6AAD" w:rsidRPr="00397A34">
          <w:rPr>
            <w:rStyle w:val="Hyperlink"/>
            <w:noProof/>
          </w:rPr>
          <w:t>Activity Reporting</w:t>
        </w:r>
        <w:r w:rsidR="00AC6AAD">
          <w:rPr>
            <w:noProof/>
            <w:webHidden/>
          </w:rPr>
          <w:tab/>
        </w:r>
        <w:r w:rsidR="00AC6AAD">
          <w:rPr>
            <w:noProof/>
            <w:webHidden/>
          </w:rPr>
          <w:fldChar w:fldCharType="begin"/>
        </w:r>
        <w:r w:rsidR="00AC6AAD">
          <w:rPr>
            <w:noProof/>
            <w:webHidden/>
          </w:rPr>
          <w:instrText xml:space="preserve"> PAGEREF _Toc127191933 \h </w:instrText>
        </w:r>
        <w:r w:rsidR="00AC6AAD">
          <w:rPr>
            <w:noProof/>
            <w:webHidden/>
          </w:rPr>
        </w:r>
        <w:r w:rsidR="00AC6AAD">
          <w:rPr>
            <w:noProof/>
            <w:webHidden/>
          </w:rPr>
          <w:fldChar w:fldCharType="separate"/>
        </w:r>
        <w:r w:rsidR="00AC6AAD">
          <w:rPr>
            <w:noProof/>
            <w:webHidden/>
          </w:rPr>
          <w:t>29</w:t>
        </w:r>
        <w:r w:rsidR="00AC6AAD">
          <w:rPr>
            <w:noProof/>
            <w:webHidden/>
          </w:rPr>
          <w:fldChar w:fldCharType="end"/>
        </w:r>
      </w:hyperlink>
    </w:p>
    <w:p w14:paraId="52AC06EC" w14:textId="7BEF3F45" w:rsidR="00AC6AAD" w:rsidRDefault="00D36400">
      <w:pPr>
        <w:pStyle w:val="TOC2"/>
        <w:rPr>
          <w:rFonts w:asciiTheme="minorHAnsi" w:eastAsiaTheme="minorEastAsia" w:hAnsiTheme="minorHAnsi" w:cstheme="minorBidi"/>
          <w:b w:val="0"/>
          <w:bCs w:val="0"/>
          <w:sz w:val="22"/>
          <w:szCs w:val="22"/>
          <w:lang w:eastAsia="en-AU"/>
        </w:rPr>
      </w:pPr>
      <w:hyperlink w:anchor="_Toc127191934" w:history="1">
        <w:r w:rsidR="00AC6AAD" w:rsidRPr="00397A34">
          <w:rPr>
            <w:rStyle w:val="Hyperlink"/>
          </w:rPr>
          <w:t>1.9</w:t>
        </w:r>
        <w:r w:rsidR="00AC6AAD">
          <w:rPr>
            <w:rFonts w:asciiTheme="minorHAnsi" w:eastAsiaTheme="minorEastAsia" w:hAnsiTheme="minorHAnsi" w:cstheme="minorBidi"/>
            <w:b w:val="0"/>
            <w:bCs w:val="0"/>
            <w:sz w:val="22"/>
            <w:szCs w:val="22"/>
            <w:lang w:eastAsia="en-AU"/>
          </w:rPr>
          <w:tab/>
        </w:r>
        <w:r w:rsidR="00AC6AAD" w:rsidRPr="00397A34">
          <w:rPr>
            <w:rStyle w:val="Hyperlink"/>
          </w:rPr>
          <w:t>Acute Admitted Services</w:t>
        </w:r>
        <w:r w:rsidR="00AC6AAD">
          <w:rPr>
            <w:webHidden/>
          </w:rPr>
          <w:tab/>
        </w:r>
        <w:r w:rsidR="00AC6AAD">
          <w:rPr>
            <w:webHidden/>
          </w:rPr>
          <w:fldChar w:fldCharType="begin"/>
        </w:r>
        <w:r w:rsidR="00AC6AAD">
          <w:rPr>
            <w:webHidden/>
          </w:rPr>
          <w:instrText xml:space="preserve"> PAGEREF _Toc127191934 \h </w:instrText>
        </w:r>
        <w:r w:rsidR="00AC6AAD">
          <w:rPr>
            <w:webHidden/>
          </w:rPr>
        </w:r>
        <w:r w:rsidR="00AC6AAD">
          <w:rPr>
            <w:webHidden/>
          </w:rPr>
          <w:fldChar w:fldCharType="separate"/>
        </w:r>
        <w:r w:rsidR="00AC6AAD">
          <w:rPr>
            <w:webHidden/>
          </w:rPr>
          <w:t>33</w:t>
        </w:r>
        <w:r w:rsidR="00AC6AAD">
          <w:rPr>
            <w:webHidden/>
          </w:rPr>
          <w:fldChar w:fldCharType="end"/>
        </w:r>
      </w:hyperlink>
    </w:p>
    <w:p w14:paraId="2C92607B" w14:textId="1F0E6499" w:rsidR="00AC6AAD" w:rsidRDefault="00D36400">
      <w:pPr>
        <w:pStyle w:val="TOC3"/>
        <w:rPr>
          <w:rFonts w:asciiTheme="minorHAnsi" w:eastAsiaTheme="minorEastAsia" w:hAnsiTheme="minorHAnsi" w:cstheme="minorBidi"/>
          <w:noProof/>
          <w:sz w:val="22"/>
          <w:szCs w:val="22"/>
          <w:lang w:eastAsia="en-AU"/>
        </w:rPr>
      </w:pPr>
      <w:hyperlink w:anchor="_Toc127191935" w:history="1">
        <w:r w:rsidR="00AC6AAD" w:rsidRPr="00397A34">
          <w:rPr>
            <w:rStyle w:val="Hyperlink"/>
            <w:noProof/>
          </w:rPr>
          <w:t>1.9.1</w:t>
        </w:r>
        <w:r w:rsidR="00AC6AAD">
          <w:rPr>
            <w:rFonts w:asciiTheme="minorHAnsi" w:eastAsiaTheme="minorEastAsia" w:hAnsiTheme="minorHAnsi" w:cstheme="minorBidi"/>
            <w:noProof/>
            <w:sz w:val="22"/>
            <w:szCs w:val="22"/>
            <w:lang w:eastAsia="en-AU"/>
          </w:rPr>
          <w:tab/>
        </w:r>
        <w:r w:rsidR="00AC6AAD" w:rsidRPr="00397A34">
          <w:rPr>
            <w:rStyle w:val="Hyperlink"/>
            <w:noProof/>
          </w:rPr>
          <w:t>Eligibility</w:t>
        </w:r>
        <w:r w:rsidR="00AC6AAD">
          <w:rPr>
            <w:noProof/>
            <w:webHidden/>
          </w:rPr>
          <w:tab/>
        </w:r>
        <w:r w:rsidR="00AC6AAD">
          <w:rPr>
            <w:noProof/>
            <w:webHidden/>
          </w:rPr>
          <w:fldChar w:fldCharType="begin"/>
        </w:r>
        <w:r w:rsidR="00AC6AAD">
          <w:rPr>
            <w:noProof/>
            <w:webHidden/>
          </w:rPr>
          <w:instrText xml:space="preserve"> PAGEREF _Toc127191935 \h </w:instrText>
        </w:r>
        <w:r w:rsidR="00AC6AAD">
          <w:rPr>
            <w:noProof/>
            <w:webHidden/>
          </w:rPr>
        </w:r>
        <w:r w:rsidR="00AC6AAD">
          <w:rPr>
            <w:noProof/>
            <w:webHidden/>
          </w:rPr>
          <w:fldChar w:fldCharType="separate"/>
        </w:r>
        <w:r w:rsidR="00AC6AAD">
          <w:rPr>
            <w:noProof/>
            <w:webHidden/>
          </w:rPr>
          <w:t>33</w:t>
        </w:r>
        <w:r w:rsidR="00AC6AAD">
          <w:rPr>
            <w:noProof/>
            <w:webHidden/>
          </w:rPr>
          <w:fldChar w:fldCharType="end"/>
        </w:r>
      </w:hyperlink>
    </w:p>
    <w:p w14:paraId="068C12DF" w14:textId="644975A6" w:rsidR="00AC6AAD" w:rsidRDefault="00D36400">
      <w:pPr>
        <w:pStyle w:val="TOC3"/>
        <w:rPr>
          <w:rFonts w:asciiTheme="minorHAnsi" w:eastAsiaTheme="minorEastAsia" w:hAnsiTheme="minorHAnsi" w:cstheme="minorBidi"/>
          <w:noProof/>
          <w:sz w:val="22"/>
          <w:szCs w:val="22"/>
          <w:lang w:eastAsia="en-AU"/>
        </w:rPr>
      </w:pPr>
      <w:hyperlink w:anchor="_Toc127191936" w:history="1">
        <w:r w:rsidR="00AC6AAD" w:rsidRPr="00397A34">
          <w:rPr>
            <w:rStyle w:val="Hyperlink"/>
            <w:noProof/>
          </w:rPr>
          <w:t>1.9.2</w:t>
        </w:r>
        <w:r w:rsidR="00AC6AAD">
          <w:rPr>
            <w:rFonts w:asciiTheme="minorHAnsi" w:eastAsiaTheme="minorEastAsia" w:hAnsiTheme="minorHAnsi" w:cstheme="minorBidi"/>
            <w:noProof/>
            <w:sz w:val="22"/>
            <w:szCs w:val="22"/>
            <w:lang w:eastAsia="en-AU"/>
          </w:rPr>
          <w:tab/>
        </w:r>
        <w:r w:rsidR="00AC6AAD" w:rsidRPr="00397A34">
          <w:rPr>
            <w:rStyle w:val="Hyperlink"/>
            <w:noProof/>
          </w:rPr>
          <w:t>Business Rules</w:t>
        </w:r>
        <w:r w:rsidR="00AC6AAD">
          <w:rPr>
            <w:noProof/>
            <w:webHidden/>
          </w:rPr>
          <w:tab/>
        </w:r>
        <w:r w:rsidR="00AC6AAD">
          <w:rPr>
            <w:noProof/>
            <w:webHidden/>
          </w:rPr>
          <w:fldChar w:fldCharType="begin"/>
        </w:r>
        <w:r w:rsidR="00AC6AAD">
          <w:rPr>
            <w:noProof/>
            <w:webHidden/>
          </w:rPr>
          <w:instrText xml:space="preserve"> PAGEREF _Toc127191936 \h </w:instrText>
        </w:r>
        <w:r w:rsidR="00AC6AAD">
          <w:rPr>
            <w:noProof/>
            <w:webHidden/>
          </w:rPr>
        </w:r>
        <w:r w:rsidR="00AC6AAD">
          <w:rPr>
            <w:noProof/>
            <w:webHidden/>
          </w:rPr>
          <w:fldChar w:fldCharType="separate"/>
        </w:r>
        <w:r w:rsidR="00AC6AAD">
          <w:rPr>
            <w:noProof/>
            <w:webHidden/>
          </w:rPr>
          <w:t>33</w:t>
        </w:r>
        <w:r w:rsidR="00AC6AAD">
          <w:rPr>
            <w:noProof/>
            <w:webHidden/>
          </w:rPr>
          <w:fldChar w:fldCharType="end"/>
        </w:r>
      </w:hyperlink>
    </w:p>
    <w:p w14:paraId="46BCB3BA" w14:textId="4A5FFEE7" w:rsidR="00AC6AAD" w:rsidRDefault="00D36400">
      <w:pPr>
        <w:pStyle w:val="TOC3"/>
        <w:rPr>
          <w:rFonts w:asciiTheme="minorHAnsi" w:eastAsiaTheme="minorEastAsia" w:hAnsiTheme="minorHAnsi" w:cstheme="minorBidi"/>
          <w:noProof/>
          <w:sz w:val="22"/>
          <w:szCs w:val="22"/>
          <w:lang w:eastAsia="en-AU"/>
        </w:rPr>
      </w:pPr>
      <w:hyperlink w:anchor="_Toc127191937" w:history="1">
        <w:r w:rsidR="00AC6AAD" w:rsidRPr="00397A34">
          <w:rPr>
            <w:rStyle w:val="Hyperlink"/>
            <w:noProof/>
          </w:rPr>
          <w:t>1.9.3</w:t>
        </w:r>
        <w:r w:rsidR="00AC6AAD">
          <w:rPr>
            <w:rFonts w:asciiTheme="minorHAnsi" w:eastAsiaTheme="minorEastAsia" w:hAnsiTheme="minorHAnsi" w:cstheme="minorBidi"/>
            <w:noProof/>
            <w:sz w:val="22"/>
            <w:szCs w:val="22"/>
            <w:lang w:eastAsia="en-AU"/>
          </w:rPr>
          <w:tab/>
        </w:r>
        <w:r w:rsidR="00AC6AAD" w:rsidRPr="00397A34">
          <w:rPr>
            <w:rStyle w:val="Hyperlink"/>
            <w:noProof/>
          </w:rPr>
          <w:t>NWAU Price Weights</w:t>
        </w:r>
        <w:r w:rsidR="00AC6AAD">
          <w:rPr>
            <w:noProof/>
            <w:webHidden/>
          </w:rPr>
          <w:tab/>
        </w:r>
        <w:r w:rsidR="00AC6AAD">
          <w:rPr>
            <w:noProof/>
            <w:webHidden/>
          </w:rPr>
          <w:fldChar w:fldCharType="begin"/>
        </w:r>
        <w:r w:rsidR="00AC6AAD">
          <w:rPr>
            <w:noProof/>
            <w:webHidden/>
          </w:rPr>
          <w:instrText xml:space="preserve"> PAGEREF _Toc127191937 \h </w:instrText>
        </w:r>
        <w:r w:rsidR="00AC6AAD">
          <w:rPr>
            <w:noProof/>
            <w:webHidden/>
          </w:rPr>
        </w:r>
        <w:r w:rsidR="00AC6AAD">
          <w:rPr>
            <w:noProof/>
            <w:webHidden/>
          </w:rPr>
          <w:fldChar w:fldCharType="separate"/>
        </w:r>
        <w:r w:rsidR="00AC6AAD">
          <w:rPr>
            <w:noProof/>
            <w:webHidden/>
          </w:rPr>
          <w:t>34</w:t>
        </w:r>
        <w:r w:rsidR="00AC6AAD">
          <w:rPr>
            <w:noProof/>
            <w:webHidden/>
          </w:rPr>
          <w:fldChar w:fldCharType="end"/>
        </w:r>
      </w:hyperlink>
    </w:p>
    <w:p w14:paraId="5047C1AF" w14:textId="599AE39D" w:rsidR="00AC6AAD" w:rsidRDefault="00D36400">
      <w:pPr>
        <w:pStyle w:val="TOC3"/>
        <w:rPr>
          <w:rFonts w:asciiTheme="minorHAnsi" w:eastAsiaTheme="minorEastAsia" w:hAnsiTheme="minorHAnsi" w:cstheme="minorBidi"/>
          <w:noProof/>
          <w:sz w:val="22"/>
          <w:szCs w:val="22"/>
          <w:lang w:eastAsia="en-AU"/>
        </w:rPr>
      </w:pPr>
      <w:hyperlink w:anchor="_Toc127191938" w:history="1">
        <w:r w:rsidR="00AC6AAD" w:rsidRPr="00397A34">
          <w:rPr>
            <w:rStyle w:val="Hyperlink"/>
            <w:noProof/>
          </w:rPr>
          <w:t>1.9.4</w:t>
        </w:r>
        <w:r w:rsidR="00AC6AAD">
          <w:rPr>
            <w:rFonts w:asciiTheme="minorHAnsi" w:eastAsiaTheme="minorEastAsia" w:hAnsiTheme="minorHAnsi" w:cstheme="minorBidi"/>
            <w:noProof/>
            <w:sz w:val="22"/>
            <w:szCs w:val="22"/>
            <w:lang w:eastAsia="en-AU"/>
          </w:rPr>
          <w:tab/>
        </w:r>
        <w:r w:rsidR="00AC6AAD" w:rsidRPr="00397A34">
          <w:rPr>
            <w:rStyle w:val="Hyperlink"/>
            <w:noProof/>
          </w:rPr>
          <w:t>Pricing</w:t>
        </w:r>
        <w:r w:rsidR="00AC6AAD">
          <w:rPr>
            <w:noProof/>
            <w:webHidden/>
          </w:rPr>
          <w:tab/>
        </w:r>
        <w:r w:rsidR="00AC6AAD">
          <w:rPr>
            <w:noProof/>
            <w:webHidden/>
          </w:rPr>
          <w:fldChar w:fldCharType="begin"/>
        </w:r>
        <w:r w:rsidR="00AC6AAD">
          <w:rPr>
            <w:noProof/>
            <w:webHidden/>
          </w:rPr>
          <w:instrText xml:space="preserve"> PAGEREF _Toc127191938 \h </w:instrText>
        </w:r>
        <w:r w:rsidR="00AC6AAD">
          <w:rPr>
            <w:noProof/>
            <w:webHidden/>
          </w:rPr>
        </w:r>
        <w:r w:rsidR="00AC6AAD">
          <w:rPr>
            <w:noProof/>
            <w:webHidden/>
          </w:rPr>
          <w:fldChar w:fldCharType="separate"/>
        </w:r>
        <w:r w:rsidR="00AC6AAD">
          <w:rPr>
            <w:noProof/>
            <w:webHidden/>
          </w:rPr>
          <w:t>34</w:t>
        </w:r>
        <w:r w:rsidR="00AC6AAD">
          <w:rPr>
            <w:noProof/>
            <w:webHidden/>
          </w:rPr>
          <w:fldChar w:fldCharType="end"/>
        </w:r>
      </w:hyperlink>
    </w:p>
    <w:p w14:paraId="6BDE2B9E" w14:textId="4B4A5C1C" w:rsidR="00AC6AAD" w:rsidRDefault="00D36400">
      <w:pPr>
        <w:pStyle w:val="TOC3"/>
        <w:rPr>
          <w:rFonts w:asciiTheme="minorHAnsi" w:eastAsiaTheme="minorEastAsia" w:hAnsiTheme="minorHAnsi" w:cstheme="minorBidi"/>
          <w:noProof/>
          <w:sz w:val="22"/>
          <w:szCs w:val="22"/>
          <w:lang w:eastAsia="en-AU"/>
        </w:rPr>
      </w:pPr>
      <w:hyperlink w:anchor="_Toc127191939" w:history="1">
        <w:r w:rsidR="00AC6AAD" w:rsidRPr="00397A34">
          <w:rPr>
            <w:rStyle w:val="Hyperlink"/>
            <w:noProof/>
          </w:rPr>
          <w:t>1.9.5</w:t>
        </w:r>
        <w:r w:rsidR="00AC6AAD">
          <w:rPr>
            <w:rFonts w:asciiTheme="minorHAnsi" w:eastAsiaTheme="minorEastAsia" w:hAnsiTheme="minorHAnsi" w:cstheme="minorBidi"/>
            <w:noProof/>
            <w:sz w:val="22"/>
            <w:szCs w:val="22"/>
            <w:lang w:eastAsia="en-AU"/>
          </w:rPr>
          <w:tab/>
        </w:r>
        <w:r w:rsidR="00AC6AAD" w:rsidRPr="00397A34">
          <w:rPr>
            <w:rStyle w:val="Hyperlink"/>
            <w:noProof/>
          </w:rPr>
          <w:t>Transport Supplement to Health Services</w:t>
        </w:r>
        <w:r w:rsidR="00AC6AAD">
          <w:rPr>
            <w:noProof/>
            <w:webHidden/>
          </w:rPr>
          <w:tab/>
        </w:r>
        <w:r w:rsidR="00AC6AAD">
          <w:rPr>
            <w:noProof/>
            <w:webHidden/>
          </w:rPr>
          <w:fldChar w:fldCharType="begin"/>
        </w:r>
        <w:r w:rsidR="00AC6AAD">
          <w:rPr>
            <w:noProof/>
            <w:webHidden/>
          </w:rPr>
          <w:instrText xml:space="preserve"> PAGEREF _Toc127191939 \h </w:instrText>
        </w:r>
        <w:r w:rsidR="00AC6AAD">
          <w:rPr>
            <w:noProof/>
            <w:webHidden/>
          </w:rPr>
        </w:r>
        <w:r w:rsidR="00AC6AAD">
          <w:rPr>
            <w:noProof/>
            <w:webHidden/>
          </w:rPr>
          <w:fldChar w:fldCharType="separate"/>
        </w:r>
        <w:r w:rsidR="00AC6AAD">
          <w:rPr>
            <w:noProof/>
            <w:webHidden/>
          </w:rPr>
          <w:t>34</w:t>
        </w:r>
        <w:r w:rsidR="00AC6AAD">
          <w:rPr>
            <w:noProof/>
            <w:webHidden/>
          </w:rPr>
          <w:fldChar w:fldCharType="end"/>
        </w:r>
      </w:hyperlink>
    </w:p>
    <w:p w14:paraId="453C2C75" w14:textId="10599FB1" w:rsidR="00AC6AAD" w:rsidRDefault="00D36400">
      <w:pPr>
        <w:pStyle w:val="TOC3"/>
        <w:rPr>
          <w:rFonts w:asciiTheme="minorHAnsi" w:eastAsiaTheme="minorEastAsia" w:hAnsiTheme="minorHAnsi" w:cstheme="minorBidi"/>
          <w:noProof/>
          <w:sz w:val="22"/>
          <w:szCs w:val="22"/>
          <w:lang w:eastAsia="en-AU"/>
        </w:rPr>
      </w:pPr>
      <w:hyperlink w:anchor="_Toc127191940" w:history="1">
        <w:r w:rsidR="00AC6AAD" w:rsidRPr="00397A34">
          <w:rPr>
            <w:rStyle w:val="Hyperlink"/>
            <w:noProof/>
          </w:rPr>
          <w:t>1.9.6</w:t>
        </w:r>
        <w:r w:rsidR="00AC6AAD">
          <w:rPr>
            <w:rFonts w:asciiTheme="minorHAnsi" w:eastAsiaTheme="minorEastAsia" w:hAnsiTheme="minorHAnsi" w:cstheme="minorBidi"/>
            <w:noProof/>
            <w:sz w:val="22"/>
            <w:szCs w:val="22"/>
            <w:lang w:eastAsia="en-AU"/>
          </w:rPr>
          <w:tab/>
        </w:r>
        <w:r w:rsidR="00AC6AAD" w:rsidRPr="00397A34">
          <w:rPr>
            <w:rStyle w:val="Hyperlink"/>
            <w:noProof/>
          </w:rPr>
          <w:t>Interpreter Supplement to Health Services</w:t>
        </w:r>
        <w:r w:rsidR="00AC6AAD">
          <w:rPr>
            <w:noProof/>
            <w:webHidden/>
          </w:rPr>
          <w:tab/>
        </w:r>
        <w:r w:rsidR="00AC6AAD">
          <w:rPr>
            <w:noProof/>
            <w:webHidden/>
          </w:rPr>
          <w:fldChar w:fldCharType="begin"/>
        </w:r>
        <w:r w:rsidR="00AC6AAD">
          <w:rPr>
            <w:noProof/>
            <w:webHidden/>
          </w:rPr>
          <w:instrText xml:space="preserve"> PAGEREF _Toc127191940 \h </w:instrText>
        </w:r>
        <w:r w:rsidR="00AC6AAD">
          <w:rPr>
            <w:noProof/>
            <w:webHidden/>
          </w:rPr>
        </w:r>
        <w:r w:rsidR="00AC6AAD">
          <w:rPr>
            <w:noProof/>
            <w:webHidden/>
          </w:rPr>
          <w:fldChar w:fldCharType="separate"/>
        </w:r>
        <w:r w:rsidR="00AC6AAD">
          <w:rPr>
            <w:noProof/>
            <w:webHidden/>
          </w:rPr>
          <w:t>35</w:t>
        </w:r>
        <w:r w:rsidR="00AC6AAD">
          <w:rPr>
            <w:noProof/>
            <w:webHidden/>
          </w:rPr>
          <w:fldChar w:fldCharType="end"/>
        </w:r>
      </w:hyperlink>
    </w:p>
    <w:p w14:paraId="30825940" w14:textId="059EBF66" w:rsidR="00AC6AAD" w:rsidRDefault="00D36400">
      <w:pPr>
        <w:pStyle w:val="TOC3"/>
        <w:rPr>
          <w:rFonts w:asciiTheme="minorHAnsi" w:eastAsiaTheme="minorEastAsia" w:hAnsiTheme="minorHAnsi" w:cstheme="minorBidi"/>
          <w:noProof/>
          <w:sz w:val="22"/>
          <w:szCs w:val="22"/>
          <w:lang w:eastAsia="en-AU"/>
        </w:rPr>
      </w:pPr>
      <w:hyperlink w:anchor="_Toc127191941" w:history="1">
        <w:r w:rsidR="00AC6AAD" w:rsidRPr="00397A34">
          <w:rPr>
            <w:rStyle w:val="Hyperlink"/>
            <w:noProof/>
          </w:rPr>
          <w:t>1.9.7</w:t>
        </w:r>
        <w:r w:rsidR="00AC6AAD">
          <w:rPr>
            <w:rFonts w:asciiTheme="minorHAnsi" w:eastAsiaTheme="minorEastAsia" w:hAnsiTheme="minorHAnsi" w:cstheme="minorBidi"/>
            <w:noProof/>
            <w:sz w:val="22"/>
            <w:szCs w:val="22"/>
            <w:lang w:eastAsia="en-AU"/>
          </w:rPr>
          <w:tab/>
        </w:r>
        <w:r w:rsidR="00AC6AAD" w:rsidRPr="00397A34">
          <w:rPr>
            <w:rStyle w:val="Hyperlink"/>
            <w:noProof/>
          </w:rPr>
          <w:t>Hospital in the Home</w:t>
        </w:r>
        <w:r w:rsidR="00AC6AAD">
          <w:rPr>
            <w:noProof/>
            <w:webHidden/>
          </w:rPr>
          <w:tab/>
        </w:r>
        <w:r w:rsidR="00AC6AAD">
          <w:rPr>
            <w:noProof/>
            <w:webHidden/>
          </w:rPr>
          <w:fldChar w:fldCharType="begin"/>
        </w:r>
        <w:r w:rsidR="00AC6AAD">
          <w:rPr>
            <w:noProof/>
            <w:webHidden/>
          </w:rPr>
          <w:instrText xml:space="preserve"> PAGEREF _Toc127191941 \h </w:instrText>
        </w:r>
        <w:r w:rsidR="00AC6AAD">
          <w:rPr>
            <w:noProof/>
            <w:webHidden/>
          </w:rPr>
        </w:r>
        <w:r w:rsidR="00AC6AAD">
          <w:rPr>
            <w:noProof/>
            <w:webHidden/>
          </w:rPr>
          <w:fldChar w:fldCharType="separate"/>
        </w:r>
        <w:r w:rsidR="00AC6AAD">
          <w:rPr>
            <w:noProof/>
            <w:webHidden/>
          </w:rPr>
          <w:t>35</w:t>
        </w:r>
        <w:r w:rsidR="00AC6AAD">
          <w:rPr>
            <w:noProof/>
            <w:webHidden/>
          </w:rPr>
          <w:fldChar w:fldCharType="end"/>
        </w:r>
      </w:hyperlink>
    </w:p>
    <w:p w14:paraId="13A6B070" w14:textId="288483C0" w:rsidR="00AC6AAD" w:rsidRDefault="00D36400">
      <w:pPr>
        <w:pStyle w:val="TOC2"/>
        <w:rPr>
          <w:rFonts w:asciiTheme="minorHAnsi" w:eastAsiaTheme="minorEastAsia" w:hAnsiTheme="minorHAnsi" w:cstheme="minorBidi"/>
          <w:b w:val="0"/>
          <w:bCs w:val="0"/>
          <w:sz w:val="22"/>
          <w:szCs w:val="22"/>
          <w:lang w:eastAsia="en-AU"/>
        </w:rPr>
      </w:pPr>
      <w:hyperlink w:anchor="_Toc127191942" w:history="1">
        <w:r w:rsidR="00AC6AAD" w:rsidRPr="00397A34">
          <w:rPr>
            <w:rStyle w:val="Hyperlink"/>
          </w:rPr>
          <w:t>1.10</w:t>
        </w:r>
        <w:r w:rsidR="00AC6AAD">
          <w:rPr>
            <w:rFonts w:asciiTheme="minorHAnsi" w:eastAsiaTheme="minorEastAsia" w:hAnsiTheme="minorHAnsi" w:cstheme="minorBidi"/>
            <w:b w:val="0"/>
            <w:bCs w:val="0"/>
            <w:sz w:val="22"/>
            <w:szCs w:val="22"/>
            <w:lang w:eastAsia="en-AU"/>
          </w:rPr>
          <w:tab/>
        </w:r>
        <w:r w:rsidR="00AC6AAD" w:rsidRPr="00397A34">
          <w:rPr>
            <w:rStyle w:val="Hyperlink"/>
          </w:rPr>
          <w:t>Subacute Admitted Services</w:t>
        </w:r>
        <w:r w:rsidR="00AC6AAD">
          <w:rPr>
            <w:webHidden/>
          </w:rPr>
          <w:tab/>
        </w:r>
        <w:r w:rsidR="00AC6AAD">
          <w:rPr>
            <w:webHidden/>
          </w:rPr>
          <w:fldChar w:fldCharType="begin"/>
        </w:r>
        <w:r w:rsidR="00AC6AAD">
          <w:rPr>
            <w:webHidden/>
          </w:rPr>
          <w:instrText xml:space="preserve"> PAGEREF _Toc127191942 \h </w:instrText>
        </w:r>
        <w:r w:rsidR="00AC6AAD">
          <w:rPr>
            <w:webHidden/>
          </w:rPr>
        </w:r>
        <w:r w:rsidR="00AC6AAD">
          <w:rPr>
            <w:webHidden/>
          </w:rPr>
          <w:fldChar w:fldCharType="separate"/>
        </w:r>
        <w:r w:rsidR="00AC6AAD">
          <w:rPr>
            <w:webHidden/>
          </w:rPr>
          <w:t>36</w:t>
        </w:r>
        <w:r w:rsidR="00AC6AAD">
          <w:rPr>
            <w:webHidden/>
          </w:rPr>
          <w:fldChar w:fldCharType="end"/>
        </w:r>
      </w:hyperlink>
    </w:p>
    <w:p w14:paraId="7CCB7766" w14:textId="2C875F22" w:rsidR="00AC6AAD" w:rsidRDefault="00D36400">
      <w:pPr>
        <w:pStyle w:val="TOC3"/>
        <w:rPr>
          <w:rFonts w:asciiTheme="minorHAnsi" w:eastAsiaTheme="minorEastAsia" w:hAnsiTheme="minorHAnsi" w:cstheme="minorBidi"/>
          <w:noProof/>
          <w:sz w:val="22"/>
          <w:szCs w:val="22"/>
          <w:lang w:eastAsia="en-AU"/>
        </w:rPr>
      </w:pPr>
      <w:hyperlink w:anchor="_Toc127191943" w:history="1">
        <w:r w:rsidR="00AC6AAD" w:rsidRPr="00397A34">
          <w:rPr>
            <w:rStyle w:val="Hyperlink"/>
            <w:noProof/>
          </w:rPr>
          <w:t>1.10.1</w:t>
        </w:r>
        <w:r w:rsidR="00AC6AAD">
          <w:rPr>
            <w:rFonts w:asciiTheme="minorHAnsi" w:eastAsiaTheme="minorEastAsia" w:hAnsiTheme="minorHAnsi" w:cstheme="minorBidi"/>
            <w:noProof/>
            <w:sz w:val="22"/>
            <w:szCs w:val="22"/>
            <w:lang w:eastAsia="en-AU"/>
          </w:rPr>
          <w:tab/>
        </w:r>
        <w:r w:rsidR="00AC6AAD" w:rsidRPr="00397A34">
          <w:rPr>
            <w:rStyle w:val="Hyperlink"/>
            <w:noProof/>
          </w:rPr>
          <w:t>Eligibility</w:t>
        </w:r>
        <w:r w:rsidR="00AC6AAD">
          <w:rPr>
            <w:noProof/>
            <w:webHidden/>
          </w:rPr>
          <w:tab/>
        </w:r>
        <w:r w:rsidR="00AC6AAD">
          <w:rPr>
            <w:noProof/>
            <w:webHidden/>
          </w:rPr>
          <w:fldChar w:fldCharType="begin"/>
        </w:r>
        <w:r w:rsidR="00AC6AAD">
          <w:rPr>
            <w:noProof/>
            <w:webHidden/>
          </w:rPr>
          <w:instrText xml:space="preserve"> PAGEREF _Toc127191943 \h </w:instrText>
        </w:r>
        <w:r w:rsidR="00AC6AAD">
          <w:rPr>
            <w:noProof/>
            <w:webHidden/>
          </w:rPr>
        </w:r>
        <w:r w:rsidR="00AC6AAD">
          <w:rPr>
            <w:noProof/>
            <w:webHidden/>
          </w:rPr>
          <w:fldChar w:fldCharType="separate"/>
        </w:r>
        <w:r w:rsidR="00AC6AAD">
          <w:rPr>
            <w:noProof/>
            <w:webHidden/>
          </w:rPr>
          <w:t>36</w:t>
        </w:r>
        <w:r w:rsidR="00AC6AAD">
          <w:rPr>
            <w:noProof/>
            <w:webHidden/>
          </w:rPr>
          <w:fldChar w:fldCharType="end"/>
        </w:r>
      </w:hyperlink>
    </w:p>
    <w:p w14:paraId="24B08588" w14:textId="104D439F" w:rsidR="00AC6AAD" w:rsidRDefault="00D36400">
      <w:pPr>
        <w:pStyle w:val="TOC3"/>
        <w:rPr>
          <w:rFonts w:asciiTheme="minorHAnsi" w:eastAsiaTheme="minorEastAsia" w:hAnsiTheme="minorHAnsi" w:cstheme="minorBidi"/>
          <w:noProof/>
          <w:sz w:val="22"/>
          <w:szCs w:val="22"/>
          <w:lang w:eastAsia="en-AU"/>
        </w:rPr>
      </w:pPr>
      <w:hyperlink w:anchor="_Toc127191944" w:history="1">
        <w:r w:rsidR="00AC6AAD" w:rsidRPr="00397A34">
          <w:rPr>
            <w:rStyle w:val="Hyperlink"/>
            <w:noProof/>
          </w:rPr>
          <w:t>1.10.2</w:t>
        </w:r>
        <w:r w:rsidR="00AC6AAD">
          <w:rPr>
            <w:rFonts w:asciiTheme="minorHAnsi" w:eastAsiaTheme="minorEastAsia" w:hAnsiTheme="minorHAnsi" w:cstheme="minorBidi"/>
            <w:noProof/>
            <w:sz w:val="22"/>
            <w:szCs w:val="22"/>
            <w:lang w:eastAsia="en-AU"/>
          </w:rPr>
          <w:tab/>
        </w:r>
        <w:r w:rsidR="00AC6AAD" w:rsidRPr="00397A34">
          <w:rPr>
            <w:rStyle w:val="Hyperlink"/>
            <w:noProof/>
          </w:rPr>
          <w:t>Business Rules</w:t>
        </w:r>
        <w:r w:rsidR="00AC6AAD">
          <w:rPr>
            <w:noProof/>
            <w:webHidden/>
          </w:rPr>
          <w:tab/>
        </w:r>
        <w:r w:rsidR="00AC6AAD">
          <w:rPr>
            <w:noProof/>
            <w:webHidden/>
          </w:rPr>
          <w:fldChar w:fldCharType="begin"/>
        </w:r>
        <w:r w:rsidR="00AC6AAD">
          <w:rPr>
            <w:noProof/>
            <w:webHidden/>
          </w:rPr>
          <w:instrText xml:space="preserve"> PAGEREF _Toc127191944 \h </w:instrText>
        </w:r>
        <w:r w:rsidR="00AC6AAD">
          <w:rPr>
            <w:noProof/>
            <w:webHidden/>
          </w:rPr>
        </w:r>
        <w:r w:rsidR="00AC6AAD">
          <w:rPr>
            <w:noProof/>
            <w:webHidden/>
          </w:rPr>
          <w:fldChar w:fldCharType="separate"/>
        </w:r>
        <w:r w:rsidR="00AC6AAD">
          <w:rPr>
            <w:noProof/>
            <w:webHidden/>
          </w:rPr>
          <w:t>36</w:t>
        </w:r>
        <w:r w:rsidR="00AC6AAD">
          <w:rPr>
            <w:noProof/>
            <w:webHidden/>
          </w:rPr>
          <w:fldChar w:fldCharType="end"/>
        </w:r>
      </w:hyperlink>
    </w:p>
    <w:p w14:paraId="22FF8774" w14:textId="351796F9" w:rsidR="00AC6AAD" w:rsidRDefault="00D36400">
      <w:pPr>
        <w:pStyle w:val="TOC3"/>
        <w:rPr>
          <w:rFonts w:asciiTheme="minorHAnsi" w:eastAsiaTheme="minorEastAsia" w:hAnsiTheme="minorHAnsi" w:cstheme="minorBidi"/>
          <w:noProof/>
          <w:sz w:val="22"/>
          <w:szCs w:val="22"/>
          <w:lang w:eastAsia="en-AU"/>
        </w:rPr>
      </w:pPr>
      <w:hyperlink w:anchor="_Toc127191945" w:history="1">
        <w:r w:rsidR="00AC6AAD" w:rsidRPr="00397A34">
          <w:rPr>
            <w:rStyle w:val="Hyperlink"/>
            <w:noProof/>
          </w:rPr>
          <w:t>1.10.3</w:t>
        </w:r>
        <w:r w:rsidR="00AC6AAD">
          <w:rPr>
            <w:rFonts w:asciiTheme="minorHAnsi" w:eastAsiaTheme="minorEastAsia" w:hAnsiTheme="minorHAnsi" w:cstheme="minorBidi"/>
            <w:noProof/>
            <w:sz w:val="22"/>
            <w:szCs w:val="22"/>
            <w:lang w:eastAsia="en-AU"/>
          </w:rPr>
          <w:tab/>
        </w:r>
        <w:r w:rsidR="00AC6AAD" w:rsidRPr="00397A34">
          <w:rPr>
            <w:rStyle w:val="Hyperlink"/>
            <w:noProof/>
          </w:rPr>
          <w:t>NWAU Price Weights</w:t>
        </w:r>
        <w:r w:rsidR="00AC6AAD">
          <w:rPr>
            <w:noProof/>
            <w:webHidden/>
          </w:rPr>
          <w:tab/>
        </w:r>
        <w:r w:rsidR="00AC6AAD">
          <w:rPr>
            <w:noProof/>
            <w:webHidden/>
          </w:rPr>
          <w:fldChar w:fldCharType="begin"/>
        </w:r>
        <w:r w:rsidR="00AC6AAD">
          <w:rPr>
            <w:noProof/>
            <w:webHidden/>
          </w:rPr>
          <w:instrText xml:space="preserve"> PAGEREF _Toc127191945 \h </w:instrText>
        </w:r>
        <w:r w:rsidR="00AC6AAD">
          <w:rPr>
            <w:noProof/>
            <w:webHidden/>
          </w:rPr>
        </w:r>
        <w:r w:rsidR="00AC6AAD">
          <w:rPr>
            <w:noProof/>
            <w:webHidden/>
          </w:rPr>
          <w:fldChar w:fldCharType="separate"/>
        </w:r>
        <w:r w:rsidR="00AC6AAD">
          <w:rPr>
            <w:noProof/>
            <w:webHidden/>
          </w:rPr>
          <w:t>37</w:t>
        </w:r>
        <w:r w:rsidR="00AC6AAD">
          <w:rPr>
            <w:noProof/>
            <w:webHidden/>
          </w:rPr>
          <w:fldChar w:fldCharType="end"/>
        </w:r>
      </w:hyperlink>
    </w:p>
    <w:p w14:paraId="3FFC26D6" w14:textId="05FB54B7" w:rsidR="00AC6AAD" w:rsidRDefault="00D36400">
      <w:pPr>
        <w:pStyle w:val="TOC3"/>
        <w:rPr>
          <w:rFonts w:asciiTheme="minorHAnsi" w:eastAsiaTheme="minorEastAsia" w:hAnsiTheme="minorHAnsi" w:cstheme="minorBidi"/>
          <w:noProof/>
          <w:sz w:val="22"/>
          <w:szCs w:val="22"/>
          <w:lang w:eastAsia="en-AU"/>
        </w:rPr>
      </w:pPr>
      <w:hyperlink w:anchor="_Toc127191946" w:history="1">
        <w:r w:rsidR="00AC6AAD" w:rsidRPr="00397A34">
          <w:rPr>
            <w:rStyle w:val="Hyperlink"/>
            <w:noProof/>
          </w:rPr>
          <w:t>1.10.4</w:t>
        </w:r>
        <w:r w:rsidR="00AC6AAD">
          <w:rPr>
            <w:rFonts w:asciiTheme="minorHAnsi" w:eastAsiaTheme="minorEastAsia" w:hAnsiTheme="minorHAnsi" w:cstheme="minorBidi"/>
            <w:noProof/>
            <w:sz w:val="22"/>
            <w:szCs w:val="22"/>
            <w:lang w:eastAsia="en-AU"/>
          </w:rPr>
          <w:tab/>
        </w:r>
        <w:r w:rsidR="00AC6AAD" w:rsidRPr="00397A34">
          <w:rPr>
            <w:rStyle w:val="Hyperlink"/>
            <w:noProof/>
          </w:rPr>
          <w:t>Pricing</w:t>
        </w:r>
        <w:r w:rsidR="00AC6AAD">
          <w:rPr>
            <w:noProof/>
            <w:webHidden/>
          </w:rPr>
          <w:tab/>
        </w:r>
        <w:r w:rsidR="00AC6AAD">
          <w:rPr>
            <w:noProof/>
            <w:webHidden/>
          </w:rPr>
          <w:fldChar w:fldCharType="begin"/>
        </w:r>
        <w:r w:rsidR="00AC6AAD">
          <w:rPr>
            <w:noProof/>
            <w:webHidden/>
          </w:rPr>
          <w:instrText xml:space="preserve"> PAGEREF _Toc127191946 \h </w:instrText>
        </w:r>
        <w:r w:rsidR="00AC6AAD">
          <w:rPr>
            <w:noProof/>
            <w:webHidden/>
          </w:rPr>
        </w:r>
        <w:r w:rsidR="00AC6AAD">
          <w:rPr>
            <w:noProof/>
            <w:webHidden/>
          </w:rPr>
          <w:fldChar w:fldCharType="separate"/>
        </w:r>
        <w:r w:rsidR="00AC6AAD">
          <w:rPr>
            <w:noProof/>
            <w:webHidden/>
          </w:rPr>
          <w:t>38</w:t>
        </w:r>
        <w:r w:rsidR="00AC6AAD">
          <w:rPr>
            <w:noProof/>
            <w:webHidden/>
          </w:rPr>
          <w:fldChar w:fldCharType="end"/>
        </w:r>
      </w:hyperlink>
    </w:p>
    <w:p w14:paraId="476AB456" w14:textId="731C1AAF" w:rsidR="00AC6AAD" w:rsidRDefault="00D36400">
      <w:pPr>
        <w:pStyle w:val="TOC2"/>
        <w:rPr>
          <w:rFonts w:asciiTheme="minorHAnsi" w:eastAsiaTheme="minorEastAsia" w:hAnsiTheme="minorHAnsi" w:cstheme="minorBidi"/>
          <w:b w:val="0"/>
          <w:bCs w:val="0"/>
          <w:sz w:val="22"/>
          <w:szCs w:val="22"/>
          <w:lang w:eastAsia="en-AU"/>
        </w:rPr>
      </w:pPr>
      <w:hyperlink w:anchor="_Toc127191947" w:history="1">
        <w:r w:rsidR="00AC6AAD" w:rsidRPr="00397A34">
          <w:rPr>
            <w:rStyle w:val="Hyperlink"/>
          </w:rPr>
          <w:t>1.11</w:t>
        </w:r>
        <w:r w:rsidR="00AC6AAD">
          <w:rPr>
            <w:rFonts w:asciiTheme="minorHAnsi" w:eastAsiaTheme="minorEastAsia" w:hAnsiTheme="minorHAnsi" w:cstheme="minorBidi"/>
            <w:b w:val="0"/>
            <w:bCs w:val="0"/>
            <w:sz w:val="22"/>
            <w:szCs w:val="22"/>
            <w:lang w:eastAsia="en-AU"/>
          </w:rPr>
          <w:tab/>
        </w:r>
        <w:r w:rsidR="00AC6AAD" w:rsidRPr="00397A34">
          <w:rPr>
            <w:rStyle w:val="Hyperlink"/>
          </w:rPr>
          <w:t>Emergency Care Services</w:t>
        </w:r>
        <w:r w:rsidR="00AC6AAD">
          <w:rPr>
            <w:webHidden/>
          </w:rPr>
          <w:tab/>
        </w:r>
        <w:r w:rsidR="00AC6AAD">
          <w:rPr>
            <w:webHidden/>
          </w:rPr>
          <w:fldChar w:fldCharType="begin"/>
        </w:r>
        <w:r w:rsidR="00AC6AAD">
          <w:rPr>
            <w:webHidden/>
          </w:rPr>
          <w:instrText xml:space="preserve"> PAGEREF _Toc127191947 \h </w:instrText>
        </w:r>
        <w:r w:rsidR="00AC6AAD">
          <w:rPr>
            <w:webHidden/>
          </w:rPr>
        </w:r>
        <w:r w:rsidR="00AC6AAD">
          <w:rPr>
            <w:webHidden/>
          </w:rPr>
          <w:fldChar w:fldCharType="separate"/>
        </w:r>
        <w:r w:rsidR="00AC6AAD">
          <w:rPr>
            <w:webHidden/>
          </w:rPr>
          <w:t>39</w:t>
        </w:r>
        <w:r w:rsidR="00AC6AAD">
          <w:rPr>
            <w:webHidden/>
          </w:rPr>
          <w:fldChar w:fldCharType="end"/>
        </w:r>
      </w:hyperlink>
    </w:p>
    <w:p w14:paraId="639523DA" w14:textId="4265B11C" w:rsidR="00AC6AAD" w:rsidRDefault="00D36400">
      <w:pPr>
        <w:pStyle w:val="TOC3"/>
        <w:rPr>
          <w:rFonts w:asciiTheme="minorHAnsi" w:eastAsiaTheme="minorEastAsia" w:hAnsiTheme="minorHAnsi" w:cstheme="minorBidi"/>
          <w:noProof/>
          <w:sz w:val="22"/>
          <w:szCs w:val="22"/>
          <w:lang w:eastAsia="en-AU"/>
        </w:rPr>
      </w:pPr>
      <w:hyperlink w:anchor="_Toc127191948" w:history="1">
        <w:r w:rsidR="00AC6AAD" w:rsidRPr="00397A34">
          <w:rPr>
            <w:rStyle w:val="Hyperlink"/>
            <w:noProof/>
          </w:rPr>
          <w:t>1.11.1</w:t>
        </w:r>
        <w:r w:rsidR="00AC6AAD">
          <w:rPr>
            <w:rFonts w:asciiTheme="minorHAnsi" w:eastAsiaTheme="minorEastAsia" w:hAnsiTheme="minorHAnsi" w:cstheme="minorBidi"/>
            <w:noProof/>
            <w:sz w:val="22"/>
            <w:szCs w:val="22"/>
            <w:lang w:eastAsia="en-AU"/>
          </w:rPr>
          <w:tab/>
        </w:r>
        <w:r w:rsidR="00AC6AAD" w:rsidRPr="00397A34">
          <w:rPr>
            <w:rStyle w:val="Hyperlink"/>
            <w:noProof/>
          </w:rPr>
          <w:t>Eligibility</w:t>
        </w:r>
        <w:r w:rsidR="00AC6AAD">
          <w:rPr>
            <w:noProof/>
            <w:webHidden/>
          </w:rPr>
          <w:tab/>
        </w:r>
        <w:r w:rsidR="00AC6AAD">
          <w:rPr>
            <w:noProof/>
            <w:webHidden/>
          </w:rPr>
          <w:fldChar w:fldCharType="begin"/>
        </w:r>
        <w:r w:rsidR="00AC6AAD">
          <w:rPr>
            <w:noProof/>
            <w:webHidden/>
          </w:rPr>
          <w:instrText xml:space="preserve"> PAGEREF _Toc127191948 \h </w:instrText>
        </w:r>
        <w:r w:rsidR="00AC6AAD">
          <w:rPr>
            <w:noProof/>
            <w:webHidden/>
          </w:rPr>
        </w:r>
        <w:r w:rsidR="00AC6AAD">
          <w:rPr>
            <w:noProof/>
            <w:webHidden/>
          </w:rPr>
          <w:fldChar w:fldCharType="separate"/>
        </w:r>
        <w:r w:rsidR="00AC6AAD">
          <w:rPr>
            <w:noProof/>
            <w:webHidden/>
          </w:rPr>
          <w:t>39</w:t>
        </w:r>
        <w:r w:rsidR="00AC6AAD">
          <w:rPr>
            <w:noProof/>
            <w:webHidden/>
          </w:rPr>
          <w:fldChar w:fldCharType="end"/>
        </w:r>
      </w:hyperlink>
    </w:p>
    <w:p w14:paraId="6B8D4F83" w14:textId="5F047BAE" w:rsidR="00AC6AAD" w:rsidRDefault="00D36400">
      <w:pPr>
        <w:pStyle w:val="TOC3"/>
        <w:rPr>
          <w:rFonts w:asciiTheme="minorHAnsi" w:eastAsiaTheme="minorEastAsia" w:hAnsiTheme="minorHAnsi" w:cstheme="minorBidi"/>
          <w:noProof/>
          <w:sz w:val="22"/>
          <w:szCs w:val="22"/>
          <w:lang w:eastAsia="en-AU"/>
        </w:rPr>
      </w:pPr>
      <w:hyperlink w:anchor="_Toc127191949" w:history="1">
        <w:r w:rsidR="00AC6AAD" w:rsidRPr="00397A34">
          <w:rPr>
            <w:rStyle w:val="Hyperlink"/>
            <w:noProof/>
          </w:rPr>
          <w:t>1.11.2</w:t>
        </w:r>
        <w:r w:rsidR="00AC6AAD">
          <w:rPr>
            <w:rFonts w:asciiTheme="minorHAnsi" w:eastAsiaTheme="minorEastAsia" w:hAnsiTheme="minorHAnsi" w:cstheme="minorBidi"/>
            <w:noProof/>
            <w:sz w:val="22"/>
            <w:szCs w:val="22"/>
            <w:lang w:eastAsia="en-AU"/>
          </w:rPr>
          <w:tab/>
        </w:r>
        <w:r w:rsidR="00AC6AAD" w:rsidRPr="00397A34">
          <w:rPr>
            <w:rStyle w:val="Hyperlink"/>
            <w:noProof/>
          </w:rPr>
          <w:t>Business Rules</w:t>
        </w:r>
        <w:r w:rsidR="00AC6AAD">
          <w:rPr>
            <w:noProof/>
            <w:webHidden/>
          </w:rPr>
          <w:tab/>
        </w:r>
        <w:r w:rsidR="00AC6AAD">
          <w:rPr>
            <w:noProof/>
            <w:webHidden/>
          </w:rPr>
          <w:fldChar w:fldCharType="begin"/>
        </w:r>
        <w:r w:rsidR="00AC6AAD">
          <w:rPr>
            <w:noProof/>
            <w:webHidden/>
          </w:rPr>
          <w:instrText xml:space="preserve"> PAGEREF _Toc127191949 \h </w:instrText>
        </w:r>
        <w:r w:rsidR="00AC6AAD">
          <w:rPr>
            <w:noProof/>
            <w:webHidden/>
          </w:rPr>
        </w:r>
        <w:r w:rsidR="00AC6AAD">
          <w:rPr>
            <w:noProof/>
            <w:webHidden/>
          </w:rPr>
          <w:fldChar w:fldCharType="separate"/>
        </w:r>
        <w:r w:rsidR="00AC6AAD">
          <w:rPr>
            <w:noProof/>
            <w:webHidden/>
          </w:rPr>
          <w:t>39</w:t>
        </w:r>
        <w:r w:rsidR="00AC6AAD">
          <w:rPr>
            <w:noProof/>
            <w:webHidden/>
          </w:rPr>
          <w:fldChar w:fldCharType="end"/>
        </w:r>
      </w:hyperlink>
    </w:p>
    <w:p w14:paraId="27305552" w14:textId="78FF3171" w:rsidR="00AC6AAD" w:rsidRDefault="00D36400">
      <w:pPr>
        <w:pStyle w:val="TOC3"/>
        <w:rPr>
          <w:rFonts w:asciiTheme="minorHAnsi" w:eastAsiaTheme="minorEastAsia" w:hAnsiTheme="minorHAnsi" w:cstheme="minorBidi"/>
          <w:noProof/>
          <w:sz w:val="22"/>
          <w:szCs w:val="22"/>
          <w:lang w:eastAsia="en-AU"/>
        </w:rPr>
      </w:pPr>
      <w:hyperlink w:anchor="_Toc127191950" w:history="1">
        <w:r w:rsidR="00AC6AAD" w:rsidRPr="00397A34">
          <w:rPr>
            <w:rStyle w:val="Hyperlink"/>
            <w:noProof/>
          </w:rPr>
          <w:t>1.11.3</w:t>
        </w:r>
        <w:r w:rsidR="00AC6AAD">
          <w:rPr>
            <w:rFonts w:asciiTheme="minorHAnsi" w:eastAsiaTheme="minorEastAsia" w:hAnsiTheme="minorHAnsi" w:cstheme="minorBidi"/>
            <w:noProof/>
            <w:sz w:val="22"/>
            <w:szCs w:val="22"/>
            <w:lang w:eastAsia="en-AU"/>
          </w:rPr>
          <w:tab/>
        </w:r>
        <w:r w:rsidR="00AC6AAD" w:rsidRPr="00397A34">
          <w:rPr>
            <w:rStyle w:val="Hyperlink"/>
            <w:noProof/>
          </w:rPr>
          <w:t>NWAU Price Weights</w:t>
        </w:r>
        <w:r w:rsidR="00AC6AAD">
          <w:rPr>
            <w:noProof/>
            <w:webHidden/>
          </w:rPr>
          <w:tab/>
        </w:r>
        <w:r w:rsidR="00AC6AAD">
          <w:rPr>
            <w:noProof/>
            <w:webHidden/>
          </w:rPr>
          <w:fldChar w:fldCharType="begin"/>
        </w:r>
        <w:r w:rsidR="00AC6AAD">
          <w:rPr>
            <w:noProof/>
            <w:webHidden/>
          </w:rPr>
          <w:instrText xml:space="preserve"> PAGEREF _Toc127191950 \h </w:instrText>
        </w:r>
        <w:r w:rsidR="00AC6AAD">
          <w:rPr>
            <w:noProof/>
            <w:webHidden/>
          </w:rPr>
        </w:r>
        <w:r w:rsidR="00AC6AAD">
          <w:rPr>
            <w:noProof/>
            <w:webHidden/>
          </w:rPr>
          <w:fldChar w:fldCharType="separate"/>
        </w:r>
        <w:r w:rsidR="00AC6AAD">
          <w:rPr>
            <w:noProof/>
            <w:webHidden/>
          </w:rPr>
          <w:t>39</w:t>
        </w:r>
        <w:r w:rsidR="00AC6AAD">
          <w:rPr>
            <w:noProof/>
            <w:webHidden/>
          </w:rPr>
          <w:fldChar w:fldCharType="end"/>
        </w:r>
      </w:hyperlink>
    </w:p>
    <w:p w14:paraId="0445E0AB" w14:textId="747D5574" w:rsidR="00AC6AAD" w:rsidRDefault="00D36400">
      <w:pPr>
        <w:pStyle w:val="TOC3"/>
        <w:rPr>
          <w:rFonts w:asciiTheme="minorHAnsi" w:eastAsiaTheme="minorEastAsia" w:hAnsiTheme="minorHAnsi" w:cstheme="minorBidi"/>
          <w:noProof/>
          <w:sz w:val="22"/>
          <w:szCs w:val="22"/>
          <w:lang w:eastAsia="en-AU"/>
        </w:rPr>
      </w:pPr>
      <w:hyperlink w:anchor="_Toc127191951" w:history="1">
        <w:r w:rsidR="00AC6AAD" w:rsidRPr="00397A34">
          <w:rPr>
            <w:rStyle w:val="Hyperlink"/>
            <w:noProof/>
          </w:rPr>
          <w:t>1.11.4</w:t>
        </w:r>
        <w:r w:rsidR="00AC6AAD">
          <w:rPr>
            <w:rFonts w:asciiTheme="minorHAnsi" w:eastAsiaTheme="minorEastAsia" w:hAnsiTheme="minorHAnsi" w:cstheme="minorBidi"/>
            <w:noProof/>
            <w:sz w:val="22"/>
            <w:szCs w:val="22"/>
            <w:lang w:eastAsia="en-AU"/>
          </w:rPr>
          <w:tab/>
        </w:r>
        <w:r w:rsidR="00AC6AAD" w:rsidRPr="00397A34">
          <w:rPr>
            <w:rStyle w:val="Hyperlink"/>
            <w:noProof/>
          </w:rPr>
          <w:t>Pricing</w:t>
        </w:r>
        <w:r w:rsidR="00AC6AAD">
          <w:rPr>
            <w:noProof/>
            <w:webHidden/>
          </w:rPr>
          <w:tab/>
        </w:r>
        <w:r w:rsidR="00AC6AAD">
          <w:rPr>
            <w:noProof/>
            <w:webHidden/>
          </w:rPr>
          <w:fldChar w:fldCharType="begin"/>
        </w:r>
        <w:r w:rsidR="00AC6AAD">
          <w:rPr>
            <w:noProof/>
            <w:webHidden/>
          </w:rPr>
          <w:instrText xml:space="preserve"> PAGEREF _Toc127191951 \h </w:instrText>
        </w:r>
        <w:r w:rsidR="00AC6AAD">
          <w:rPr>
            <w:noProof/>
            <w:webHidden/>
          </w:rPr>
        </w:r>
        <w:r w:rsidR="00AC6AAD">
          <w:rPr>
            <w:noProof/>
            <w:webHidden/>
          </w:rPr>
          <w:fldChar w:fldCharType="separate"/>
        </w:r>
        <w:r w:rsidR="00AC6AAD">
          <w:rPr>
            <w:noProof/>
            <w:webHidden/>
          </w:rPr>
          <w:t>40</w:t>
        </w:r>
        <w:r w:rsidR="00AC6AAD">
          <w:rPr>
            <w:noProof/>
            <w:webHidden/>
          </w:rPr>
          <w:fldChar w:fldCharType="end"/>
        </w:r>
      </w:hyperlink>
    </w:p>
    <w:p w14:paraId="07C8A43E" w14:textId="05AA5F8B" w:rsidR="00AC6AAD" w:rsidRDefault="00D36400">
      <w:pPr>
        <w:pStyle w:val="TOC2"/>
        <w:rPr>
          <w:rFonts w:asciiTheme="minorHAnsi" w:eastAsiaTheme="minorEastAsia" w:hAnsiTheme="minorHAnsi" w:cstheme="minorBidi"/>
          <w:b w:val="0"/>
          <w:bCs w:val="0"/>
          <w:sz w:val="22"/>
          <w:szCs w:val="22"/>
          <w:lang w:eastAsia="en-AU"/>
        </w:rPr>
      </w:pPr>
      <w:hyperlink w:anchor="_Toc127191952" w:history="1">
        <w:r w:rsidR="00AC6AAD" w:rsidRPr="00397A34">
          <w:rPr>
            <w:rStyle w:val="Hyperlink"/>
          </w:rPr>
          <w:t>1.12</w:t>
        </w:r>
        <w:r w:rsidR="00AC6AAD">
          <w:rPr>
            <w:rFonts w:asciiTheme="minorHAnsi" w:eastAsiaTheme="minorEastAsia" w:hAnsiTheme="minorHAnsi" w:cstheme="minorBidi"/>
            <w:b w:val="0"/>
            <w:bCs w:val="0"/>
            <w:sz w:val="22"/>
            <w:szCs w:val="22"/>
            <w:lang w:eastAsia="en-AU"/>
          </w:rPr>
          <w:tab/>
        </w:r>
        <w:r w:rsidR="00AC6AAD" w:rsidRPr="00397A34">
          <w:rPr>
            <w:rStyle w:val="Hyperlink"/>
          </w:rPr>
          <w:t>Non-Admitted Activity-Based Funded Services</w:t>
        </w:r>
        <w:r w:rsidR="00AC6AAD">
          <w:rPr>
            <w:webHidden/>
          </w:rPr>
          <w:tab/>
        </w:r>
        <w:r w:rsidR="00AC6AAD">
          <w:rPr>
            <w:webHidden/>
          </w:rPr>
          <w:fldChar w:fldCharType="begin"/>
        </w:r>
        <w:r w:rsidR="00AC6AAD">
          <w:rPr>
            <w:webHidden/>
          </w:rPr>
          <w:instrText xml:space="preserve"> PAGEREF _Toc127191952 \h </w:instrText>
        </w:r>
        <w:r w:rsidR="00AC6AAD">
          <w:rPr>
            <w:webHidden/>
          </w:rPr>
        </w:r>
        <w:r w:rsidR="00AC6AAD">
          <w:rPr>
            <w:webHidden/>
          </w:rPr>
          <w:fldChar w:fldCharType="separate"/>
        </w:r>
        <w:r w:rsidR="00AC6AAD">
          <w:rPr>
            <w:webHidden/>
          </w:rPr>
          <w:t>41</w:t>
        </w:r>
        <w:r w:rsidR="00AC6AAD">
          <w:rPr>
            <w:webHidden/>
          </w:rPr>
          <w:fldChar w:fldCharType="end"/>
        </w:r>
      </w:hyperlink>
    </w:p>
    <w:p w14:paraId="375180C4" w14:textId="6C35EDAC" w:rsidR="00AC6AAD" w:rsidRDefault="00D36400">
      <w:pPr>
        <w:pStyle w:val="TOC3"/>
        <w:rPr>
          <w:rFonts w:asciiTheme="minorHAnsi" w:eastAsiaTheme="minorEastAsia" w:hAnsiTheme="minorHAnsi" w:cstheme="minorBidi"/>
          <w:noProof/>
          <w:sz w:val="22"/>
          <w:szCs w:val="22"/>
          <w:lang w:eastAsia="en-AU"/>
        </w:rPr>
      </w:pPr>
      <w:hyperlink w:anchor="_Toc127191953" w:history="1">
        <w:r w:rsidR="00AC6AAD" w:rsidRPr="00397A34">
          <w:rPr>
            <w:rStyle w:val="Hyperlink"/>
            <w:noProof/>
          </w:rPr>
          <w:t>1.12.1</w:t>
        </w:r>
        <w:r w:rsidR="00AC6AAD">
          <w:rPr>
            <w:rFonts w:asciiTheme="minorHAnsi" w:eastAsiaTheme="minorEastAsia" w:hAnsiTheme="minorHAnsi" w:cstheme="minorBidi"/>
            <w:noProof/>
            <w:sz w:val="22"/>
            <w:szCs w:val="22"/>
            <w:lang w:eastAsia="en-AU"/>
          </w:rPr>
          <w:tab/>
        </w:r>
        <w:r w:rsidR="00AC6AAD" w:rsidRPr="00397A34">
          <w:rPr>
            <w:rStyle w:val="Hyperlink"/>
            <w:noProof/>
          </w:rPr>
          <w:t>Eligibility</w:t>
        </w:r>
        <w:r w:rsidR="00AC6AAD">
          <w:rPr>
            <w:noProof/>
            <w:webHidden/>
          </w:rPr>
          <w:tab/>
        </w:r>
        <w:r w:rsidR="00AC6AAD">
          <w:rPr>
            <w:noProof/>
            <w:webHidden/>
          </w:rPr>
          <w:fldChar w:fldCharType="begin"/>
        </w:r>
        <w:r w:rsidR="00AC6AAD">
          <w:rPr>
            <w:noProof/>
            <w:webHidden/>
          </w:rPr>
          <w:instrText xml:space="preserve"> PAGEREF _Toc127191953 \h </w:instrText>
        </w:r>
        <w:r w:rsidR="00AC6AAD">
          <w:rPr>
            <w:noProof/>
            <w:webHidden/>
          </w:rPr>
        </w:r>
        <w:r w:rsidR="00AC6AAD">
          <w:rPr>
            <w:noProof/>
            <w:webHidden/>
          </w:rPr>
          <w:fldChar w:fldCharType="separate"/>
        </w:r>
        <w:r w:rsidR="00AC6AAD">
          <w:rPr>
            <w:noProof/>
            <w:webHidden/>
          </w:rPr>
          <w:t>41</w:t>
        </w:r>
        <w:r w:rsidR="00AC6AAD">
          <w:rPr>
            <w:noProof/>
            <w:webHidden/>
          </w:rPr>
          <w:fldChar w:fldCharType="end"/>
        </w:r>
      </w:hyperlink>
    </w:p>
    <w:p w14:paraId="4CC5B96B" w14:textId="42DD6561" w:rsidR="00AC6AAD" w:rsidRDefault="00D36400">
      <w:pPr>
        <w:pStyle w:val="TOC3"/>
        <w:rPr>
          <w:rFonts w:asciiTheme="minorHAnsi" w:eastAsiaTheme="minorEastAsia" w:hAnsiTheme="minorHAnsi" w:cstheme="minorBidi"/>
          <w:noProof/>
          <w:sz w:val="22"/>
          <w:szCs w:val="22"/>
          <w:lang w:eastAsia="en-AU"/>
        </w:rPr>
      </w:pPr>
      <w:hyperlink w:anchor="_Toc127191954" w:history="1">
        <w:r w:rsidR="00AC6AAD" w:rsidRPr="00397A34">
          <w:rPr>
            <w:rStyle w:val="Hyperlink"/>
            <w:noProof/>
          </w:rPr>
          <w:t>1.12.2</w:t>
        </w:r>
        <w:r w:rsidR="00AC6AAD">
          <w:rPr>
            <w:rFonts w:asciiTheme="minorHAnsi" w:eastAsiaTheme="minorEastAsia" w:hAnsiTheme="minorHAnsi" w:cstheme="minorBidi"/>
            <w:noProof/>
            <w:sz w:val="22"/>
            <w:szCs w:val="22"/>
            <w:lang w:eastAsia="en-AU"/>
          </w:rPr>
          <w:tab/>
        </w:r>
        <w:r w:rsidR="00AC6AAD" w:rsidRPr="00397A34">
          <w:rPr>
            <w:rStyle w:val="Hyperlink"/>
            <w:noProof/>
          </w:rPr>
          <w:t>Business Rules</w:t>
        </w:r>
        <w:r w:rsidR="00AC6AAD">
          <w:rPr>
            <w:noProof/>
            <w:webHidden/>
          </w:rPr>
          <w:tab/>
        </w:r>
        <w:r w:rsidR="00AC6AAD">
          <w:rPr>
            <w:noProof/>
            <w:webHidden/>
          </w:rPr>
          <w:fldChar w:fldCharType="begin"/>
        </w:r>
        <w:r w:rsidR="00AC6AAD">
          <w:rPr>
            <w:noProof/>
            <w:webHidden/>
          </w:rPr>
          <w:instrText xml:space="preserve"> PAGEREF _Toc127191954 \h </w:instrText>
        </w:r>
        <w:r w:rsidR="00AC6AAD">
          <w:rPr>
            <w:noProof/>
            <w:webHidden/>
          </w:rPr>
        </w:r>
        <w:r w:rsidR="00AC6AAD">
          <w:rPr>
            <w:noProof/>
            <w:webHidden/>
          </w:rPr>
          <w:fldChar w:fldCharType="separate"/>
        </w:r>
        <w:r w:rsidR="00AC6AAD">
          <w:rPr>
            <w:noProof/>
            <w:webHidden/>
          </w:rPr>
          <w:t>41</w:t>
        </w:r>
        <w:r w:rsidR="00AC6AAD">
          <w:rPr>
            <w:noProof/>
            <w:webHidden/>
          </w:rPr>
          <w:fldChar w:fldCharType="end"/>
        </w:r>
      </w:hyperlink>
    </w:p>
    <w:p w14:paraId="58670C05" w14:textId="57C4BF46" w:rsidR="00AC6AAD" w:rsidRDefault="00D36400">
      <w:pPr>
        <w:pStyle w:val="TOC3"/>
        <w:rPr>
          <w:rFonts w:asciiTheme="minorHAnsi" w:eastAsiaTheme="minorEastAsia" w:hAnsiTheme="minorHAnsi" w:cstheme="minorBidi"/>
          <w:noProof/>
          <w:sz w:val="22"/>
          <w:szCs w:val="22"/>
          <w:lang w:eastAsia="en-AU"/>
        </w:rPr>
      </w:pPr>
      <w:hyperlink w:anchor="_Toc127191955" w:history="1">
        <w:r w:rsidR="00AC6AAD" w:rsidRPr="00397A34">
          <w:rPr>
            <w:rStyle w:val="Hyperlink"/>
            <w:noProof/>
          </w:rPr>
          <w:t>1.12.3</w:t>
        </w:r>
        <w:r w:rsidR="00AC6AAD">
          <w:rPr>
            <w:rFonts w:asciiTheme="minorHAnsi" w:eastAsiaTheme="minorEastAsia" w:hAnsiTheme="minorHAnsi" w:cstheme="minorBidi"/>
            <w:noProof/>
            <w:sz w:val="22"/>
            <w:szCs w:val="22"/>
            <w:lang w:eastAsia="en-AU"/>
          </w:rPr>
          <w:tab/>
        </w:r>
        <w:r w:rsidR="00AC6AAD" w:rsidRPr="00397A34">
          <w:rPr>
            <w:rStyle w:val="Hyperlink"/>
            <w:noProof/>
          </w:rPr>
          <w:t>NWAU Price Weights</w:t>
        </w:r>
        <w:r w:rsidR="00AC6AAD">
          <w:rPr>
            <w:noProof/>
            <w:webHidden/>
          </w:rPr>
          <w:tab/>
        </w:r>
        <w:r w:rsidR="00AC6AAD">
          <w:rPr>
            <w:noProof/>
            <w:webHidden/>
          </w:rPr>
          <w:fldChar w:fldCharType="begin"/>
        </w:r>
        <w:r w:rsidR="00AC6AAD">
          <w:rPr>
            <w:noProof/>
            <w:webHidden/>
          </w:rPr>
          <w:instrText xml:space="preserve"> PAGEREF _Toc127191955 \h </w:instrText>
        </w:r>
        <w:r w:rsidR="00AC6AAD">
          <w:rPr>
            <w:noProof/>
            <w:webHidden/>
          </w:rPr>
        </w:r>
        <w:r w:rsidR="00AC6AAD">
          <w:rPr>
            <w:noProof/>
            <w:webHidden/>
          </w:rPr>
          <w:fldChar w:fldCharType="separate"/>
        </w:r>
        <w:r w:rsidR="00AC6AAD">
          <w:rPr>
            <w:noProof/>
            <w:webHidden/>
          </w:rPr>
          <w:t>42</w:t>
        </w:r>
        <w:r w:rsidR="00AC6AAD">
          <w:rPr>
            <w:noProof/>
            <w:webHidden/>
          </w:rPr>
          <w:fldChar w:fldCharType="end"/>
        </w:r>
      </w:hyperlink>
    </w:p>
    <w:p w14:paraId="044506F8" w14:textId="1E340322" w:rsidR="00AC6AAD" w:rsidRDefault="00D36400">
      <w:pPr>
        <w:pStyle w:val="TOC3"/>
        <w:rPr>
          <w:rFonts w:asciiTheme="minorHAnsi" w:eastAsiaTheme="minorEastAsia" w:hAnsiTheme="minorHAnsi" w:cstheme="minorBidi"/>
          <w:noProof/>
          <w:sz w:val="22"/>
          <w:szCs w:val="22"/>
          <w:lang w:eastAsia="en-AU"/>
        </w:rPr>
      </w:pPr>
      <w:hyperlink w:anchor="_Toc127191956" w:history="1">
        <w:r w:rsidR="00AC6AAD" w:rsidRPr="00397A34">
          <w:rPr>
            <w:rStyle w:val="Hyperlink"/>
            <w:noProof/>
          </w:rPr>
          <w:t>1.12.4</w:t>
        </w:r>
        <w:r w:rsidR="00AC6AAD">
          <w:rPr>
            <w:rFonts w:asciiTheme="minorHAnsi" w:eastAsiaTheme="minorEastAsia" w:hAnsiTheme="minorHAnsi" w:cstheme="minorBidi"/>
            <w:noProof/>
            <w:sz w:val="22"/>
            <w:szCs w:val="22"/>
            <w:lang w:eastAsia="en-AU"/>
          </w:rPr>
          <w:tab/>
        </w:r>
        <w:r w:rsidR="00AC6AAD" w:rsidRPr="00397A34">
          <w:rPr>
            <w:rStyle w:val="Hyperlink"/>
            <w:noProof/>
          </w:rPr>
          <w:t>Pricing</w:t>
        </w:r>
        <w:r w:rsidR="00AC6AAD">
          <w:rPr>
            <w:noProof/>
            <w:webHidden/>
          </w:rPr>
          <w:tab/>
        </w:r>
        <w:r w:rsidR="00AC6AAD">
          <w:rPr>
            <w:noProof/>
            <w:webHidden/>
          </w:rPr>
          <w:fldChar w:fldCharType="begin"/>
        </w:r>
        <w:r w:rsidR="00AC6AAD">
          <w:rPr>
            <w:noProof/>
            <w:webHidden/>
          </w:rPr>
          <w:instrText xml:space="preserve"> PAGEREF _Toc127191956 \h </w:instrText>
        </w:r>
        <w:r w:rsidR="00AC6AAD">
          <w:rPr>
            <w:noProof/>
            <w:webHidden/>
          </w:rPr>
        </w:r>
        <w:r w:rsidR="00AC6AAD">
          <w:rPr>
            <w:noProof/>
            <w:webHidden/>
          </w:rPr>
          <w:fldChar w:fldCharType="separate"/>
        </w:r>
        <w:r w:rsidR="00AC6AAD">
          <w:rPr>
            <w:noProof/>
            <w:webHidden/>
          </w:rPr>
          <w:t>43</w:t>
        </w:r>
        <w:r w:rsidR="00AC6AAD">
          <w:rPr>
            <w:noProof/>
            <w:webHidden/>
          </w:rPr>
          <w:fldChar w:fldCharType="end"/>
        </w:r>
      </w:hyperlink>
    </w:p>
    <w:p w14:paraId="672901D4" w14:textId="7C2F60D3" w:rsidR="00AC6AAD" w:rsidRDefault="00D36400">
      <w:pPr>
        <w:pStyle w:val="TOC3"/>
        <w:rPr>
          <w:rFonts w:asciiTheme="minorHAnsi" w:eastAsiaTheme="minorEastAsia" w:hAnsiTheme="minorHAnsi" w:cstheme="minorBidi"/>
          <w:noProof/>
          <w:sz w:val="22"/>
          <w:szCs w:val="22"/>
          <w:lang w:eastAsia="en-AU"/>
        </w:rPr>
      </w:pPr>
      <w:hyperlink w:anchor="_Toc127191957" w:history="1">
        <w:r w:rsidR="00AC6AAD" w:rsidRPr="00397A34">
          <w:rPr>
            <w:rStyle w:val="Hyperlink"/>
            <w:noProof/>
          </w:rPr>
          <w:t>1.12.5</w:t>
        </w:r>
        <w:r w:rsidR="00AC6AAD">
          <w:rPr>
            <w:rFonts w:asciiTheme="minorHAnsi" w:eastAsiaTheme="minorEastAsia" w:hAnsiTheme="minorHAnsi" w:cstheme="minorBidi"/>
            <w:noProof/>
            <w:sz w:val="22"/>
            <w:szCs w:val="22"/>
            <w:lang w:eastAsia="en-AU"/>
          </w:rPr>
          <w:tab/>
        </w:r>
        <w:r w:rsidR="00AC6AAD" w:rsidRPr="00397A34">
          <w:rPr>
            <w:rStyle w:val="Hyperlink"/>
            <w:noProof/>
          </w:rPr>
          <w:t>Acute NHRA-Funded Specialist Clinics Services</w:t>
        </w:r>
        <w:r w:rsidR="00AC6AAD">
          <w:rPr>
            <w:noProof/>
            <w:webHidden/>
          </w:rPr>
          <w:tab/>
        </w:r>
        <w:r w:rsidR="00AC6AAD">
          <w:rPr>
            <w:noProof/>
            <w:webHidden/>
          </w:rPr>
          <w:fldChar w:fldCharType="begin"/>
        </w:r>
        <w:r w:rsidR="00AC6AAD">
          <w:rPr>
            <w:noProof/>
            <w:webHidden/>
          </w:rPr>
          <w:instrText xml:space="preserve"> PAGEREF _Toc127191957 \h </w:instrText>
        </w:r>
        <w:r w:rsidR="00AC6AAD">
          <w:rPr>
            <w:noProof/>
            <w:webHidden/>
          </w:rPr>
        </w:r>
        <w:r w:rsidR="00AC6AAD">
          <w:rPr>
            <w:noProof/>
            <w:webHidden/>
          </w:rPr>
          <w:fldChar w:fldCharType="separate"/>
        </w:r>
        <w:r w:rsidR="00AC6AAD">
          <w:rPr>
            <w:noProof/>
            <w:webHidden/>
          </w:rPr>
          <w:t>43</w:t>
        </w:r>
        <w:r w:rsidR="00AC6AAD">
          <w:rPr>
            <w:noProof/>
            <w:webHidden/>
          </w:rPr>
          <w:fldChar w:fldCharType="end"/>
        </w:r>
      </w:hyperlink>
    </w:p>
    <w:p w14:paraId="2B380286" w14:textId="795CEE3A" w:rsidR="00AC6AAD" w:rsidRDefault="00D36400">
      <w:pPr>
        <w:pStyle w:val="TOC3"/>
        <w:rPr>
          <w:rFonts w:asciiTheme="minorHAnsi" w:eastAsiaTheme="minorEastAsia" w:hAnsiTheme="minorHAnsi" w:cstheme="minorBidi"/>
          <w:noProof/>
          <w:sz w:val="22"/>
          <w:szCs w:val="22"/>
          <w:lang w:eastAsia="en-AU"/>
        </w:rPr>
      </w:pPr>
      <w:hyperlink w:anchor="_Toc127191958" w:history="1">
        <w:r w:rsidR="00AC6AAD" w:rsidRPr="00397A34">
          <w:rPr>
            <w:rStyle w:val="Hyperlink"/>
            <w:noProof/>
          </w:rPr>
          <w:t>1.12.6</w:t>
        </w:r>
        <w:r w:rsidR="00AC6AAD">
          <w:rPr>
            <w:rFonts w:asciiTheme="minorHAnsi" w:eastAsiaTheme="minorEastAsia" w:hAnsiTheme="minorHAnsi" w:cstheme="minorBidi"/>
            <w:noProof/>
            <w:sz w:val="22"/>
            <w:szCs w:val="22"/>
            <w:lang w:eastAsia="en-AU"/>
          </w:rPr>
          <w:tab/>
        </w:r>
        <w:r w:rsidR="00AC6AAD" w:rsidRPr="00397A34">
          <w:rPr>
            <w:rStyle w:val="Hyperlink"/>
            <w:noProof/>
          </w:rPr>
          <w:t>Home Enteral Nutrition</w:t>
        </w:r>
        <w:r w:rsidR="00AC6AAD">
          <w:rPr>
            <w:noProof/>
            <w:webHidden/>
          </w:rPr>
          <w:tab/>
        </w:r>
        <w:r w:rsidR="00AC6AAD">
          <w:rPr>
            <w:noProof/>
            <w:webHidden/>
          </w:rPr>
          <w:fldChar w:fldCharType="begin"/>
        </w:r>
        <w:r w:rsidR="00AC6AAD">
          <w:rPr>
            <w:noProof/>
            <w:webHidden/>
          </w:rPr>
          <w:instrText xml:space="preserve"> PAGEREF _Toc127191958 \h </w:instrText>
        </w:r>
        <w:r w:rsidR="00AC6AAD">
          <w:rPr>
            <w:noProof/>
            <w:webHidden/>
          </w:rPr>
        </w:r>
        <w:r w:rsidR="00AC6AAD">
          <w:rPr>
            <w:noProof/>
            <w:webHidden/>
          </w:rPr>
          <w:fldChar w:fldCharType="separate"/>
        </w:r>
        <w:r w:rsidR="00AC6AAD">
          <w:rPr>
            <w:noProof/>
            <w:webHidden/>
          </w:rPr>
          <w:t>44</w:t>
        </w:r>
        <w:r w:rsidR="00AC6AAD">
          <w:rPr>
            <w:noProof/>
            <w:webHidden/>
          </w:rPr>
          <w:fldChar w:fldCharType="end"/>
        </w:r>
      </w:hyperlink>
    </w:p>
    <w:p w14:paraId="1EC5A6B9" w14:textId="3D7CB306" w:rsidR="00AC6AAD" w:rsidRDefault="00D36400">
      <w:pPr>
        <w:pStyle w:val="TOC3"/>
        <w:rPr>
          <w:rFonts w:asciiTheme="minorHAnsi" w:eastAsiaTheme="minorEastAsia" w:hAnsiTheme="minorHAnsi" w:cstheme="minorBidi"/>
          <w:noProof/>
          <w:sz w:val="22"/>
          <w:szCs w:val="22"/>
          <w:lang w:eastAsia="en-AU"/>
        </w:rPr>
      </w:pPr>
      <w:hyperlink w:anchor="_Toc127191959" w:history="1">
        <w:r w:rsidR="00AC6AAD" w:rsidRPr="00397A34">
          <w:rPr>
            <w:rStyle w:val="Hyperlink"/>
            <w:noProof/>
          </w:rPr>
          <w:t>1.12.7</w:t>
        </w:r>
        <w:r w:rsidR="00AC6AAD">
          <w:rPr>
            <w:rFonts w:asciiTheme="minorHAnsi" w:eastAsiaTheme="minorEastAsia" w:hAnsiTheme="minorHAnsi" w:cstheme="minorBidi"/>
            <w:noProof/>
            <w:sz w:val="22"/>
            <w:szCs w:val="22"/>
            <w:lang w:eastAsia="en-AU"/>
          </w:rPr>
          <w:tab/>
        </w:r>
        <w:r w:rsidR="00AC6AAD" w:rsidRPr="00397A34">
          <w:rPr>
            <w:rStyle w:val="Hyperlink"/>
            <w:noProof/>
          </w:rPr>
          <w:t>Total Parenteral Nutrition</w:t>
        </w:r>
        <w:r w:rsidR="00AC6AAD">
          <w:rPr>
            <w:noProof/>
            <w:webHidden/>
          </w:rPr>
          <w:tab/>
        </w:r>
        <w:r w:rsidR="00AC6AAD">
          <w:rPr>
            <w:noProof/>
            <w:webHidden/>
          </w:rPr>
          <w:fldChar w:fldCharType="begin"/>
        </w:r>
        <w:r w:rsidR="00AC6AAD">
          <w:rPr>
            <w:noProof/>
            <w:webHidden/>
          </w:rPr>
          <w:instrText xml:space="preserve"> PAGEREF _Toc127191959 \h </w:instrText>
        </w:r>
        <w:r w:rsidR="00AC6AAD">
          <w:rPr>
            <w:noProof/>
            <w:webHidden/>
          </w:rPr>
        </w:r>
        <w:r w:rsidR="00AC6AAD">
          <w:rPr>
            <w:noProof/>
            <w:webHidden/>
          </w:rPr>
          <w:fldChar w:fldCharType="separate"/>
        </w:r>
        <w:r w:rsidR="00AC6AAD">
          <w:rPr>
            <w:noProof/>
            <w:webHidden/>
          </w:rPr>
          <w:t>44</w:t>
        </w:r>
        <w:r w:rsidR="00AC6AAD">
          <w:rPr>
            <w:noProof/>
            <w:webHidden/>
          </w:rPr>
          <w:fldChar w:fldCharType="end"/>
        </w:r>
      </w:hyperlink>
    </w:p>
    <w:p w14:paraId="1F99CB18" w14:textId="7B93CFCE" w:rsidR="00AC6AAD" w:rsidRDefault="00D36400">
      <w:pPr>
        <w:pStyle w:val="TOC3"/>
        <w:rPr>
          <w:rFonts w:asciiTheme="minorHAnsi" w:eastAsiaTheme="minorEastAsia" w:hAnsiTheme="minorHAnsi" w:cstheme="minorBidi"/>
          <w:noProof/>
          <w:sz w:val="22"/>
          <w:szCs w:val="22"/>
          <w:lang w:eastAsia="en-AU"/>
        </w:rPr>
      </w:pPr>
      <w:hyperlink w:anchor="_Toc127191960" w:history="1">
        <w:r w:rsidR="00AC6AAD" w:rsidRPr="00397A34">
          <w:rPr>
            <w:rStyle w:val="Hyperlink"/>
            <w:noProof/>
          </w:rPr>
          <w:t>1.12.8</w:t>
        </w:r>
        <w:r w:rsidR="00AC6AAD">
          <w:rPr>
            <w:rFonts w:asciiTheme="minorHAnsi" w:eastAsiaTheme="minorEastAsia" w:hAnsiTheme="minorHAnsi" w:cstheme="minorBidi"/>
            <w:noProof/>
            <w:sz w:val="22"/>
            <w:szCs w:val="22"/>
            <w:lang w:eastAsia="en-AU"/>
          </w:rPr>
          <w:tab/>
        </w:r>
        <w:r w:rsidR="00AC6AAD" w:rsidRPr="00397A34">
          <w:rPr>
            <w:rStyle w:val="Hyperlink"/>
            <w:noProof/>
          </w:rPr>
          <w:t>Home-Based Renal Dialysis Services</w:t>
        </w:r>
        <w:r w:rsidR="00AC6AAD">
          <w:rPr>
            <w:noProof/>
            <w:webHidden/>
          </w:rPr>
          <w:tab/>
        </w:r>
        <w:r w:rsidR="00AC6AAD">
          <w:rPr>
            <w:noProof/>
            <w:webHidden/>
          </w:rPr>
          <w:fldChar w:fldCharType="begin"/>
        </w:r>
        <w:r w:rsidR="00AC6AAD">
          <w:rPr>
            <w:noProof/>
            <w:webHidden/>
          </w:rPr>
          <w:instrText xml:space="preserve"> PAGEREF _Toc127191960 \h </w:instrText>
        </w:r>
        <w:r w:rsidR="00AC6AAD">
          <w:rPr>
            <w:noProof/>
            <w:webHidden/>
          </w:rPr>
        </w:r>
        <w:r w:rsidR="00AC6AAD">
          <w:rPr>
            <w:noProof/>
            <w:webHidden/>
          </w:rPr>
          <w:fldChar w:fldCharType="separate"/>
        </w:r>
        <w:r w:rsidR="00AC6AAD">
          <w:rPr>
            <w:noProof/>
            <w:webHidden/>
          </w:rPr>
          <w:t>44</w:t>
        </w:r>
        <w:r w:rsidR="00AC6AAD">
          <w:rPr>
            <w:noProof/>
            <w:webHidden/>
          </w:rPr>
          <w:fldChar w:fldCharType="end"/>
        </w:r>
      </w:hyperlink>
    </w:p>
    <w:p w14:paraId="6A1120EC" w14:textId="36423C91" w:rsidR="00AC6AAD" w:rsidRDefault="00D36400">
      <w:pPr>
        <w:pStyle w:val="TOC3"/>
        <w:rPr>
          <w:rFonts w:asciiTheme="minorHAnsi" w:eastAsiaTheme="minorEastAsia" w:hAnsiTheme="minorHAnsi" w:cstheme="minorBidi"/>
          <w:noProof/>
          <w:sz w:val="22"/>
          <w:szCs w:val="22"/>
          <w:lang w:eastAsia="en-AU"/>
        </w:rPr>
      </w:pPr>
      <w:hyperlink w:anchor="_Toc127191961" w:history="1">
        <w:r w:rsidR="00AC6AAD" w:rsidRPr="00397A34">
          <w:rPr>
            <w:rStyle w:val="Hyperlink"/>
            <w:noProof/>
          </w:rPr>
          <w:t>1.12.9</w:t>
        </w:r>
        <w:r w:rsidR="00AC6AAD">
          <w:rPr>
            <w:rFonts w:asciiTheme="minorHAnsi" w:eastAsiaTheme="minorEastAsia" w:hAnsiTheme="minorHAnsi" w:cstheme="minorBidi"/>
            <w:noProof/>
            <w:sz w:val="22"/>
            <w:szCs w:val="22"/>
            <w:lang w:eastAsia="en-AU"/>
          </w:rPr>
          <w:tab/>
        </w:r>
        <w:r w:rsidR="00AC6AAD" w:rsidRPr="00397A34">
          <w:rPr>
            <w:rStyle w:val="Hyperlink"/>
            <w:noProof/>
          </w:rPr>
          <w:t>Genomics</w:t>
        </w:r>
        <w:r w:rsidR="00AC6AAD">
          <w:rPr>
            <w:noProof/>
            <w:webHidden/>
          </w:rPr>
          <w:tab/>
        </w:r>
        <w:r w:rsidR="00AC6AAD">
          <w:rPr>
            <w:noProof/>
            <w:webHidden/>
          </w:rPr>
          <w:fldChar w:fldCharType="begin"/>
        </w:r>
        <w:r w:rsidR="00AC6AAD">
          <w:rPr>
            <w:noProof/>
            <w:webHidden/>
          </w:rPr>
          <w:instrText xml:space="preserve"> PAGEREF _Toc127191961 \h </w:instrText>
        </w:r>
        <w:r w:rsidR="00AC6AAD">
          <w:rPr>
            <w:noProof/>
            <w:webHidden/>
          </w:rPr>
        </w:r>
        <w:r w:rsidR="00AC6AAD">
          <w:rPr>
            <w:noProof/>
            <w:webHidden/>
          </w:rPr>
          <w:fldChar w:fldCharType="separate"/>
        </w:r>
        <w:r w:rsidR="00AC6AAD">
          <w:rPr>
            <w:noProof/>
            <w:webHidden/>
          </w:rPr>
          <w:t>44</w:t>
        </w:r>
        <w:r w:rsidR="00AC6AAD">
          <w:rPr>
            <w:noProof/>
            <w:webHidden/>
          </w:rPr>
          <w:fldChar w:fldCharType="end"/>
        </w:r>
      </w:hyperlink>
    </w:p>
    <w:p w14:paraId="2E28E955" w14:textId="5CCC52E1" w:rsidR="00AC6AAD" w:rsidRDefault="00D36400">
      <w:pPr>
        <w:pStyle w:val="TOC2"/>
        <w:rPr>
          <w:rFonts w:asciiTheme="minorHAnsi" w:eastAsiaTheme="minorEastAsia" w:hAnsiTheme="minorHAnsi" w:cstheme="minorBidi"/>
          <w:b w:val="0"/>
          <w:bCs w:val="0"/>
          <w:sz w:val="22"/>
          <w:szCs w:val="22"/>
          <w:lang w:eastAsia="en-AU"/>
        </w:rPr>
      </w:pPr>
      <w:hyperlink w:anchor="_Toc127191962" w:history="1">
        <w:r w:rsidR="00AC6AAD" w:rsidRPr="00397A34">
          <w:rPr>
            <w:rStyle w:val="Hyperlink"/>
          </w:rPr>
          <w:t>1.13</w:t>
        </w:r>
        <w:r w:rsidR="00AC6AAD">
          <w:rPr>
            <w:rFonts w:asciiTheme="minorHAnsi" w:eastAsiaTheme="minorEastAsia" w:hAnsiTheme="minorHAnsi" w:cstheme="minorBidi"/>
            <w:b w:val="0"/>
            <w:bCs w:val="0"/>
            <w:sz w:val="22"/>
            <w:szCs w:val="22"/>
            <w:lang w:eastAsia="en-AU"/>
          </w:rPr>
          <w:tab/>
        </w:r>
        <w:r w:rsidR="00AC6AAD" w:rsidRPr="00397A34">
          <w:rPr>
            <w:rStyle w:val="Hyperlink"/>
          </w:rPr>
          <w:t>Non-Admitted Block-Funded Services</w:t>
        </w:r>
        <w:r w:rsidR="00AC6AAD">
          <w:rPr>
            <w:webHidden/>
          </w:rPr>
          <w:tab/>
        </w:r>
        <w:r w:rsidR="00AC6AAD">
          <w:rPr>
            <w:webHidden/>
          </w:rPr>
          <w:fldChar w:fldCharType="begin"/>
        </w:r>
        <w:r w:rsidR="00AC6AAD">
          <w:rPr>
            <w:webHidden/>
          </w:rPr>
          <w:instrText xml:space="preserve"> PAGEREF _Toc127191962 \h </w:instrText>
        </w:r>
        <w:r w:rsidR="00AC6AAD">
          <w:rPr>
            <w:webHidden/>
          </w:rPr>
        </w:r>
        <w:r w:rsidR="00AC6AAD">
          <w:rPr>
            <w:webHidden/>
          </w:rPr>
          <w:fldChar w:fldCharType="separate"/>
        </w:r>
        <w:r w:rsidR="00AC6AAD">
          <w:rPr>
            <w:webHidden/>
          </w:rPr>
          <w:t>46</w:t>
        </w:r>
        <w:r w:rsidR="00AC6AAD">
          <w:rPr>
            <w:webHidden/>
          </w:rPr>
          <w:fldChar w:fldCharType="end"/>
        </w:r>
      </w:hyperlink>
    </w:p>
    <w:p w14:paraId="728C356C" w14:textId="63F73DCD" w:rsidR="00AC6AAD" w:rsidRDefault="00D36400">
      <w:pPr>
        <w:pStyle w:val="TOC3"/>
        <w:rPr>
          <w:rFonts w:asciiTheme="minorHAnsi" w:eastAsiaTheme="minorEastAsia" w:hAnsiTheme="minorHAnsi" w:cstheme="minorBidi"/>
          <w:noProof/>
          <w:sz w:val="22"/>
          <w:szCs w:val="22"/>
          <w:lang w:eastAsia="en-AU"/>
        </w:rPr>
      </w:pPr>
      <w:hyperlink w:anchor="_Toc127191963" w:history="1">
        <w:r w:rsidR="00AC6AAD" w:rsidRPr="00397A34">
          <w:rPr>
            <w:rStyle w:val="Hyperlink"/>
            <w:noProof/>
          </w:rPr>
          <w:t>1.13.1</w:t>
        </w:r>
        <w:r w:rsidR="00AC6AAD">
          <w:rPr>
            <w:rFonts w:asciiTheme="minorHAnsi" w:eastAsiaTheme="minorEastAsia" w:hAnsiTheme="minorHAnsi" w:cstheme="minorBidi"/>
            <w:noProof/>
            <w:sz w:val="22"/>
            <w:szCs w:val="22"/>
            <w:lang w:eastAsia="en-AU"/>
          </w:rPr>
          <w:tab/>
        </w:r>
        <w:r w:rsidR="00AC6AAD" w:rsidRPr="00397A34">
          <w:rPr>
            <w:rStyle w:val="Hyperlink"/>
            <w:noProof/>
          </w:rPr>
          <w:t>Acute MBS-Billed Public Specialist Clinics Services</w:t>
        </w:r>
        <w:r w:rsidR="00AC6AAD">
          <w:rPr>
            <w:noProof/>
            <w:webHidden/>
          </w:rPr>
          <w:tab/>
        </w:r>
        <w:r w:rsidR="00AC6AAD">
          <w:rPr>
            <w:noProof/>
            <w:webHidden/>
          </w:rPr>
          <w:fldChar w:fldCharType="begin"/>
        </w:r>
        <w:r w:rsidR="00AC6AAD">
          <w:rPr>
            <w:noProof/>
            <w:webHidden/>
          </w:rPr>
          <w:instrText xml:space="preserve"> PAGEREF _Toc127191963 \h </w:instrText>
        </w:r>
        <w:r w:rsidR="00AC6AAD">
          <w:rPr>
            <w:noProof/>
            <w:webHidden/>
          </w:rPr>
        </w:r>
        <w:r w:rsidR="00AC6AAD">
          <w:rPr>
            <w:noProof/>
            <w:webHidden/>
          </w:rPr>
          <w:fldChar w:fldCharType="separate"/>
        </w:r>
        <w:r w:rsidR="00AC6AAD">
          <w:rPr>
            <w:noProof/>
            <w:webHidden/>
          </w:rPr>
          <w:t>46</w:t>
        </w:r>
        <w:r w:rsidR="00AC6AAD">
          <w:rPr>
            <w:noProof/>
            <w:webHidden/>
          </w:rPr>
          <w:fldChar w:fldCharType="end"/>
        </w:r>
      </w:hyperlink>
    </w:p>
    <w:p w14:paraId="07EA5E62" w14:textId="4371DCED" w:rsidR="00AC6AAD" w:rsidRDefault="00D36400">
      <w:pPr>
        <w:pStyle w:val="TOC3"/>
        <w:rPr>
          <w:rFonts w:asciiTheme="minorHAnsi" w:eastAsiaTheme="minorEastAsia" w:hAnsiTheme="minorHAnsi" w:cstheme="minorBidi"/>
          <w:noProof/>
          <w:sz w:val="22"/>
          <w:szCs w:val="22"/>
          <w:lang w:eastAsia="en-AU"/>
        </w:rPr>
      </w:pPr>
      <w:hyperlink w:anchor="_Toc127191964" w:history="1">
        <w:r w:rsidR="00AC6AAD" w:rsidRPr="00397A34">
          <w:rPr>
            <w:rStyle w:val="Hyperlink"/>
            <w:noProof/>
          </w:rPr>
          <w:t>1.13.2</w:t>
        </w:r>
        <w:r w:rsidR="00AC6AAD">
          <w:rPr>
            <w:rFonts w:asciiTheme="minorHAnsi" w:eastAsiaTheme="minorEastAsia" w:hAnsiTheme="minorHAnsi" w:cstheme="minorBidi"/>
            <w:noProof/>
            <w:sz w:val="22"/>
            <w:szCs w:val="22"/>
            <w:lang w:eastAsia="en-AU"/>
          </w:rPr>
          <w:tab/>
        </w:r>
        <w:r w:rsidR="00AC6AAD" w:rsidRPr="00397A34">
          <w:rPr>
            <w:rStyle w:val="Hyperlink"/>
            <w:noProof/>
          </w:rPr>
          <w:t>Complex Care (FCP) (previously the Family Choice Program)</w:t>
        </w:r>
        <w:r w:rsidR="00AC6AAD">
          <w:rPr>
            <w:noProof/>
            <w:webHidden/>
          </w:rPr>
          <w:tab/>
        </w:r>
        <w:r w:rsidR="00AC6AAD">
          <w:rPr>
            <w:noProof/>
            <w:webHidden/>
          </w:rPr>
          <w:fldChar w:fldCharType="begin"/>
        </w:r>
        <w:r w:rsidR="00AC6AAD">
          <w:rPr>
            <w:noProof/>
            <w:webHidden/>
          </w:rPr>
          <w:instrText xml:space="preserve"> PAGEREF _Toc127191964 \h </w:instrText>
        </w:r>
        <w:r w:rsidR="00AC6AAD">
          <w:rPr>
            <w:noProof/>
            <w:webHidden/>
          </w:rPr>
        </w:r>
        <w:r w:rsidR="00AC6AAD">
          <w:rPr>
            <w:noProof/>
            <w:webHidden/>
          </w:rPr>
          <w:fldChar w:fldCharType="separate"/>
        </w:r>
        <w:r w:rsidR="00AC6AAD">
          <w:rPr>
            <w:noProof/>
            <w:webHidden/>
          </w:rPr>
          <w:t>47</w:t>
        </w:r>
        <w:r w:rsidR="00AC6AAD">
          <w:rPr>
            <w:noProof/>
            <w:webHidden/>
          </w:rPr>
          <w:fldChar w:fldCharType="end"/>
        </w:r>
      </w:hyperlink>
    </w:p>
    <w:p w14:paraId="453389AD" w14:textId="7882B7BF" w:rsidR="00AC6AAD" w:rsidRDefault="00D36400">
      <w:pPr>
        <w:pStyle w:val="TOC3"/>
        <w:rPr>
          <w:rFonts w:asciiTheme="minorHAnsi" w:eastAsiaTheme="minorEastAsia" w:hAnsiTheme="minorHAnsi" w:cstheme="minorBidi"/>
          <w:noProof/>
          <w:sz w:val="22"/>
          <w:szCs w:val="22"/>
          <w:lang w:eastAsia="en-AU"/>
        </w:rPr>
      </w:pPr>
      <w:hyperlink w:anchor="_Toc127191965" w:history="1">
        <w:r w:rsidR="00AC6AAD" w:rsidRPr="00397A34">
          <w:rPr>
            <w:rStyle w:val="Hyperlink"/>
            <w:noProof/>
          </w:rPr>
          <w:t>1.13.3</w:t>
        </w:r>
        <w:r w:rsidR="00AC6AAD">
          <w:rPr>
            <w:rFonts w:asciiTheme="minorHAnsi" w:eastAsiaTheme="minorEastAsia" w:hAnsiTheme="minorHAnsi" w:cstheme="minorBidi"/>
            <w:noProof/>
            <w:sz w:val="22"/>
            <w:szCs w:val="22"/>
            <w:lang w:eastAsia="en-AU"/>
          </w:rPr>
          <w:tab/>
        </w:r>
        <w:r w:rsidR="00AC6AAD" w:rsidRPr="00397A34">
          <w:rPr>
            <w:rStyle w:val="Hyperlink"/>
            <w:noProof/>
          </w:rPr>
          <w:t>Community Palliative Care</w:t>
        </w:r>
        <w:r w:rsidR="00AC6AAD">
          <w:rPr>
            <w:noProof/>
            <w:webHidden/>
          </w:rPr>
          <w:tab/>
        </w:r>
        <w:r w:rsidR="00AC6AAD">
          <w:rPr>
            <w:noProof/>
            <w:webHidden/>
          </w:rPr>
          <w:fldChar w:fldCharType="begin"/>
        </w:r>
        <w:r w:rsidR="00AC6AAD">
          <w:rPr>
            <w:noProof/>
            <w:webHidden/>
          </w:rPr>
          <w:instrText xml:space="preserve"> PAGEREF _Toc127191965 \h </w:instrText>
        </w:r>
        <w:r w:rsidR="00AC6AAD">
          <w:rPr>
            <w:noProof/>
            <w:webHidden/>
          </w:rPr>
        </w:r>
        <w:r w:rsidR="00AC6AAD">
          <w:rPr>
            <w:noProof/>
            <w:webHidden/>
          </w:rPr>
          <w:fldChar w:fldCharType="separate"/>
        </w:r>
        <w:r w:rsidR="00AC6AAD">
          <w:rPr>
            <w:noProof/>
            <w:webHidden/>
          </w:rPr>
          <w:t>47</w:t>
        </w:r>
        <w:r w:rsidR="00AC6AAD">
          <w:rPr>
            <w:noProof/>
            <w:webHidden/>
          </w:rPr>
          <w:fldChar w:fldCharType="end"/>
        </w:r>
      </w:hyperlink>
    </w:p>
    <w:p w14:paraId="653594E7" w14:textId="5D3B2234" w:rsidR="00AC6AAD" w:rsidRDefault="00D36400">
      <w:pPr>
        <w:pStyle w:val="TOC3"/>
        <w:rPr>
          <w:rFonts w:asciiTheme="minorHAnsi" w:eastAsiaTheme="minorEastAsia" w:hAnsiTheme="minorHAnsi" w:cstheme="minorBidi"/>
          <w:noProof/>
          <w:sz w:val="22"/>
          <w:szCs w:val="22"/>
          <w:lang w:eastAsia="en-AU"/>
        </w:rPr>
      </w:pPr>
      <w:hyperlink w:anchor="_Toc127191966" w:history="1">
        <w:r w:rsidR="00AC6AAD" w:rsidRPr="00397A34">
          <w:rPr>
            <w:rStyle w:val="Hyperlink"/>
            <w:noProof/>
          </w:rPr>
          <w:t>1.13.4</w:t>
        </w:r>
        <w:r w:rsidR="00AC6AAD">
          <w:rPr>
            <w:rFonts w:asciiTheme="minorHAnsi" w:eastAsiaTheme="minorEastAsia" w:hAnsiTheme="minorHAnsi" w:cstheme="minorBidi"/>
            <w:noProof/>
            <w:sz w:val="22"/>
            <w:szCs w:val="22"/>
            <w:lang w:eastAsia="en-AU"/>
          </w:rPr>
          <w:tab/>
        </w:r>
        <w:r w:rsidR="00AC6AAD" w:rsidRPr="00397A34">
          <w:rPr>
            <w:rStyle w:val="Hyperlink"/>
            <w:noProof/>
          </w:rPr>
          <w:t>Palliative Care Consultancy Services</w:t>
        </w:r>
        <w:r w:rsidR="00AC6AAD">
          <w:rPr>
            <w:noProof/>
            <w:webHidden/>
          </w:rPr>
          <w:tab/>
        </w:r>
        <w:r w:rsidR="00AC6AAD">
          <w:rPr>
            <w:noProof/>
            <w:webHidden/>
          </w:rPr>
          <w:fldChar w:fldCharType="begin"/>
        </w:r>
        <w:r w:rsidR="00AC6AAD">
          <w:rPr>
            <w:noProof/>
            <w:webHidden/>
          </w:rPr>
          <w:instrText xml:space="preserve"> PAGEREF _Toc127191966 \h </w:instrText>
        </w:r>
        <w:r w:rsidR="00AC6AAD">
          <w:rPr>
            <w:noProof/>
            <w:webHidden/>
          </w:rPr>
        </w:r>
        <w:r w:rsidR="00AC6AAD">
          <w:rPr>
            <w:noProof/>
            <w:webHidden/>
          </w:rPr>
          <w:fldChar w:fldCharType="separate"/>
        </w:r>
        <w:r w:rsidR="00AC6AAD">
          <w:rPr>
            <w:noProof/>
            <w:webHidden/>
          </w:rPr>
          <w:t>48</w:t>
        </w:r>
        <w:r w:rsidR="00AC6AAD">
          <w:rPr>
            <w:noProof/>
            <w:webHidden/>
          </w:rPr>
          <w:fldChar w:fldCharType="end"/>
        </w:r>
      </w:hyperlink>
    </w:p>
    <w:p w14:paraId="539E40B4" w14:textId="3999D85C" w:rsidR="00AC6AAD" w:rsidRDefault="00D36400">
      <w:pPr>
        <w:pStyle w:val="TOC3"/>
        <w:rPr>
          <w:rFonts w:asciiTheme="minorHAnsi" w:eastAsiaTheme="minorEastAsia" w:hAnsiTheme="minorHAnsi" w:cstheme="minorBidi"/>
          <w:noProof/>
          <w:sz w:val="22"/>
          <w:szCs w:val="22"/>
          <w:lang w:eastAsia="en-AU"/>
        </w:rPr>
      </w:pPr>
      <w:hyperlink w:anchor="_Toc127191967" w:history="1">
        <w:r w:rsidR="00AC6AAD" w:rsidRPr="00397A34">
          <w:rPr>
            <w:rStyle w:val="Hyperlink"/>
            <w:noProof/>
          </w:rPr>
          <w:t>1.13.5</w:t>
        </w:r>
        <w:r w:rsidR="00AC6AAD">
          <w:rPr>
            <w:rFonts w:asciiTheme="minorHAnsi" w:eastAsiaTheme="minorEastAsia" w:hAnsiTheme="minorHAnsi" w:cstheme="minorBidi"/>
            <w:noProof/>
            <w:sz w:val="22"/>
            <w:szCs w:val="22"/>
            <w:lang w:eastAsia="en-AU"/>
          </w:rPr>
          <w:tab/>
        </w:r>
        <w:r w:rsidR="00AC6AAD" w:rsidRPr="00397A34">
          <w:rPr>
            <w:rStyle w:val="Hyperlink"/>
            <w:noProof/>
          </w:rPr>
          <w:t>Day Hospice</w:t>
        </w:r>
        <w:r w:rsidR="00AC6AAD">
          <w:rPr>
            <w:noProof/>
            <w:webHidden/>
          </w:rPr>
          <w:tab/>
        </w:r>
        <w:r w:rsidR="00AC6AAD">
          <w:rPr>
            <w:noProof/>
            <w:webHidden/>
          </w:rPr>
          <w:fldChar w:fldCharType="begin"/>
        </w:r>
        <w:r w:rsidR="00AC6AAD">
          <w:rPr>
            <w:noProof/>
            <w:webHidden/>
          </w:rPr>
          <w:instrText xml:space="preserve"> PAGEREF _Toc127191967 \h </w:instrText>
        </w:r>
        <w:r w:rsidR="00AC6AAD">
          <w:rPr>
            <w:noProof/>
            <w:webHidden/>
          </w:rPr>
        </w:r>
        <w:r w:rsidR="00AC6AAD">
          <w:rPr>
            <w:noProof/>
            <w:webHidden/>
          </w:rPr>
          <w:fldChar w:fldCharType="separate"/>
        </w:r>
        <w:r w:rsidR="00AC6AAD">
          <w:rPr>
            <w:noProof/>
            <w:webHidden/>
          </w:rPr>
          <w:t>49</w:t>
        </w:r>
        <w:r w:rsidR="00AC6AAD">
          <w:rPr>
            <w:noProof/>
            <w:webHidden/>
          </w:rPr>
          <w:fldChar w:fldCharType="end"/>
        </w:r>
      </w:hyperlink>
    </w:p>
    <w:p w14:paraId="79250A9C" w14:textId="030FEDDB" w:rsidR="00AC6AAD" w:rsidRDefault="00D36400">
      <w:pPr>
        <w:pStyle w:val="TOC3"/>
        <w:rPr>
          <w:rFonts w:asciiTheme="minorHAnsi" w:eastAsiaTheme="minorEastAsia" w:hAnsiTheme="minorHAnsi" w:cstheme="minorBidi"/>
          <w:noProof/>
          <w:sz w:val="22"/>
          <w:szCs w:val="22"/>
          <w:lang w:eastAsia="en-AU"/>
        </w:rPr>
      </w:pPr>
      <w:hyperlink w:anchor="_Toc127191968" w:history="1">
        <w:r w:rsidR="00AC6AAD" w:rsidRPr="00397A34">
          <w:rPr>
            <w:rStyle w:val="Hyperlink"/>
            <w:noProof/>
          </w:rPr>
          <w:t>1.13.6</w:t>
        </w:r>
        <w:r w:rsidR="00AC6AAD">
          <w:rPr>
            <w:rFonts w:asciiTheme="minorHAnsi" w:eastAsiaTheme="minorEastAsia" w:hAnsiTheme="minorHAnsi" w:cstheme="minorBidi"/>
            <w:noProof/>
            <w:sz w:val="22"/>
            <w:szCs w:val="22"/>
            <w:lang w:eastAsia="en-AU"/>
          </w:rPr>
          <w:tab/>
        </w:r>
        <w:r w:rsidR="00AC6AAD" w:rsidRPr="00397A34">
          <w:rPr>
            <w:rStyle w:val="Hyperlink"/>
            <w:noProof/>
          </w:rPr>
          <w:t>Victorian Artificial Limb Program</w:t>
        </w:r>
        <w:r w:rsidR="00AC6AAD">
          <w:rPr>
            <w:noProof/>
            <w:webHidden/>
          </w:rPr>
          <w:tab/>
        </w:r>
        <w:r w:rsidR="00AC6AAD">
          <w:rPr>
            <w:noProof/>
            <w:webHidden/>
          </w:rPr>
          <w:fldChar w:fldCharType="begin"/>
        </w:r>
        <w:r w:rsidR="00AC6AAD">
          <w:rPr>
            <w:noProof/>
            <w:webHidden/>
          </w:rPr>
          <w:instrText xml:space="preserve"> PAGEREF _Toc127191968 \h </w:instrText>
        </w:r>
        <w:r w:rsidR="00AC6AAD">
          <w:rPr>
            <w:noProof/>
            <w:webHidden/>
          </w:rPr>
        </w:r>
        <w:r w:rsidR="00AC6AAD">
          <w:rPr>
            <w:noProof/>
            <w:webHidden/>
          </w:rPr>
          <w:fldChar w:fldCharType="separate"/>
        </w:r>
        <w:r w:rsidR="00AC6AAD">
          <w:rPr>
            <w:noProof/>
            <w:webHidden/>
          </w:rPr>
          <w:t>49</w:t>
        </w:r>
        <w:r w:rsidR="00AC6AAD">
          <w:rPr>
            <w:noProof/>
            <w:webHidden/>
          </w:rPr>
          <w:fldChar w:fldCharType="end"/>
        </w:r>
      </w:hyperlink>
    </w:p>
    <w:p w14:paraId="1D14FEFB" w14:textId="09E4CBD4" w:rsidR="00AC6AAD" w:rsidRDefault="00D36400">
      <w:pPr>
        <w:pStyle w:val="TOC3"/>
        <w:rPr>
          <w:rFonts w:asciiTheme="minorHAnsi" w:eastAsiaTheme="minorEastAsia" w:hAnsiTheme="minorHAnsi" w:cstheme="minorBidi"/>
          <w:noProof/>
          <w:sz w:val="22"/>
          <w:szCs w:val="22"/>
          <w:lang w:eastAsia="en-AU"/>
        </w:rPr>
      </w:pPr>
      <w:hyperlink w:anchor="_Toc127191969" w:history="1">
        <w:r w:rsidR="00AC6AAD" w:rsidRPr="00397A34">
          <w:rPr>
            <w:rStyle w:val="Hyperlink"/>
            <w:noProof/>
          </w:rPr>
          <w:t>1.13.7</w:t>
        </w:r>
        <w:r w:rsidR="00AC6AAD">
          <w:rPr>
            <w:rFonts w:asciiTheme="minorHAnsi" w:eastAsiaTheme="minorEastAsia" w:hAnsiTheme="minorHAnsi" w:cstheme="minorBidi"/>
            <w:noProof/>
            <w:sz w:val="22"/>
            <w:szCs w:val="22"/>
            <w:lang w:eastAsia="en-AU"/>
          </w:rPr>
          <w:tab/>
        </w:r>
        <w:r w:rsidR="00AC6AAD" w:rsidRPr="00397A34">
          <w:rPr>
            <w:rStyle w:val="Hyperlink"/>
            <w:noProof/>
          </w:rPr>
          <w:t>Victorian Respiratory Support Service</w:t>
        </w:r>
        <w:r w:rsidR="00AC6AAD">
          <w:rPr>
            <w:noProof/>
            <w:webHidden/>
          </w:rPr>
          <w:tab/>
        </w:r>
        <w:r w:rsidR="00AC6AAD">
          <w:rPr>
            <w:noProof/>
            <w:webHidden/>
          </w:rPr>
          <w:fldChar w:fldCharType="begin"/>
        </w:r>
        <w:r w:rsidR="00AC6AAD">
          <w:rPr>
            <w:noProof/>
            <w:webHidden/>
          </w:rPr>
          <w:instrText xml:space="preserve"> PAGEREF _Toc127191969 \h </w:instrText>
        </w:r>
        <w:r w:rsidR="00AC6AAD">
          <w:rPr>
            <w:noProof/>
            <w:webHidden/>
          </w:rPr>
        </w:r>
        <w:r w:rsidR="00AC6AAD">
          <w:rPr>
            <w:noProof/>
            <w:webHidden/>
          </w:rPr>
          <w:fldChar w:fldCharType="separate"/>
        </w:r>
        <w:r w:rsidR="00AC6AAD">
          <w:rPr>
            <w:noProof/>
            <w:webHidden/>
          </w:rPr>
          <w:t>50</w:t>
        </w:r>
        <w:r w:rsidR="00AC6AAD">
          <w:rPr>
            <w:noProof/>
            <w:webHidden/>
          </w:rPr>
          <w:fldChar w:fldCharType="end"/>
        </w:r>
      </w:hyperlink>
    </w:p>
    <w:p w14:paraId="4986A3D9" w14:textId="5BAD1DB5" w:rsidR="00AC6AAD" w:rsidRDefault="00D36400">
      <w:pPr>
        <w:pStyle w:val="TOC2"/>
        <w:rPr>
          <w:rFonts w:asciiTheme="minorHAnsi" w:eastAsiaTheme="minorEastAsia" w:hAnsiTheme="minorHAnsi" w:cstheme="minorBidi"/>
          <w:b w:val="0"/>
          <w:bCs w:val="0"/>
          <w:sz w:val="22"/>
          <w:szCs w:val="22"/>
          <w:lang w:eastAsia="en-AU"/>
        </w:rPr>
      </w:pPr>
      <w:hyperlink w:anchor="_Toc127191970" w:history="1">
        <w:r w:rsidR="00AC6AAD" w:rsidRPr="00397A34">
          <w:rPr>
            <w:rStyle w:val="Hyperlink"/>
          </w:rPr>
          <w:t>1.14</w:t>
        </w:r>
        <w:r w:rsidR="00AC6AAD">
          <w:rPr>
            <w:rFonts w:asciiTheme="minorHAnsi" w:eastAsiaTheme="minorEastAsia" w:hAnsiTheme="minorHAnsi" w:cstheme="minorBidi"/>
            <w:b w:val="0"/>
            <w:bCs w:val="0"/>
            <w:sz w:val="22"/>
            <w:szCs w:val="22"/>
            <w:lang w:eastAsia="en-AU"/>
          </w:rPr>
          <w:tab/>
        </w:r>
        <w:r w:rsidR="00AC6AAD" w:rsidRPr="00397A34">
          <w:rPr>
            <w:rStyle w:val="Hyperlink"/>
          </w:rPr>
          <w:t>Acute Specialist Services</w:t>
        </w:r>
        <w:r w:rsidR="00AC6AAD">
          <w:rPr>
            <w:webHidden/>
          </w:rPr>
          <w:tab/>
        </w:r>
        <w:r w:rsidR="00AC6AAD">
          <w:rPr>
            <w:webHidden/>
          </w:rPr>
          <w:fldChar w:fldCharType="begin"/>
        </w:r>
        <w:r w:rsidR="00AC6AAD">
          <w:rPr>
            <w:webHidden/>
          </w:rPr>
          <w:instrText xml:space="preserve"> PAGEREF _Toc127191970 \h </w:instrText>
        </w:r>
        <w:r w:rsidR="00AC6AAD">
          <w:rPr>
            <w:webHidden/>
          </w:rPr>
        </w:r>
        <w:r w:rsidR="00AC6AAD">
          <w:rPr>
            <w:webHidden/>
          </w:rPr>
          <w:fldChar w:fldCharType="separate"/>
        </w:r>
        <w:r w:rsidR="00AC6AAD">
          <w:rPr>
            <w:webHidden/>
          </w:rPr>
          <w:t>51</w:t>
        </w:r>
        <w:r w:rsidR="00AC6AAD">
          <w:rPr>
            <w:webHidden/>
          </w:rPr>
          <w:fldChar w:fldCharType="end"/>
        </w:r>
      </w:hyperlink>
    </w:p>
    <w:p w14:paraId="4D488C4E" w14:textId="5B3711CA" w:rsidR="00AC6AAD" w:rsidRDefault="00D36400">
      <w:pPr>
        <w:pStyle w:val="TOC3"/>
        <w:rPr>
          <w:rFonts w:asciiTheme="minorHAnsi" w:eastAsiaTheme="minorEastAsia" w:hAnsiTheme="minorHAnsi" w:cstheme="minorBidi"/>
          <w:noProof/>
          <w:sz w:val="22"/>
          <w:szCs w:val="22"/>
          <w:lang w:eastAsia="en-AU"/>
        </w:rPr>
      </w:pPr>
      <w:hyperlink w:anchor="_Toc127191971" w:history="1">
        <w:r w:rsidR="00AC6AAD" w:rsidRPr="00397A34">
          <w:rPr>
            <w:rStyle w:val="Hyperlink"/>
            <w:noProof/>
          </w:rPr>
          <w:t>1.14.1</w:t>
        </w:r>
        <w:r w:rsidR="00AC6AAD">
          <w:rPr>
            <w:rFonts w:asciiTheme="minorHAnsi" w:eastAsiaTheme="minorEastAsia" w:hAnsiTheme="minorHAnsi" w:cstheme="minorBidi"/>
            <w:noProof/>
            <w:sz w:val="22"/>
            <w:szCs w:val="22"/>
            <w:lang w:eastAsia="en-AU"/>
          </w:rPr>
          <w:tab/>
        </w:r>
        <w:r w:rsidR="00AC6AAD" w:rsidRPr="00397A34">
          <w:rPr>
            <w:rStyle w:val="Hyperlink"/>
            <w:noProof/>
          </w:rPr>
          <w:t>Hepatitis C</w:t>
        </w:r>
        <w:r w:rsidR="00AC6AAD">
          <w:rPr>
            <w:noProof/>
            <w:webHidden/>
          </w:rPr>
          <w:tab/>
        </w:r>
        <w:r w:rsidR="00AC6AAD">
          <w:rPr>
            <w:noProof/>
            <w:webHidden/>
          </w:rPr>
          <w:fldChar w:fldCharType="begin"/>
        </w:r>
        <w:r w:rsidR="00AC6AAD">
          <w:rPr>
            <w:noProof/>
            <w:webHidden/>
          </w:rPr>
          <w:instrText xml:space="preserve"> PAGEREF _Toc127191971 \h </w:instrText>
        </w:r>
        <w:r w:rsidR="00AC6AAD">
          <w:rPr>
            <w:noProof/>
            <w:webHidden/>
          </w:rPr>
        </w:r>
        <w:r w:rsidR="00AC6AAD">
          <w:rPr>
            <w:noProof/>
            <w:webHidden/>
          </w:rPr>
          <w:fldChar w:fldCharType="separate"/>
        </w:r>
        <w:r w:rsidR="00AC6AAD">
          <w:rPr>
            <w:noProof/>
            <w:webHidden/>
          </w:rPr>
          <w:t>51</w:t>
        </w:r>
        <w:r w:rsidR="00AC6AAD">
          <w:rPr>
            <w:noProof/>
            <w:webHidden/>
          </w:rPr>
          <w:fldChar w:fldCharType="end"/>
        </w:r>
      </w:hyperlink>
    </w:p>
    <w:p w14:paraId="733B6952" w14:textId="0A92CDBC" w:rsidR="00AC6AAD" w:rsidRDefault="00D36400">
      <w:pPr>
        <w:pStyle w:val="TOC3"/>
        <w:rPr>
          <w:rFonts w:asciiTheme="minorHAnsi" w:eastAsiaTheme="minorEastAsia" w:hAnsiTheme="minorHAnsi" w:cstheme="minorBidi"/>
          <w:noProof/>
          <w:sz w:val="22"/>
          <w:szCs w:val="22"/>
          <w:lang w:eastAsia="en-AU"/>
        </w:rPr>
      </w:pPr>
      <w:hyperlink w:anchor="_Toc127191972" w:history="1">
        <w:r w:rsidR="00AC6AAD" w:rsidRPr="00397A34">
          <w:rPr>
            <w:rStyle w:val="Hyperlink"/>
            <w:noProof/>
          </w:rPr>
          <w:t>1.14.2</w:t>
        </w:r>
        <w:r w:rsidR="00AC6AAD">
          <w:rPr>
            <w:rFonts w:asciiTheme="minorHAnsi" w:eastAsiaTheme="minorEastAsia" w:hAnsiTheme="minorHAnsi" w:cstheme="minorBidi"/>
            <w:noProof/>
            <w:sz w:val="22"/>
            <w:szCs w:val="22"/>
            <w:lang w:eastAsia="en-AU"/>
          </w:rPr>
          <w:tab/>
        </w:r>
        <w:r w:rsidR="00AC6AAD" w:rsidRPr="00397A34">
          <w:rPr>
            <w:rStyle w:val="Hyperlink"/>
            <w:noProof/>
          </w:rPr>
          <w:t>Renal Services</w:t>
        </w:r>
        <w:r w:rsidR="00AC6AAD">
          <w:rPr>
            <w:noProof/>
            <w:webHidden/>
          </w:rPr>
          <w:tab/>
        </w:r>
        <w:r w:rsidR="00AC6AAD">
          <w:rPr>
            <w:noProof/>
            <w:webHidden/>
          </w:rPr>
          <w:fldChar w:fldCharType="begin"/>
        </w:r>
        <w:r w:rsidR="00AC6AAD">
          <w:rPr>
            <w:noProof/>
            <w:webHidden/>
          </w:rPr>
          <w:instrText xml:space="preserve"> PAGEREF _Toc127191972 \h </w:instrText>
        </w:r>
        <w:r w:rsidR="00AC6AAD">
          <w:rPr>
            <w:noProof/>
            <w:webHidden/>
          </w:rPr>
        </w:r>
        <w:r w:rsidR="00AC6AAD">
          <w:rPr>
            <w:noProof/>
            <w:webHidden/>
          </w:rPr>
          <w:fldChar w:fldCharType="separate"/>
        </w:r>
        <w:r w:rsidR="00AC6AAD">
          <w:rPr>
            <w:noProof/>
            <w:webHidden/>
          </w:rPr>
          <w:t>51</w:t>
        </w:r>
        <w:r w:rsidR="00AC6AAD">
          <w:rPr>
            <w:noProof/>
            <w:webHidden/>
          </w:rPr>
          <w:fldChar w:fldCharType="end"/>
        </w:r>
      </w:hyperlink>
    </w:p>
    <w:p w14:paraId="49445896" w14:textId="28B1F07A" w:rsidR="00AC6AAD" w:rsidRDefault="00D36400">
      <w:pPr>
        <w:pStyle w:val="TOC3"/>
        <w:rPr>
          <w:rFonts w:asciiTheme="minorHAnsi" w:eastAsiaTheme="minorEastAsia" w:hAnsiTheme="minorHAnsi" w:cstheme="minorBidi"/>
          <w:noProof/>
          <w:sz w:val="22"/>
          <w:szCs w:val="22"/>
          <w:lang w:eastAsia="en-AU"/>
        </w:rPr>
      </w:pPr>
      <w:hyperlink w:anchor="_Toc127191973" w:history="1">
        <w:r w:rsidR="00AC6AAD" w:rsidRPr="00397A34">
          <w:rPr>
            <w:rStyle w:val="Hyperlink"/>
            <w:noProof/>
          </w:rPr>
          <w:t>1.14.3</w:t>
        </w:r>
        <w:r w:rsidR="00AC6AAD">
          <w:rPr>
            <w:rFonts w:asciiTheme="minorHAnsi" w:eastAsiaTheme="minorEastAsia" w:hAnsiTheme="minorHAnsi" w:cstheme="minorBidi"/>
            <w:noProof/>
            <w:sz w:val="22"/>
            <w:szCs w:val="22"/>
            <w:lang w:eastAsia="en-AU"/>
          </w:rPr>
          <w:tab/>
        </w:r>
        <w:r w:rsidR="00AC6AAD" w:rsidRPr="00397A34">
          <w:rPr>
            <w:rStyle w:val="Hyperlink"/>
            <w:noProof/>
          </w:rPr>
          <w:t>Radiotherapy</w:t>
        </w:r>
        <w:r w:rsidR="00AC6AAD">
          <w:rPr>
            <w:noProof/>
            <w:webHidden/>
          </w:rPr>
          <w:tab/>
        </w:r>
        <w:r w:rsidR="00AC6AAD">
          <w:rPr>
            <w:noProof/>
            <w:webHidden/>
          </w:rPr>
          <w:fldChar w:fldCharType="begin"/>
        </w:r>
        <w:r w:rsidR="00AC6AAD">
          <w:rPr>
            <w:noProof/>
            <w:webHidden/>
          </w:rPr>
          <w:instrText xml:space="preserve"> PAGEREF _Toc127191973 \h </w:instrText>
        </w:r>
        <w:r w:rsidR="00AC6AAD">
          <w:rPr>
            <w:noProof/>
            <w:webHidden/>
          </w:rPr>
        </w:r>
        <w:r w:rsidR="00AC6AAD">
          <w:rPr>
            <w:noProof/>
            <w:webHidden/>
          </w:rPr>
          <w:fldChar w:fldCharType="separate"/>
        </w:r>
        <w:r w:rsidR="00AC6AAD">
          <w:rPr>
            <w:noProof/>
            <w:webHidden/>
          </w:rPr>
          <w:t>51</w:t>
        </w:r>
        <w:r w:rsidR="00AC6AAD">
          <w:rPr>
            <w:noProof/>
            <w:webHidden/>
          </w:rPr>
          <w:fldChar w:fldCharType="end"/>
        </w:r>
      </w:hyperlink>
    </w:p>
    <w:p w14:paraId="5E075E9D" w14:textId="62F6DCB7" w:rsidR="00AC6AAD" w:rsidRDefault="00D36400">
      <w:pPr>
        <w:pStyle w:val="TOC2"/>
        <w:rPr>
          <w:rFonts w:asciiTheme="minorHAnsi" w:eastAsiaTheme="minorEastAsia" w:hAnsiTheme="minorHAnsi" w:cstheme="minorBidi"/>
          <w:b w:val="0"/>
          <w:bCs w:val="0"/>
          <w:sz w:val="22"/>
          <w:szCs w:val="22"/>
          <w:lang w:eastAsia="en-AU"/>
        </w:rPr>
      </w:pPr>
      <w:hyperlink w:anchor="_Toc127191974" w:history="1">
        <w:r w:rsidR="00AC6AAD" w:rsidRPr="00397A34">
          <w:rPr>
            <w:rStyle w:val="Hyperlink"/>
          </w:rPr>
          <w:t>1.15</w:t>
        </w:r>
        <w:r w:rsidR="00AC6AAD">
          <w:rPr>
            <w:rFonts w:asciiTheme="minorHAnsi" w:eastAsiaTheme="minorEastAsia" w:hAnsiTheme="minorHAnsi" w:cstheme="minorBidi"/>
            <w:b w:val="0"/>
            <w:bCs w:val="0"/>
            <w:sz w:val="22"/>
            <w:szCs w:val="22"/>
            <w:lang w:eastAsia="en-AU"/>
          </w:rPr>
          <w:tab/>
        </w:r>
        <w:r w:rsidR="00AC6AAD" w:rsidRPr="00397A34">
          <w:rPr>
            <w:rStyle w:val="Hyperlink"/>
          </w:rPr>
          <w:t>Capital Funding Programs</w:t>
        </w:r>
        <w:r w:rsidR="00AC6AAD">
          <w:rPr>
            <w:webHidden/>
          </w:rPr>
          <w:tab/>
        </w:r>
        <w:r w:rsidR="00AC6AAD">
          <w:rPr>
            <w:webHidden/>
          </w:rPr>
          <w:fldChar w:fldCharType="begin"/>
        </w:r>
        <w:r w:rsidR="00AC6AAD">
          <w:rPr>
            <w:webHidden/>
          </w:rPr>
          <w:instrText xml:space="preserve"> PAGEREF _Toc127191974 \h </w:instrText>
        </w:r>
        <w:r w:rsidR="00AC6AAD">
          <w:rPr>
            <w:webHidden/>
          </w:rPr>
        </w:r>
        <w:r w:rsidR="00AC6AAD">
          <w:rPr>
            <w:webHidden/>
          </w:rPr>
          <w:fldChar w:fldCharType="separate"/>
        </w:r>
        <w:r w:rsidR="00AC6AAD">
          <w:rPr>
            <w:webHidden/>
          </w:rPr>
          <w:t>54</w:t>
        </w:r>
        <w:r w:rsidR="00AC6AAD">
          <w:rPr>
            <w:webHidden/>
          </w:rPr>
          <w:fldChar w:fldCharType="end"/>
        </w:r>
      </w:hyperlink>
    </w:p>
    <w:p w14:paraId="5BC58AFE" w14:textId="3EB4FDAB" w:rsidR="00AC6AAD" w:rsidRDefault="00D36400">
      <w:pPr>
        <w:pStyle w:val="TOC3"/>
        <w:rPr>
          <w:rFonts w:asciiTheme="minorHAnsi" w:eastAsiaTheme="minorEastAsia" w:hAnsiTheme="minorHAnsi" w:cstheme="minorBidi"/>
          <w:noProof/>
          <w:sz w:val="22"/>
          <w:szCs w:val="22"/>
          <w:lang w:eastAsia="en-AU"/>
        </w:rPr>
      </w:pPr>
      <w:hyperlink w:anchor="_Toc127191975" w:history="1">
        <w:r w:rsidR="00AC6AAD" w:rsidRPr="00397A34">
          <w:rPr>
            <w:rStyle w:val="Hyperlink"/>
            <w:noProof/>
          </w:rPr>
          <w:t>1.15.1</w:t>
        </w:r>
        <w:r w:rsidR="00AC6AAD">
          <w:rPr>
            <w:rFonts w:asciiTheme="minorHAnsi" w:eastAsiaTheme="minorEastAsia" w:hAnsiTheme="minorHAnsi" w:cstheme="minorBidi"/>
            <w:noProof/>
            <w:sz w:val="22"/>
            <w:szCs w:val="22"/>
            <w:lang w:eastAsia="en-AU"/>
          </w:rPr>
          <w:tab/>
        </w:r>
        <w:r w:rsidR="00AC6AAD" w:rsidRPr="00397A34">
          <w:rPr>
            <w:rStyle w:val="Hyperlink"/>
            <w:noProof/>
          </w:rPr>
          <w:t>Medical Equipment and Engineering Infrastructure Replacement Funding</w:t>
        </w:r>
        <w:r w:rsidR="00AC6AAD">
          <w:rPr>
            <w:noProof/>
            <w:webHidden/>
          </w:rPr>
          <w:tab/>
        </w:r>
        <w:r w:rsidR="00AC6AAD">
          <w:rPr>
            <w:noProof/>
            <w:webHidden/>
          </w:rPr>
          <w:fldChar w:fldCharType="begin"/>
        </w:r>
        <w:r w:rsidR="00AC6AAD">
          <w:rPr>
            <w:noProof/>
            <w:webHidden/>
          </w:rPr>
          <w:instrText xml:space="preserve"> PAGEREF _Toc127191975 \h </w:instrText>
        </w:r>
        <w:r w:rsidR="00AC6AAD">
          <w:rPr>
            <w:noProof/>
            <w:webHidden/>
          </w:rPr>
        </w:r>
        <w:r w:rsidR="00AC6AAD">
          <w:rPr>
            <w:noProof/>
            <w:webHidden/>
          </w:rPr>
          <w:fldChar w:fldCharType="separate"/>
        </w:r>
        <w:r w:rsidR="00AC6AAD">
          <w:rPr>
            <w:noProof/>
            <w:webHidden/>
          </w:rPr>
          <w:t>54</w:t>
        </w:r>
        <w:r w:rsidR="00AC6AAD">
          <w:rPr>
            <w:noProof/>
            <w:webHidden/>
          </w:rPr>
          <w:fldChar w:fldCharType="end"/>
        </w:r>
      </w:hyperlink>
    </w:p>
    <w:p w14:paraId="447229EF" w14:textId="1F60AA96" w:rsidR="00AC6AAD" w:rsidRDefault="00D36400">
      <w:pPr>
        <w:pStyle w:val="TOC2"/>
        <w:rPr>
          <w:rFonts w:asciiTheme="minorHAnsi" w:eastAsiaTheme="minorEastAsia" w:hAnsiTheme="minorHAnsi" w:cstheme="minorBidi"/>
          <w:b w:val="0"/>
          <w:bCs w:val="0"/>
          <w:sz w:val="22"/>
          <w:szCs w:val="22"/>
          <w:lang w:eastAsia="en-AU"/>
        </w:rPr>
      </w:pPr>
      <w:hyperlink w:anchor="_Toc127191976" w:history="1">
        <w:r w:rsidR="00AC6AAD" w:rsidRPr="00397A34">
          <w:rPr>
            <w:rStyle w:val="Hyperlink"/>
          </w:rPr>
          <w:t>1.16</w:t>
        </w:r>
        <w:r w:rsidR="00AC6AAD">
          <w:rPr>
            <w:rFonts w:asciiTheme="minorHAnsi" w:eastAsiaTheme="minorEastAsia" w:hAnsiTheme="minorHAnsi" w:cstheme="minorBidi"/>
            <w:b w:val="0"/>
            <w:bCs w:val="0"/>
            <w:sz w:val="22"/>
            <w:szCs w:val="22"/>
            <w:lang w:eastAsia="en-AU"/>
          </w:rPr>
          <w:tab/>
        </w:r>
        <w:r w:rsidR="00AC6AAD" w:rsidRPr="00397A34">
          <w:rPr>
            <w:rStyle w:val="Hyperlink"/>
          </w:rPr>
          <w:t>Prior-Year Adjustment: Activity-Based Funding Reconciliation</w:t>
        </w:r>
        <w:r w:rsidR="00AC6AAD">
          <w:rPr>
            <w:webHidden/>
          </w:rPr>
          <w:tab/>
        </w:r>
        <w:r w:rsidR="00AC6AAD">
          <w:rPr>
            <w:webHidden/>
          </w:rPr>
          <w:fldChar w:fldCharType="begin"/>
        </w:r>
        <w:r w:rsidR="00AC6AAD">
          <w:rPr>
            <w:webHidden/>
          </w:rPr>
          <w:instrText xml:space="preserve"> PAGEREF _Toc127191976 \h </w:instrText>
        </w:r>
        <w:r w:rsidR="00AC6AAD">
          <w:rPr>
            <w:webHidden/>
          </w:rPr>
        </w:r>
        <w:r w:rsidR="00AC6AAD">
          <w:rPr>
            <w:webHidden/>
          </w:rPr>
          <w:fldChar w:fldCharType="separate"/>
        </w:r>
        <w:r w:rsidR="00AC6AAD">
          <w:rPr>
            <w:webHidden/>
          </w:rPr>
          <w:t>55</w:t>
        </w:r>
        <w:r w:rsidR="00AC6AAD">
          <w:rPr>
            <w:webHidden/>
          </w:rPr>
          <w:fldChar w:fldCharType="end"/>
        </w:r>
      </w:hyperlink>
    </w:p>
    <w:p w14:paraId="6ABF92BC" w14:textId="20B85EA2" w:rsidR="00AC6AAD" w:rsidRDefault="00D36400">
      <w:pPr>
        <w:pStyle w:val="TOC3"/>
        <w:rPr>
          <w:rFonts w:asciiTheme="minorHAnsi" w:eastAsiaTheme="minorEastAsia" w:hAnsiTheme="minorHAnsi" w:cstheme="minorBidi"/>
          <w:noProof/>
          <w:sz w:val="22"/>
          <w:szCs w:val="22"/>
          <w:lang w:eastAsia="en-AU"/>
        </w:rPr>
      </w:pPr>
      <w:hyperlink w:anchor="_Toc127191977" w:history="1">
        <w:r w:rsidR="00AC6AAD" w:rsidRPr="00397A34">
          <w:rPr>
            <w:rStyle w:val="Hyperlink"/>
            <w:noProof/>
          </w:rPr>
          <w:t>1.16.1</w:t>
        </w:r>
        <w:r w:rsidR="00AC6AAD">
          <w:rPr>
            <w:rFonts w:asciiTheme="minorHAnsi" w:eastAsiaTheme="minorEastAsia" w:hAnsiTheme="minorHAnsi" w:cstheme="minorBidi"/>
            <w:noProof/>
            <w:sz w:val="22"/>
            <w:szCs w:val="22"/>
            <w:lang w:eastAsia="en-AU"/>
          </w:rPr>
          <w:tab/>
        </w:r>
        <w:r w:rsidR="00AC6AAD" w:rsidRPr="00397A34">
          <w:rPr>
            <w:rStyle w:val="Hyperlink"/>
            <w:noProof/>
          </w:rPr>
          <w:t>Victorian Funding Recall Policy</w:t>
        </w:r>
        <w:r w:rsidR="00AC6AAD">
          <w:rPr>
            <w:noProof/>
            <w:webHidden/>
          </w:rPr>
          <w:tab/>
        </w:r>
        <w:r w:rsidR="00AC6AAD">
          <w:rPr>
            <w:noProof/>
            <w:webHidden/>
          </w:rPr>
          <w:fldChar w:fldCharType="begin"/>
        </w:r>
        <w:r w:rsidR="00AC6AAD">
          <w:rPr>
            <w:noProof/>
            <w:webHidden/>
          </w:rPr>
          <w:instrText xml:space="preserve"> PAGEREF _Toc127191977 \h </w:instrText>
        </w:r>
        <w:r w:rsidR="00AC6AAD">
          <w:rPr>
            <w:noProof/>
            <w:webHidden/>
          </w:rPr>
        </w:r>
        <w:r w:rsidR="00AC6AAD">
          <w:rPr>
            <w:noProof/>
            <w:webHidden/>
          </w:rPr>
          <w:fldChar w:fldCharType="separate"/>
        </w:r>
        <w:r w:rsidR="00AC6AAD">
          <w:rPr>
            <w:noProof/>
            <w:webHidden/>
          </w:rPr>
          <w:t>55</w:t>
        </w:r>
        <w:r w:rsidR="00AC6AAD">
          <w:rPr>
            <w:noProof/>
            <w:webHidden/>
          </w:rPr>
          <w:fldChar w:fldCharType="end"/>
        </w:r>
      </w:hyperlink>
    </w:p>
    <w:p w14:paraId="526D1920" w14:textId="6FB011D7" w:rsidR="00AC6AAD" w:rsidRDefault="00D36400">
      <w:pPr>
        <w:pStyle w:val="TOC3"/>
        <w:rPr>
          <w:rFonts w:asciiTheme="minorHAnsi" w:eastAsiaTheme="minorEastAsia" w:hAnsiTheme="minorHAnsi" w:cstheme="minorBidi"/>
          <w:noProof/>
          <w:sz w:val="22"/>
          <w:szCs w:val="22"/>
          <w:lang w:eastAsia="en-AU"/>
        </w:rPr>
      </w:pPr>
      <w:hyperlink w:anchor="_Toc127191978" w:history="1">
        <w:r w:rsidR="00AC6AAD" w:rsidRPr="00397A34">
          <w:rPr>
            <w:rStyle w:val="Hyperlink"/>
            <w:noProof/>
          </w:rPr>
          <w:t>1.16.2</w:t>
        </w:r>
        <w:r w:rsidR="00AC6AAD">
          <w:rPr>
            <w:rFonts w:asciiTheme="minorHAnsi" w:eastAsiaTheme="minorEastAsia" w:hAnsiTheme="minorHAnsi" w:cstheme="minorBidi"/>
            <w:noProof/>
            <w:sz w:val="22"/>
            <w:szCs w:val="22"/>
            <w:lang w:eastAsia="en-AU"/>
          </w:rPr>
          <w:tab/>
        </w:r>
        <w:r w:rsidR="00AC6AAD" w:rsidRPr="00397A34">
          <w:rPr>
            <w:rStyle w:val="Hyperlink"/>
            <w:noProof/>
          </w:rPr>
          <w:t>Funding for Throughput Above Target</w:t>
        </w:r>
        <w:r w:rsidR="00AC6AAD">
          <w:rPr>
            <w:noProof/>
            <w:webHidden/>
          </w:rPr>
          <w:tab/>
        </w:r>
        <w:r w:rsidR="00AC6AAD">
          <w:rPr>
            <w:noProof/>
            <w:webHidden/>
          </w:rPr>
          <w:fldChar w:fldCharType="begin"/>
        </w:r>
        <w:r w:rsidR="00AC6AAD">
          <w:rPr>
            <w:noProof/>
            <w:webHidden/>
          </w:rPr>
          <w:instrText xml:space="preserve"> PAGEREF _Toc127191978 \h </w:instrText>
        </w:r>
        <w:r w:rsidR="00AC6AAD">
          <w:rPr>
            <w:noProof/>
            <w:webHidden/>
          </w:rPr>
        </w:r>
        <w:r w:rsidR="00AC6AAD">
          <w:rPr>
            <w:noProof/>
            <w:webHidden/>
          </w:rPr>
          <w:fldChar w:fldCharType="separate"/>
        </w:r>
        <w:r w:rsidR="00AC6AAD">
          <w:rPr>
            <w:noProof/>
            <w:webHidden/>
          </w:rPr>
          <w:t>58</w:t>
        </w:r>
        <w:r w:rsidR="00AC6AAD">
          <w:rPr>
            <w:noProof/>
            <w:webHidden/>
          </w:rPr>
          <w:fldChar w:fldCharType="end"/>
        </w:r>
      </w:hyperlink>
    </w:p>
    <w:p w14:paraId="3E69D0DE" w14:textId="71AD2053" w:rsidR="00AC6AAD" w:rsidRDefault="00D36400">
      <w:pPr>
        <w:pStyle w:val="TOC3"/>
        <w:rPr>
          <w:rFonts w:asciiTheme="minorHAnsi" w:eastAsiaTheme="minorEastAsia" w:hAnsiTheme="minorHAnsi" w:cstheme="minorBidi"/>
          <w:noProof/>
          <w:sz w:val="22"/>
          <w:szCs w:val="22"/>
          <w:lang w:eastAsia="en-AU"/>
        </w:rPr>
      </w:pPr>
      <w:hyperlink w:anchor="_Toc127191979" w:history="1">
        <w:r w:rsidR="00AC6AAD" w:rsidRPr="00397A34">
          <w:rPr>
            <w:rStyle w:val="Hyperlink"/>
            <w:noProof/>
          </w:rPr>
          <w:t>1.16.3</w:t>
        </w:r>
        <w:r w:rsidR="00AC6AAD">
          <w:rPr>
            <w:rFonts w:asciiTheme="minorHAnsi" w:eastAsiaTheme="minorEastAsia" w:hAnsiTheme="minorHAnsi" w:cstheme="minorBidi"/>
            <w:noProof/>
            <w:sz w:val="22"/>
            <w:szCs w:val="22"/>
            <w:lang w:eastAsia="en-AU"/>
          </w:rPr>
          <w:tab/>
        </w:r>
        <w:r w:rsidR="00AC6AAD" w:rsidRPr="00397A34">
          <w:rPr>
            <w:rStyle w:val="Hyperlink"/>
            <w:noProof/>
          </w:rPr>
          <w:t>Recall with Respect to Public and Private Activity Mix Changes</w:t>
        </w:r>
        <w:r w:rsidR="00AC6AAD">
          <w:rPr>
            <w:noProof/>
            <w:webHidden/>
          </w:rPr>
          <w:tab/>
        </w:r>
        <w:r w:rsidR="00AC6AAD">
          <w:rPr>
            <w:noProof/>
            <w:webHidden/>
          </w:rPr>
          <w:fldChar w:fldCharType="begin"/>
        </w:r>
        <w:r w:rsidR="00AC6AAD">
          <w:rPr>
            <w:noProof/>
            <w:webHidden/>
          </w:rPr>
          <w:instrText xml:space="preserve"> PAGEREF _Toc127191979 \h </w:instrText>
        </w:r>
        <w:r w:rsidR="00AC6AAD">
          <w:rPr>
            <w:noProof/>
            <w:webHidden/>
          </w:rPr>
        </w:r>
        <w:r w:rsidR="00AC6AAD">
          <w:rPr>
            <w:noProof/>
            <w:webHidden/>
          </w:rPr>
          <w:fldChar w:fldCharType="separate"/>
        </w:r>
        <w:r w:rsidR="00AC6AAD">
          <w:rPr>
            <w:noProof/>
            <w:webHidden/>
          </w:rPr>
          <w:t>59</w:t>
        </w:r>
        <w:r w:rsidR="00AC6AAD">
          <w:rPr>
            <w:noProof/>
            <w:webHidden/>
          </w:rPr>
          <w:fldChar w:fldCharType="end"/>
        </w:r>
      </w:hyperlink>
    </w:p>
    <w:p w14:paraId="7C7EB23B" w14:textId="640E3BF7" w:rsidR="00AC6AAD" w:rsidRDefault="00D36400">
      <w:pPr>
        <w:pStyle w:val="TOC3"/>
        <w:rPr>
          <w:rFonts w:asciiTheme="minorHAnsi" w:eastAsiaTheme="minorEastAsia" w:hAnsiTheme="minorHAnsi" w:cstheme="minorBidi"/>
          <w:noProof/>
          <w:sz w:val="22"/>
          <w:szCs w:val="22"/>
          <w:lang w:eastAsia="en-AU"/>
        </w:rPr>
      </w:pPr>
      <w:hyperlink w:anchor="_Toc127191980" w:history="1">
        <w:r w:rsidR="00AC6AAD" w:rsidRPr="00397A34">
          <w:rPr>
            <w:rStyle w:val="Hyperlink"/>
            <w:noProof/>
          </w:rPr>
          <w:t>1.16.4</w:t>
        </w:r>
        <w:r w:rsidR="00AC6AAD">
          <w:rPr>
            <w:rFonts w:asciiTheme="minorHAnsi" w:eastAsiaTheme="minorEastAsia" w:hAnsiTheme="minorHAnsi" w:cstheme="minorBidi"/>
            <w:noProof/>
            <w:sz w:val="22"/>
            <w:szCs w:val="22"/>
            <w:lang w:eastAsia="en-AU"/>
          </w:rPr>
          <w:tab/>
        </w:r>
        <w:r w:rsidR="00AC6AAD" w:rsidRPr="00397A34">
          <w:rPr>
            <w:rStyle w:val="Hyperlink"/>
            <w:noProof/>
          </w:rPr>
          <w:t>Reconciliation of National Health Reform Commonwealth Contributions</w:t>
        </w:r>
        <w:r w:rsidR="00AC6AAD">
          <w:rPr>
            <w:noProof/>
            <w:webHidden/>
          </w:rPr>
          <w:tab/>
        </w:r>
        <w:r w:rsidR="00AC6AAD">
          <w:rPr>
            <w:noProof/>
            <w:webHidden/>
          </w:rPr>
          <w:fldChar w:fldCharType="begin"/>
        </w:r>
        <w:r w:rsidR="00AC6AAD">
          <w:rPr>
            <w:noProof/>
            <w:webHidden/>
          </w:rPr>
          <w:instrText xml:space="preserve"> PAGEREF _Toc127191980 \h </w:instrText>
        </w:r>
        <w:r w:rsidR="00AC6AAD">
          <w:rPr>
            <w:noProof/>
            <w:webHidden/>
          </w:rPr>
        </w:r>
        <w:r w:rsidR="00AC6AAD">
          <w:rPr>
            <w:noProof/>
            <w:webHidden/>
          </w:rPr>
          <w:fldChar w:fldCharType="separate"/>
        </w:r>
        <w:r w:rsidR="00AC6AAD">
          <w:rPr>
            <w:noProof/>
            <w:webHidden/>
          </w:rPr>
          <w:t>60</w:t>
        </w:r>
        <w:r w:rsidR="00AC6AAD">
          <w:rPr>
            <w:noProof/>
            <w:webHidden/>
          </w:rPr>
          <w:fldChar w:fldCharType="end"/>
        </w:r>
      </w:hyperlink>
    </w:p>
    <w:p w14:paraId="23887C9E" w14:textId="3B25C9FE" w:rsidR="00AC6AAD" w:rsidRDefault="00D36400">
      <w:pPr>
        <w:pStyle w:val="TOC3"/>
        <w:rPr>
          <w:rFonts w:asciiTheme="minorHAnsi" w:eastAsiaTheme="minorEastAsia" w:hAnsiTheme="minorHAnsi" w:cstheme="minorBidi"/>
          <w:noProof/>
          <w:sz w:val="22"/>
          <w:szCs w:val="22"/>
          <w:lang w:eastAsia="en-AU"/>
        </w:rPr>
      </w:pPr>
      <w:hyperlink w:anchor="_Toc127191981" w:history="1">
        <w:r w:rsidR="00AC6AAD" w:rsidRPr="00397A34">
          <w:rPr>
            <w:rStyle w:val="Hyperlink"/>
            <w:noProof/>
          </w:rPr>
          <w:t>1.16.5</w:t>
        </w:r>
        <w:r w:rsidR="00AC6AAD">
          <w:rPr>
            <w:rFonts w:asciiTheme="minorHAnsi" w:eastAsiaTheme="minorEastAsia" w:hAnsiTheme="minorHAnsi" w:cstheme="minorBidi"/>
            <w:noProof/>
            <w:sz w:val="22"/>
            <w:szCs w:val="22"/>
            <w:lang w:eastAsia="en-AU"/>
          </w:rPr>
          <w:tab/>
        </w:r>
        <w:r w:rsidR="00AC6AAD" w:rsidRPr="00397A34">
          <w:rPr>
            <w:rStyle w:val="Hyperlink"/>
            <w:noProof/>
          </w:rPr>
          <w:t>Hospital Activity, NWAU and Subacute NWAU Reports</w:t>
        </w:r>
        <w:r w:rsidR="00AC6AAD">
          <w:rPr>
            <w:noProof/>
            <w:webHidden/>
          </w:rPr>
          <w:tab/>
        </w:r>
        <w:r w:rsidR="00AC6AAD">
          <w:rPr>
            <w:noProof/>
            <w:webHidden/>
          </w:rPr>
          <w:fldChar w:fldCharType="begin"/>
        </w:r>
        <w:r w:rsidR="00AC6AAD">
          <w:rPr>
            <w:noProof/>
            <w:webHidden/>
          </w:rPr>
          <w:instrText xml:space="preserve"> PAGEREF _Toc127191981 \h </w:instrText>
        </w:r>
        <w:r w:rsidR="00AC6AAD">
          <w:rPr>
            <w:noProof/>
            <w:webHidden/>
          </w:rPr>
        </w:r>
        <w:r w:rsidR="00AC6AAD">
          <w:rPr>
            <w:noProof/>
            <w:webHidden/>
          </w:rPr>
          <w:fldChar w:fldCharType="separate"/>
        </w:r>
        <w:r w:rsidR="00AC6AAD">
          <w:rPr>
            <w:noProof/>
            <w:webHidden/>
          </w:rPr>
          <w:t>60</w:t>
        </w:r>
        <w:r w:rsidR="00AC6AAD">
          <w:rPr>
            <w:noProof/>
            <w:webHidden/>
          </w:rPr>
          <w:fldChar w:fldCharType="end"/>
        </w:r>
      </w:hyperlink>
    </w:p>
    <w:p w14:paraId="4621848D" w14:textId="06BD7CE9" w:rsidR="00AC6AAD" w:rsidRDefault="00D36400">
      <w:pPr>
        <w:pStyle w:val="TOC2"/>
        <w:rPr>
          <w:rFonts w:asciiTheme="minorHAnsi" w:eastAsiaTheme="minorEastAsia" w:hAnsiTheme="minorHAnsi" w:cstheme="minorBidi"/>
          <w:b w:val="0"/>
          <w:bCs w:val="0"/>
          <w:sz w:val="22"/>
          <w:szCs w:val="22"/>
          <w:lang w:eastAsia="en-AU"/>
        </w:rPr>
      </w:pPr>
      <w:hyperlink w:anchor="_Toc127191982" w:history="1">
        <w:r w:rsidR="00AC6AAD" w:rsidRPr="00397A34">
          <w:rPr>
            <w:rStyle w:val="Hyperlink"/>
          </w:rPr>
          <w:t>1.17</w:t>
        </w:r>
        <w:r w:rsidR="00AC6AAD">
          <w:rPr>
            <w:rFonts w:asciiTheme="minorHAnsi" w:eastAsiaTheme="minorEastAsia" w:hAnsiTheme="minorHAnsi" w:cstheme="minorBidi"/>
            <w:b w:val="0"/>
            <w:bCs w:val="0"/>
            <w:sz w:val="22"/>
            <w:szCs w:val="22"/>
            <w:lang w:eastAsia="en-AU"/>
          </w:rPr>
          <w:tab/>
        </w:r>
        <w:r w:rsidR="00AC6AAD" w:rsidRPr="00397A34">
          <w:rPr>
            <w:rStyle w:val="Hyperlink"/>
          </w:rPr>
          <w:t>Elective Surgery Bi-Annual Recall Policy for 2022–23</w:t>
        </w:r>
        <w:r w:rsidR="00AC6AAD">
          <w:rPr>
            <w:webHidden/>
          </w:rPr>
          <w:tab/>
        </w:r>
        <w:r w:rsidR="00AC6AAD">
          <w:rPr>
            <w:webHidden/>
          </w:rPr>
          <w:fldChar w:fldCharType="begin"/>
        </w:r>
        <w:r w:rsidR="00AC6AAD">
          <w:rPr>
            <w:webHidden/>
          </w:rPr>
          <w:instrText xml:space="preserve"> PAGEREF _Toc127191982 \h </w:instrText>
        </w:r>
        <w:r w:rsidR="00AC6AAD">
          <w:rPr>
            <w:webHidden/>
          </w:rPr>
        </w:r>
        <w:r w:rsidR="00AC6AAD">
          <w:rPr>
            <w:webHidden/>
          </w:rPr>
          <w:fldChar w:fldCharType="separate"/>
        </w:r>
        <w:r w:rsidR="00AC6AAD">
          <w:rPr>
            <w:webHidden/>
          </w:rPr>
          <w:t>61</w:t>
        </w:r>
        <w:r w:rsidR="00AC6AAD">
          <w:rPr>
            <w:webHidden/>
          </w:rPr>
          <w:fldChar w:fldCharType="end"/>
        </w:r>
      </w:hyperlink>
    </w:p>
    <w:p w14:paraId="0EE6F62F" w14:textId="2B97EC11" w:rsidR="00AC6AAD" w:rsidRDefault="00D36400">
      <w:pPr>
        <w:pStyle w:val="TOC2"/>
        <w:rPr>
          <w:rFonts w:asciiTheme="minorHAnsi" w:eastAsiaTheme="minorEastAsia" w:hAnsiTheme="minorHAnsi" w:cstheme="minorBidi"/>
          <w:b w:val="0"/>
          <w:bCs w:val="0"/>
          <w:sz w:val="22"/>
          <w:szCs w:val="22"/>
          <w:lang w:eastAsia="en-AU"/>
        </w:rPr>
      </w:pPr>
      <w:hyperlink w:anchor="_Toc127191983" w:history="1">
        <w:r w:rsidR="00AC6AAD" w:rsidRPr="00397A34">
          <w:rPr>
            <w:rStyle w:val="Hyperlink"/>
          </w:rPr>
          <w:t>1.18</w:t>
        </w:r>
        <w:r w:rsidR="00AC6AAD">
          <w:rPr>
            <w:rFonts w:asciiTheme="minorHAnsi" w:eastAsiaTheme="minorEastAsia" w:hAnsiTheme="minorHAnsi" w:cstheme="minorBidi"/>
            <w:b w:val="0"/>
            <w:bCs w:val="0"/>
            <w:sz w:val="22"/>
            <w:szCs w:val="22"/>
            <w:lang w:eastAsia="en-AU"/>
          </w:rPr>
          <w:tab/>
        </w:r>
        <w:r w:rsidR="00AC6AAD" w:rsidRPr="00397A34">
          <w:rPr>
            <w:rStyle w:val="Hyperlink"/>
          </w:rPr>
          <w:t>Funding for Interstate and International Patients</w:t>
        </w:r>
        <w:r w:rsidR="00AC6AAD">
          <w:rPr>
            <w:webHidden/>
          </w:rPr>
          <w:tab/>
        </w:r>
        <w:r w:rsidR="00AC6AAD">
          <w:rPr>
            <w:webHidden/>
          </w:rPr>
          <w:fldChar w:fldCharType="begin"/>
        </w:r>
        <w:r w:rsidR="00AC6AAD">
          <w:rPr>
            <w:webHidden/>
          </w:rPr>
          <w:instrText xml:space="preserve"> PAGEREF _Toc127191983 \h </w:instrText>
        </w:r>
        <w:r w:rsidR="00AC6AAD">
          <w:rPr>
            <w:webHidden/>
          </w:rPr>
        </w:r>
        <w:r w:rsidR="00AC6AAD">
          <w:rPr>
            <w:webHidden/>
          </w:rPr>
          <w:fldChar w:fldCharType="separate"/>
        </w:r>
        <w:r w:rsidR="00AC6AAD">
          <w:rPr>
            <w:webHidden/>
          </w:rPr>
          <w:t>63</w:t>
        </w:r>
        <w:r w:rsidR="00AC6AAD">
          <w:rPr>
            <w:webHidden/>
          </w:rPr>
          <w:fldChar w:fldCharType="end"/>
        </w:r>
      </w:hyperlink>
    </w:p>
    <w:p w14:paraId="4D7F1E33" w14:textId="4EB3970B" w:rsidR="00AC6AAD" w:rsidRDefault="00D36400">
      <w:pPr>
        <w:pStyle w:val="TOC3"/>
        <w:rPr>
          <w:rFonts w:asciiTheme="minorHAnsi" w:eastAsiaTheme="minorEastAsia" w:hAnsiTheme="minorHAnsi" w:cstheme="minorBidi"/>
          <w:noProof/>
          <w:sz w:val="22"/>
          <w:szCs w:val="22"/>
          <w:lang w:eastAsia="en-AU"/>
        </w:rPr>
      </w:pPr>
      <w:hyperlink w:anchor="_Toc127191984" w:history="1">
        <w:r w:rsidR="00AC6AAD" w:rsidRPr="00397A34">
          <w:rPr>
            <w:rStyle w:val="Hyperlink"/>
            <w:noProof/>
          </w:rPr>
          <w:t>1.18.1</w:t>
        </w:r>
        <w:r w:rsidR="00AC6AAD">
          <w:rPr>
            <w:rFonts w:asciiTheme="minorHAnsi" w:eastAsiaTheme="minorEastAsia" w:hAnsiTheme="minorHAnsi" w:cstheme="minorBidi"/>
            <w:noProof/>
            <w:sz w:val="22"/>
            <w:szCs w:val="22"/>
            <w:lang w:eastAsia="en-AU"/>
          </w:rPr>
          <w:tab/>
        </w:r>
        <w:r w:rsidR="00AC6AAD" w:rsidRPr="00397A34">
          <w:rPr>
            <w:rStyle w:val="Hyperlink"/>
            <w:noProof/>
          </w:rPr>
          <w:t>Compensable Patients</w:t>
        </w:r>
        <w:r w:rsidR="00AC6AAD">
          <w:rPr>
            <w:noProof/>
            <w:webHidden/>
          </w:rPr>
          <w:tab/>
        </w:r>
        <w:r w:rsidR="00AC6AAD">
          <w:rPr>
            <w:noProof/>
            <w:webHidden/>
          </w:rPr>
          <w:fldChar w:fldCharType="begin"/>
        </w:r>
        <w:r w:rsidR="00AC6AAD">
          <w:rPr>
            <w:noProof/>
            <w:webHidden/>
          </w:rPr>
          <w:instrText xml:space="preserve"> PAGEREF _Toc127191984 \h </w:instrText>
        </w:r>
        <w:r w:rsidR="00AC6AAD">
          <w:rPr>
            <w:noProof/>
            <w:webHidden/>
          </w:rPr>
        </w:r>
        <w:r w:rsidR="00AC6AAD">
          <w:rPr>
            <w:noProof/>
            <w:webHidden/>
          </w:rPr>
          <w:fldChar w:fldCharType="separate"/>
        </w:r>
        <w:r w:rsidR="00AC6AAD">
          <w:rPr>
            <w:noProof/>
            <w:webHidden/>
          </w:rPr>
          <w:t>63</w:t>
        </w:r>
        <w:r w:rsidR="00AC6AAD">
          <w:rPr>
            <w:noProof/>
            <w:webHidden/>
          </w:rPr>
          <w:fldChar w:fldCharType="end"/>
        </w:r>
      </w:hyperlink>
    </w:p>
    <w:p w14:paraId="20B65C0D" w14:textId="34391706" w:rsidR="00AC6AAD" w:rsidRDefault="00D36400">
      <w:pPr>
        <w:pStyle w:val="TOC2"/>
        <w:rPr>
          <w:rFonts w:asciiTheme="minorHAnsi" w:eastAsiaTheme="minorEastAsia" w:hAnsiTheme="minorHAnsi" w:cstheme="minorBidi"/>
          <w:b w:val="0"/>
          <w:bCs w:val="0"/>
          <w:sz w:val="22"/>
          <w:szCs w:val="22"/>
          <w:lang w:eastAsia="en-AU"/>
        </w:rPr>
      </w:pPr>
      <w:hyperlink w:anchor="_Toc127191985" w:history="1">
        <w:r w:rsidR="00AC6AAD" w:rsidRPr="00397A34">
          <w:rPr>
            <w:rStyle w:val="Hyperlink"/>
            <w:rFonts w:eastAsia="Arial"/>
          </w:rPr>
          <w:t>1.19</w:t>
        </w:r>
        <w:r w:rsidR="00AC6AAD">
          <w:rPr>
            <w:rFonts w:asciiTheme="minorHAnsi" w:eastAsiaTheme="minorEastAsia" w:hAnsiTheme="minorHAnsi" w:cstheme="minorBidi"/>
            <w:b w:val="0"/>
            <w:bCs w:val="0"/>
            <w:sz w:val="22"/>
            <w:szCs w:val="22"/>
            <w:lang w:eastAsia="en-AU"/>
          </w:rPr>
          <w:tab/>
        </w:r>
        <w:r w:rsidR="00AC6AAD" w:rsidRPr="00397A34">
          <w:rPr>
            <w:rStyle w:val="Hyperlink"/>
          </w:rPr>
          <w:t>Improving Health Outcomes for Aboriginal and Torres Strait Islander Patients</w:t>
        </w:r>
        <w:r w:rsidR="00AC6AAD">
          <w:rPr>
            <w:webHidden/>
          </w:rPr>
          <w:tab/>
        </w:r>
        <w:r w:rsidR="00AC6AAD">
          <w:rPr>
            <w:webHidden/>
          </w:rPr>
          <w:fldChar w:fldCharType="begin"/>
        </w:r>
        <w:r w:rsidR="00AC6AAD">
          <w:rPr>
            <w:webHidden/>
          </w:rPr>
          <w:instrText xml:space="preserve"> PAGEREF _Toc127191985 \h </w:instrText>
        </w:r>
        <w:r w:rsidR="00AC6AAD">
          <w:rPr>
            <w:webHidden/>
          </w:rPr>
        </w:r>
        <w:r w:rsidR="00AC6AAD">
          <w:rPr>
            <w:webHidden/>
          </w:rPr>
          <w:fldChar w:fldCharType="separate"/>
        </w:r>
        <w:r w:rsidR="00AC6AAD">
          <w:rPr>
            <w:webHidden/>
          </w:rPr>
          <w:t>70</w:t>
        </w:r>
        <w:r w:rsidR="00AC6AAD">
          <w:rPr>
            <w:webHidden/>
          </w:rPr>
          <w:fldChar w:fldCharType="end"/>
        </w:r>
      </w:hyperlink>
    </w:p>
    <w:p w14:paraId="0EF62A2E" w14:textId="322E80B2" w:rsidR="00AC6AAD" w:rsidRDefault="00D36400">
      <w:pPr>
        <w:pStyle w:val="TOC3"/>
        <w:rPr>
          <w:rFonts w:asciiTheme="minorHAnsi" w:eastAsiaTheme="minorEastAsia" w:hAnsiTheme="minorHAnsi" w:cstheme="minorBidi"/>
          <w:noProof/>
          <w:sz w:val="22"/>
          <w:szCs w:val="22"/>
          <w:lang w:eastAsia="en-AU"/>
        </w:rPr>
      </w:pPr>
      <w:hyperlink w:anchor="_Toc127191986" w:history="1">
        <w:r w:rsidR="00AC6AAD" w:rsidRPr="00397A34">
          <w:rPr>
            <w:rStyle w:val="Hyperlink"/>
            <w:rFonts w:eastAsia="Arial"/>
            <w:noProof/>
          </w:rPr>
          <w:t>1.19.1</w:t>
        </w:r>
        <w:r w:rsidR="00AC6AAD">
          <w:rPr>
            <w:rFonts w:asciiTheme="minorHAnsi" w:eastAsiaTheme="minorEastAsia" w:hAnsiTheme="minorHAnsi" w:cstheme="minorBidi"/>
            <w:noProof/>
            <w:sz w:val="22"/>
            <w:szCs w:val="22"/>
            <w:lang w:eastAsia="en-AU"/>
          </w:rPr>
          <w:tab/>
        </w:r>
        <w:r w:rsidR="00AC6AAD" w:rsidRPr="00397A34">
          <w:rPr>
            <w:rStyle w:val="Hyperlink"/>
            <w:noProof/>
          </w:rPr>
          <w:t>Aboriginal Cultural Safety Planning and Reporting Requirements</w:t>
        </w:r>
        <w:r w:rsidR="00AC6AAD">
          <w:rPr>
            <w:noProof/>
            <w:webHidden/>
          </w:rPr>
          <w:tab/>
        </w:r>
        <w:r w:rsidR="00AC6AAD">
          <w:rPr>
            <w:noProof/>
            <w:webHidden/>
          </w:rPr>
          <w:fldChar w:fldCharType="begin"/>
        </w:r>
        <w:r w:rsidR="00AC6AAD">
          <w:rPr>
            <w:noProof/>
            <w:webHidden/>
          </w:rPr>
          <w:instrText xml:space="preserve"> PAGEREF _Toc127191986 \h </w:instrText>
        </w:r>
        <w:r w:rsidR="00AC6AAD">
          <w:rPr>
            <w:noProof/>
            <w:webHidden/>
          </w:rPr>
        </w:r>
        <w:r w:rsidR="00AC6AAD">
          <w:rPr>
            <w:noProof/>
            <w:webHidden/>
          </w:rPr>
          <w:fldChar w:fldCharType="separate"/>
        </w:r>
        <w:r w:rsidR="00AC6AAD">
          <w:rPr>
            <w:noProof/>
            <w:webHidden/>
          </w:rPr>
          <w:t>70</w:t>
        </w:r>
        <w:r w:rsidR="00AC6AAD">
          <w:rPr>
            <w:noProof/>
            <w:webHidden/>
          </w:rPr>
          <w:fldChar w:fldCharType="end"/>
        </w:r>
      </w:hyperlink>
    </w:p>
    <w:p w14:paraId="14BCD6D1" w14:textId="688D15DA" w:rsidR="00AC6AAD" w:rsidRDefault="00D36400">
      <w:pPr>
        <w:pStyle w:val="TOC3"/>
        <w:rPr>
          <w:rFonts w:asciiTheme="minorHAnsi" w:eastAsiaTheme="minorEastAsia" w:hAnsiTheme="minorHAnsi" w:cstheme="minorBidi"/>
          <w:noProof/>
          <w:sz w:val="22"/>
          <w:szCs w:val="22"/>
          <w:lang w:eastAsia="en-AU"/>
        </w:rPr>
      </w:pPr>
      <w:hyperlink w:anchor="_Toc127191987" w:history="1">
        <w:r w:rsidR="00AC6AAD" w:rsidRPr="00397A34">
          <w:rPr>
            <w:rStyle w:val="Hyperlink"/>
            <w:noProof/>
          </w:rPr>
          <w:t>1.19.2</w:t>
        </w:r>
        <w:r w:rsidR="00AC6AAD">
          <w:rPr>
            <w:rFonts w:asciiTheme="minorHAnsi" w:eastAsiaTheme="minorEastAsia" w:hAnsiTheme="minorHAnsi" w:cstheme="minorBidi"/>
            <w:noProof/>
            <w:sz w:val="22"/>
            <w:szCs w:val="22"/>
            <w:lang w:eastAsia="en-AU"/>
          </w:rPr>
          <w:tab/>
        </w:r>
        <w:r w:rsidR="00AC6AAD" w:rsidRPr="00397A34">
          <w:rPr>
            <w:rStyle w:val="Hyperlink"/>
            <w:noProof/>
          </w:rPr>
          <w:t>Indicators and Monitoring</w:t>
        </w:r>
        <w:r w:rsidR="00AC6AAD">
          <w:rPr>
            <w:noProof/>
            <w:webHidden/>
          </w:rPr>
          <w:tab/>
        </w:r>
        <w:r w:rsidR="00AC6AAD">
          <w:rPr>
            <w:noProof/>
            <w:webHidden/>
          </w:rPr>
          <w:fldChar w:fldCharType="begin"/>
        </w:r>
        <w:r w:rsidR="00AC6AAD">
          <w:rPr>
            <w:noProof/>
            <w:webHidden/>
          </w:rPr>
          <w:instrText xml:space="preserve"> PAGEREF _Toc127191987 \h </w:instrText>
        </w:r>
        <w:r w:rsidR="00AC6AAD">
          <w:rPr>
            <w:noProof/>
            <w:webHidden/>
          </w:rPr>
        </w:r>
        <w:r w:rsidR="00AC6AAD">
          <w:rPr>
            <w:noProof/>
            <w:webHidden/>
          </w:rPr>
          <w:fldChar w:fldCharType="separate"/>
        </w:r>
        <w:r w:rsidR="00AC6AAD">
          <w:rPr>
            <w:noProof/>
            <w:webHidden/>
          </w:rPr>
          <w:t>71</w:t>
        </w:r>
        <w:r w:rsidR="00AC6AAD">
          <w:rPr>
            <w:noProof/>
            <w:webHidden/>
          </w:rPr>
          <w:fldChar w:fldCharType="end"/>
        </w:r>
      </w:hyperlink>
    </w:p>
    <w:p w14:paraId="2B89DAEE" w14:textId="52535E3D" w:rsidR="00AC6AAD" w:rsidRDefault="00D36400">
      <w:pPr>
        <w:pStyle w:val="TOC2"/>
        <w:rPr>
          <w:rFonts w:asciiTheme="minorHAnsi" w:eastAsiaTheme="minorEastAsia" w:hAnsiTheme="minorHAnsi" w:cstheme="minorBidi"/>
          <w:b w:val="0"/>
          <w:bCs w:val="0"/>
          <w:sz w:val="22"/>
          <w:szCs w:val="22"/>
          <w:lang w:eastAsia="en-AU"/>
        </w:rPr>
      </w:pPr>
      <w:hyperlink w:anchor="_Toc127191988" w:history="1">
        <w:r w:rsidR="00AC6AAD" w:rsidRPr="00397A34">
          <w:rPr>
            <w:rStyle w:val="Hyperlink"/>
          </w:rPr>
          <w:t>1.20</w:t>
        </w:r>
        <w:r w:rsidR="00AC6AAD">
          <w:rPr>
            <w:rFonts w:asciiTheme="minorHAnsi" w:eastAsiaTheme="minorEastAsia" w:hAnsiTheme="minorHAnsi" w:cstheme="minorBidi"/>
            <w:b w:val="0"/>
            <w:bCs w:val="0"/>
            <w:sz w:val="22"/>
            <w:szCs w:val="22"/>
            <w:lang w:eastAsia="en-AU"/>
          </w:rPr>
          <w:tab/>
        </w:r>
        <w:r w:rsidR="00AC6AAD" w:rsidRPr="00397A34">
          <w:rPr>
            <w:rStyle w:val="Hyperlink"/>
          </w:rPr>
          <w:t>Payments and Cash Flow</w:t>
        </w:r>
        <w:r w:rsidR="00AC6AAD">
          <w:rPr>
            <w:webHidden/>
          </w:rPr>
          <w:tab/>
        </w:r>
        <w:r w:rsidR="00AC6AAD">
          <w:rPr>
            <w:webHidden/>
          </w:rPr>
          <w:fldChar w:fldCharType="begin"/>
        </w:r>
        <w:r w:rsidR="00AC6AAD">
          <w:rPr>
            <w:webHidden/>
          </w:rPr>
          <w:instrText xml:space="preserve"> PAGEREF _Toc127191988 \h </w:instrText>
        </w:r>
        <w:r w:rsidR="00AC6AAD">
          <w:rPr>
            <w:webHidden/>
          </w:rPr>
        </w:r>
        <w:r w:rsidR="00AC6AAD">
          <w:rPr>
            <w:webHidden/>
          </w:rPr>
          <w:fldChar w:fldCharType="separate"/>
        </w:r>
        <w:r w:rsidR="00AC6AAD">
          <w:rPr>
            <w:webHidden/>
          </w:rPr>
          <w:t>72</w:t>
        </w:r>
        <w:r w:rsidR="00AC6AAD">
          <w:rPr>
            <w:webHidden/>
          </w:rPr>
          <w:fldChar w:fldCharType="end"/>
        </w:r>
      </w:hyperlink>
    </w:p>
    <w:p w14:paraId="62A0AF7B" w14:textId="6A078198" w:rsidR="00AC6AAD" w:rsidRDefault="00D36400">
      <w:pPr>
        <w:pStyle w:val="TOC3"/>
        <w:rPr>
          <w:rFonts w:asciiTheme="minorHAnsi" w:eastAsiaTheme="minorEastAsia" w:hAnsiTheme="minorHAnsi" w:cstheme="minorBidi"/>
          <w:noProof/>
          <w:sz w:val="22"/>
          <w:szCs w:val="22"/>
          <w:lang w:eastAsia="en-AU"/>
        </w:rPr>
      </w:pPr>
      <w:hyperlink w:anchor="_Toc127191989" w:history="1">
        <w:r w:rsidR="00AC6AAD" w:rsidRPr="00397A34">
          <w:rPr>
            <w:rStyle w:val="Hyperlink"/>
            <w:noProof/>
          </w:rPr>
          <w:t>1.20.1</w:t>
        </w:r>
        <w:r w:rsidR="00AC6AAD">
          <w:rPr>
            <w:rFonts w:asciiTheme="minorHAnsi" w:eastAsiaTheme="minorEastAsia" w:hAnsiTheme="minorHAnsi" w:cstheme="minorBidi"/>
            <w:noProof/>
            <w:sz w:val="22"/>
            <w:szCs w:val="22"/>
            <w:lang w:eastAsia="en-AU"/>
          </w:rPr>
          <w:tab/>
        </w:r>
        <w:r w:rsidR="00AC6AAD" w:rsidRPr="00397A34">
          <w:rPr>
            <w:rStyle w:val="Hyperlink"/>
            <w:noProof/>
          </w:rPr>
          <w:t>Interim Payments for Long-Stay, High-Cost Patients</w:t>
        </w:r>
        <w:r w:rsidR="00AC6AAD">
          <w:rPr>
            <w:noProof/>
            <w:webHidden/>
          </w:rPr>
          <w:tab/>
        </w:r>
        <w:r w:rsidR="00AC6AAD">
          <w:rPr>
            <w:noProof/>
            <w:webHidden/>
          </w:rPr>
          <w:fldChar w:fldCharType="begin"/>
        </w:r>
        <w:r w:rsidR="00AC6AAD">
          <w:rPr>
            <w:noProof/>
            <w:webHidden/>
          </w:rPr>
          <w:instrText xml:space="preserve"> PAGEREF _Toc127191989 \h </w:instrText>
        </w:r>
        <w:r w:rsidR="00AC6AAD">
          <w:rPr>
            <w:noProof/>
            <w:webHidden/>
          </w:rPr>
        </w:r>
        <w:r w:rsidR="00AC6AAD">
          <w:rPr>
            <w:noProof/>
            <w:webHidden/>
          </w:rPr>
          <w:fldChar w:fldCharType="separate"/>
        </w:r>
        <w:r w:rsidR="00AC6AAD">
          <w:rPr>
            <w:noProof/>
            <w:webHidden/>
          </w:rPr>
          <w:t>72</w:t>
        </w:r>
        <w:r w:rsidR="00AC6AAD">
          <w:rPr>
            <w:noProof/>
            <w:webHidden/>
          </w:rPr>
          <w:fldChar w:fldCharType="end"/>
        </w:r>
      </w:hyperlink>
    </w:p>
    <w:p w14:paraId="4978E56A" w14:textId="67646B50" w:rsidR="00AC6AAD" w:rsidRDefault="00D36400">
      <w:pPr>
        <w:pStyle w:val="TOC3"/>
        <w:rPr>
          <w:rFonts w:asciiTheme="minorHAnsi" w:eastAsiaTheme="minorEastAsia" w:hAnsiTheme="minorHAnsi" w:cstheme="minorBidi"/>
          <w:noProof/>
          <w:sz w:val="22"/>
          <w:szCs w:val="22"/>
          <w:lang w:eastAsia="en-AU"/>
        </w:rPr>
      </w:pPr>
      <w:hyperlink w:anchor="_Toc127191990" w:history="1">
        <w:r w:rsidR="00AC6AAD" w:rsidRPr="00397A34">
          <w:rPr>
            <w:rStyle w:val="Hyperlink"/>
            <w:noProof/>
          </w:rPr>
          <w:t>1.20.2</w:t>
        </w:r>
        <w:r w:rsidR="00AC6AAD">
          <w:rPr>
            <w:rFonts w:asciiTheme="minorHAnsi" w:eastAsiaTheme="minorEastAsia" w:hAnsiTheme="minorHAnsi" w:cstheme="minorBidi"/>
            <w:noProof/>
            <w:sz w:val="22"/>
            <w:szCs w:val="22"/>
            <w:lang w:eastAsia="en-AU"/>
          </w:rPr>
          <w:tab/>
        </w:r>
        <w:r w:rsidR="00AC6AAD" w:rsidRPr="00397A34">
          <w:rPr>
            <w:rStyle w:val="Hyperlink"/>
            <w:noProof/>
          </w:rPr>
          <w:t>Use of Contracts</w:t>
        </w:r>
        <w:r w:rsidR="00AC6AAD">
          <w:rPr>
            <w:noProof/>
            <w:webHidden/>
          </w:rPr>
          <w:tab/>
        </w:r>
        <w:r w:rsidR="00AC6AAD">
          <w:rPr>
            <w:noProof/>
            <w:webHidden/>
          </w:rPr>
          <w:fldChar w:fldCharType="begin"/>
        </w:r>
        <w:r w:rsidR="00AC6AAD">
          <w:rPr>
            <w:noProof/>
            <w:webHidden/>
          </w:rPr>
          <w:instrText xml:space="preserve"> PAGEREF _Toc127191990 \h </w:instrText>
        </w:r>
        <w:r w:rsidR="00AC6AAD">
          <w:rPr>
            <w:noProof/>
            <w:webHidden/>
          </w:rPr>
        </w:r>
        <w:r w:rsidR="00AC6AAD">
          <w:rPr>
            <w:noProof/>
            <w:webHidden/>
          </w:rPr>
          <w:fldChar w:fldCharType="separate"/>
        </w:r>
        <w:r w:rsidR="00AC6AAD">
          <w:rPr>
            <w:noProof/>
            <w:webHidden/>
          </w:rPr>
          <w:t>72</w:t>
        </w:r>
        <w:r w:rsidR="00AC6AAD">
          <w:rPr>
            <w:noProof/>
            <w:webHidden/>
          </w:rPr>
          <w:fldChar w:fldCharType="end"/>
        </w:r>
      </w:hyperlink>
    </w:p>
    <w:p w14:paraId="3E05E448" w14:textId="2DFAF374" w:rsidR="00AC6AAD" w:rsidRDefault="00D36400">
      <w:pPr>
        <w:pStyle w:val="TOC3"/>
        <w:rPr>
          <w:rFonts w:asciiTheme="minorHAnsi" w:eastAsiaTheme="minorEastAsia" w:hAnsiTheme="minorHAnsi" w:cstheme="minorBidi"/>
          <w:noProof/>
          <w:sz w:val="22"/>
          <w:szCs w:val="22"/>
          <w:lang w:eastAsia="en-AU"/>
        </w:rPr>
      </w:pPr>
      <w:hyperlink w:anchor="_Toc127191991" w:history="1">
        <w:r w:rsidR="00AC6AAD" w:rsidRPr="00397A34">
          <w:rPr>
            <w:rStyle w:val="Hyperlink"/>
            <w:noProof/>
          </w:rPr>
          <w:t>1.20.3</w:t>
        </w:r>
        <w:r w:rsidR="00AC6AAD">
          <w:rPr>
            <w:rFonts w:asciiTheme="minorHAnsi" w:eastAsiaTheme="minorEastAsia" w:hAnsiTheme="minorHAnsi" w:cstheme="minorBidi"/>
            <w:noProof/>
            <w:sz w:val="22"/>
            <w:szCs w:val="22"/>
            <w:lang w:eastAsia="en-AU"/>
          </w:rPr>
          <w:tab/>
        </w:r>
        <w:r w:rsidR="00AC6AAD" w:rsidRPr="00397A34">
          <w:rPr>
            <w:rStyle w:val="Hyperlink"/>
            <w:noProof/>
          </w:rPr>
          <w:t>Health Service Fees and Charges</w:t>
        </w:r>
        <w:r w:rsidR="00AC6AAD">
          <w:rPr>
            <w:noProof/>
            <w:webHidden/>
          </w:rPr>
          <w:tab/>
        </w:r>
        <w:r w:rsidR="00AC6AAD">
          <w:rPr>
            <w:noProof/>
            <w:webHidden/>
          </w:rPr>
          <w:fldChar w:fldCharType="begin"/>
        </w:r>
        <w:r w:rsidR="00AC6AAD">
          <w:rPr>
            <w:noProof/>
            <w:webHidden/>
          </w:rPr>
          <w:instrText xml:space="preserve"> PAGEREF _Toc127191991 \h </w:instrText>
        </w:r>
        <w:r w:rsidR="00AC6AAD">
          <w:rPr>
            <w:noProof/>
            <w:webHidden/>
          </w:rPr>
        </w:r>
        <w:r w:rsidR="00AC6AAD">
          <w:rPr>
            <w:noProof/>
            <w:webHidden/>
          </w:rPr>
          <w:fldChar w:fldCharType="separate"/>
        </w:r>
        <w:r w:rsidR="00AC6AAD">
          <w:rPr>
            <w:noProof/>
            <w:webHidden/>
          </w:rPr>
          <w:t>72</w:t>
        </w:r>
        <w:r w:rsidR="00AC6AAD">
          <w:rPr>
            <w:noProof/>
            <w:webHidden/>
          </w:rPr>
          <w:fldChar w:fldCharType="end"/>
        </w:r>
      </w:hyperlink>
    </w:p>
    <w:p w14:paraId="031370A8" w14:textId="073C568B" w:rsidR="00AC6AAD" w:rsidRDefault="00D36400">
      <w:pPr>
        <w:pStyle w:val="TOC3"/>
        <w:rPr>
          <w:rFonts w:asciiTheme="minorHAnsi" w:eastAsiaTheme="minorEastAsia" w:hAnsiTheme="minorHAnsi" w:cstheme="minorBidi"/>
          <w:noProof/>
          <w:sz w:val="22"/>
          <w:szCs w:val="22"/>
          <w:lang w:eastAsia="en-AU"/>
        </w:rPr>
      </w:pPr>
      <w:hyperlink w:anchor="_Toc127191992" w:history="1">
        <w:r w:rsidR="00AC6AAD" w:rsidRPr="00397A34">
          <w:rPr>
            <w:rStyle w:val="Hyperlink"/>
            <w:noProof/>
          </w:rPr>
          <w:t>1.20.4</w:t>
        </w:r>
        <w:r w:rsidR="00AC6AAD">
          <w:rPr>
            <w:rFonts w:asciiTheme="minorHAnsi" w:eastAsiaTheme="minorEastAsia" w:hAnsiTheme="minorHAnsi" w:cstheme="minorBidi"/>
            <w:noProof/>
            <w:sz w:val="22"/>
            <w:szCs w:val="22"/>
            <w:lang w:eastAsia="en-AU"/>
          </w:rPr>
          <w:tab/>
        </w:r>
        <w:r w:rsidR="00AC6AAD" w:rsidRPr="00397A34">
          <w:rPr>
            <w:rStyle w:val="Hyperlink"/>
            <w:noProof/>
          </w:rPr>
          <w:t>Private Patient Accommodation Charges</w:t>
        </w:r>
        <w:r w:rsidR="00AC6AAD">
          <w:rPr>
            <w:noProof/>
            <w:webHidden/>
          </w:rPr>
          <w:tab/>
        </w:r>
        <w:r w:rsidR="00AC6AAD">
          <w:rPr>
            <w:noProof/>
            <w:webHidden/>
          </w:rPr>
          <w:fldChar w:fldCharType="begin"/>
        </w:r>
        <w:r w:rsidR="00AC6AAD">
          <w:rPr>
            <w:noProof/>
            <w:webHidden/>
          </w:rPr>
          <w:instrText xml:space="preserve"> PAGEREF _Toc127191992 \h </w:instrText>
        </w:r>
        <w:r w:rsidR="00AC6AAD">
          <w:rPr>
            <w:noProof/>
            <w:webHidden/>
          </w:rPr>
        </w:r>
        <w:r w:rsidR="00AC6AAD">
          <w:rPr>
            <w:noProof/>
            <w:webHidden/>
          </w:rPr>
          <w:fldChar w:fldCharType="separate"/>
        </w:r>
        <w:r w:rsidR="00AC6AAD">
          <w:rPr>
            <w:noProof/>
            <w:webHidden/>
          </w:rPr>
          <w:t>73</w:t>
        </w:r>
        <w:r w:rsidR="00AC6AAD">
          <w:rPr>
            <w:noProof/>
            <w:webHidden/>
          </w:rPr>
          <w:fldChar w:fldCharType="end"/>
        </w:r>
      </w:hyperlink>
    </w:p>
    <w:p w14:paraId="1BD58FFC" w14:textId="09ED1602" w:rsidR="00AC6AAD" w:rsidRDefault="00D36400">
      <w:pPr>
        <w:pStyle w:val="TOC3"/>
        <w:rPr>
          <w:rFonts w:asciiTheme="minorHAnsi" w:eastAsiaTheme="minorEastAsia" w:hAnsiTheme="minorHAnsi" w:cstheme="minorBidi"/>
          <w:noProof/>
          <w:sz w:val="22"/>
          <w:szCs w:val="22"/>
          <w:lang w:eastAsia="en-AU"/>
        </w:rPr>
      </w:pPr>
      <w:hyperlink w:anchor="_Toc127191993" w:history="1">
        <w:r w:rsidR="00AC6AAD" w:rsidRPr="00397A34">
          <w:rPr>
            <w:rStyle w:val="Hyperlink"/>
            <w:noProof/>
          </w:rPr>
          <w:t>1.20.5</w:t>
        </w:r>
        <w:r w:rsidR="00AC6AAD">
          <w:rPr>
            <w:rFonts w:asciiTheme="minorHAnsi" w:eastAsiaTheme="minorEastAsia" w:hAnsiTheme="minorHAnsi" w:cstheme="minorBidi"/>
            <w:noProof/>
            <w:sz w:val="22"/>
            <w:szCs w:val="22"/>
            <w:lang w:eastAsia="en-AU"/>
          </w:rPr>
          <w:tab/>
        </w:r>
        <w:r w:rsidR="00AC6AAD" w:rsidRPr="00397A34">
          <w:rPr>
            <w:rStyle w:val="Hyperlink"/>
            <w:noProof/>
          </w:rPr>
          <w:t>Redirection of Funds</w:t>
        </w:r>
        <w:r w:rsidR="00AC6AAD">
          <w:rPr>
            <w:noProof/>
            <w:webHidden/>
          </w:rPr>
          <w:tab/>
        </w:r>
        <w:r w:rsidR="00AC6AAD">
          <w:rPr>
            <w:noProof/>
            <w:webHidden/>
          </w:rPr>
          <w:fldChar w:fldCharType="begin"/>
        </w:r>
        <w:r w:rsidR="00AC6AAD">
          <w:rPr>
            <w:noProof/>
            <w:webHidden/>
          </w:rPr>
          <w:instrText xml:space="preserve"> PAGEREF _Toc127191993 \h </w:instrText>
        </w:r>
        <w:r w:rsidR="00AC6AAD">
          <w:rPr>
            <w:noProof/>
            <w:webHidden/>
          </w:rPr>
        </w:r>
        <w:r w:rsidR="00AC6AAD">
          <w:rPr>
            <w:noProof/>
            <w:webHidden/>
          </w:rPr>
          <w:fldChar w:fldCharType="separate"/>
        </w:r>
        <w:r w:rsidR="00AC6AAD">
          <w:rPr>
            <w:noProof/>
            <w:webHidden/>
          </w:rPr>
          <w:t>73</w:t>
        </w:r>
        <w:r w:rsidR="00AC6AAD">
          <w:rPr>
            <w:noProof/>
            <w:webHidden/>
          </w:rPr>
          <w:fldChar w:fldCharType="end"/>
        </w:r>
      </w:hyperlink>
    </w:p>
    <w:p w14:paraId="6B017DCE" w14:textId="39AE3153" w:rsidR="00AC6AAD" w:rsidRDefault="00D36400">
      <w:pPr>
        <w:pStyle w:val="TOC3"/>
        <w:rPr>
          <w:rFonts w:asciiTheme="minorHAnsi" w:eastAsiaTheme="minorEastAsia" w:hAnsiTheme="minorHAnsi" w:cstheme="minorBidi"/>
          <w:noProof/>
          <w:sz w:val="22"/>
          <w:szCs w:val="22"/>
          <w:lang w:eastAsia="en-AU"/>
        </w:rPr>
      </w:pPr>
      <w:hyperlink w:anchor="_Toc127191994" w:history="1">
        <w:r w:rsidR="00AC6AAD" w:rsidRPr="00397A34">
          <w:rPr>
            <w:rStyle w:val="Hyperlink"/>
            <w:noProof/>
          </w:rPr>
          <w:t>1.20.6</w:t>
        </w:r>
        <w:r w:rsidR="00AC6AAD">
          <w:rPr>
            <w:rFonts w:asciiTheme="minorHAnsi" w:eastAsiaTheme="minorEastAsia" w:hAnsiTheme="minorHAnsi" w:cstheme="minorBidi"/>
            <w:noProof/>
            <w:sz w:val="22"/>
            <w:szCs w:val="22"/>
            <w:lang w:eastAsia="en-AU"/>
          </w:rPr>
          <w:tab/>
        </w:r>
        <w:r w:rsidR="00AC6AAD" w:rsidRPr="00397A34">
          <w:rPr>
            <w:rStyle w:val="Hyperlink"/>
            <w:noProof/>
          </w:rPr>
          <w:t>Doctors in Training Secondment Arrangements</w:t>
        </w:r>
        <w:r w:rsidR="00AC6AAD">
          <w:rPr>
            <w:noProof/>
            <w:webHidden/>
          </w:rPr>
          <w:tab/>
        </w:r>
        <w:r w:rsidR="00AC6AAD">
          <w:rPr>
            <w:noProof/>
            <w:webHidden/>
          </w:rPr>
          <w:fldChar w:fldCharType="begin"/>
        </w:r>
        <w:r w:rsidR="00AC6AAD">
          <w:rPr>
            <w:noProof/>
            <w:webHidden/>
          </w:rPr>
          <w:instrText xml:space="preserve"> PAGEREF _Toc127191994 \h </w:instrText>
        </w:r>
        <w:r w:rsidR="00AC6AAD">
          <w:rPr>
            <w:noProof/>
            <w:webHidden/>
          </w:rPr>
        </w:r>
        <w:r w:rsidR="00AC6AAD">
          <w:rPr>
            <w:noProof/>
            <w:webHidden/>
          </w:rPr>
          <w:fldChar w:fldCharType="separate"/>
        </w:r>
        <w:r w:rsidR="00AC6AAD">
          <w:rPr>
            <w:noProof/>
            <w:webHidden/>
          </w:rPr>
          <w:t>74</w:t>
        </w:r>
        <w:r w:rsidR="00AC6AAD">
          <w:rPr>
            <w:noProof/>
            <w:webHidden/>
          </w:rPr>
          <w:fldChar w:fldCharType="end"/>
        </w:r>
      </w:hyperlink>
    </w:p>
    <w:p w14:paraId="33442EB7" w14:textId="6A66C7B0" w:rsidR="00AC6AAD" w:rsidRDefault="00D36400">
      <w:pPr>
        <w:pStyle w:val="TOC2"/>
        <w:rPr>
          <w:rFonts w:asciiTheme="minorHAnsi" w:eastAsiaTheme="minorEastAsia" w:hAnsiTheme="minorHAnsi" w:cstheme="minorBidi"/>
          <w:b w:val="0"/>
          <w:bCs w:val="0"/>
          <w:sz w:val="22"/>
          <w:szCs w:val="22"/>
          <w:lang w:eastAsia="en-AU"/>
        </w:rPr>
      </w:pPr>
      <w:hyperlink w:anchor="_Toc127191995" w:history="1">
        <w:r w:rsidR="00AC6AAD" w:rsidRPr="00397A34">
          <w:rPr>
            <w:rStyle w:val="Hyperlink"/>
          </w:rPr>
          <w:t>1.21</w:t>
        </w:r>
        <w:r w:rsidR="00AC6AAD">
          <w:rPr>
            <w:rFonts w:asciiTheme="minorHAnsi" w:eastAsiaTheme="minorEastAsia" w:hAnsiTheme="minorHAnsi" w:cstheme="minorBidi"/>
            <w:b w:val="0"/>
            <w:bCs w:val="0"/>
            <w:sz w:val="22"/>
            <w:szCs w:val="22"/>
            <w:lang w:eastAsia="en-AU"/>
          </w:rPr>
          <w:tab/>
        </w:r>
        <w:r w:rsidR="00AC6AAD" w:rsidRPr="00397A34">
          <w:rPr>
            <w:rStyle w:val="Hyperlink"/>
          </w:rPr>
          <w:t>Price Tables</w:t>
        </w:r>
        <w:r w:rsidR="00AC6AAD">
          <w:rPr>
            <w:webHidden/>
          </w:rPr>
          <w:tab/>
        </w:r>
        <w:r w:rsidR="00AC6AAD">
          <w:rPr>
            <w:webHidden/>
          </w:rPr>
          <w:fldChar w:fldCharType="begin"/>
        </w:r>
        <w:r w:rsidR="00AC6AAD">
          <w:rPr>
            <w:webHidden/>
          </w:rPr>
          <w:instrText xml:space="preserve"> PAGEREF _Toc127191995 \h </w:instrText>
        </w:r>
        <w:r w:rsidR="00AC6AAD">
          <w:rPr>
            <w:webHidden/>
          </w:rPr>
        </w:r>
        <w:r w:rsidR="00AC6AAD">
          <w:rPr>
            <w:webHidden/>
          </w:rPr>
          <w:fldChar w:fldCharType="separate"/>
        </w:r>
        <w:r w:rsidR="00AC6AAD">
          <w:rPr>
            <w:webHidden/>
          </w:rPr>
          <w:t>75</w:t>
        </w:r>
        <w:r w:rsidR="00AC6AAD">
          <w:rPr>
            <w:webHidden/>
          </w:rPr>
          <w:fldChar w:fldCharType="end"/>
        </w:r>
      </w:hyperlink>
    </w:p>
    <w:p w14:paraId="59C0E517" w14:textId="361B24A0" w:rsidR="00AC6AAD" w:rsidRDefault="00D36400">
      <w:pPr>
        <w:pStyle w:val="TOC3"/>
        <w:rPr>
          <w:rFonts w:asciiTheme="minorHAnsi" w:eastAsiaTheme="minorEastAsia" w:hAnsiTheme="minorHAnsi" w:cstheme="minorBidi"/>
          <w:noProof/>
          <w:sz w:val="22"/>
          <w:szCs w:val="22"/>
          <w:lang w:eastAsia="en-AU"/>
        </w:rPr>
      </w:pPr>
      <w:hyperlink w:anchor="_Toc127191996" w:history="1">
        <w:r w:rsidR="00AC6AAD" w:rsidRPr="00397A34">
          <w:rPr>
            <w:rStyle w:val="Hyperlink"/>
            <w:noProof/>
          </w:rPr>
          <w:t>1.21.1</w:t>
        </w:r>
        <w:r w:rsidR="00AC6AAD">
          <w:rPr>
            <w:rFonts w:asciiTheme="minorHAnsi" w:eastAsiaTheme="minorEastAsia" w:hAnsiTheme="minorHAnsi" w:cstheme="minorBidi"/>
            <w:noProof/>
            <w:sz w:val="22"/>
            <w:szCs w:val="22"/>
            <w:lang w:eastAsia="en-AU"/>
          </w:rPr>
          <w:tab/>
        </w:r>
        <w:r w:rsidR="00AC6AAD" w:rsidRPr="00397A34">
          <w:rPr>
            <w:rStyle w:val="Hyperlink"/>
            <w:noProof/>
          </w:rPr>
          <w:t>NWAU 2022–23</w:t>
        </w:r>
        <w:r w:rsidR="00AC6AAD">
          <w:rPr>
            <w:noProof/>
            <w:webHidden/>
          </w:rPr>
          <w:tab/>
        </w:r>
        <w:r w:rsidR="00AC6AAD">
          <w:rPr>
            <w:noProof/>
            <w:webHidden/>
          </w:rPr>
          <w:fldChar w:fldCharType="begin"/>
        </w:r>
        <w:r w:rsidR="00AC6AAD">
          <w:rPr>
            <w:noProof/>
            <w:webHidden/>
          </w:rPr>
          <w:instrText xml:space="preserve"> PAGEREF _Toc127191996 \h </w:instrText>
        </w:r>
        <w:r w:rsidR="00AC6AAD">
          <w:rPr>
            <w:noProof/>
            <w:webHidden/>
          </w:rPr>
        </w:r>
        <w:r w:rsidR="00AC6AAD">
          <w:rPr>
            <w:noProof/>
            <w:webHidden/>
          </w:rPr>
          <w:fldChar w:fldCharType="separate"/>
        </w:r>
        <w:r w:rsidR="00AC6AAD">
          <w:rPr>
            <w:noProof/>
            <w:webHidden/>
          </w:rPr>
          <w:t>75</w:t>
        </w:r>
        <w:r w:rsidR="00AC6AAD">
          <w:rPr>
            <w:noProof/>
            <w:webHidden/>
          </w:rPr>
          <w:fldChar w:fldCharType="end"/>
        </w:r>
      </w:hyperlink>
    </w:p>
    <w:p w14:paraId="58218F8D" w14:textId="1139CB8D" w:rsidR="00AC6AAD" w:rsidRDefault="00D36400">
      <w:pPr>
        <w:pStyle w:val="TOC3"/>
        <w:rPr>
          <w:rFonts w:asciiTheme="minorHAnsi" w:eastAsiaTheme="minorEastAsia" w:hAnsiTheme="minorHAnsi" w:cstheme="minorBidi"/>
          <w:noProof/>
          <w:sz w:val="22"/>
          <w:szCs w:val="22"/>
          <w:lang w:eastAsia="en-AU"/>
        </w:rPr>
      </w:pPr>
      <w:hyperlink w:anchor="_Toc127191997" w:history="1">
        <w:r w:rsidR="00AC6AAD" w:rsidRPr="00397A34">
          <w:rPr>
            <w:rStyle w:val="Hyperlink"/>
            <w:noProof/>
          </w:rPr>
          <w:t>1.21.2</w:t>
        </w:r>
        <w:r w:rsidR="00AC6AAD">
          <w:rPr>
            <w:rFonts w:asciiTheme="minorHAnsi" w:eastAsiaTheme="minorEastAsia" w:hAnsiTheme="minorHAnsi" w:cstheme="minorBidi"/>
            <w:noProof/>
            <w:sz w:val="22"/>
            <w:szCs w:val="22"/>
            <w:lang w:eastAsia="en-AU"/>
          </w:rPr>
          <w:tab/>
        </w:r>
        <w:r w:rsidR="00AC6AAD" w:rsidRPr="00397A34">
          <w:rPr>
            <w:rStyle w:val="Hyperlink"/>
            <w:noProof/>
          </w:rPr>
          <w:t>Mental Health Services</w:t>
        </w:r>
        <w:r w:rsidR="00AC6AAD">
          <w:rPr>
            <w:noProof/>
            <w:webHidden/>
          </w:rPr>
          <w:tab/>
        </w:r>
        <w:r w:rsidR="00AC6AAD">
          <w:rPr>
            <w:noProof/>
            <w:webHidden/>
          </w:rPr>
          <w:fldChar w:fldCharType="begin"/>
        </w:r>
        <w:r w:rsidR="00AC6AAD">
          <w:rPr>
            <w:noProof/>
            <w:webHidden/>
          </w:rPr>
          <w:instrText xml:space="preserve"> PAGEREF _Toc127191997 \h </w:instrText>
        </w:r>
        <w:r w:rsidR="00AC6AAD">
          <w:rPr>
            <w:noProof/>
            <w:webHidden/>
          </w:rPr>
        </w:r>
        <w:r w:rsidR="00AC6AAD">
          <w:rPr>
            <w:noProof/>
            <w:webHidden/>
          </w:rPr>
          <w:fldChar w:fldCharType="separate"/>
        </w:r>
        <w:r w:rsidR="00AC6AAD">
          <w:rPr>
            <w:noProof/>
            <w:webHidden/>
          </w:rPr>
          <w:t>76</w:t>
        </w:r>
        <w:r w:rsidR="00AC6AAD">
          <w:rPr>
            <w:noProof/>
            <w:webHidden/>
          </w:rPr>
          <w:fldChar w:fldCharType="end"/>
        </w:r>
      </w:hyperlink>
    </w:p>
    <w:p w14:paraId="1A8CF927" w14:textId="10E3788F" w:rsidR="00AC6AAD" w:rsidRDefault="00D36400">
      <w:pPr>
        <w:pStyle w:val="TOC3"/>
        <w:rPr>
          <w:rFonts w:asciiTheme="minorHAnsi" w:eastAsiaTheme="minorEastAsia" w:hAnsiTheme="minorHAnsi" w:cstheme="minorBidi"/>
          <w:noProof/>
          <w:sz w:val="22"/>
          <w:szCs w:val="22"/>
          <w:lang w:eastAsia="en-AU"/>
        </w:rPr>
      </w:pPr>
      <w:hyperlink w:anchor="_Toc127191998" w:history="1">
        <w:r w:rsidR="00AC6AAD" w:rsidRPr="00397A34">
          <w:rPr>
            <w:rStyle w:val="Hyperlink"/>
            <w:noProof/>
          </w:rPr>
          <w:t>1.21.3</w:t>
        </w:r>
        <w:r w:rsidR="00AC6AAD">
          <w:rPr>
            <w:rFonts w:asciiTheme="minorHAnsi" w:eastAsiaTheme="minorEastAsia" w:hAnsiTheme="minorHAnsi" w:cstheme="minorBidi"/>
            <w:noProof/>
            <w:sz w:val="22"/>
            <w:szCs w:val="22"/>
            <w:lang w:eastAsia="en-AU"/>
          </w:rPr>
          <w:tab/>
        </w:r>
        <w:r w:rsidR="00AC6AAD" w:rsidRPr="00397A34">
          <w:rPr>
            <w:rStyle w:val="Hyperlink"/>
            <w:noProof/>
          </w:rPr>
          <w:t>Ageing, Aged and Home Care</w:t>
        </w:r>
        <w:r w:rsidR="00AC6AAD">
          <w:rPr>
            <w:noProof/>
            <w:webHidden/>
          </w:rPr>
          <w:tab/>
        </w:r>
        <w:r w:rsidR="00AC6AAD">
          <w:rPr>
            <w:noProof/>
            <w:webHidden/>
          </w:rPr>
          <w:fldChar w:fldCharType="begin"/>
        </w:r>
        <w:r w:rsidR="00AC6AAD">
          <w:rPr>
            <w:noProof/>
            <w:webHidden/>
          </w:rPr>
          <w:instrText xml:space="preserve"> PAGEREF _Toc127191998 \h </w:instrText>
        </w:r>
        <w:r w:rsidR="00AC6AAD">
          <w:rPr>
            <w:noProof/>
            <w:webHidden/>
          </w:rPr>
        </w:r>
        <w:r w:rsidR="00AC6AAD">
          <w:rPr>
            <w:noProof/>
            <w:webHidden/>
          </w:rPr>
          <w:fldChar w:fldCharType="separate"/>
        </w:r>
        <w:r w:rsidR="00AC6AAD">
          <w:rPr>
            <w:noProof/>
            <w:webHidden/>
          </w:rPr>
          <w:t>78</w:t>
        </w:r>
        <w:r w:rsidR="00AC6AAD">
          <w:rPr>
            <w:noProof/>
            <w:webHidden/>
          </w:rPr>
          <w:fldChar w:fldCharType="end"/>
        </w:r>
      </w:hyperlink>
    </w:p>
    <w:p w14:paraId="2D3F1A58" w14:textId="00568CC0" w:rsidR="00AC6AAD" w:rsidRDefault="00D36400">
      <w:pPr>
        <w:pStyle w:val="TOC3"/>
        <w:rPr>
          <w:rFonts w:asciiTheme="minorHAnsi" w:eastAsiaTheme="minorEastAsia" w:hAnsiTheme="minorHAnsi" w:cstheme="minorBidi"/>
          <w:noProof/>
          <w:sz w:val="22"/>
          <w:szCs w:val="22"/>
          <w:lang w:eastAsia="en-AU"/>
        </w:rPr>
      </w:pPr>
      <w:hyperlink w:anchor="_Toc127191999" w:history="1">
        <w:r w:rsidR="00AC6AAD" w:rsidRPr="00397A34">
          <w:rPr>
            <w:rStyle w:val="Hyperlink"/>
            <w:noProof/>
          </w:rPr>
          <w:t>1.21.4</w:t>
        </w:r>
        <w:r w:rsidR="00AC6AAD">
          <w:rPr>
            <w:rFonts w:asciiTheme="minorHAnsi" w:eastAsiaTheme="minorEastAsia" w:hAnsiTheme="minorHAnsi" w:cstheme="minorBidi"/>
            <w:noProof/>
            <w:sz w:val="22"/>
            <w:szCs w:val="22"/>
            <w:lang w:eastAsia="en-AU"/>
          </w:rPr>
          <w:tab/>
        </w:r>
        <w:r w:rsidR="00AC6AAD" w:rsidRPr="00397A34">
          <w:rPr>
            <w:rStyle w:val="Hyperlink"/>
            <w:noProof/>
          </w:rPr>
          <w:t>Small Rural Health Services – Ageing, Aged and Home Care</w:t>
        </w:r>
        <w:r w:rsidR="00AC6AAD">
          <w:rPr>
            <w:noProof/>
            <w:webHidden/>
          </w:rPr>
          <w:tab/>
        </w:r>
        <w:r w:rsidR="00AC6AAD">
          <w:rPr>
            <w:noProof/>
            <w:webHidden/>
          </w:rPr>
          <w:fldChar w:fldCharType="begin"/>
        </w:r>
        <w:r w:rsidR="00AC6AAD">
          <w:rPr>
            <w:noProof/>
            <w:webHidden/>
          </w:rPr>
          <w:instrText xml:space="preserve"> PAGEREF _Toc127191999 \h </w:instrText>
        </w:r>
        <w:r w:rsidR="00AC6AAD">
          <w:rPr>
            <w:noProof/>
            <w:webHidden/>
          </w:rPr>
        </w:r>
        <w:r w:rsidR="00AC6AAD">
          <w:rPr>
            <w:noProof/>
            <w:webHidden/>
          </w:rPr>
          <w:fldChar w:fldCharType="separate"/>
        </w:r>
        <w:r w:rsidR="00AC6AAD">
          <w:rPr>
            <w:noProof/>
            <w:webHidden/>
          </w:rPr>
          <w:t>79</w:t>
        </w:r>
        <w:r w:rsidR="00AC6AAD">
          <w:rPr>
            <w:noProof/>
            <w:webHidden/>
          </w:rPr>
          <w:fldChar w:fldCharType="end"/>
        </w:r>
      </w:hyperlink>
    </w:p>
    <w:p w14:paraId="68E27F41" w14:textId="65A4A89D" w:rsidR="00AC6AAD" w:rsidRDefault="00D36400">
      <w:pPr>
        <w:pStyle w:val="TOC3"/>
        <w:rPr>
          <w:rFonts w:asciiTheme="minorHAnsi" w:eastAsiaTheme="minorEastAsia" w:hAnsiTheme="minorHAnsi" w:cstheme="minorBidi"/>
          <w:noProof/>
          <w:sz w:val="22"/>
          <w:szCs w:val="22"/>
          <w:lang w:eastAsia="en-AU"/>
        </w:rPr>
      </w:pPr>
      <w:hyperlink w:anchor="_Toc127192000" w:history="1">
        <w:r w:rsidR="00AC6AAD" w:rsidRPr="00397A34">
          <w:rPr>
            <w:rStyle w:val="Hyperlink"/>
            <w:noProof/>
          </w:rPr>
          <w:t>1.21.5</w:t>
        </w:r>
        <w:r w:rsidR="00AC6AAD">
          <w:rPr>
            <w:rFonts w:asciiTheme="minorHAnsi" w:eastAsiaTheme="minorEastAsia" w:hAnsiTheme="minorHAnsi" w:cstheme="minorBidi"/>
            <w:noProof/>
            <w:sz w:val="22"/>
            <w:szCs w:val="22"/>
            <w:lang w:eastAsia="en-AU"/>
          </w:rPr>
          <w:tab/>
        </w:r>
        <w:r w:rsidR="00AC6AAD" w:rsidRPr="00397A34">
          <w:rPr>
            <w:rStyle w:val="Hyperlink"/>
            <w:noProof/>
          </w:rPr>
          <w:t>Primary, Community and Dental Health Output Group</w:t>
        </w:r>
        <w:r w:rsidR="00AC6AAD">
          <w:rPr>
            <w:noProof/>
            <w:webHidden/>
          </w:rPr>
          <w:tab/>
        </w:r>
        <w:r w:rsidR="00AC6AAD">
          <w:rPr>
            <w:noProof/>
            <w:webHidden/>
          </w:rPr>
          <w:fldChar w:fldCharType="begin"/>
        </w:r>
        <w:r w:rsidR="00AC6AAD">
          <w:rPr>
            <w:noProof/>
            <w:webHidden/>
          </w:rPr>
          <w:instrText xml:space="preserve"> PAGEREF _Toc127192000 \h </w:instrText>
        </w:r>
        <w:r w:rsidR="00AC6AAD">
          <w:rPr>
            <w:noProof/>
            <w:webHidden/>
          </w:rPr>
        </w:r>
        <w:r w:rsidR="00AC6AAD">
          <w:rPr>
            <w:noProof/>
            <w:webHidden/>
          </w:rPr>
          <w:fldChar w:fldCharType="separate"/>
        </w:r>
        <w:r w:rsidR="00AC6AAD">
          <w:rPr>
            <w:noProof/>
            <w:webHidden/>
          </w:rPr>
          <w:t>80</w:t>
        </w:r>
        <w:r w:rsidR="00AC6AAD">
          <w:rPr>
            <w:noProof/>
            <w:webHidden/>
          </w:rPr>
          <w:fldChar w:fldCharType="end"/>
        </w:r>
      </w:hyperlink>
    </w:p>
    <w:p w14:paraId="5438BFEC" w14:textId="44B89D4B" w:rsidR="00AC6AAD" w:rsidRDefault="00D36400">
      <w:pPr>
        <w:pStyle w:val="TOC3"/>
        <w:rPr>
          <w:rFonts w:asciiTheme="minorHAnsi" w:eastAsiaTheme="minorEastAsia" w:hAnsiTheme="minorHAnsi" w:cstheme="minorBidi"/>
          <w:noProof/>
          <w:sz w:val="22"/>
          <w:szCs w:val="22"/>
          <w:lang w:eastAsia="en-AU"/>
        </w:rPr>
      </w:pPr>
      <w:hyperlink w:anchor="_Toc127192001" w:history="1">
        <w:r w:rsidR="00AC6AAD" w:rsidRPr="00397A34">
          <w:rPr>
            <w:rStyle w:val="Hyperlink"/>
            <w:noProof/>
          </w:rPr>
          <w:t>1.21.6</w:t>
        </w:r>
        <w:r w:rsidR="00AC6AAD">
          <w:rPr>
            <w:rFonts w:asciiTheme="minorHAnsi" w:eastAsiaTheme="minorEastAsia" w:hAnsiTheme="minorHAnsi" w:cstheme="minorBidi"/>
            <w:noProof/>
            <w:sz w:val="22"/>
            <w:szCs w:val="22"/>
            <w:lang w:eastAsia="en-AU"/>
          </w:rPr>
          <w:tab/>
        </w:r>
        <w:r w:rsidR="00AC6AAD" w:rsidRPr="00397A34">
          <w:rPr>
            <w:rStyle w:val="Hyperlink"/>
            <w:noProof/>
          </w:rPr>
          <w:t>Training and Development</w:t>
        </w:r>
        <w:r w:rsidR="00AC6AAD">
          <w:rPr>
            <w:noProof/>
            <w:webHidden/>
          </w:rPr>
          <w:tab/>
        </w:r>
        <w:r w:rsidR="00AC6AAD">
          <w:rPr>
            <w:noProof/>
            <w:webHidden/>
          </w:rPr>
          <w:fldChar w:fldCharType="begin"/>
        </w:r>
        <w:r w:rsidR="00AC6AAD">
          <w:rPr>
            <w:noProof/>
            <w:webHidden/>
          </w:rPr>
          <w:instrText xml:space="preserve"> PAGEREF _Toc127192001 \h </w:instrText>
        </w:r>
        <w:r w:rsidR="00AC6AAD">
          <w:rPr>
            <w:noProof/>
            <w:webHidden/>
          </w:rPr>
        </w:r>
        <w:r w:rsidR="00AC6AAD">
          <w:rPr>
            <w:noProof/>
            <w:webHidden/>
          </w:rPr>
          <w:fldChar w:fldCharType="separate"/>
        </w:r>
        <w:r w:rsidR="00AC6AAD">
          <w:rPr>
            <w:noProof/>
            <w:webHidden/>
          </w:rPr>
          <w:t>81</w:t>
        </w:r>
        <w:r w:rsidR="00AC6AAD">
          <w:rPr>
            <w:noProof/>
            <w:webHidden/>
          </w:rPr>
          <w:fldChar w:fldCharType="end"/>
        </w:r>
      </w:hyperlink>
    </w:p>
    <w:p w14:paraId="20279C60" w14:textId="65A8F964" w:rsidR="00AC6AAD" w:rsidRDefault="00D36400">
      <w:pPr>
        <w:pStyle w:val="TOC2"/>
        <w:rPr>
          <w:rFonts w:asciiTheme="minorHAnsi" w:eastAsiaTheme="minorEastAsia" w:hAnsiTheme="minorHAnsi" w:cstheme="minorBidi"/>
          <w:b w:val="0"/>
          <w:bCs w:val="0"/>
          <w:sz w:val="22"/>
          <w:szCs w:val="22"/>
          <w:lang w:eastAsia="en-AU"/>
        </w:rPr>
      </w:pPr>
      <w:hyperlink w:anchor="_Toc127192002" w:history="1">
        <w:r w:rsidR="00AC6AAD" w:rsidRPr="00397A34">
          <w:rPr>
            <w:rStyle w:val="Hyperlink"/>
          </w:rPr>
          <w:t>1.22</w:t>
        </w:r>
        <w:r w:rsidR="00AC6AAD">
          <w:rPr>
            <w:rFonts w:asciiTheme="minorHAnsi" w:eastAsiaTheme="minorEastAsia" w:hAnsiTheme="minorHAnsi" w:cstheme="minorBidi"/>
            <w:b w:val="0"/>
            <w:bCs w:val="0"/>
            <w:sz w:val="22"/>
            <w:szCs w:val="22"/>
            <w:lang w:eastAsia="en-AU"/>
          </w:rPr>
          <w:tab/>
        </w:r>
        <w:r w:rsidR="00AC6AAD" w:rsidRPr="00397A34">
          <w:rPr>
            <w:rStyle w:val="Hyperlink"/>
          </w:rPr>
          <w:t>Price Groups for NWAU Purposes</w:t>
        </w:r>
        <w:r w:rsidR="00AC6AAD">
          <w:rPr>
            <w:webHidden/>
          </w:rPr>
          <w:tab/>
        </w:r>
        <w:r w:rsidR="00AC6AAD">
          <w:rPr>
            <w:webHidden/>
          </w:rPr>
          <w:fldChar w:fldCharType="begin"/>
        </w:r>
        <w:r w:rsidR="00AC6AAD">
          <w:rPr>
            <w:webHidden/>
          </w:rPr>
          <w:instrText xml:space="preserve"> PAGEREF _Toc127192002 \h </w:instrText>
        </w:r>
        <w:r w:rsidR="00AC6AAD">
          <w:rPr>
            <w:webHidden/>
          </w:rPr>
        </w:r>
        <w:r w:rsidR="00AC6AAD">
          <w:rPr>
            <w:webHidden/>
          </w:rPr>
          <w:fldChar w:fldCharType="separate"/>
        </w:r>
        <w:r w:rsidR="00AC6AAD">
          <w:rPr>
            <w:webHidden/>
          </w:rPr>
          <w:t>83</w:t>
        </w:r>
        <w:r w:rsidR="00AC6AAD">
          <w:rPr>
            <w:webHidden/>
          </w:rPr>
          <w:fldChar w:fldCharType="end"/>
        </w:r>
      </w:hyperlink>
    </w:p>
    <w:p w14:paraId="2AA6C7F9" w14:textId="0E287A76" w:rsidR="00AC6AAD" w:rsidRDefault="00D36400">
      <w:pPr>
        <w:pStyle w:val="TOC2"/>
        <w:rPr>
          <w:rFonts w:asciiTheme="minorHAnsi" w:eastAsiaTheme="minorEastAsia" w:hAnsiTheme="minorHAnsi" w:cstheme="minorBidi"/>
          <w:b w:val="0"/>
          <w:bCs w:val="0"/>
          <w:sz w:val="22"/>
          <w:szCs w:val="22"/>
          <w:lang w:eastAsia="en-AU"/>
        </w:rPr>
      </w:pPr>
      <w:hyperlink w:anchor="_Toc127192003" w:history="1">
        <w:r w:rsidR="00AC6AAD" w:rsidRPr="00397A34">
          <w:rPr>
            <w:rStyle w:val="Hyperlink"/>
          </w:rPr>
          <w:t>1.23</w:t>
        </w:r>
        <w:r w:rsidR="00AC6AAD">
          <w:rPr>
            <w:rFonts w:asciiTheme="minorHAnsi" w:eastAsiaTheme="minorEastAsia" w:hAnsiTheme="minorHAnsi" w:cstheme="minorBidi"/>
            <w:b w:val="0"/>
            <w:bCs w:val="0"/>
            <w:sz w:val="22"/>
            <w:szCs w:val="22"/>
            <w:lang w:eastAsia="en-AU"/>
          </w:rPr>
          <w:tab/>
        </w:r>
        <w:r w:rsidR="00AC6AAD" w:rsidRPr="00397A34">
          <w:rPr>
            <w:rStyle w:val="Hyperlink"/>
          </w:rPr>
          <w:t>Output and Activity Tables</w:t>
        </w:r>
        <w:r w:rsidR="00AC6AAD">
          <w:rPr>
            <w:webHidden/>
          </w:rPr>
          <w:tab/>
        </w:r>
        <w:r w:rsidR="00AC6AAD">
          <w:rPr>
            <w:webHidden/>
          </w:rPr>
          <w:fldChar w:fldCharType="begin"/>
        </w:r>
        <w:r w:rsidR="00AC6AAD">
          <w:rPr>
            <w:webHidden/>
          </w:rPr>
          <w:instrText xml:space="preserve"> PAGEREF _Toc127192003 \h </w:instrText>
        </w:r>
        <w:r w:rsidR="00AC6AAD">
          <w:rPr>
            <w:webHidden/>
          </w:rPr>
        </w:r>
        <w:r w:rsidR="00AC6AAD">
          <w:rPr>
            <w:webHidden/>
          </w:rPr>
          <w:fldChar w:fldCharType="separate"/>
        </w:r>
        <w:r w:rsidR="00AC6AAD">
          <w:rPr>
            <w:webHidden/>
          </w:rPr>
          <w:t>85</w:t>
        </w:r>
        <w:r w:rsidR="00AC6AAD">
          <w:rPr>
            <w:webHidden/>
          </w:rPr>
          <w:fldChar w:fldCharType="end"/>
        </w:r>
      </w:hyperlink>
    </w:p>
    <w:p w14:paraId="5B525EAB" w14:textId="4C13E2D2" w:rsidR="00AC6AAD" w:rsidRDefault="00D36400">
      <w:pPr>
        <w:pStyle w:val="TOC2"/>
        <w:rPr>
          <w:rFonts w:asciiTheme="minorHAnsi" w:eastAsiaTheme="minorEastAsia" w:hAnsiTheme="minorHAnsi" w:cstheme="minorBidi"/>
          <w:b w:val="0"/>
          <w:bCs w:val="0"/>
          <w:sz w:val="22"/>
          <w:szCs w:val="22"/>
          <w:lang w:eastAsia="en-AU"/>
        </w:rPr>
      </w:pPr>
      <w:hyperlink w:anchor="_Toc127192004" w:history="1">
        <w:r w:rsidR="00AC6AAD" w:rsidRPr="00397A34">
          <w:rPr>
            <w:rStyle w:val="Hyperlink"/>
          </w:rPr>
          <w:t>Addendum 1.1: Calculating funding recall</w:t>
        </w:r>
        <w:r w:rsidR="00AC6AAD">
          <w:rPr>
            <w:webHidden/>
          </w:rPr>
          <w:tab/>
        </w:r>
        <w:r w:rsidR="00AC6AAD">
          <w:rPr>
            <w:webHidden/>
          </w:rPr>
          <w:fldChar w:fldCharType="begin"/>
        </w:r>
        <w:r w:rsidR="00AC6AAD">
          <w:rPr>
            <w:webHidden/>
          </w:rPr>
          <w:instrText xml:space="preserve"> PAGEREF _Toc127192004 \h </w:instrText>
        </w:r>
        <w:r w:rsidR="00AC6AAD">
          <w:rPr>
            <w:webHidden/>
          </w:rPr>
        </w:r>
        <w:r w:rsidR="00AC6AAD">
          <w:rPr>
            <w:webHidden/>
          </w:rPr>
          <w:fldChar w:fldCharType="separate"/>
        </w:r>
        <w:r w:rsidR="00AC6AAD">
          <w:rPr>
            <w:webHidden/>
          </w:rPr>
          <w:t>102</w:t>
        </w:r>
        <w:r w:rsidR="00AC6AAD">
          <w:rPr>
            <w:webHidden/>
          </w:rPr>
          <w:fldChar w:fldCharType="end"/>
        </w:r>
      </w:hyperlink>
    </w:p>
    <w:p w14:paraId="02069D57" w14:textId="141DD16A" w:rsidR="00AC6AAD" w:rsidRDefault="00D36400">
      <w:pPr>
        <w:pStyle w:val="TOC3"/>
        <w:rPr>
          <w:rFonts w:asciiTheme="minorHAnsi" w:eastAsiaTheme="minorEastAsia" w:hAnsiTheme="minorHAnsi" w:cstheme="minorBidi"/>
          <w:noProof/>
          <w:sz w:val="22"/>
          <w:szCs w:val="22"/>
          <w:lang w:eastAsia="en-AU"/>
        </w:rPr>
      </w:pPr>
      <w:hyperlink w:anchor="_Toc127192005" w:history="1">
        <w:r w:rsidR="00AC6AAD" w:rsidRPr="00397A34">
          <w:rPr>
            <w:rStyle w:val="Hyperlink"/>
            <w:noProof/>
          </w:rPr>
          <w:t>A1.1.1</w:t>
        </w:r>
        <w:r w:rsidR="00AC6AAD">
          <w:rPr>
            <w:rFonts w:asciiTheme="minorHAnsi" w:eastAsiaTheme="minorEastAsia" w:hAnsiTheme="minorHAnsi" w:cstheme="minorBidi"/>
            <w:noProof/>
            <w:sz w:val="22"/>
            <w:szCs w:val="22"/>
            <w:lang w:eastAsia="en-AU"/>
          </w:rPr>
          <w:tab/>
        </w:r>
        <w:r w:rsidR="00AC6AAD" w:rsidRPr="00397A34">
          <w:rPr>
            <w:rStyle w:val="Hyperlink"/>
            <w:noProof/>
          </w:rPr>
          <w:t>Calculating NWAU Funding Recall</w:t>
        </w:r>
        <w:r w:rsidR="00AC6AAD">
          <w:rPr>
            <w:noProof/>
            <w:webHidden/>
          </w:rPr>
          <w:tab/>
        </w:r>
        <w:r w:rsidR="00AC6AAD">
          <w:rPr>
            <w:noProof/>
            <w:webHidden/>
          </w:rPr>
          <w:fldChar w:fldCharType="begin"/>
        </w:r>
        <w:r w:rsidR="00AC6AAD">
          <w:rPr>
            <w:noProof/>
            <w:webHidden/>
          </w:rPr>
          <w:instrText xml:space="preserve"> PAGEREF _Toc127192005 \h </w:instrText>
        </w:r>
        <w:r w:rsidR="00AC6AAD">
          <w:rPr>
            <w:noProof/>
            <w:webHidden/>
          </w:rPr>
        </w:r>
        <w:r w:rsidR="00AC6AAD">
          <w:rPr>
            <w:noProof/>
            <w:webHidden/>
          </w:rPr>
          <w:fldChar w:fldCharType="separate"/>
        </w:r>
        <w:r w:rsidR="00AC6AAD">
          <w:rPr>
            <w:noProof/>
            <w:webHidden/>
          </w:rPr>
          <w:t>102</w:t>
        </w:r>
        <w:r w:rsidR="00AC6AAD">
          <w:rPr>
            <w:noProof/>
            <w:webHidden/>
          </w:rPr>
          <w:fldChar w:fldCharType="end"/>
        </w:r>
      </w:hyperlink>
    </w:p>
    <w:p w14:paraId="52CED691" w14:textId="759AF58E" w:rsidR="00AC6AAD" w:rsidRDefault="00D36400">
      <w:pPr>
        <w:pStyle w:val="TOC3"/>
        <w:rPr>
          <w:rFonts w:asciiTheme="minorHAnsi" w:eastAsiaTheme="minorEastAsia" w:hAnsiTheme="minorHAnsi" w:cstheme="minorBidi"/>
          <w:noProof/>
          <w:sz w:val="22"/>
          <w:szCs w:val="22"/>
          <w:lang w:eastAsia="en-AU"/>
        </w:rPr>
      </w:pPr>
      <w:hyperlink w:anchor="_Toc127192006" w:history="1">
        <w:r w:rsidR="00AC6AAD" w:rsidRPr="00397A34">
          <w:rPr>
            <w:rStyle w:val="Hyperlink"/>
            <w:noProof/>
          </w:rPr>
          <w:t>A1.1.2</w:t>
        </w:r>
        <w:r w:rsidR="00AC6AAD">
          <w:rPr>
            <w:rFonts w:asciiTheme="minorHAnsi" w:eastAsiaTheme="minorEastAsia" w:hAnsiTheme="minorHAnsi" w:cstheme="minorBidi"/>
            <w:noProof/>
            <w:sz w:val="22"/>
            <w:szCs w:val="22"/>
            <w:lang w:eastAsia="en-AU"/>
          </w:rPr>
          <w:tab/>
        </w:r>
        <w:r w:rsidR="00AC6AAD" w:rsidRPr="00397A34">
          <w:rPr>
            <w:rStyle w:val="Hyperlink"/>
            <w:noProof/>
          </w:rPr>
          <w:t>Calculating Transport Accident Commission/ Department of Veterans’ Affairs NWAU Funding Recall</w:t>
        </w:r>
        <w:r w:rsidR="00AC6AAD">
          <w:rPr>
            <w:noProof/>
            <w:webHidden/>
          </w:rPr>
          <w:tab/>
        </w:r>
        <w:r w:rsidR="00AC6AAD">
          <w:rPr>
            <w:noProof/>
            <w:webHidden/>
          </w:rPr>
          <w:fldChar w:fldCharType="begin"/>
        </w:r>
        <w:r w:rsidR="00AC6AAD">
          <w:rPr>
            <w:noProof/>
            <w:webHidden/>
          </w:rPr>
          <w:instrText xml:space="preserve"> PAGEREF _Toc127192006 \h </w:instrText>
        </w:r>
        <w:r w:rsidR="00AC6AAD">
          <w:rPr>
            <w:noProof/>
            <w:webHidden/>
          </w:rPr>
        </w:r>
        <w:r w:rsidR="00AC6AAD">
          <w:rPr>
            <w:noProof/>
            <w:webHidden/>
          </w:rPr>
          <w:fldChar w:fldCharType="separate"/>
        </w:r>
        <w:r w:rsidR="00AC6AAD">
          <w:rPr>
            <w:noProof/>
            <w:webHidden/>
          </w:rPr>
          <w:t>102</w:t>
        </w:r>
        <w:r w:rsidR="00AC6AAD">
          <w:rPr>
            <w:noProof/>
            <w:webHidden/>
          </w:rPr>
          <w:fldChar w:fldCharType="end"/>
        </w:r>
      </w:hyperlink>
    </w:p>
    <w:p w14:paraId="640A48D9" w14:textId="68D2C56C" w:rsidR="00AC6AAD" w:rsidRDefault="00D36400">
      <w:pPr>
        <w:pStyle w:val="TOC3"/>
        <w:rPr>
          <w:rFonts w:asciiTheme="minorHAnsi" w:eastAsiaTheme="minorEastAsia" w:hAnsiTheme="minorHAnsi" w:cstheme="minorBidi"/>
          <w:noProof/>
          <w:sz w:val="22"/>
          <w:szCs w:val="22"/>
          <w:lang w:eastAsia="en-AU"/>
        </w:rPr>
      </w:pPr>
      <w:hyperlink w:anchor="_Toc127192007" w:history="1">
        <w:r w:rsidR="00AC6AAD" w:rsidRPr="00397A34">
          <w:rPr>
            <w:rStyle w:val="Hyperlink"/>
            <w:noProof/>
          </w:rPr>
          <w:t>A1.1.3</w:t>
        </w:r>
        <w:r w:rsidR="00AC6AAD">
          <w:rPr>
            <w:rFonts w:asciiTheme="minorHAnsi" w:eastAsiaTheme="minorEastAsia" w:hAnsiTheme="minorHAnsi" w:cstheme="minorBidi"/>
            <w:noProof/>
            <w:sz w:val="22"/>
            <w:szCs w:val="22"/>
            <w:lang w:eastAsia="en-AU"/>
          </w:rPr>
          <w:tab/>
        </w:r>
        <w:r w:rsidR="00AC6AAD" w:rsidRPr="00397A34">
          <w:rPr>
            <w:rStyle w:val="Hyperlink"/>
            <w:noProof/>
          </w:rPr>
          <w:t>Calculating National Bowel Cancer Screening Program Colonoscopy NWAU recall</w:t>
        </w:r>
        <w:r w:rsidR="00AC6AAD">
          <w:rPr>
            <w:noProof/>
            <w:webHidden/>
          </w:rPr>
          <w:tab/>
        </w:r>
        <w:r w:rsidR="00AC6AAD">
          <w:rPr>
            <w:noProof/>
            <w:webHidden/>
          </w:rPr>
          <w:fldChar w:fldCharType="begin"/>
        </w:r>
        <w:r w:rsidR="00AC6AAD">
          <w:rPr>
            <w:noProof/>
            <w:webHidden/>
          </w:rPr>
          <w:instrText xml:space="preserve"> PAGEREF _Toc127192007 \h </w:instrText>
        </w:r>
        <w:r w:rsidR="00AC6AAD">
          <w:rPr>
            <w:noProof/>
            <w:webHidden/>
          </w:rPr>
        </w:r>
        <w:r w:rsidR="00AC6AAD">
          <w:rPr>
            <w:noProof/>
            <w:webHidden/>
          </w:rPr>
          <w:fldChar w:fldCharType="separate"/>
        </w:r>
        <w:r w:rsidR="00AC6AAD">
          <w:rPr>
            <w:noProof/>
            <w:webHidden/>
          </w:rPr>
          <w:t>102</w:t>
        </w:r>
        <w:r w:rsidR="00AC6AAD">
          <w:rPr>
            <w:noProof/>
            <w:webHidden/>
          </w:rPr>
          <w:fldChar w:fldCharType="end"/>
        </w:r>
      </w:hyperlink>
    </w:p>
    <w:p w14:paraId="7999AB4F" w14:textId="6E0D357C" w:rsidR="00AC6AAD" w:rsidRDefault="00D36400">
      <w:pPr>
        <w:pStyle w:val="TOC3"/>
        <w:rPr>
          <w:rFonts w:asciiTheme="minorHAnsi" w:eastAsiaTheme="minorEastAsia" w:hAnsiTheme="minorHAnsi" w:cstheme="minorBidi"/>
          <w:noProof/>
          <w:sz w:val="22"/>
          <w:szCs w:val="22"/>
          <w:lang w:eastAsia="en-AU"/>
        </w:rPr>
      </w:pPr>
      <w:hyperlink w:anchor="_Toc127192008" w:history="1">
        <w:r w:rsidR="00AC6AAD" w:rsidRPr="00397A34">
          <w:rPr>
            <w:rStyle w:val="Hyperlink"/>
            <w:noProof/>
          </w:rPr>
          <w:t>A1.1.4</w:t>
        </w:r>
        <w:r w:rsidR="00AC6AAD">
          <w:rPr>
            <w:rFonts w:asciiTheme="minorHAnsi" w:eastAsiaTheme="minorEastAsia" w:hAnsiTheme="minorHAnsi" w:cstheme="minorBidi"/>
            <w:noProof/>
            <w:sz w:val="22"/>
            <w:szCs w:val="22"/>
            <w:lang w:eastAsia="en-AU"/>
          </w:rPr>
          <w:tab/>
        </w:r>
        <w:r w:rsidR="00AC6AAD" w:rsidRPr="00397A34">
          <w:rPr>
            <w:rStyle w:val="Hyperlink"/>
            <w:noProof/>
          </w:rPr>
          <w:t>Calculating Home Dialysis Funding Recall</w:t>
        </w:r>
        <w:r w:rsidR="00AC6AAD">
          <w:rPr>
            <w:noProof/>
            <w:webHidden/>
          </w:rPr>
          <w:tab/>
        </w:r>
        <w:r w:rsidR="00AC6AAD">
          <w:rPr>
            <w:noProof/>
            <w:webHidden/>
          </w:rPr>
          <w:fldChar w:fldCharType="begin"/>
        </w:r>
        <w:r w:rsidR="00AC6AAD">
          <w:rPr>
            <w:noProof/>
            <w:webHidden/>
          </w:rPr>
          <w:instrText xml:space="preserve"> PAGEREF _Toc127192008 \h </w:instrText>
        </w:r>
        <w:r w:rsidR="00AC6AAD">
          <w:rPr>
            <w:noProof/>
            <w:webHidden/>
          </w:rPr>
        </w:r>
        <w:r w:rsidR="00AC6AAD">
          <w:rPr>
            <w:noProof/>
            <w:webHidden/>
          </w:rPr>
          <w:fldChar w:fldCharType="separate"/>
        </w:r>
        <w:r w:rsidR="00AC6AAD">
          <w:rPr>
            <w:noProof/>
            <w:webHidden/>
          </w:rPr>
          <w:t>103</w:t>
        </w:r>
        <w:r w:rsidR="00AC6AAD">
          <w:rPr>
            <w:noProof/>
            <w:webHidden/>
          </w:rPr>
          <w:fldChar w:fldCharType="end"/>
        </w:r>
      </w:hyperlink>
    </w:p>
    <w:p w14:paraId="174DE6EB" w14:textId="3C9C8F81" w:rsidR="00AC6AAD" w:rsidRDefault="00D36400">
      <w:pPr>
        <w:pStyle w:val="TOC3"/>
        <w:rPr>
          <w:rFonts w:asciiTheme="minorHAnsi" w:eastAsiaTheme="minorEastAsia" w:hAnsiTheme="minorHAnsi" w:cstheme="minorBidi"/>
          <w:noProof/>
          <w:sz w:val="22"/>
          <w:szCs w:val="22"/>
          <w:lang w:eastAsia="en-AU"/>
        </w:rPr>
      </w:pPr>
      <w:hyperlink w:anchor="_Toc127192009" w:history="1">
        <w:r w:rsidR="00AC6AAD" w:rsidRPr="00397A34">
          <w:rPr>
            <w:rStyle w:val="Hyperlink"/>
            <w:noProof/>
          </w:rPr>
          <w:t>A1.1.5</w:t>
        </w:r>
        <w:r w:rsidR="00AC6AAD">
          <w:rPr>
            <w:rFonts w:asciiTheme="minorHAnsi" w:eastAsiaTheme="minorEastAsia" w:hAnsiTheme="minorHAnsi" w:cstheme="minorBidi"/>
            <w:noProof/>
            <w:sz w:val="22"/>
            <w:szCs w:val="22"/>
            <w:lang w:eastAsia="en-AU"/>
          </w:rPr>
          <w:tab/>
        </w:r>
        <w:r w:rsidR="00AC6AAD" w:rsidRPr="00397A34">
          <w:rPr>
            <w:rStyle w:val="Hyperlink"/>
            <w:noProof/>
          </w:rPr>
          <w:t>Calculating Total Parental Nutrition Recall</w:t>
        </w:r>
        <w:r w:rsidR="00AC6AAD">
          <w:rPr>
            <w:noProof/>
            <w:webHidden/>
          </w:rPr>
          <w:tab/>
        </w:r>
        <w:r w:rsidR="00AC6AAD">
          <w:rPr>
            <w:noProof/>
            <w:webHidden/>
          </w:rPr>
          <w:fldChar w:fldCharType="begin"/>
        </w:r>
        <w:r w:rsidR="00AC6AAD">
          <w:rPr>
            <w:noProof/>
            <w:webHidden/>
          </w:rPr>
          <w:instrText xml:space="preserve"> PAGEREF _Toc127192009 \h </w:instrText>
        </w:r>
        <w:r w:rsidR="00AC6AAD">
          <w:rPr>
            <w:noProof/>
            <w:webHidden/>
          </w:rPr>
        </w:r>
        <w:r w:rsidR="00AC6AAD">
          <w:rPr>
            <w:noProof/>
            <w:webHidden/>
          </w:rPr>
          <w:fldChar w:fldCharType="separate"/>
        </w:r>
        <w:r w:rsidR="00AC6AAD">
          <w:rPr>
            <w:noProof/>
            <w:webHidden/>
          </w:rPr>
          <w:t>103</w:t>
        </w:r>
        <w:r w:rsidR="00AC6AAD">
          <w:rPr>
            <w:noProof/>
            <w:webHidden/>
          </w:rPr>
          <w:fldChar w:fldCharType="end"/>
        </w:r>
      </w:hyperlink>
    </w:p>
    <w:p w14:paraId="22A08A88" w14:textId="5823471F" w:rsidR="00AC6AAD" w:rsidRDefault="00D36400">
      <w:pPr>
        <w:pStyle w:val="TOC3"/>
        <w:rPr>
          <w:rFonts w:asciiTheme="minorHAnsi" w:eastAsiaTheme="minorEastAsia" w:hAnsiTheme="minorHAnsi" w:cstheme="minorBidi"/>
          <w:noProof/>
          <w:sz w:val="22"/>
          <w:szCs w:val="22"/>
          <w:lang w:eastAsia="en-AU"/>
        </w:rPr>
      </w:pPr>
      <w:hyperlink w:anchor="_Toc127192010" w:history="1">
        <w:r w:rsidR="00AC6AAD" w:rsidRPr="00397A34">
          <w:rPr>
            <w:rStyle w:val="Hyperlink"/>
            <w:noProof/>
          </w:rPr>
          <w:t>A1.1.6</w:t>
        </w:r>
        <w:r w:rsidR="00AC6AAD">
          <w:rPr>
            <w:rFonts w:asciiTheme="minorHAnsi" w:eastAsiaTheme="minorEastAsia" w:hAnsiTheme="minorHAnsi" w:cstheme="minorBidi"/>
            <w:noProof/>
            <w:sz w:val="22"/>
            <w:szCs w:val="22"/>
            <w:lang w:eastAsia="en-AU"/>
          </w:rPr>
          <w:tab/>
        </w:r>
        <w:r w:rsidR="00AC6AAD" w:rsidRPr="00397A34">
          <w:rPr>
            <w:rStyle w:val="Hyperlink"/>
            <w:noProof/>
          </w:rPr>
          <w:t>Calculating Home Enteral Nutrition Recall</w:t>
        </w:r>
        <w:r w:rsidR="00AC6AAD">
          <w:rPr>
            <w:noProof/>
            <w:webHidden/>
          </w:rPr>
          <w:tab/>
        </w:r>
        <w:r w:rsidR="00AC6AAD">
          <w:rPr>
            <w:noProof/>
            <w:webHidden/>
          </w:rPr>
          <w:fldChar w:fldCharType="begin"/>
        </w:r>
        <w:r w:rsidR="00AC6AAD">
          <w:rPr>
            <w:noProof/>
            <w:webHidden/>
          </w:rPr>
          <w:instrText xml:space="preserve"> PAGEREF _Toc127192010 \h </w:instrText>
        </w:r>
        <w:r w:rsidR="00AC6AAD">
          <w:rPr>
            <w:noProof/>
            <w:webHidden/>
          </w:rPr>
        </w:r>
        <w:r w:rsidR="00AC6AAD">
          <w:rPr>
            <w:noProof/>
            <w:webHidden/>
          </w:rPr>
          <w:fldChar w:fldCharType="separate"/>
        </w:r>
        <w:r w:rsidR="00AC6AAD">
          <w:rPr>
            <w:noProof/>
            <w:webHidden/>
          </w:rPr>
          <w:t>104</w:t>
        </w:r>
        <w:r w:rsidR="00AC6AAD">
          <w:rPr>
            <w:noProof/>
            <w:webHidden/>
          </w:rPr>
          <w:fldChar w:fldCharType="end"/>
        </w:r>
      </w:hyperlink>
    </w:p>
    <w:p w14:paraId="03EF4FFD" w14:textId="5F6ECAC5" w:rsidR="00AC6AAD" w:rsidRDefault="00D36400">
      <w:pPr>
        <w:pStyle w:val="TOC1"/>
        <w:tabs>
          <w:tab w:val="left" w:pos="794"/>
        </w:tabs>
        <w:rPr>
          <w:rFonts w:asciiTheme="minorHAnsi" w:eastAsiaTheme="minorEastAsia" w:hAnsiTheme="minorHAnsi" w:cstheme="minorBidi"/>
          <w:b w:val="0"/>
          <w:sz w:val="22"/>
          <w:szCs w:val="22"/>
          <w:lang w:eastAsia="en-AU"/>
        </w:rPr>
      </w:pPr>
      <w:hyperlink w:anchor="_Toc127192011" w:history="1">
        <w:r w:rsidR="00AC6AAD" w:rsidRPr="00397A34">
          <w:rPr>
            <w:rStyle w:val="Hyperlink"/>
          </w:rPr>
          <w:t>2</w:t>
        </w:r>
        <w:r w:rsidR="00AC6AAD">
          <w:rPr>
            <w:rFonts w:asciiTheme="minorHAnsi" w:eastAsiaTheme="minorEastAsia" w:hAnsiTheme="minorHAnsi" w:cstheme="minorBidi"/>
            <w:b w:val="0"/>
            <w:sz w:val="22"/>
            <w:szCs w:val="22"/>
            <w:lang w:eastAsia="en-AU"/>
          </w:rPr>
          <w:tab/>
        </w:r>
        <w:r w:rsidR="00AC6AAD" w:rsidRPr="00397A34">
          <w:rPr>
            <w:rStyle w:val="Hyperlink"/>
          </w:rPr>
          <w:t>Funding and Activity Levels</w:t>
        </w:r>
        <w:r w:rsidR="00AC6AAD">
          <w:rPr>
            <w:webHidden/>
          </w:rPr>
          <w:tab/>
        </w:r>
        <w:r w:rsidR="00AC6AAD">
          <w:rPr>
            <w:webHidden/>
          </w:rPr>
          <w:fldChar w:fldCharType="begin"/>
        </w:r>
        <w:r w:rsidR="00AC6AAD">
          <w:rPr>
            <w:webHidden/>
          </w:rPr>
          <w:instrText xml:space="preserve"> PAGEREF _Toc127192011 \h </w:instrText>
        </w:r>
        <w:r w:rsidR="00AC6AAD">
          <w:rPr>
            <w:webHidden/>
          </w:rPr>
        </w:r>
        <w:r w:rsidR="00AC6AAD">
          <w:rPr>
            <w:webHidden/>
          </w:rPr>
          <w:fldChar w:fldCharType="separate"/>
        </w:r>
        <w:r w:rsidR="00AC6AAD">
          <w:rPr>
            <w:webHidden/>
          </w:rPr>
          <w:t>105</w:t>
        </w:r>
        <w:r w:rsidR="00AC6AAD">
          <w:rPr>
            <w:webHidden/>
          </w:rPr>
          <w:fldChar w:fldCharType="end"/>
        </w:r>
      </w:hyperlink>
    </w:p>
    <w:p w14:paraId="0EDC4274" w14:textId="00F97CE7" w:rsidR="00AC6AAD" w:rsidRDefault="00D36400">
      <w:pPr>
        <w:pStyle w:val="TOC2"/>
        <w:rPr>
          <w:rFonts w:asciiTheme="minorHAnsi" w:eastAsiaTheme="minorEastAsia" w:hAnsiTheme="minorHAnsi" w:cstheme="minorBidi"/>
          <w:b w:val="0"/>
          <w:bCs w:val="0"/>
          <w:sz w:val="22"/>
          <w:szCs w:val="22"/>
          <w:lang w:eastAsia="en-AU"/>
        </w:rPr>
      </w:pPr>
      <w:hyperlink w:anchor="_Toc127192012" w:history="1">
        <w:r w:rsidR="00AC6AAD" w:rsidRPr="00397A34">
          <w:rPr>
            <w:rStyle w:val="Hyperlink"/>
          </w:rPr>
          <w:t>2.1</w:t>
        </w:r>
        <w:r w:rsidR="00AC6AAD">
          <w:rPr>
            <w:rFonts w:asciiTheme="minorHAnsi" w:eastAsiaTheme="minorEastAsia" w:hAnsiTheme="minorHAnsi" w:cstheme="minorBidi"/>
            <w:b w:val="0"/>
            <w:bCs w:val="0"/>
            <w:sz w:val="22"/>
            <w:szCs w:val="22"/>
            <w:lang w:eastAsia="en-AU"/>
          </w:rPr>
          <w:tab/>
        </w:r>
        <w:r w:rsidR="00AC6AAD" w:rsidRPr="00397A34">
          <w:rPr>
            <w:rStyle w:val="Hyperlink"/>
          </w:rPr>
          <w:t>Budget Tables</w:t>
        </w:r>
        <w:r w:rsidR="00AC6AAD">
          <w:rPr>
            <w:webHidden/>
          </w:rPr>
          <w:tab/>
        </w:r>
        <w:r w:rsidR="00AC6AAD">
          <w:rPr>
            <w:webHidden/>
          </w:rPr>
          <w:fldChar w:fldCharType="begin"/>
        </w:r>
        <w:r w:rsidR="00AC6AAD">
          <w:rPr>
            <w:webHidden/>
          </w:rPr>
          <w:instrText xml:space="preserve"> PAGEREF _Toc127192012 \h </w:instrText>
        </w:r>
        <w:r w:rsidR="00AC6AAD">
          <w:rPr>
            <w:webHidden/>
          </w:rPr>
        </w:r>
        <w:r w:rsidR="00AC6AAD">
          <w:rPr>
            <w:webHidden/>
          </w:rPr>
          <w:fldChar w:fldCharType="separate"/>
        </w:r>
        <w:r w:rsidR="00AC6AAD">
          <w:rPr>
            <w:webHidden/>
          </w:rPr>
          <w:t>106</w:t>
        </w:r>
        <w:r w:rsidR="00AC6AAD">
          <w:rPr>
            <w:webHidden/>
          </w:rPr>
          <w:fldChar w:fldCharType="end"/>
        </w:r>
      </w:hyperlink>
    </w:p>
    <w:p w14:paraId="32EE0FB1" w14:textId="7AF7266B" w:rsidR="00AC6AAD" w:rsidRDefault="00D36400">
      <w:pPr>
        <w:pStyle w:val="TOC3"/>
        <w:rPr>
          <w:rFonts w:asciiTheme="minorHAnsi" w:eastAsiaTheme="minorEastAsia" w:hAnsiTheme="minorHAnsi" w:cstheme="minorBidi"/>
          <w:noProof/>
          <w:sz w:val="22"/>
          <w:szCs w:val="22"/>
          <w:lang w:eastAsia="en-AU"/>
        </w:rPr>
      </w:pPr>
      <w:hyperlink w:anchor="_Toc127192013" w:history="1">
        <w:r w:rsidR="00AC6AAD" w:rsidRPr="00397A34">
          <w:rPr>
            <w:rStyle w:val="Hyperlink"/>
            <w:noProof/>
          </w:rPr>
          <w:t>2.1.1</w:t>
        </w:r>
        <w:r w:rsidR="00AC6AAD">
          <w:rPr>
            <w:rFonts w:asciiTheme="minorHAnsi" w:eastAsiaTheme="minorEastAsia" w:hAnsiTheme="minorHAnsi" w:cstheme="minorBidi"/>
            <w:noProof/>
            <w:sz w:val="22"/>
            <w:szCs w:val="22"/>
            <w:lang w:eastAsia="en-AU"/>
          </w:rPr>
          <w:tab/>
        </w:r>
        <w:r w:rsidR="00AC6AAD" w:rsidRPr="00397A34">
          <w:rPr>
            <w:rStyle w:val="Hyperlink"/>
            <w:noProof/>
          </w:rPr>
          <w:t>Health Service Modelled Budgets 2021–22 and 2022–23</w:t>
        </w:r>
        <w:r w:rsidR="00AC6AAD">
          <w:rPr>
            <w:noProof/>
            <w:webHidden/>
          </w:rPr>
          <w:tab/>
        </w:r>
        <w:r w:rsidR="00AC6AAD">
          <w:rPr>
            <w:noProof/>
            <w:webHidden/>
          </w:rPr>
          <w:fldChar w:fldCharType="begin"/>
        </w:r>
        <w:r w:rsidR="00AC6AAD">
          <w:rPr>
            <w:noProof/>
            <w:webHidden/>
          </w:rPr>
          <w:instrText xml:space="preserve"> PAGEREF _Toc127192013 \h </w:instrText>
        </w:r>
        <w:r w:rsidR="00AC6AAD">
          <w:rPr>
            <w:noProof/>
            <w:webHidden/>
          </w:rPr>
        </w:r>
        <w:r w:rsidR="00AC6AAD">
          <w:rPr>
            <w:noProof/>
            <w:webHidden/>
          </w:rPr>
          <w:fldChar w:fldCharType="separate"/>
        </w:r>
        <w:r w:rsidR="00AC6AAD">
          <w:rPr>
            <w:noProof/>
            <w:webHidden/>
          </w:rPr>
          <w:t>106</w:t>
        </w:r>
        <w:r w:rsidR="00AC6AAD">
          <w:rPr>
            <w:noProof/>
            <w:webHidden/>
          </w:rPr>
          <w:fldChar w:fldCharType="end"/>
        </w:r>
      </w:hyperlink>
    </w:p>
    <w:p w14:paraId="71DCD1F0" w14:textId="35A2B30B" w:rsidR="00AC6AAD" w:rsidRDefault="00D36400">
      <w:pPr>
        <w:pStyle w:val="TOC3"/>
        <w:rPr>
          <w:rFonts w:asciiTheme="minorHAnsi" w:eastAsiaTheme="minorEastAsia" w:hAnsiTheme="minorHAnsi" w:cstheme="minorBidi"/>
          <w:noProof/>
          <w:sz w:val="22"/>
          <w:szCs w:val="22"/>
          <w:lang w:eastAsia="en-AU"/>
        </w:rPr>
      </w:pPr>
      <w:hyperlink w:anchor="_Toc127192014" w:history="1">
        <w:r w:rsidR="00AC6AAD" w:rsidRPr="00397A34">
          <w:rPr>
            <w:rStyle w:val="Hyperlink"/>
            <w:noProof/>
          </w:rPr>
          <w:t>2.1.2</w:t>
        </w:r>
        <w:r w:rsidR="00AC6AAD">
          <w:rPr>
            <w:rFonts w:asciiTheme="minorHAnsi" w:eastAsiaTheme="minorEastAsia" w:hAnsiTheme="minorHAnsi" w:cstheme="minorBidi"/>
            <w:noProof/>
            <w:sz w:val="22"/>
            <w:szCs w:val="22"/>
            <w:lang w:eastAsia="en-AU"/>
          </w:rPr>
          <w:tab/>
        </w:r>
        <w:r w:rsidR="00AC6AAD" w:rsidRPr="00397A34">
          <w:rPr>
            <w:rStyle w:val="Hyperlink"/>
            <w:noProof/>
          </w:rPr>
          <w:t>Small Rural Health Services Expenditure Budgets 2021–22 and 2022–23</w:t>
        </w:r>
        <w:r w:rsidR="00AC6AAD">
          <w:rPr>
            <w:noProof/>
            <w:webHidden/>
          </w:rPr>
          <w:tab/>
        </w:r>
        <w:r w:rsidR="00AC6AAD">
          <w:rPr>
            <w:noProof/>
            <w:webHidden/>
          </w:rPr>
          <w:fldChar w:fldCharType="begin"/>
        </w:r>
        <w:r w:rsidR="00AC6AAD">
          <w:rPr>
            <w:noProof/>
            <w:webHidden/>
          </w:rPr>
          <w:instrText xml:space="preserve"> PAGEREF _Toc127192014 \h </w:instrText>
        </w:r>
        <w:r w:rsidR="00AC6AAD">
          <w:rPr>
            <w:noProof/>
            <w:webHidden/>
          </w:rPr>
        </w:r>
        <w:r w:rsidR="00AC6AAD">
          <w:rPr>
            <w:noProof/>
            <w:webHidden/>
          </w:rPr>
          <w:fldChar w:fldCharType="separate"/>
        </w:r>
        <w:r w:rsidR="00AC6AAD">
          <w:rPr>
            <w:noProof/>
            <w:webHidden/>
          </w:rPr>
          <w:t>109</w:t>
        </w:r>
        <w:r w:rsidR="00AC6AAD">
          <w:rPr>
            <w:noProof/>
            <w:webHidden/>
          </w:rPr>
          <w:fldChar w:fldCharType="end"/>
        </w:r>
      </w:hyperlink>
    </w:p>
    <w:p w14:paraId="3F6EDFD2" w14:textId="6ECE84A5" w:rsidR="00AC6AAD" w:rsidRDefault="00D36400">
      <w:pPr>
        <w:pStyle w:val="TOC3"/>
        <w:rPr>
          <w:rFonts w:asciiTheme="minorHAnsi" w:eastAsiaTheme="minorEastAsia" w:hAnsiTheme="minorHAnsi" w:cstheme="minorBidi"/>
          <w:noProof/>
          <w:sz w:val="22"/>
          <w:szCs w:val="22"/>
          <w:lang w:eastAsia="en-AU"/>
        </w:rPr>
      </w:pPr>
      <w:hyperlink w:anchor="_Toc127192015" w:history="1">
        <w:r w:rsidR="00AC6AAD" w:rsidRPr="00397A34">
          <w:rPr>
            <w:rStyle w:val="Hyperlink"/>
            <w:noProof/>
          </w:rPr>
          <w:t>2.1.3</w:t>
        </w:r>
        <w:r w:rsidR="00AC6AAD">
          <w:rPr>
            <w:rFonts w:asciiTheme="minorHAnsi" w:eastAsiaTheme="minorEastAsia" w:hAnsiTheme="minorHAnsi" w:cstheme="minorBidi"/>
            <w:noProof/>
            <w:sz w:val="22"/>
            <w:szCs w:val="22"/>
            <w:lang w:eastAsia="en-AU"/>
          </w:rPr>
          <w:tab/>
        </w:r>
        <w:r w:rsidR="00AC6AAD" w:rsidRPr="00397A34">
          <w:rPr>
            <w:rStyle w:val="Hyperlink"/>
            <w:noProof/>
          </w:rPr>
          <w:t>Activity–Based Funding: Health Service Expenditure Budgets 2021–22 and 2022–23 by Service Category</w:t>
        </w:r>
        <w:r w:rsidR="00AC6AAD">
          <w:rPr>
            <w:noProof/>
            <w:webHidden/>
          </w:rPr>
          <w:tab/>
        </w:r>
        <w:r w:rsidR="00AC6AAD">
          <w:rPr>
            <w:noProof/>
            <w:webHidden/>
          </w:rPr>
          <w:fldChar w:fldCharType="begin"/>
        </w:r>
        <w:r w:rsidR="00AC6AAD">
          <w:rPr>
            <w:noProof/>
            <w:webHidden/>
          </w:rPr>
          <w:instrText xml:space="preserve"> PAGEREF _Toc127192015 \h </w:instrText>
        </w:r>
        <w:r w:rsidR="00AC6AAD">
          <w:rPr>
            <w:noProof/>
            <w:webHidden/>
          </w:rPr>
        </w:r>
        <w:r w:rsidR="00AC6AAD">
          <w:rPr>
            <w:noProof/>
            <w:webHidden/>
          </w:rPr>
          <w:fldChar w:fldCharType="separate"/>
        </w:r>
        <w:r w:rsidR="00AC6AAD">
          <w:rPr>
            <w:noProof/>
            <w:webHidden/>
          </w:rPr>
          <w:t>111</w:t>
        </w:r>
        <w:r w:rsidR="00AC6AAD">
          <w:rPr>
            <w:noProof/>
            <w:webHidden/>
          </w:rPr>
          <w:fldChar w:fldCharType="end"/>
        </w:r>
      </w:hyperlink>
    </w:p>
    <w:p w14:paraId="1B8D4A0B" w14:textId="73D65274" w:rsidR="00AC6AAD" w:rsidRDefault="00D36400">
      <w:pPr>
        <w:pStyle w:val="TOC3"/>
        <w:rPr>
          <w:rFonts w:asciiTheme="minorHAnsi" w:eastAsiaTheme="minorEastAsia" w:hAnsiTheme="minorHAnsi" w:cstheme="minorBidi"/>
          <w:noProof/>
          <w:sz w:val="22"/>
          <w:szCs w:val="22"/>
          <w:lang w:eastAsia="en-AU"/>
        </w:rPr>
      </w:pPr>
      <w:hyperlink w:anchor="_Toc127192016" w:history="1">
        <w:r w:rsidR="00AC6AAD" w:rsidRPr="00397A34">
          <w:rPr>
            <w:rStyle w:val="Hyperlink"/>
            <w:noProof/>
          </w:rPr>
          <w:t>2.1.4</w:t>
        </w:r>
        <w:r w:rsidR="00AC6AAD">
          <w:rPr>
            <w:rFonts w:asciiTheme="minorHAnsi" w:eastAsiaTheme="minorEastAsia" w:hAnsiTheme="minorHAnsi" w:cstheme="minorBidi"/>
            <w:noProof/>
            <w:sz w:val="22"/>
            <w:szCs w:val="22"/>
            <w:lang w:eastAsia="en-AU"/>
          </w:rPr>
          <w:tab/>
        </w:r>
        <w:r w:rsidR="00AC6AAD" w:rsidRPr="00397A34">
          <w:rPr>
            <w:rStyle w:val="Hyperlink"/>
            <w:noProof/>
          </w:rPr>
          <w:t>Mental Health Expenditure budgets 2021–22 and 2022–23 by Service Type</w:t>
        </w:r>
        <w:r w:rsidR="00AC6AAD">
          <w:rPr>
            <w:noProof/>
            <w:webHidden/>
          </w:rPr>
          <w:tab/>
        </w:r>
        <w:r w:rsidR="00AC6AAD">
          <w:rPr>
            <w:noProof/>
            <w:webHidden/>
          </w:rPr>
          <w:fldChar w:fldCharType="begin"/>
        </w:r>
        <w:r w:rsidR="00AC6AAD">
          <w:rPr>
            <w:noProof/>
            <w:webHidden/>
          </w:rPr>
          <w:instrText xml:space="preserve"> PAGEREF _Toc127192016 \h </w:instrText>
        </w:r>
        <w:r w:rsidR="00AC6AAD">
          <w:rPr>
            <w:noProof/>
            <w:webHidden/>
          </w:rPr>
        </w:r>
        <w:r w:rsidR="00AC6AAD">
          <w:rPr>
            <w:noProof/>
            <w:webHidden/>
          </w:rPr>
          <w:fldChar w:fldCharType="separate"/>
        </w:r>
        <w:r w:rsidR="00AC6AAD">
          <w:rPr>
            <w:noProof/>
            <w:webHidden/>
          </w:rPr>
          <w:t>114</w:t>
        </w:r>
        <w:r w:rsidR="00AC6AAD">
          <w:rPr>
            <w:noProof/>
            <w:webHidden/>
          </w:rPr>
          <w:fldChar w:fldCharType="end"/>
        </w:r>
      </w:hyperlink>
    </w:p>
    <w:p w14:paraId="165E37CE" w14:textId="1BD413E7" w:rsidR="00AC6AAD" w:rsidRDefault="00D36400">
      <w:pPr>
        <w:pStyle w:val="TOC3"/>
        <w:rPr>
          <w:rFonts w:asciiTheme="minorHAnsi" w:eastAsiaTheme="minorEastAsia" w:hAnsiTheme="minorHAnsi" w:cstheme="minorBidi"/>
          <w:noProof/>
          <w:sz w:val="22"/>
          <w:szCs w:val="22"/>
          <w:lang w:eastAsia="en-AU"/>
        </w:rPr>
      </w:pPr>
      <w:hyperlink w:anchor="_Toc127192017" w:history="1">
        <w:r w:rsidR="00AC6AAD" w:rsidRPr="00397A34">
          <w:rPr>
            <w:rStyle w:val="Hyperlink"/>
            <w:noProof/>
          </w:rPr>
          <w:t>2.1.5</w:t>
        </w:r>
        <w:r w:rsidR="00AC6AAD">
          <w:rPr>
            <w:rFonts w:asciiTheme="minorHAnsi" w:eastAsiaTheme="minorEastAsia" w:hAnsiTheme="minorHAnsi" w:cstheme="minorBidi"/>
            <w:noProof/>
            <w:sz w:val="22"/>
            <w:szCs w:val="22"/>
            <w:lang w:eastAsia="en-AU"/>
          </w:rPr>
          <w:tab/>
        </w:r>
        <w:r w:rsidR="00AC6AAD" w:rsidRPr="00397A34">
          <w:rPr>
            <w:rStyle w:val="Hyperlink"/>
            <w:noProof/>
          </w:rPr>
          <w:t>Registered Community Health Centres Budgets 2021–22 and 2022–23</w:t>
        </w:r>
        <w:r w:rsidR="00AC6AAD">
          <w:rPr>
            <w:noProof/>
            <w:webHidden/>
          </w:rPr>
          <w:tab/>
        </w:r>
        <w:r w:rsidR="00AC6AAD">
          <w:rPr>
            <w:noProof/>
            <w:webHidden/>
          </w:rPr>
          <w:fldChar w:fldCharType="begin"/>
        </w:r>
        <w:r w:rsidR="00AC6AAD">
          <w:rPr>
            <w:noProof/>
            <w:webHidden/>
          </w:rPr>
          <w:instrText xml:space="preserve"> PAGEREF _Toc127192017 \h </w:instrText>
        </w:r>
        <w:r w:rsidR="00AC6AAD">
          <w:rPr>
            <w:noProof/>
            <w:webHidden/>
          </w:rPr>
        </w:r>
        <w:r w:rsidR="00AC6AAD">
          <w:rPr>
            <w:noProof/>
            <w:webHidden/>
          </w:rPr>
          <w:fldChar w:fldCharType="separate"/>
        </w:r>
        <w:r w:rsidR="00AC6AAD">
          <w:rPr>
            <w:noProof/>
            <w:webHidden/>
          </w:rPr>
          <w:t>117</w:t>
        </w:r>
        <w:r w:rsidR="00AC6AAD">
          <w:rPr>
            <w:noProof/>
            <w:webHidden/>
          </w:rPr>
          <w:fldChar w:fldCharType="end"/>
        </w:r>
      </w:hyperlink>
    </w:p>
    <w:p w14:paraId="378F88F7" w14:textId="2472FD25" w:rsidR="00AC6AAD" w:rsidRDefault="00D36400">
      <w:pPr>
        <w:pStyle w:val="TOC3"/>
        <w:rPr>
          <w:rFonts w:asciiTheme="minorHAnsi" w:eastAsiaTheme="minorEastAsia" w:hAnsiTheme="minorHAnsi" w:cstheme="minorBidi"/>
          <w:noProof/>
          <w:sz w:val="22"/>
          <w:szCs w:val="22"/>
          <w:lang w:eastAsia="en-AU"/>
        </w:rPr>
      </w:pPr>
      <w:hyperlink w:anchor="_Toc127192018" w:history="1">
        <w:r w:rsidR="00AC6AAD" w:rsidRPr="00397A34">
          <w:rPr>
            <w:rStyle w:val="Hyperlink"/>
            <w:noProof/>
          </w:rPr>
          <w:t>2.1.6</w:t>
        </w:r>
        <w:r w:rsidR="00AC6AAD">
          <w:rPr>
            <w:rFonts w:asciiTheme="minorHAnsi" w:eastAsiaTheme="minorEastAsia" w:hAnsiTheme="minorHAnsi" w:cstheme="minorBidi"/>
            <w:noProof/>
            <w:sz w:val="22"/>
            <w:szCs w:val="22"/>
            <w:lang w:eastAsia="en-AU"/>
          </w:rPr>
          <w:tab/>
        </w:r>
        <w:r w:rsidR="00AC6AAD" w:rsidRPr="00397A34">
          <w:rPr>
            <w:rStyle w:val="Hyperlink"/>
            <w:noProof/>
          </w:rPr>
          <w:t>Local Government Authorities 2021–22 and 2022–23</w:t>
        </w:r>
        <w:r w:rsidR="00AC6AAD">
          <w:rPr>
            <w:noProof/>
            <w:webHidden/>
          </w:rPr>
          <w:tab/>
        </w:r>
        <w:r w:rsidR="00AC6AAD">
          <w:rPr>
            <w:noProof/>
            <w:webHidden/>
          </w:rPr>
          <w:fldChar w:fldCharType="begin"/>
        </w:r>
        <w:r w:rsidR="00AC6AAD">
          <w:rPr>
            <w:noProof/>
            <w:webHidden/>
          </w:rPr>
          <w:instrText xml:space="preserve"> PAGEREF _Toc127192018 \h </w:instrText>
        </w:r>
        <w:r w:rsidR="00AC6AAD">
          <w:rPr>
            <w:noProof/>
            <w:webHidden/>
          </w:rPr>
        </w:r>
        <w:r w:rsidR="00AC6AAD">
          <w:rPr>
            <w:noProof/>
            <w:webHidden/>
          </w:rPr>
          <w:fldChar w:fldCharType="separate"/>
        </w:r>
        <w:r w:rsidR="00AC6AAD">
          <w:rPr>
            <w:noProof/>
            <w:webHidden/>
          </w:rPr>
          <w:t>119</w:t>
        </w:r>
        <w:r w:rsidR="00AC6AAD">
          <w:rPr>
            <w:noProof/>
            <w:webHidden/>
          </w:rPr>
          <w:fldChar w:fldCharType="end"/>
        </w:r>
      </w:hyperlink>
    </w:p>
    <w:p w14:paraId="18864F3D" w14:textId="61061DDE" w:rsidR="00AC6AAD" w:rsidRDefault="00D36400">
      <w:pPr>
        <w:pStyle w:val="TOC3"/>
        <w:rPr>
          <w:rFonts w:asciiTheme="minorHAnsi" w:eastAsiaTheme="minorEastAsia" w:hAnsiTheme="minorHAnsi" w:cstheme="minorBidi"/>
          <w:noProof/>
          <w:sz w:val="22"/>
          <w:szCs w:val="22"/>
          <w:lang w:eastAsia="en-AU"/>
        </w:rPr>
      </w:pPr>
      <w:hyperlink w:anchor="_Toc127192019" w:history="1">
        <w:r w:rsidR="00AC6AAD" w:rsidRPr="00397A34">
          <w:rPr>
            <w:rStyle w:val="Hyperlink"/>
            <w:noProof/>
          </w:rPr>
          <w:t>2.1.7</w:t>
        </w:r>
        <w:r w:rsidR="00AC6AAD">
          <w:rPr>
            <w:rFonts w:asciiTheme="minorHAnsi" w:eastAsiaTheme="minorEastAsia" w:hAnsiTheme="minorHAnsi" w:cstheme="minorBidi"/>
            <w:noProof/>
            <w:sz w:val="22"/>
            <w:szCs w:val="22"/>
            <w:lang w:eastAsia="en-AU"/>
          </w:rPr>
          <w:tab/>
        </w:r>
        <w:r w:rsidR="00AC6AAD" w:rsidRPr="00397A34">
          <w:rPr>
            <w:rStyle w:val="Hyperlink"/>
            <w:noProof/>
          </w:rPr>
          <w:t>Non-Government Providers 2021–22 and 2022–23</w:t>
        </w:r>
        <w:r w:rsidR="00AC6AAD">
          <w:rPr>
            <w:noProof/>
            <w:webHidden/>
          </w:rPr>
          <w:tab/>
        </w:r>
        <w:r w:rsidR="00AC6AAD">
          <w:rPr>
            <w:noProof/>
            <w:webHidden/>
          </w:rPr>
          <w:fldChar w:fldCharType="begin"/>
        </w:r>
        <w:r w:rsidR="00AC6AAD">
          <w:rPr>
            <w:noProof/>
            <w:webHidden/>
          </w:rPr>
          <w:instrText xml:space="preserve"> PAGEREF _Toc127192019 \h </w:instrText>
        </w:r>
        <w:r w:rsidR="00AC6AAD">
          <w:rPr>
            <w:noProof/>
            <w:webHidden/>
          </w:rPr>
        </w:r>
        <w:r w:rsidR="00AC6AAD">
          <w:rPr>
            <w:noProof/>
            <w:webHidden/>
          </w:rPr>
          <w:fldChar w:fldCharType="separate"/>
        </w:r>
        <w:r w:rsidR="00AC6AAD">
          <w:rPr>
            <w:noProof/>
            <w:webHidden/>
          </w:rPr>
          <w:t>121</w:t>
        </w:r>
        <w:r w:rsidR="00AC6AAD">
          <w:rPr>
            <w:noProof/>
            <w:webHidden/>
          </w:rPr>
          <w:fldChar w:fldCharType="end"/>
        </w:r>
      </w:hyperlink>
    </w:p>
    <w:p w14:paraId="739A9306" w14:textId="23A90737" w:rsidR="00AC6AAD" w:rsidRDefault="00D36400">
      <w:pPr>
        <w:pStyle w:val="TOC3"/>
        <w:rPr>
          <w:rFonts w:asciiTheme="minorHAnsi" w:eastAsiaTheme="minorEastAsia" w:hAnsiTheme="minorHAnsi" w:cstheme="minorBidi"/>
          <w:noProof/>
          <w:sz w:val="22"/>
          <w:szCs w:val="22"/>
          <w:lang w:eastAsia="en-AU"/>
        </w:rPr>
      </w:pPr>
      <w:hyperlink w:anchor="_Toc127192020" w:history="1">
        <w:r w:rsidR="00AC6AAD" w:rsidRPr="00397A34">
          <w:rPr>
            <w:rStyle w:val="Hyperlink"/>
            <w:noProof/>
          </w:rPr>
          <w:t>2.1.8</w:t>
        </w:r>
        <w:r w:rsidR="00AC6AAD">
          <w:rPr>
            <w:rFonts w:asciiTheme="minorHAnsi" w:eastAsiaTheme="minorEastAsia" w:hAnsiTheme="minorHAnsi" w:cstheme="minorBidi"/>
            <w:noProof/>
            <w:sz w:val="22"/>
            <w:szCs w:val="22"/>
            <w:lang w:eastAsia="en-AU"/>
          </w:rPr>
          <w:tab/>
        </w:r>
        <w:r w:rsidR="00AC6AAD" w:rsidRPr="00397A34">
          <w:rPr>
            <w:rStyle w:val="Hyperlink"/>
            <w:noProof/>
          </w:rPr>
          <w:t>Other Funded Organisations 2021–22 and 2022–23</w:t>
        </w:r>
        <w:r w:rsidR="00AC6AAD">
          <w:rPr>
            <w:noProof/>
            <w:webHidden/>
          </w:rPr>
          <w:tab/>
        </w:r>
        <w:r w:rsidR="00AC6AAD">
          <w:rPr>
            <w:noProof/>
            <w:webHidden/>
          </w:rPr>
          <w:fldChar w:fldCharType="begin"/>
        </w:r>
        <w:r w:rsidR="00AC6AAD">
          <w:rPr>
            <w:noProof/>
            <w:webHidden/>
          </w:rPr>
          <w:instrText xml:space="preserve"> PAGEREF _Toc127192020 \h </w:instrText>
        </w:r>
        <w:r w:rsidR="00AC6AAD">
          <w:rPr>
            <w:noProof/>
            <w:webHidden/>
          </w:rPr>
        </w:r>
        <w:r w:rsidR="00AC6AAD">
          <w:rPr>
            <w:noProof/>
            <w:webHidden/>
          </w:rPr>
          <w:fldChar w:fldCharType="separate"/>
        </w:r>
        <w:r w:rsidR="00AC6AAD">
          <w:rPr>
            <w:noProof/>
            <w:webHidden/>
          </w:rPr>
          <w:t>126</w:t>
        </w:r>
        <w:r w:rsidR="00AC6AAD">
          <w:rPr>
            <w:noProof/>
            <w:webHidden/>
          </w:rPr>
          <w:fldChar w:fldCharType="end"/>
        </w:r>
      </w:hyperlink>
    </w:p>
    <w:p w14:paraId="0C075268" w14:textId="36402B52" w:rsidR="00AC6AAD" w:rsidRDefault="00D36400">
      <w:pPr>
        <w:pStyle w:val="TOC3"/>
        <w:rPr>
          <w:rFonts w:asciiTheme="minorHAnsi" w:eastAsiaTheme="minorEastAsia" w:hAnsiTheme="minorHAnsi" w:cstheme="minorBidi"/>
          <w:noProof/>
          <w:sz w:val="22"/>
          <w:szCs w:val="22"/>
          <w:lang w:eastAsia="en-AU"/>
        </w:rPr>
      </w:pPr>
      <w:hyperlink w:anchor="_Toc127192021" w:history="1">
        <w:r w:rsidR="00AC6AAD" w:rsidRPr="00397A34">
          <w:rPr>
            <w:rStyle w:val="Hyperlink"/>
            <w:noProof/>
          </w:rPr>
          <w:t>2.1.9</w:t>
        </w:r>
        <w:r w:rsidR="00AC6AAD">
          <w:rPr>
            <w:rFonts w:asciiTheme="minorHAnsi" w:eastAsiaTheme="minorEastAsia" w:hAnsiTheme="minorHAnsi" w:cstheme="minorBidi"/>
            <w:noProof/>
            <w:sz w:val="22"/>
            <w:szCs w:val="22"/>
            <w:lang w:eastAsia="en-AU"/>
          </w:rPr>
          <w:tab/>
        </w:r>
        <w:r w:rsidR="00AC6AAD" w:rsidRPr="00397A34">
          <w:rPr>
            <w:rStyle w:val="Hyperlink"/>
            <w:noProof/>
          </w:rPr>
          <w:t>Health Operations 2021–22 and 2022–23</w:t>
        </w:r>
        <w:r w:rsidR="00AC6AAD">
          <w:rPr>
            <w:noProof/>
            <w:webHidden/>
          </w:rPr>
          <w:tab/>
        </w:r>
        <w:r w:rsidR="00AC6AAD">
          <w:rPr>
            <w:noProof/>
            <w:webHidden/>
          </w:rPr>
          <w:fldChar w:fldCharType="begin"/>
        </w:r>
        <w:r w:rsidR="00AC6AAD">
          <w:rPr>
            <w:noProof/>
            <w:webHidden/>
          </w:rPr>
          <w:instrText xml:space="preserve"> PAGEREF _Toc127192021 \h </w:instrText>
        </w:r>
        <w:r w:rsidR="00AC6AAD">
          <w:rPr>
            <w:noProof/>
            <w:webHidden/>
          </w:rPr>
        </w:r>
        <w:r w:rsidR="00AC6AAD">
          <w:rPr>
            <w:noProof/>
            <w:webHidden/>
          </w:rPr>
          <w:fldChar w:fldCharType="separate"/>
        </w:r>
        <w:r w:rsidR="00AC6AAD">
          <w:rPr>
            <w:noProof/>
            <w:webHidden/>
          </w:rPr>
          <w:t>128</w:t>
        </w:r>
        <w:r w:rsidR="00AC6AAD">
          <w:rPr>
            <w:noProof/>
            <w:webHidden/>
          </w:rPr>
          <w:fldChar w:fldCharType="end"/>
        </w:r>
      </w:hyperlink>
    </w:p>
    <w:p w14:paraId="0FF111C3" w14:textId="3AD58414" w:rsidR="00AC6AAD" w:rsidRDefault="00D36400">
      <w:pPr>
        <w:pStyle w:val="TOC2"/>
        <w:rPr>
          <w:rFonts w:asciiTheme="minorHAnsi" w:eastAsiaTheme="minorEastAsia" w:hAnsiTheme="minorHAnsi" w:cstheme="minorBidi"/>
          <w:b w:val="0"/>
          <w:bCs w:val="0"/>
          <w:sz w:val="22"/>
          <w:szCs w:val="22"/>
          <w:lang w:eastAsia="en-AU"/>
        </w:rPr>
      </w:pPr>
      <w:hyperlink w:anchor="_Toc127192022" w:history="1">
        <w:r w:rsidR="00AC6AAD" w:rsidRPr="00397A34">
          <w:rPr>
            <w:rStyle w:val="Hyperlink"/>
          </w:rPr>
          <w:t>2.2</w:t>
        </w:r>
        <w:r w:rsidR="00AC6AAD">
          <w:rPr>
            <w:rFonts w:asciiTheme="minorHAnsi" w:eastAsiaTheme="minorEastAsia" w:hAnsiTheme="minorHAnsi" w:cstheme="minorBidi"/>
            <w:b w:val="0"/>
            <w:bCs w:val="0"/>
            <w:sz w:val="22"/>
            <w:szCs w:val="22"/>
            <w:lang w:eastAsia="en-AU"/>
          </w:rPr>
          <w:tab/>
        </w:r>
        <w:r w:rsidR="00AC6AAD" w:rsidRPr="00397A34">
          <w:rPr>
            <w:rStyle w:val="Hyperlink"/>
          </w:rPr>
          <w:t>Activity Target Tables</w:t>
        </w:r>
        <w:r w:rsidR="00AC6AAD">
          <w:rPr>
            <w:webHidden/>
          </w:rPr>
          <w:tab/>
        </w:r>
        <w:r w:rsidR="00AC6AAD">
          <w:rPr>
            <w:webHidden/>
          </w:rPr>
          <w:fldChar w:fldCharType="begin"/>
        </w:r>
        <w:r w:rsidR="00AC6AAD">
          <w:rPr>
            <w:webHidden/>
          </w:rPr>
          <w:instrText xml:space="preserve"> PAGEREF _Toc127192022 \h </w:instrText>
        </w:r>
        <w:r w:rsidR="00AC6AAD">
          <w:rPr>
            <w:webHidden/>
          </w:rPr>
        </w:r>
        <w:r w:rsidR="00AC6AAD">
          <w:rPr>
            <w:webHidden/>
          </w:rPr>
          <w:fldChar w:fldCharType="separate"/>
        </w:r>
        <w:r w:rsidR="00AC6AAD">
          <w:rPr>
            <w:webHidden/>
          </w:rPr>
          <w:t>129</w:t>
        </w:r>
        <w:r w:rsidR="00AC6AAD">
          <w:rPr>
            <w:webHidden/>
          </w:rPr>
          <w:fldChar w:fldCharType="end"/>
        </w:r>
      </w:hyperlink>
    </w:p>
    <w:p w14:paraId="2E431F3C" w14:textId="0C8ED6D7" w:rsidR="00AC6AAD" w:rsidRDefault="00D36400">
      <w:pPr>
        <w:pStyle w:val="TOC3"/>
        <w:rPr>
          <w:rFonts w:asciiTheme="minorHAnsi" w:eastAsiaTheme="minorEastAsia" w:hAnsiTheme="minorHAnsi" w:cstheme="minorBidi"/>
          <w:noProof/>
          <w:sz w:val="22"/>
          <w:szCs w:val="22"/>
          <w:lang w:eastAsia="en-AU"/>
        </w:rPr>
      </w:pPr>
      <w:hyperlink w:anchor="_Toc127192023" w:history="1">
        <w:r w:rsidR="00AC6AAD" w:rsidRPr="00397A34">
          <w:rPr>
            <w:rStyle w:val="Hyperlink"/>
            <w:noProof/>
          </w:rPr>
          <w:t>2.2.1</w:t>
        </w:r>
        <w:r w:rsidR="00AC6AAD">
          <w:rPr>
            <w:rFonts w:asciiTheme="minorHAnsi" w:eastAsiaTheme="minorEastAsia" w:hAnsiTheme="minorHAnsi" w:cstheme="minorBidi"/>
            <w:noProof/>
            <w:sz w:val="22"/>
            <w:szCs w:val="22"/>
            <w:lang w:eastAsia="en-AU"/>
          </w:rPr>
          <w:tab/>
        </w:r>
        <w:r w:rsidR="00AC6AAD" w:rsidRPr="00397A34">
          <w:rPr>
            <w:rStyle w:val="Hyperlink"/>
            <w:noProof/>
          </w:rPr>
          <w:t>Victorian Acute Admitted Activity Targets (NWAU) 2022–23</w:t>
        </w:r>
        <w:r w:rsidR="00AC6AAD">
          <w:rPr>
            <w:noProof/>
            <w:webHidden/>
          </w:rPr>
          <w:tab/>
        </w:r>
        <w:r w:rsidR="00AC6AAD">
          <w:rPr>
            <w:noProof/>
            <w:webHidden/>
          </w:rPr>
          <w:fldChar w:fldCharType="begin"/>
        </w:r>
        <w:r w:rsidR="00AC6AAD">
          <w:rPr>
            <w:noProof/>
            <w:webHidden/>
          </w:rPr>
          <w:instrText xml:space="preserve"> PAGEREF _Toc127192023 \h </w:instrText>
        </w:r>
        <w:r w:rsidR="00AC6AAD">
          <w:rPr>
            <w:noProof/>
            <w:webHidden/>
          </w:rPr>
        </w:r>
        <w:r w:rsidR="00AC6AAD">
          <w:rPr>
            <w:noProof/>
            <w:webHidden/>
          </w:rPr>
          <w:fldChar w:fldCharType="separate"/>
        </w:r>
        <w:r w:rsidR="00AC6AAD">
          <w:rPr>
            <w:noProof/>
            <w:webHidden/>
          </w:rPr>
          <w:t>129</w:t>
        </w:r>
        <w:r w:rsidR="00AC6AAD">
          <w:rPr>
            <w:noProof/>
            <w:webHidden/>
          </w:rPr>
          <w:fldChar w:fldCharType="end"/>
        </w:r>
      </w:hyperlink>
    </w:p>
    <w:p w14:paraId="60121FE1" w14:textId="37C05E5A" w:rsidR="00AC6AAD" w:rsidRDefault="00D36400">
      <w:pPr>
        <w:pStyle w:val="TOC3"/>
        <w:rPr>
          <w:rFonts w:asciiTheme="minorHAnsi" w:eastAsiaTheme="minorEastAsia" w:hAnsiTheme="minorHAnsi" w:cstheme="minorBidi"/>
          <w:noProof/>
          <w:sz w:val="22"/>
          <w:szCs w:val="22"/>
          <w:lang w:eastAsia="en-AU"/>
        </w:rPr>
      </w:pPr>
      <w:hyperlink w:anchor="_Toc127192024" w:history="1">
        <w:r w:rsidR="00AC6AAD" w:rsidRPr="00397A34">
          <w:rPr>
            <w:rStyle w:val="Hyperlink"/>
            <w:noProof/>
          </w:rPr>
          <w:t>2.2.2</w:t>
        </w:r>
        <w:r w:rsidR="00AC6AAD">
          <w:rPr>
            <w:rFonts w:asciiTheme="minorHAnsi" w:eastAsiaTheme="minorEastAsia" w:hAnsiTheme="minorHAnsi" w:cstheme="minorBidi"/>
            <w:noProof/>
            <w:sz w:val="22"/>
            <w:szCs w:val="22"/>
            <w:lang w:eastAsia="en-AU"/>
          </w:rPr>
          <w:tab/>
        </w:r>
        <w:r w:rsidR="00AC6AAD" w:rsidRPr="00397A34">
          <w:rPr>
            <w:rStyle w:val="Hyperlink"/>
            <w:noProof/>
          </w:rPr>
          <w:t>Victorian Small Rural Health Service Acute Admitted Activity Targets 2022–23</w:t>
        </w:r>
        <w:r w:rsidR="00AC6AAD">
          <w:rPr>
            <w:noProof/>
            <w:webHidden/>
          </w:rPr>
          <w:tab/>
        </w:r>
        <w:r w:rsidR="00AC6AAD">
          <w:rPr>
            <w:noProof/>
            <w:webHidden/>
          </w:rPr>
          <w:fldChar w:fldCharType="begin"/>
        </w:r>
        <w:r w:rsidR="00AC6AAD">
          <w:rPr>
            <w:noProof/>
            <w:webHidden/>
          </w:rPr>
          <w:instrText xml:space="preserve"> PAGEREF _Toc127192024 \h </w:instrText>
        </w:r>
        <w:r w:rsidR="00AC6AAD">
          <w:rPr>
            <w:noProof/>
            <w:webHidden/>
          </w:rPr>
        </w:r>
        <w:r w:rsidR="00AC6AAD">
          <w:rPr>
            <w:noProof/>
            <w:webHidden/>
          </w:rPr>
          <w:fldChar w:fldCharType="separate"/>
        </w:r>
        <w:r w:rsidR="00AC6AAD">
          <w:rPr>
            <w:noProof/>
            <w:webHidden/>
          </w:rPr>
          <w:t>130</w:t>
        </w:r>
        <w:r w:rsidR="00AC6AAD">
          <w:rPr>
            <w:noProof/>
            <w:webHidden/>
          </w:rPr>
          <w:fldChar w:fldCharType="end"/>
        </w:r>
      </w:hyperlink>
    </w:p>
    <w:p w14:paraId="325DE7D6" w14:textId="652F41EE" w:rsidR="00AC6AAD" w:rsidRDefault="00D36400">
      <w:pPr>
        <w:pStyle w:val="TOC3"/>
        <w:rPr>
          <w:rFonts w:asciiTheme="minorHAnsi" w:eastAsiaTheme="minorEastAsia" w:hAnsiTheme="minorHAnsi" w:cstheme="minorBidi"/>
          <w:noProof/>
          <w:sz w:val="22"/>
          <w:szCs w:val="22"/>
          <w:lang w:eastAsia="en-AU"/>
        </w:rPr>
      </w:pPr>
      <w:hyperlink w:anchor="_Toc127192025" w:history="1">
        <w:r w:rsidR="00AC6AAD" w:rsidRPr="00397A34">
          <w:rPr>
            <w:rStyle w:val="Hyperlink"/>
            <w:noProof/>
          </w:rPr>
          <w:t>2.2.3</w:t>
        </w:r>
        <w:r w:rsidR="00AC6AAD">
          <w:rPr>
            <w:rFonts w:asciiTheme="minorHAnsi" w:eastAsiaTheme="minorEastAsia" w:hAnsiTheme="minorHAnsi" w:cstheme="minorBidi"/>
            <w:noProof/>
            <w:sz w:val="22"/>
            <w:szCs w:val="22"/>
            <w:lang w:eastAsia="en-AU"/>
          </w:rPr>
          <w:tab/>
        </w:r>
        <w:r w:rsidR="00AC6AAD" w:rsidRPr="00397A34">
          <w:rPr>
            <w:rStyle w:val="Hyperlink"/>
            <w:noProof/>
          </w:rPr>
          <w:t>Non-Admitted Radiotherapy Activity (WAU) Targets 2022–23</w:t>
        </w:r>
        <w:r w:rsidR="00AC6AAD">
          <w:rPr>
            <w:noProof/>
            <w:webHidden/>
          </w:rPr>
          <w:tab/>
        </w:r>
        <w:r w:rsidR="00AC6AAD">
          <w:rPr>
            <w:noProof/>
            <w:webHidden/>
          </w:rPr>
          <w:fldChar w:fldCharType="begin"/>
        </w:r>
        <w:r w:rsidR="00AC6AAD">
          <w:rPr>
            <w:noProof/>
            <w:webHidden/>
          </w:rPr>
          <w:instrText xml:space="preserve"> PAGEREF _Toc127192025 \h </w:instrText>
        </w:r>
        <w:r w:rsidR="00AC6AAD">
          <w:rPr>
            <w:noProof/>
            <w:webHidden/>
          </w:rPr>
        </w:r>
        <w:r w:rsidR="00AC6AAD">
          <w:rPr>
            <w:noProof/>
            <w:webHidden/>
          </w:rPr>
          <w:fldChar w:fldCharType="separate"/>
        </w:r>
        <w:r w:rsidR="00AC6AAD">
          <w:rPr>
            <w:noProof/>
            <w:webHidden/>
          </w:rPr>
          <w:t>131</w:t>
        </w:r>
        <w:r w:rsidR="00AC6AAD">
          <w:rPr>
            <w:noProof/>
            <w:webHidden/>
          </w:rPr>
          <w:fldChar w:fldCharType="end"/>
        </w:r>
      </w:hyperlink>
    </w:p>
    <w:p w14:paraId="5793C233" w14:textId="7D2C5D24" w:rsidR="00AC6AAD" w:rsidRDefault="00D36400">
      <w:pPr>
        <w:pStyle w:val="TOC3"/>
        <w:rPr>
          <w:rFonts w:asciiTheme="minorHAnsi" w:eastAsiaTheme="minorEastAsia" w:hAnsiTheme="minorHAnsi" w:cstheme="minorBidi"/>
          <w:noProof/>
          <w:sz w:val="22"/>
          <w:szCs w:val="22"/>
          <w:lang w:eastAsia="en-AU"/>
        </w:rPr>
      </w:pPr>
      <w:hyperlink w:anchor="_Toc127192026" w:history="1">
        <w:r w:rsidR="00AC6AAD" w:rsidRPr="00397A34">
          <w:rPr>
            <w:rStyle w:val="Hyperlink"/>
            <w:noProof/>
          </w:rPr>
          <w:t>2.2.4</w:t>
        </w:r>
        <w:r w:rsidR="00AC6AAD">
          <w:rPr>
            <w:rFonts w:asciiTheme="minorHAnsi" w:eastAsiaTheme="minorEastAsia" w:hAnsiTheme="minorHAnsi" w:cstheme="minorBidi"/>
            <w:noProof/>
            <w:sz w:val="22"/>
            <w:szCs w:val="22"/>
            <w:lang w:eastAsia="en-AU"/>
          </w:rPr>
          <w:tab/>
        </w:r>
        <w:r w:rsidR="00AC6AAD" w:rsidRPr="00397A34">
          <w:rPr>
            <w:rStyle w:val="Hyperlink"/>
            <w:noProof/>
          </w:rPr>
          <w:t>Admitted Subacute and Non-Acute Targets (Subacute NWAU) 2022–23</w:t>
        </w:r>
        <w:r w:rsidR="00AC6AAD">
          <w:rPr>
            <w:noProof/>
            <w:webHidden/>
          </w:rPr>
          <w:tab/>
        </w:r>
        <w:r w:rsidR="00AC6AAD">
          <w:rPr>
            <w:noProof/>
            <w:webHidden/>
          </w:rPr>
          <w:fldChar w:fldCharType="begin"/>
        </w:r>
        <w:r w:rsidR="00AC6AAD">
          <w:rPr>
            <w:noProof/>
            <w:webHidden/>
          </w:rPr>
          <w:instrText xml:space="preserve"> PAGEREF _Toc127192026 \h </w:instrText>
        </w:r>
        <w:r w:rsidR="00AC6AAD">
          <w:rPr>
            <w:noProof/>
            <w:webHidden/>
          </w:rPr>
        </w:r>
        <w:r w:rsidR="00AC6AAD">
          <w:rPr>
            <w:noProof/>
            <w:webHidden/>
          </w:rPr>
          <w:fldChar w:fldCharType="separate"/>
        </w:r>
        <w:r w:rsidR="00AC6AAD">
          <w:rPr>
            <w:noProof/>
            <w:webHidden/>
          </w:rPr>
          <w:t>132</w:t>
        </w:r>
        <w:r w:rsidR="00AC6AAD">
          <w:rPr>
            <w:noProof/>
            <w:webHidden/>
          </w:rPr>
          <w:fldChar w:fldCharType="end"/>
        </w:r>
      </w:hyperlink>
    </w:p>
    <w:p w14:paraId="5A8E06FA" w14:textId="42CF36CE" w:rsidR="00AC6AAD" w:rsidRDefault="00D36400">
      <w:pPr>
        <w:pStyle w:val="TOC3"/>
        <w:rPr>
          <w:rFonts w:asciiTheme="minorHAnsi" w:eastAsiaTheme="minorEastAsia" w:hAnsiTheme="minorHAnsi" w:cstheme="minorBidi"/>
          <w:noProof/>
          <w:sz w:val="22"/>
          <w:szCs w:val="22"/>
          <w:lang w:eastAsia="en-AU"/>
        </w:rPr>
      </w:pPr>
      <w:hyperlink w:anchor="_Toc127192027" w:history="1">
        <w:r w:rsidR="00AC6AAD" w:rsidRPr="00397A34">
          <w:rPr>
            <w:rStyle w:val="Hyperlink"/>
            <w:noProof/>
          </w:rPr>
          <w:t>2.2.5</w:t>
        </w:r>
        <w:r w:rsidR="00AC6AAD">
          <w:rPr>
            <w:rFonts w:asciiTheme="minorHAnsi" w:eastAsiaTheme="minorEastAsia" w:hAnsiTheme="minorHAnsi" w:cstheme="minorBidi"/>
            <w:noProof/>
            <w:sz w:val="22"/>
            <w:szCs w:val="22"/>
            <w:lang w:eastAsia="en-AU"/>
          </w:rPr>
          <w:tab/>
        </w:r>
        <w:r w:rsidR="00AC6AAD" w:rsidRPr="00397A34">
          <w:rPr>
            <w:rStyle w:val="Hyperlink"/>
            <w:noProof/>
          </w:rPr>
          <w:t>Transition Care Program Targets 2022–23</w:t>
        </w:r>
        <w:r w:rsidR="00AC6AAD">
          <w:rPr>
            <w:noProof/>
            <w:webHidden/>
          </w:rPr>
          <w:tab/>
        </w:r>
        <w:r w:rsidR="00AC6AAD">
          <w:rPr>
            <w:noProof/>
            <w:webHidden/>
          </w:rPr>
          <w:fldChar w:fldCharType="begin"/>
        </w:r>
        <w:r w:rsidR="00AC6AAD">
          <w:rPr>
            <w:noProof/>
            <w:webHidden/>
          </w:rPr>
          <w:instrText xml:space="preserve"> PAGEREF _Toc127192027 \h </w:instrText>
        </w:r>
        <w:r w:rsidR="00AC6AAD">
          <w:rPr>
            <w:noProof/>
            <w:webHidden/>
          </w:rPr>
        </w:r>
        <w:r w:rsidR="00AC6AAD">
          <w:rPr>
            <w:noProof/>
            <w:webHidden/>
          </w:rPr>
          <w:fldChar w:fldCharType="separate"/>
        </w:r>
        <w:r w:rsidR="00AC6AAD">
          <w:rPr>
            <w:noProof/>
            <w:webHidden/>
          </w:rPr>
          <w:t>133</w:t>
        </w:r>
        <w:r w:rsidR="00AC6AAD">
          <w:rPr>
            <w:noProof/>
            <w:webHidden/>
          </w:rPr>
          <w:fldChar w:fldCharType="end"/>
        </w:r>
      </w:hyperlink>
    </w:p>
    <w:p w14:paraId="15AE869B" w14:textId="3EEF0E28" w:rsidR="00AC6AAD" w:rsidRDefault="00D36400">
      <w:pPr>
        <w:pStyle w:val="TOC3"/>
        <w:rPr>
          <w:rFonts w:asciiTheme="minorHAnsi" w:eastAsiaTheme="minorEastAsia" w:hAnsiTheme="minorHAnsi" w:cstheme="minorBidi"/>
          <w:noProof/>
          <w:sz w:val="22"/>
          <w:szCs w:val="22"/>
          <w:lang w:eastAsia="en-AU"/>
        </w:rPr>
      </w:pPr>
      <w:hyperlink w:anchor="_Toc127192028" w:history="1">
        <w:r w:rsidR="00AC6AAD" w:rsidRPr="00397A34">
          <w:rPr>
            <w:rStyle w:val="Hyperlink"/>
            <w:noProof/>
          </w:rPr>
          <w:t>2.2.6</w:t>
        </w:r>
        <w:r w:rsidR="00AC6AAD">
          <w:rPr>
            <w:rFonts w:asciiTheme="minorHAnsi" w:eastAsiaTheme="minorEastAsia" w:hAnsiTheme="minorHAnsi" w:cstheme="minorBidi"/>
            <w:noProof/>
            <w:sz w:val="22"/>
            <w:szCs w:val="22"/>
            <w:lang w:eastAsia="en-AU"/>
          </w:rPr>
          <w:tab/>
        </w:r>
        <w:r w:rsidR="00AC6AAD" w:rsidRPr="00397A34">
          <w:rPr>
            <w:rStyle w:val="Hyperlink"/>
            <w:noProof/>
          </w:rPr>
          <w:t>Total Parenteral Nutrition Activity Targets (NWAU) 2022–23</w:t>
        </w:r>
        <w:r w:rsidR="00AC6AAD">
          <w:rPr>
            <w:noProof/>
            <w:webHidden/>
          </w:rPr>
          <w:tab/>
        </w:r>
        <w:r w:rsidR="00AC6AAD">
          <w:rPr>
            <w:noProof/>
            <w:webHidden/>
          </w:rPr>
          <w:fldChar w:fldCharType="begin"/>
        </w:r>
        <w:r w:rsidR="00AC6AAD">
          <w:rPr>
            <w:noProof/>
            <w:webHidden/>
          </w:rPr>
          <w:instrText xml:space="preserve"> PAGEREF _Toc127192028 \h </w:instrText>
        </w:r>
        <w:r w:rsidR="00AC6AAD">
          <w:rPr>
            <w:noProof/>
            <w:webHidden/>
          </w:rPr>
        </w:r>
        <w:r w:rsidR="00AC6AAD">
          <w:rPr>
            <w:noProof/>
            <w:webHidden/>
          </w:rPr>
          <w:fldChar w:fldCharType="separate"/>
        </w:r>
        <w:r w:rsidR="00AC6AAD">
          <w:rPr>
            <w:noProof/>
            <w:webHidden/>
          </w:rPr>
          <w:t>133</w:t>
        </w:r>
        <w:r w:rsidR="00AC6AAD">
          <w:rPr>
            <w:noProof/>
            <w:webHidden/>
          </w:rPr>
          <w:fldChar w:fldCharType="end"/>
        </w:r>
      </w:hyperlink>
    </w:p>
    <w:p w14:paraId="636E9D5B" w14:textId="11300118" w:rsidR="00AC6AAD" w:rsidRDefault="00D36400">
      <w:pPr>
        <w:pStyle w:val="TOC3"/>
        <w:rPr>
          <w:rFonts w:asciiTheme="minorHAnsi" w:eastAsiaTheme="minorEastAsia" w:hAnsiTheme="minorHAnsi" w:cstheme="minorBidi"/>
          <w:noProof/>
          <w:sz w:val="22"/>
          <w:szCs w:val="22"/>
          <w:lang w:eastAsia="en-AU"/>
        </w:rPr>
      </w:pPr>
      <w:hyperlink w:anchor="_Toc127192029" w:history="1">
        <w:r w:rsidR="00AC6AAD" w:rsidRPr="00397A34">
          <w:rPr>
            <w:rStyle w:val="Hyperlink"/>
            <w:noProof/>
          </w:rPr>
          <w:t>2.2.7</w:t>
        </w:r>
        <w:r w:rsidR="00AC6AAD">
          <w:rPr>
            <w:rFonts w:asciiTheme="minorHAnsi" w:eastAsiaTheme="minorEastAsia" w:hAnsiTheme="minorHAnsi" w:cstheme="minorBidi"/>
            <w:noProof/>
            <w:sz w:val="22"/>
            <w:szCs w:val="22"/>
            <w:lang w:eastAsia="en-AU"/>
          </w:rPr>
          <w:tab/>
        </w:r>
        <w:r w:rsidR="00AC6AAD" w:rsidRPr="00397A34">
          <w:rPr>
            <w:rStyle w:val="Hyperlink"/>
            <w:noProof/>
          </w:rPr>
          <w:t>Home Enteral Nutrition Activity Targets (NWAU) 2022–23</w:t>
        </w:r>
        <w:r w:rsidR="00AC6AAD">
          <w:rPr>
            <w:noProof/>
            <w:webHidden/>
          </w:rPr>
          <w:tab/>
        </w:r>
        <w:r w:rsidR="00AC6AAD">
          <w:rPr>
            <w:noProof/>
            <w:webHidden/>
          </w:rPr>
          <w:fldChar w:fldCharType="begin"/>
        </w:r>
        <w:r w:rsidR="00AC6AAD">
          <w:rPr>
            <w:noProof/>
            <w:webHidden/>
          </w:rPr>
          <w:instrText xml:space="preserve"> PAGEREF _Toc127192029 \h </w:instrText>
        </w:r>
        <w:r w:rsidR="00AC6AAD">
          <w:rPr>
            <w:noProof/>
            <w:webHidden/>
          </w:rPr>
        </w:r>
        <w:r w:rsidR="00AC6AAD">
          <w:rPr>
            <w:noProof/>
            <w:webHidden/>
          </w:rPr>
          <w:fldChar w:fldCharType="separate"/>
        </w:r>
        <w:r w:rsidR="00AC6AAD">
          <w:rPr>
            <w:noProof/>
            <w:webHidden/>
          </w:rPr>
          <w:t>134</w:t>
        </w:r>
        <w:r w:rsidR="00AC6AAD">
          <w:rPr>
            <w:noProof/>
            <w:webHidden/>
          </w:rPr>
          <w:fldChar w:fldCharType="end"/>
        </w:r>
      </w:hyperlink>
    </w:p>
    <w:p w14:paraId="25979CFA" w14:textId="5F0DFC8C" w:rsidR="00AC6AAD" w:rsidRDefault="00D36400">
      <w:pPr>
        <w:pStyle w:val="TOC3"/>
        <w:rPr>
          <w:rFonts w:asciiTheme="minorHAnsi" w:eastAsiaTheme="minorEastAsia" w:hAnsiTheme="minorHAnsi" w:cstheme="minorBidi"/>
          <w:noProof/>
          <w:sz w:val="22"/>
          <w:szCs w:val="22"/>
          <w:lang w:eastAsia="en-AU"/>
        </w:rPr>
      </w:pPr>
      <w:hyperlink w:anchor="_Toc127192030" w:history="1">
        <w:r w:rsidR="00AC6AAD" w:rsidRPr="00397A34">
          <w:rPr>
            <w:rStyle w:val="Hyperlink"/>
            <w:noProof/>
          </w:rPr>
          <w:t>2.2.8</w:t>
        </w:r>
        <w:r w:rsidR="00AC6AAD">
          <w:rPr>
            <w:rFonts w:asciiTheme="minorHAnsi" w:eastAsiaTheme="minorEastAsia" w:hAnsiTheme="minorHAnsi" w:cstheme="minorBidi"/>
            <w:noProof/>
            <w:sz w:val="22"/>
            <w:szCs w:val="22"/>
            <w:lang w:eastAsia="en-AU"/>
          </w:rPr>
          <w:tab/>
        </w:r>
        <w:r w:rsidR="00AC6AAD" w:rsidRPr="00397A34">
          <w:rPr>
            <w:rStyle w:val="Hyperlink"/>
            <w:noProof/>
          </w:rPr>
          <w:t>Home Renal Dialysis Targets 2022–23</w:t>
        </w:r>
        <w:r w:rsidR="00AC6AAD">
          <w:rPr>
            <w:noProof/>
            <w:webHidden/>
          </w:rPr>
          <w:tab/>
        </w:r>
        <w:r w:rsidR="00AC6AAD">
          <w:rPr>
            <w:noProof/>
            <w:webHidden/>
          </w:rPr>
          <w:fldChar w:fldCharType="begin"/>
        </w:r>
        <w:r w:rsidR="00AC6AAD">
          <w:rPr>
            <w:noProof/>
            <w:webHidden/>
          </w:rPr>
          <w:instrText xml:space="preserve"> PAGEREF _Toc127192030 \h </w:instrText>
        </w:r>
        <w:r w:rsidR="00AC6AAD">
          <w:rPr>
            <w:noProof/>
            <w:webHidden/>
          </w:rPr>
        </w:r>
        <w:r w:rsidR="00AC6AAD">
          <w:rPr>
            <w:noProof/>
            <w:webHidden/>
          </w:rPr>
          <w:fldChar w:fldCharType="separate"/>
        </w:r>
        <w:r w:rsidR="00AC6AAD">
          <w:rPr>
            <w:noProof/>
            <w:webHidden/>
          </w:rPr>
          <w:t>135</w:t>
        </w:r>
        <w:r w:rsidR="00AC6AAD">
          <w:rPr>
            <w:noProof/>
            <w:webHidden/>
          </w:rPr>
          <w:fldChar w:fldCharType="end"/>
        </w:r>
      </w:hyperlink>
    </w:p>
    <w:p w14:paraId="446DF265" w14:textId="0ECA5F09" w:rsidR="00AC6AAD" w:rsidRDefault="00D36400">
      <w:pPr>
        <w:pStyle w:val="TOC3"/>
        <w:rPr>
          <w:rFonts w:asciiTheme="minorHAnsi" w:eastAsiaTheme="minorEastAsia" w:hAnsiTheme="minorHAnsi" w:cstheme="minorBidi"/>
          <w:noProof/>
          <w:sz w:val="22"/>
          <w:szCs w:val="22"/>
          <w:lang w:eastAsia="en-AU"/>
        </w:rPr>
      </w:pPr>
      <w:hyperlink w:anchor="_Toc127192031" w:history="1">
        <w:r w:rsidR="00AC6AAD" w:rsidRPr="00397A34">
          <w:rPr>
            <w:rStyle w:val="Hyperlink"/>
            <w:noProof/>
          </w:rPr>
          <w:t>2.2.9</w:t>
        </w:r>
        <w:r w:rsidR="00AC6AAD">
          <w:rPr>
            <w:rFonts w:asciiTheme="minorHAnsi" w:eastAsiaTheme="minorEastAsia" w:hAnsiTheme="minorHAnsi" w:cstheme="minorBidi"/>
            <w:noProof/>
            <w:sz w:val="22"/>
            <w:szCs w:val="22"/>
            <w:lang w:eastAsia="en-AU"/>
          </w:rPr>
          <w:tab/>
        </w:r>
        <w:r w:rsidR="00AC6AAD" w:rsidRPr="00397A34">
          <w:rPr>
            <w:rStyle w:val="Hyperlink"/>
            <w:noProof/>
          </w:rPr>
          <w:t>Non-Admitted Episode Targets – Community Palliative Care</w:t>
        </w:r>
        <w:r w:rsidR="00AC6AAD">
          <w:rPr>
            <w:noProof/>
            <w:webHidden/>
          </w:rPr>
          <w:tab/>
        </w:r>
        <w:r w:rsidR="00AC6AAD">
          <w:rPr>
            <w:noProof/>
            <w:webHidden/>
          </w:rPr>
          <w:fldChar w:fldCharType="begin"/>
        </w:r>
        <w:r w:rsidR="00AC6AAD">
          <w:rPr>
            <w:noProof/>
            <w:webHidden/>
          </w:rPr>
          <w:instrText xml:space="preserve"> PAGEREF _Toc127192031 \h </w:instrText>
        </w:r>
        <w:r w:rsidR="00AC6AAD">
          <w:rPr>
            <w:noProof/>
            <w:webHidden/>
          </w:rPr>
        </w:r>
        <w:r w:rsidR="00AC6AAD">
          <w:rPr>
            <w:noProof/>
            <w:webHidden/>
          </w:rPr>
          <w:fldChar w:fldCharType="separate"/>
        </w:r>
        <w:r w:rsidR="00AC6AAD">
          <w:rPr>
            <w:noProof/>
            <w:webHidden/>
          </w:rPr>
          <w:t>135</w:t>
        </w:r>
        <w:r w:rsidR="00AC6AAD">
          <w:rPr>
            <w:noProof/>
            <w:webHidden/>
          </w:rPr>
          <w:fldChar w:fldCharType="end"/>
        </w:r>
      </w:hyperlink>
    </w:p>
    <w:p w14:paraId="48F8E2C9" w14:textId="170FE95A" w:rsidR="00AC6AAD" w:rsidRDefault="00D36400">
      <w:pPr>
        <w:pStyle w:val="TOC3"/>
        <w:rPr>
          <w:rFonts w:asciiTheme="minorHAnsi" w:eastAsiaTheme="minorEastAsia" w:hAnsiTheme="minorHAnsi" w:cstheme="minorBidi"/>
          <w:noProof/>
          <w:sz w:val="22"/>
          <w:szCs w:val="22"/>
          <w:lang w:eastAsia="en-AU"/>
        </w:rPr>
      </w:pPr>
      <w:hyperlink w:anchor="_Toc127192032" w:history="1">
        <w:r w:rsidR="00AC6AAD" w:rsidRPr="00397A34">
          <w:rPr>
            <w:rStyle w:val="Hyperlink"/>
            <w:noProof/>
          </w:rPr>
          <w:t>2.2.10</w:t>
        </w:r>
        <w:r w:rsidR="00AC6AAD">
          <w:rPr>
            <w:rFonts w:asciiTheme="minorHAnsi" w:eastAsiaTheme="minorEastAsia" w:hAnsiTheme="minorHAnsi" w:cstheme="minorBidi"/>
            <w:noProof/>
            <w:sz w:val="22"/>
            <w:szCs w:val="22"/>
            <w:lang w:eastAsia="en-AU"/>
          </w:rPr>
          <w:tab/>
        </w:r>
        <w:r w:rsidR="00AC6AAD" w:rsidRPr="00397A34">
          <w:rPr>
            <w:rStyle w:val="Hyperlink"/>
            <w:noProof/>
          </w:rPr>
          <w:t>Nationally Funded Centres Program 2022–23</w:t>
        </w:r>
        <w:r w:rsidR="00AC6AAD">
          <w:rPr>
            <w:noProof/>
            <w:webHidden/>
          </w:rPr>
          <w:tab/>
        </w:r>
        <w:r w:rsidR="00AC6AAD">
          <w:rPr>
            <w:noProof/>
            <w:webHidden/>
          </w:rPr>
          <w:fldChar w:fldCharType="begin"/>
        </w:r>
        <w:r w:rsidR="00AC6AAD">
          <w:rPr>
            <w:noProof/>
            <w:webHidden/>
          </w:rPr>
          <w:instrText xml:space="preserve"> PAGEREF _Toc127192032 \h </w:instrText>
        </w:r>
        <w:r w:rsidR="00AC6AAD">
          <w:rPr>
            <w:noProof/>
            <w:webHidden/>
          </w:rPr>
        </w:r>
        <w:r w:rsidR="00AC6AAD">
          <w:rPr>
            <w:noProof/>
            <w:webHidden/>
          </w:rPr>
          <w:fldChar w:fldCharType="separate"/>
        </w:r>
        <w:r w:rsidR="00AC6AAD">
          <w:rPr>
            <w:noProof/>
            <w:webHidden/>
          </w:rPr>
          <w:t>136</w:t>
        </w:r>
        <w:r w:rsidR="00AC6AAD">
          <w:rPr>
            <w:noProof/>
            <w:webHidden/>
          </w:rPr>
          <w:fldChar w:fldCharType="end"/>
        </w:r>
      </w:hyperlink>
    </w:p>
    <w:p w14:paraId="0F21078C" w14:textId="4F1D085F" w:rsidR="00AC6AAD" w:rsidRDefault="00D36400">
      <w:pPr>
        <w:pStyle w:val="TOC3"/>
        <w:rPr>
          <w:rFonts w:asciiTheme="minorHAnsi" w:eastAsiaTheme="minorEastAsia" w:hAnsiTheme="minorHAnsi" w:cstheme="minorBidi"/>
          <w:noProof/>
          <w:sz w:val="22"/>
          <w:szCs w:val="22"/>
          <w:lang w:eastAsia="en-AU"/>
        </w:rPr>
      </w:pPr>
      <w:hyperlink w:anchor="_Toc127192033" w:history="1">
        <w:r w:rsidR="00AC6AAD" w:rsidRPr="00397A34">
          <w:rPr>
            <w:rStyle w:val="Hyperlink"/>
            <w:noProof/>
          </w:rPr>
          <w:t>2.2.11</w:t>
        </w:r>
        <w:r w:rsidR="00AC6AAD">
          <w:rPr>
            <w:rFonts w:asciiTheme="minorHAnsi" w:eastAsiaTheme="minorEastAsia" w:hAnsiTheme="minorHAnsi" w:cstheme="minorBidi"/>
            <w:noProof/>
            <w:sz w:val="22"/>
            <w:szCs w:val="22"/>
            <w:lang w:eastAsia="en-AU"/>
          </w:rPr>
          <w:tab/>
        </w:r>
        <w:r w:rsidR="00AC6AAD" w:rsidRPr="00397A34">
          <w:rPr>
            <w:rStyle w:val="Hyperlink"/>
            <w:noProof/>
          </w:rPr>
          <w:t>Mental Health Acute, Non-Acute, Subacute, and Residential Available Beds 2022–23</w:t>
        </w:r>
        <w:r w:rsidR="00AC6AAD">
          <w:rPr>
            <w:noProof/>
            <w:webHidden/>
          </w:rPr>
          <w:tab/>
        </w:r>
        <w:r w:rsidR="00AC6AAD">
          <w:rPr>
            <w:noProof/>
            <w:webHidden/>
          </w:rPr>
          <w:fldChar w:fldCharType="begin"/>
        </w:r>
        <w:r w:rsidR="00AC6AAD">
          <w:rPr>
            <w:noProof/>
            <w:webHidden/>
          </w:rPr>
          <w:instrText xml:space="preserve"> PAGEREF _Toc127192033 \h </w:instrText>
        </w:r>
        <w:r w:rsidR="00AC6AAD">
          <w:rPr>
            <w:noProof/>
            <w:webHidden/>
          </w:rPr>
        </w:r>
        <w:r w:rsidR="00AC6AAD">
          <w:rPr>
            <w:noProof/>
            <w:webHidden/>
          </w:rPr>
          <w:fldChar w:fldCharType="separate"/>
        </w:r>
        <w:r w:rsidR="00AC6AAD">
          <w:rPr>
            <w:noProof/>
            <w:webHidden/>
          </w:rPr>
          <w:t>137</w:t>
        </w:r>
        <w:r w:rsidR="00AC6AAD">
          <w:rPr>
            <w:noProof/>
            <w:webHidden/>
          </w:rPr>
          <w:fldChar w:fldCharType="end"/>
        </w:r>
      </w:hyperlink>
    </w:p>
    <w:p w14:paraId="012B4720" w14:textId="7FADAE0B" w:rsidR="00AC6AAD" w:rsidRDefault="00D36400">
      <w:pPr>
        <w:pStyle w:val="TOC3"/>
        <w:rPr>
          <w:rFonts w:asciiTheme="minorHAnsi" w:eastAsiaTheme="minorEastAsia" w:hAnsiTheme="minorHAnsi" w:cstheme="minorBidi"/>
          <w:noProof/>
          <w:sz w:val="22"/>
          <w:szCs w:val="22"/>
          <w:lang w:eastAsia="en-AU"/>
        </w:rPr>
      </w:pPr>
      <w:hyperlink w:anchor="_Toc127192034" w:history="1">
        <w:r w:rsidR="00AC6AAD" w:rsidRPr="00397A34">
          <w:rPr>
            <w:rStyle w:val="Hyperlink"/>
            <w:noProof/>
          </w:rPr>
          <w:t>2.2.12</w:t>
        </w:r>
        <w:r w:rsidR="00AC6AAD">
          <w:rPr>
            <w:rFonts w:asciiTheme="minorHAnsi" w:eastAsiaTheme="minorEastAsia" w:hAnsiTheme="minorHAnsi" w:cstheme="minorBidi"/>
            <w:noProof/>
            <w:sz w:val="22"/>
            <w:szCs w:val="22"/>
            <w:lang w:eastAsia="en-AU"/>
          </w:rPr>
          <w:tab/>
        </w:r>
        <w:r w:rsidR="00AC6AAD" w:rsidRPr="00397A34">
          <w:rPr>
            <w:rStyle w:val="Hyperlink"/>
            <w:noProof/>
          </w:rPr>
          <w:t>Mental Health Ambulatory Targets 2022–23</w:t>
        </w:r>
        <w:r w:rsidR="00AC6AAD">
          <w:rPr>
            <w:noProof/>
            <w:webHidden/>
          </w:rPr>
          <w:tab/>
        </w:r>
        <w:r w:rsidR="00AC6AAD">
          <w:rPr>
            <w:noProof/>
            <w:webHidden/>
          </w:rPr>
          <w:fldChar w:fldCharType="begin"/>
        </w:r>
        <w:r w:rsidR="00AC6AAD">
          <w:rPr>
            <w:noProof/>
            <w:webHidden/>
          </w:rPr>
          <w:instrText xml:space="preserve"> PAGEREF _Toc127192034 \h </w:instrText>
        </w:r>
        <w:r w:rsidR="00AC6AAD">
          <w:rPr>
            <w:noProof/>
            <w:webHidden/>
          </w:rPr>
        </w:r>
        <w:r w:rsidR="00AC6AAD">
          <w:rPr>
            <w:noProof/>
            <w:webHidden/>
          </w:rPr>
          <w:fldChar w:fldCharType="separate"/>
        </w:r>
        <w:r w:rsidR="00AC6AAD">
          <w:rPr>
            <w:noProof/>
            <w:webHidden/>
          </w:rPr>
          <w:t>142</w:t>
        </w:r>
        <w:r w:rsidR="00AC6AAD">
          <w:rPr>
            <w:noProof/>
            <w:webHidden/>
          </w:rPr>
          <w:fldChar w:fldCharType="end"/>
        </w:r>
      </w:hyperlink>
    </w:p>
    <w:p w14:paraId="7454521D" w14:textId="49948755" w:rsidR="00AC6AAD" w:rsidRDefault="00D36400">
      <w:pPr>
        <w:pStyle w:val="TOC3"/>
        <w:rPr>
          <w:rFonts w:asciiTheme="minorHAnsi" w:eastAsiaTheme="minorEastAsia" w:hAnsiTheme="minorHAnsi" w:cstheme="minorBidi"/>
          <w:noProof/>
          <w:sz w:val="22"/>
          <w:szCs w:val="22"/>
          <w:lang w:eastAsia="en-AU"/>
        </w:rPr>
      </w:pPr>
      <w:hyperlink w:anchor="_Toc127192035" w:history="1">
        <w:r w:rsidR="00AC6AAD" w:rsidRPr="00397A34">
          <w:rPr>
            <w:rStyle w:val="Hyperlink"/>
            <w:noProof/>
          </w:rPr>
          <w:t>2.2.13</w:t>
        </w:r>
        <w:r w:rsidR="00AC6AAD">
          <w:rPr>
            <w:rFonts w:asciiTheme="minorHAnsi" w:eastAsiaTheme="minorEastAsia" w:hAnsiTheme="minorHAnsi" w:cstheme="minorBidi"/>
            <w:noProof/>
            <w:sz w:val="22"/>
            <w:szCs w:val="22"/>
            <w:lang w:eastAsia="en-AU"/>
          </w:rPr>
          <w:tab/>
        </w:r>
        <w:r w:rsidR="00AC6AAD" w:rsidRPr="00397A34">
          <w:rPr>
            <w:rStyle w:val="Hyperlink"/>
            <w:noProof/>
          </w:rPr>
          <w:t>Alcohol and Other Drugs Output Targets 2022–23</w:t>
        </w:r>
        <w:r w:rsidR="00AC6AAD">
          <w:rPr>
            <w:noProof/>
            <w:webHidden/>
          </w:rPr>
          <w:tab/>
        </w:r>
        <w:r w:rsidR="00AC6AAD">
          <w:rPr>
            <w:noProof/>
            <w:webHidden/>
          </w:rPr>
          <w:fldChar w:fldCharType="begin"/>
        </w:r>
        <w:r w:rsidR="00AC6AAD">
          <w:rPr>
            <w:noProof/>
            <w:webHidden/>
          </w:rPr>
          <w:instrText xml:space="preserve"> PAGEREF _Toc127192035 \h </w:instrText>
        </w:r>
        <w:r w:rsidR="00AC6AAD">
          <w:rPr>
            <w:noProof/>
            <w:webHidden/>
          </w:rPr>
        </w:r>
        <w:r w:rsidR="00AC6AAD">
          <w:rPr>
            <w:noProof/>
            <w:webHidden/>
          </w:rPr>
          <w:fldChar w:fldCharType="separate"/>
        </w:r>
        <w:r w:rsidR="00AC6AAD">
          <w:rPr>
            <w:noProof/>
            <w:webHidden/>
          </w:rPr>
          <w:t>143</w:t>
        </w:r>
        <w:r w:rsidR="00AC6AAD">
          <w:rPr>
            <w:noProof/>
            <w:webHidden/>
          </w:rPr>
          <w:fldChar w:fldCharType="end"/>
        </w:r>
      </w:hyperlink>
    </w:p>
    <w:p w14:paraId="61DF2B47" w14:textId="7FC30CA7" w:rsidR="00AC6AAD" w:rsidRDefault="00D36400">
      <w:pPr>
        <w:pStyle w:val="TOC1"/>
        <w:rPr>
          <w:rFonts w:asciiTheme="minorHAnsi" w:eastAsiaTheme="minorEastAsia" w:hAnsiTheme="minorHAnsi" w:cstheme="minorBidi"/>
          <w:b w:val="0"/>
          <w:sz w:val="22"/>
          <w:szCs w:val="22"/>
          <w:lang w:eastAsia="en-AU"/>
        </w:rPr>
      </w:pPr>
      <w:hyperlink w:anchor="_Toc127192036" w:history="1">
        <w:r w:rsidR="00AC6AAD" w:rsidRPr="00397A34">
          <w:rPr>
            <w:rStyle w:val="Hyperlink"/>
          </w:rPr>
          <w:t>List of Tables</w:t>
        </w:r>
        <w:r w:rsidR="00AC6AAD">
          <w:rPr>
            <w:webHidden/>
          </w:rPr>
          <w:tab/>
        </w:r>
        <w:r w:rsidR="00AC6AAD">
          <w:rPr>
            <w:webHidden/>
          </w:rPr>
          <w:fldChar w:fldCharType="begin"/>
        </w:r>
        <w:r w:rsidR="00AC6AAD">
          <w:rPr>
            <w:webHidden/>
          </w:rPr>
          <w:instrText xml:space="preserve"> PAGEREF _Toc127192036 \h </w:instrText>
        </w:r>
        <w:r w:rsidR="00AC6AAD">
          <w:rPr>
            <w:webHidden/>
          </w:rPr>
        </w:r>
        <w:r w:rsidR="00AC6AAD">
          <w:rPr>
            <w:webHidden/>
          </w:rPr>
          <w:fldChar w:fldCharType="separate"/>
        </w:r>
        <w:r w:rsidR="00AC6AAD">
          <w:rPr>
            <w:webHidden/>
          </w:rPr>
          <w:t>145</w:t>
        </w:r>
        <w:r w:rsidR="00AC6AAD">
          <w:rPr>
            <w:webHidden/>
          </w:rPr>
          <w:fldChar w:fldCharType="end"/>
        </w:r>
      </w:hyperlink>
    </w:p>
    <w:p w14:paraId="498C3B34" w14:textId="28FDB5EF" w:rsidR="00AC6AAD" w:rsidRDefault="00D36400">
      <w:pPr>
        <w:pStyle w:val="TOC1"/>
        <w:rPr>
          <w:rFonts w:asciiTheme="minorHAnsi" w:eastAsiaTheme="minorEastAsia" w:hAnsiTheme="minorHAnsi" w:cstheme="minorBidi"/>
          <w:b w:val="0"/>
          <w:sz w:val="22"/>
          <w:szCs w:val="22"/>
          <w:lang w:eastAsia="en-AU"/>
        </w:rPr>
      </w:pPr>
      <w:hyperlink w:anchor="_Toc127192037" w:history="1">
        <w:r w:rsidR="00AC6AAD" w:rsidRPr="00397A34">
          <w:rPr>
            <w:rStyle w:val="Hyperlink"/>
          </w:rPr>
          <w:t>Acronyms and Abbreviations</w:t>
        </w:r>
        <w:r w:rsidR="00AC6AAD">
          <w:rPr>
            <w:webHidden/>
          </w:rPr>
          <w:tab/>
        </w:r>
        <w:r w:rsidR="00AC6AAD">
          <w:rPr>
            <w:webHidden/>
          </w:rPr>
          <w:fldChar w:fldCharType="begin"/>
        </w:r>
        <w:r w:rsidR="00AC6AAD">
          <w:rPr>
            <w:webHidden/>
          </w:rPr>
          <w:instrText xml:space="preserve"> PAGEREF _Toc127192037 \h </w:instrText>
        </w:r>
        <w:r w:rsidR="00AC6AAD">
          <w:rPr>
            <w:webHidden/>
          </w:rPr>
        </w:r>
        <w:r w:rsidR="00AC6AAD">
          <w:rPr>
            <w:webHidden/>
          </w:rPr>
          <w:fldChar w:fldCharType="separate"/>
        </w:r>
        <w:r w:rsidR="00AC6AAD">
          <w:rPr>
            <w:webHidden/>
          </w:rPr>
          <w:t>147</w:t>
        </w:r>
        <w:r w:rsidR="00AC6AAD">
          <w:rPr>
            <w:webHidden/>
          </w:rPr>
          <w:fldChar w:fldCharType="end"/>
        </w:r>
      </w:hyperlink>
    </w:p>
    <w:p w14:paraId="10F8287E" w14:textId="23C80FC3" w:rsidR="00A44FA1" w:rsidRDefault="000B27B9" w:rsidP="00422D5E">
      <w:pPr>
        <w:pStyle w:val="TOC2"/>
        <w:sectPr w:rsidR="00A44FA1" w:rsidSect="00903B70">
          <w:headerReference w:type="even" r:id="rId22"/>
          <w:headerReference w:type="default" r:id="rId23"/>
          <w:footerReference w:type="even" r:id="rId24"/>
          <w:footerReference w:type="default" r:id="rId25"/>
          <w:pgSz w:w="11906" w:h="16838" w:code="9"/>
          <w:pgMar w:top="1135" w:right="1304" w:bottom="993" w:left="1304" w:header="680" w:footer="567" w:gutter="0"/>
          <w:pgNumType w:fmt="lowerRoman"/>
          <w:cols w:space="340"/>
          <w:titlePg/>
          <w:docGrid w:linePitch="360"/>
        </w:sectPr>
      </w:pPr>
      <w:r>
        <w:fldChar w:fldCharType="end"/>
      </w:r>
      <w:bookmarkStart w:id="3" w:name="_Toc100263256"/>
      <w:bookmarkStart w:id="4" w:name="_Toc48586378"/>
    </w:p>
    <w:p w14:paraId="7710BBB5" w14:textId="616F3CF8" w:rsidR="000B27B9" w:rsidRPr="00674286" w:rsidRDefault="000B27B9" w:rsidP="00E02B46">
      <w:pPr>
        <w:pStyle w:val="Heading1"/>
        <w:numPr>
          <w:ilvl w:val="0"/>
          <w:numId w:val="0"/>
        </w:numPr>
      </w:pPr>
      <w:bookmarkStart w:id="5" w:name="_Toc100263257"/>
      <w:bookmarkStart w:id="6" w:name="_Toc127191893"/>
      <w:bookmarkEnd w:id="3"/>
      <w:r>
        <w:lastRenderedPageBreak/>
        <w:t xml:space="preserve">Overview of the </w:t>
      </w:r>
      <w:r w:rsidRPr="00B069A5">
        <w:rPr>
          <w:i/>
        </w:rPr>
        <w:t xml:space="preserve">Policy and </w:t>
      </w:r>
      <w:r w:rsidR="00B862FC" w:rsidRPr="00B069A5">
        <w:rPr>
          <w:i/>
          <w:iCs/>
        </w:rPr>
        <w:t>F</w:t>
      </w:r>
      <w:r w:rsidRPr="00B069A5">
        <w:rPr>
          <w:i/>
          <w:iCs/>
        </w:rPr>
        <w:t xml:space="preserve">unding </w:t>
      </w:r>
      <w:r w:rsidR="00B862FC" w:rsidRPr="00B069A5">
        <w:rPr>
          <w:i/>
          <w:iCs/>
        </w:rPr>
        <w:t>G</w:t>
      </w:r>
      <w:r w:rsidRPr="00B069A5">
        <w:rPr>
          <w:i/>
          <w:iCs/>
        </w:rPr>
        <w:t>uidelines</w:t>
      </w:r>
      <w:bookmarkEnd w:id="4"/>
      <w:r w:rsidR="00DE520F" w:rsidRPr="00B069A5">
        <w:t xml:space="preserve"> </w:t>
      </w:r>
      <w:r w:rsidR="000071C6" w:rsidRPr="00B069A5">
        <w:rPr>
          <w:i/>
        </w:rPr>
        <w:t>2022</w:t>
      </w:r>
      <w:r w:rsidR="00DE520F" w:rsidRPr="00AE6427">
        <w:rPr>
          <w:i/>
          <w:iCs/>
        </w:rPr>
        <w:t>–</w:t>
      </w:r>
      <w:r w:rsidR="000071C6" w:rsidRPr="00B069A5">
        <w:rPr>
          <w:i/>
        </w:rPr>
        <w:t>23</w:t>
      </w:r>
      <w:bookmarkEnd w:id="5"/>
      <w:bookmarkEnd w:id="6"/>
    </w:p>
    <w:p w14:paraId="57FE0823" w14:textId="085984F4" w:rsidR="000B27B9" w:rsidRDefault="000B27B9" w:rsidP="00B92CD4">
      <w:pPr>
        <w:pStyle w:val="Body"/>
      </w:pPr>
      <w:r>
        <w:t xml:space="preserve">The </w:t>
      </w:r>
      <w:r w:rsidRPr="0061746B">
        <w:rPr>
          <w:i/>
          <w:iCs/>
        </w:rPr>
        <w:t xml:space="preserve">Policy and </w:t>
      </w:r>
      <w:r w:rsidR="00B862FC" w:rsidRPr="00296C16">
        <w:rPr>
          <w:i/>
          <w:iCs/>
        </w:rPr>
        <w:t>F</w:t>
      </w:r>
      <w:r w:rsidRPr="00296C16">
        <w:rPr>
          <w:i/>
          <w:iCs/>
        </w:rPr>
        <w:t xml:space="preserve">unding </w:t>
      </w:r>
      <w:r w:rsidR="00B862FC" w:rsidRPr="00296C16">
        <w:rPr>
          <w:i/>
          <w:iCs/>
        </w:rPr>
        <w:t>G</w:t>
      </w:r>
      <w:r w:rsidRPr="00296C16">
        <w:rPr>
          <w:i/>
          <w:iCs/>
        </w:rPr>
        <w:t>uidelines</w:t>
      </w:r>
      <w:r w:rsidR="00DE520F" w:rsidRPr="0061746B">
        <w:rPr>
          <w:i/>
          <w:iCs/>
        </w:rPr>
        <w:t xml:space="preserve"> </w:t>
      </w:r>
      <w:r w:rsidR="000071C6" w:rsidRPr="00B069A5">
        <w:t>2022</w:t>
      </w:r>
      <w:r w:rsidR="000071C6" w:rsidRPr="00296C16">
        <w:t>-</w:t>
      </w:r>
      <w:r w:rsidR="000071C6" w:rsidRPr="00A81C88">
        <w:rPr>
          <w:i/>
        </w:rPr>
        <w:t>23</w:t>
      </w:r>
      <w:r w:rsidR="000071C6">
        <w:t xml:space="preserve"> </w:t>
      </w:r>
      <w:r>
        <w:t xml:space="preserve">(the </w:t>
      </w:r>
      <w:r w:rsidR="009C0C03">
        <w:t>G</w:t>
      </w:r>
      <w:r>
        <w:t xml:space="preserve">uidelines) </w:t>
      </w:r>
      <w:r w:rsidRPr="00A94B78">
        <w:t xml:space="preserve">represent the system-wide terms and conditions </w:t>
      </w:r>
      <w:r>
        <w:t>for government-funded healthcare organisations (funded organisations)</w:t>
      </w:r>
      <w:r w:rsidR="00DE520F">
        <w:t>. These organisations</w:t>
      </w:r>
      <w:r>
        <w:t xml:space="preserve"> include health services and hospitals, and other organisations such as Ambulance Victoria</w:t>
      </w:r>
      <w:r w:rsidR="00EA4950">
        <w:t>.</w:t>
      </w:r>
    </w:p>
    <w:p w14:paraId="14FB36A8" w14:textId="77777777" w:rsidR="005743DF" w:rsidRDefault="000B27B9" w:rsidP="00B92CD4">
      <w:pPr>
        <w:pStyle w:val="Body"/>
      </w:pPr>
      <w:r>
        <w:t>The guidelines:</w:t>
      </w:r>
    </w:p>
    <w:p w14:paraId="3C1C8830" w14:textId="34E76B66" w:rsidR="000B27B9" w:rsidRPr="00167017" w:rsidRDefault="000B27B9" w:rsidP="00E05C4E">
      <w:pPr>
        <w:pStyle w:val="Bullet1"/>
      </w:pPr>
      <w:r w:rsidRPr="00D048AD">
        <w:t xml:space="preserve">reflect the </w:t>
      </w:r>
      <w:r w:rsidRPr="00167017">
        <w:t>Department of Health’</w:t>
      </w:r>
      <w:r w:rsidR="00DE5E88" w:rsidRPr="00167017">
        <w:t>s</w:t>
      </w:r>
      <w:r w:rsidRPr="00167017">
        <w:t xml:space="preserve"> (the department) role as the system steward</w:t>
      </w:r>
    </w:p>
    <w:p w14:paraId="2DA16BEF" w14:textId="38947188" w:rsidR="000B27B9" w:rsidRPr="00167017" w:rsidRDefault="000B27B9" w:rsidP="00E05C4E">
      <w:pPr>
        <w:pStyle w:val="Bullet1"/>
      </w:pPr>
      <w:r w:rsidRPr="00167017">
        <w:t>provide operational and service delivery policy changes, and outline contractual, statutory, and other</w:t>
      </w:r>
      <w:r w:rsidR="58C819CE">
        <w:t>,</w:t>
      </w:r>
      <w:r w:rsidRPr="00167017">
        <w:t xml:space="preserve"> duties and requirements</w:t>
      </w:r>
    </w:p>
    <w:p w14:paraId="24B68924" w14:textId="77777777" w:rsidR="000B27B9" w:rsidRPr="00167017" w:rsidRDefault="000B27B9" w:rsidP="00E05C4E">
      <w:pPr>
        <w:pStyle w:val="Bullet1"/>
      </w:pPr>
      <w:r w:rsidRPr="00167017">
        <w:t>detail the budgetary landscape, including funding and pricing arrangements as well as funded activity and targets and</w:t>
      </w:r>
    </w:p>
    <w:p w14:paraId="09B7F157" w14:textId="77777777" w:rsidR="000B27B9" w:rsidRPr="00167017" w:rsidRDefault="000B27B9" w:rsidP="00E05C4E">
      <w:pPr>
        <w:pStyle w:val="Bullet1"/>
      </w:pPr>
      <w:r w:rsidRPr="00167017">
        <w:t>consist of the following two separate, although interconnected, publications.</w:t>
      </w:r>
    </w:p>
    <w:p w14:paraId="70B2401D" w14:textId="3AE5EAE7" w:rsidR="000B27B9" w:rsidRPr="00C71497" w:rsidRDefault="000B27B9" w:rsidP="00C71497">
      <w:pPr>
        <w:pStyle w:val="Heading2nonumber"/>
        <w:rPr>
          <w:rFonts w:eastAsia="MS Gothic"/>
          <w:i/>
          <w:iCs/>
        </w:rPr>
      </w:pPr>
      <w:bookmarkStart w:id="7" w:name="_Toc48586379"/>
      <w:bookmarkStart w:id="8" w:name="_Toc127191894"/>
      <w:r w:rsidRPr="00AA2842">
        <w:rPr>
          <w:rFonts w:eastAsia="MS Gothic"/>
          <w:i/>
          <w:iCs/>
        </w:rPr>
        <w:t xml:space="preserve">Policy </w:t>
      </w:r>
      <w:bookmarkEnd w:id="7"/>
      <w:r w:rsidR="005A16B5" w:rsidRPr="00AA2842">
        <w:rPr>
          <w:rFonts w:eastAsia="MS Gothic"/>
          <w:i/>
          <w:iCs/>
        </w:rPr>
        <w:t>G</w:t>
      </w:r>
      <w:r w:rsidRPr="00AA2842">
        <w:rPr>
          <w:rFonts w:eastAsia="MS Gothic"/>
          <w:i/>
          <w:iCs/>
        </w:rPr>
        <w:t>uide</w:t>
      </w:r>
      <w:r w:rsidR="00DE520F" w:rsidRPr="00AA2842">
        <w:rPr>
          <w:rFonts w:eastAsia="MS Gothic"/>
          <w:i/>
          <w:iCs/>
        </w:rPr>
        <w:t xml:space="preserve"> </w:t>
      </w:r>
      <w:r w:rsidRPr="00C71497">
        <w:rPr>
          <w:rFonts w:eastAsia="MS Gothic"/>
          <w:i/>
          <w:iCs/>
        </w:rPr>
        <w:t>(separate publication)</w:t>
      </w:r>
      <w:bookmarkEnd w:id="8"/>
    </w:p>
    <w:p w14:paraId="01528A81" w14:textId="62443D47" w:rsidR="000B27B9" w:rsidRPr="00F64A0A" w:rsidRDefault="000B27B9" w:rsidP="00B92CD4">
      <w:pPr>
        <w:pStyle w:val="Body"/>
      </w:pPr>
      <w:r>
        <w:t xml:space="preserve">The </w:t>
      </w:r>
      <w:r w:rsidRPr="00AA2842">
        <w:t xml:space="preserve">Policy </w:t>
      </w:r>
      <w:r w:rsidR="005A16B5">
        <w:t>G</w:t>
      </w:r>
      <w:r w:rsidRPr="00F64A0A">
        <w:t>uide</w:t>
      </w:r>
      <w:r w:rsidR="00DE520F" w:rsidDel="000B27B9">
        <w:t xml:space="preserve"> </w:t>
      </w:r>
      <w:r>
        <w:t>provides detailed information on various operational and service delivery policy items, including the conditions within which funded organisations operate, as well as the obligations, standards and requirements funded organisations are expected to adhere to.</w:t>
      </w:r>
    </w:p>
    <w:p w14:paraId="569834FA" w14:textId="77777777" w:rsidR="000B27B9" w:rsidRPr="00AA2842" w:rsidRDefault="000B27B9" w:rsidP="00AA2842">
      <w:pPr>
        <w:pStyle w:val="Heading3nonumber"/>
      </w:pPr>
      <w:bookmarkStart w:id="9" w:name="_Toc127191895"/>
      <w:r w:rsidRPr="00AA2842">
        <w:t>Part 1: Operational and service delivery policy</w:t>
      </w:r>
      <w:bookmarkEnd w:id="9"/>
    </w:p>
    <w:p w14:paraId="28354AEA" w14:textId="073BCFF3" w:rsidR="000B27B9" w:rsidRDefault="000B27B9" w:rsidP="00C04ECB">
      <w:pPr>
        <w:pStyle w:val="Body"/>
      </w:pPr>
      <w:r>
        <w:t>Part 1 is not intended to be a complete, holistic guide to operational and service delivery policy in Victoria, but instead provides an annual publication to health services that identifies and highlights the novel policy changes for a range of delivered services.</w:t>
      </w:r>
    </w:p>
    <w:p w14:paraId="1F87CE1F" w14:textId="77777777" w:rsidR="000B27B9" w:rsidRPr="00AA2842" w:rsidRDefault="000B27B9" w:rsidP="00AA2842">
      <w:pPr>
        <w:pStyle w:val="Heading3nonumber"/>
      </w:pPr>
      <w:bookmarkStart w:id="10" w:name="_Toc127191896"/>
      <w:r w:rsidRPr="00AA2842">
        <w:t>Part 2: Obligations, standards and requirements</w:t>
      </w:r>
      <w:bookmarkEnd w:id="10"/>
    </w:p>
    <w:p w14:paraId="37FB504E" w14:textId="77777777" w:rsidR="000B27B9" w:rsidRDefault="000B27B9" w:rsidP="00B92CD4">
      <w:pPr>
        <w:pStyle w:val="Body"/>
      </w:pPr>
      <w:r>
        <w:t>Outlines relevant standards and obligations that funded organisations must adhere to, ensuring the delivery of safe, high-quality services and responsible financial management.</w:t>
      </w:r>
    </w:p>
    <w:p w14:paraId="3F44A065" w14:textId="43FF65AA" w:rsidR="000B27B9" w:rsidRPr="00B705F0" w:rsidRDefault="000B27B9" w:rsidP="00AA2842">
      <w:pPr>
        <w:pStyle w:val="Heading2nonumber"/>
        <w:rPr>
          <w:rFonts w:eastAsia="MS Gothic"/>
          <w:b w:val="0"/>
          <w:i/>
          <w:iCs/>
        </w:rPr>
      </w:pPr>
      <w:bookmarkStart w:id="11" w:name="_Toc48586380"/>
      <w:bookmarkStart w:id="12" w:name="_Toc127191897"/>
      <w:r w:rsidRPr="00B705F0">
        <w:rPr>
          <w:rFonts w:eastAsia="MS Gothic"/>
          <w:i/>
          <w:iCs/>
        </w:rPr>
        <w:t xml:space="preserve">Funding </w:t>
      </w:r>
      <w:bookmarkEnd w:id="11"/>
      <w:r w:rsidR="00AA2842" w:rsidRPr="00B705F0">
        <w:rPr>
          <w:rFonts w:eastAsia="MS Gothic"/>
          <w:i/>
          <w:iCs/>
        </w:rPr>
        <w:t>Rules</w:t>
      </w:r>
      <w:bookmarkEnd w:id="12"/>
    </w:p>
    <w:p w14:paraId="46CA1749" w14:textId="6EEFC9FF" w:rsidR="000B27B9" w:rsidRDefault="000B27B9" w:rsidP="00B92CD4">
      <w:pPr>
        <w:pStyle w:val="Body"/>
      </w:pPr>
      <w:r>
        <w:t xml:space="preserve">The </w:t>
      </w:r>
      <w:r w:rsidRPr="00AA2842">
        <w:rPr>
          <w:i/>
        </w:rPr>
        <w:t xml:space="preserve">Funding </w:t>
      </w:r>
      <w:r w:rsidR="00BE170D">
        <w:t>R</w:t>
      </w:r>
      <w:r>
        <w:t>ules</w:t>
      </w:r>
      <w:r w:rsidR="00BF4EDD" w:rsidRPr="00B61A4E">
        <w:t xml:space="preserve"> </w:t>
      </w:r>
      <w:r w:rsidR="2C01D5C0">
        <w:t>go over</w:t>
      </w:r>
      <w:r>
        <w:t xml:space="preserve"> </w:t>
      </w:r>
      <w:r w:rsidRPr="00B61A4E">
        <w:t xml:space="preserve">the </w:t>
      </w:r>
      <w:r>
        <w:t xml:space="preserve">budgetary and funding parameters </w:t>
      </w:r>
      <w:r w:rsidR="2C01D5C0">
        <w:t xml:space="preserve">within which </w:t>
      </w:r>
      <w:r w:rsidRPr="00B61A4E">
        <w:t>funded organisations are expected to work</w:t>
      </w:r>
      <w:r>
        <w:t>.</w:t>
      </w:r>
    </w:p>
    <w:p w14:paraId="51EC2821" w14:textId="77777777" w:rsidR="000B27B9" w:rsidRPr="00AA2842" w:rsidRDefault="000B27B9" w:rsidP="00AA2842">
      <w:pPr>
        <w:pStyle w:val="Heading3nonumber"/>
      </w:pPr>
      <w:bookmarkStart w:id="13" w:name="_Toc127191898"/>
      <w:r w:rsidRPr="00AA2842">
        <w:t>Part 1: Budgetary landscape and pricing arrangements</w:t>
      </w:r>
      <w:bookmarkEnd w:id="13"/>
    </w:p>
    <w:p w14:paraId="6BCC674E" w14:textId="17DF76EE" w:rsidR="000B27B9" w:rsidRPr="005A38DA" w:rsidRDefault="2C01D5C0" w:rsidP="00B92CD4">
      <w:pPr>
        <w:pStyle w:val="Body"/>
      </w:pPr>
      <w:r>
        <w:t>Part 1 details</w:t>
      </w:r>
      <w:r w:rsidR="000B27B9" w:rsidRPr="005A38DA">
        <w:t xml:space="preserve"> the budget</w:t>
      </w:r>
      <w:r w:rsidR="000B27B9">
        <w:t xml:space="preserve"> highlights and outputs</w:t>
      </w:r>
      <w:r w:rsidR="000B27B9" w:rsidRPr="005A38DA">
        <w:t>, and funding and pricing arrangements.</w:t>
      </w:r>
    </w:p>
    <w:p w14:paraId="693622FC" w14:textId="22C57DDB" w:rsidR="2E4E4134" w:rsidRDefault="005F40C8" w:rsidP="2E4E4134">
      <w:pPr>
        <w:pStyle w:val="Body"/>
        <w:rPr>
          <w:szCs w:val="21"/>
        </w:rPr>
      </w:pPr>
      <w:r>
        <w:rPr>
          <w:szCs w:val="21"/>
        </w:rPr>
        <w:t>For f</w:t>
      </w:r>
      <w:r w:rsidR="3D8A9D68" w:rsidRPr="2E4E4134">
        <w:rPr>
          <w:szCs w:val="21"/>
        </w:rPr>
        <w:t>unding rules for community</w:t>
      </w:r>
      <w:r w:rsidR="00167017">
        <w:rPr>
          <w:szCs w:val="21"/>
        </w:rPr>
        <w:t>-</w:t>
      </w:r>
      <w:r w:rsidR="3D8A9D68" w:rsidRPr="2E4E4134">
        <w:rPr>
          <w:szCs w:val="21"/>
        </w:rPr>
        <w:t>based programs including Community Health, Home and Community Care Program for Younger People</w:t>
      </w:r>
      <w:r w:rsidR="007E040C">
        <w:rPr>
          <w:szCs w:val="21"/>
        </w:rPr>
        <w:t>,</w:t>
      </w:r>
      <w:r w:rsidR="3D8A9D68" w:rsidRPr="2E4E4134">
        <w:rPr>
          <w:szCs w:val="21"/>
        </w:rPr>
        <w:t xml:space="preserve"> please see </w:t>
      </w:r>
      <w:hyperlink r:id="rId26" w:history="1">
        <w:r w:rsidRPr="005F40C8">
          <w:rPr>
            <w:rStyle w:val="Hyperlink"/>
            <w:szCs w:val="21"/>
          </w:rPr>
          <w:t>S</w:t>
        </w:r>
        <w:r w:rsidR="3D8A9D68" w:rsidRPr="005F40C8">
          <w:rPr>
            <w:rStyle w:val="Hyperlink"/>
            <w:szCs w:val="21"/>
          </w:rPr>
          <w:t>ervice agreement and activity descriptors</w:t>
        </w:r>
      </w:hyperlink>
      <w:r w:rsidR="1BDDFAF5">
        <w:t xml:space="preserve"> </w:t>
      </w:r>
      <w:r>
        <w:t>&lt;</w:t>
      </w:r>
      <w:r w:rsidRPr="002068DB">
        <w:rPr>
          <w:rFonts w:eastAsia="Calibri" w:cs="Arial"/>
          <w:szCs w:val="21"/>
        </w:rPr>
        <w:t>https://providers.dffh.vic.gov.au/families-fairness-housing-health-activity-search</w:t>
      </w:r>
      <w:r>
        <w:rPr>
          <w:rFonts w:ascii="Calibri" w:eastAsia="Calibri" w:hAnsi="Calibri" w:cs="Calibri"/>
          <w:sz w:val="22"/>
          <w:szCs w:val="22"/>
        </w:rPr>
        <w:t>&gt;.</w:t>
      </w:r>
    </w:p>
    <w:p w14:paraId="1BA41C11" w14:textId="77777777" w:rsidR="000B27B9" w:rsidRPr="00AA2842" w:rsidRDefault="000B27B9" w:rsidP="00AA2842">
      <w:pPr>
        <w:pStyle w:val="Heading3nonumber"/>
      </w:pPr>
      <w:bookmarkStart w:id="14" w:name="_Toc127191899"/>
      <w:r w:rsidRPr="00AA2842">
        <w:t>Part 2: Funding and activity levels</w:t>
      </w:r>
      <w:bookmarkEnd w:id="14"/>
    </w:p>
    <w:p w14:paraId="01D56E0E" w14:textId="6DF9A2A6" w:rsidR="000B27B9" w:rsidRDefault="2C01D5C0" w:rsidP="00B92CD4">
      <w:pPr>
        <w:pStyle w:val="Body"/>
      </w:pPr>
      <w:r>
        <w:t>Part 2 provides</w:t>
      </w:r>
      <w:r w:rsidR="000B27B9" w:rsidRPr="005A38DA">
        <w:t xml:space="preserve"> funding and activity tables detailing the modelled budgets, as well as targets for a range of programs across the health system.</w:t>
      </w:r>
    </w:p>
    <w:p w14:paraId="693D3F36" w14:textId="37A40942" w:rsidR="000B27B9" w:rsidRDefault="000B27B9" w:rsidP="002C35B9">
      <w:pPr>
        <w:pStyle w:val="Heading1"/>
        <w:numPr>
          <w:ilvl w:val="0"/>
          <w:numId w:val="0"/>
        </w:numPr>
        <w:tabs>
          <w:tab w:val="center" w:pos="4649"/>
        </w:tabs>
      </w:pPr>
      <w:bookmarkStart w:id="15" w:name="_Toc48586381"/>
      <w:bookmarkStart w:id="16" w:name="_Toc100263258"/>
      <w:bookmarkStart w:id="17" w:name="_Toc127191900"/>
      <w:r>
        <w:lastRenderedPageBreak/>
        <w:t>Terminology</w:t>
      </w:r>
      <w:bookmarkEnd w:id="15"/>
      <w:bookmarkEnd w:id="16"/>
      <w:bookmarkEnd w:id="17"/>
    </w:p>
    <w:p w14:paraId="536EAD88" w14:textId="77777777" w:rsidR="00075672" w:rsidRPr="00AA2842" w:rsidRDefault="00075672" w:rsidP="00AA2842">
      <w:pPr>
        <w:pStyle w:val="Body"/>
      </w:pPr>
      <w:r w:rsidRPr="00AA2842">
        <w:t>The term ‘funded organisations’ relates to all entities that receive departmental funding to deliver services, unless specified otherwise.</w:t>
      </w:r>
    </w:p>
    <w:p w14:paraId="2421F06D" w14:textId="2A5E231A" w:rsidR="007F5F21" w:rsidRDefault="007F5F21" w:rsidP="007F5F21">
      <w:pPr>
        <w:pStyle w:val="Body"/>
      </w:pPr>
      <w:r>
        <w:t xml:space="preserve">For the purposes of the </w:t>
      </w:r>
      <w:r w:rsidRPr="00AA2842">
        <w:t xml:space="preserve">Funding </w:t>
      </w:r>
      <w:r w:rsidR="002C35B9">
        <w:t>R</w:t>
      </w:r>
      <w:r>
        <w:t xml:space="preserve">ules, the term ‘health services’ relates to public health services, denominational hospitals, public </w:t>
      </w:r>
      <w:r w:rsidR="00A06D65">
        <w:t>hospitals,</w:t>
      </w:r>
      <w:r>
        <w:t xml:space="preserve"> and multipurpose services, as defined by the</w:t>
      </w:r>
      <w:r w:rsidRPr="00BD2947">
        <w:rPr>
          <w:i/>
        </w:rPr>
        <w:t xml:space="preserve"> Health Services Act 1988</w:t>
      </w:r>
      <w:r>
        <w:t xml:space="preserve">, regarding services provided within a hospital or a hospital-equivalent setting, unless </w:t>
      </w:r>
      <w:r w:rsidR="00075672">
        <w:t xml:space="preserve">otherwise </w:t>
      </w:r>
      <w:r>
        <w:t>specified.</w:t>
      </w:r>
    </w:p>
    <w:p w14:paraId="48135E10" w14:textId="13301BB7" w:rsidR="007F5F21" w:rsidRDefault="007F5F21" w:rsidP="007F5F21">
      <w:pPr>
        <w:pStyle w:val="Body"/>
      </w:pPr>
      <w:r>
        <w:t xml:space="preserve">The </w:t>
      </w:r>
      <w:r w:rsidRPr="00AA2842">
        <w:rPr>
          <w:i/>
        </w:rPr>
        <w:t xml:space="preserve">Funding </w:t>
      </w:r>
      <w:r w:rsidR="002C35B9">
        <w:t>R</w:t>
      </w:r>
      <w:r>
        <w:t>ules</w:t>
      </w:r>
      <w:r w:rsidR="00BF4EDD">
        <w:t xml:space="preserve"> </w:t>
      </w:r>
      <w:r>
        <w:t xml:space="preserve">is also relevant for Ambulance Victoria, </w:t>
      </w:r>
      <w:r w:rsidR="00301E60">
        <w:t>Health Purchasing Victoria</w:t>
      </w:r>
      <w:r w:rsidR="00471C2C">
        <w:t xml:space="preserve"> </w:t>
      </w:r>
      <w:r w:rsidR="00A8700A">
        <w:t>trading</w:t>
      </w:r>
      <w:r w:rsidR="00471C2C">
        <w:t xml:space="preserve"> as </w:t>
      </w:r>
      <w:r>
        <w:t>HealthShar</w:t>
      </w:r>
      <w:r w:rsidR="00471C2C">
        <w:t>e</w:t>
      </w:r>
      <w:r w:rsidR="00A8700A">
        <w:t xml:space="preserve"> </w:t>
      </w:r>
      <w:r w:rsidR="00471C2C">
        <w:t>(</w:t>
      </w:r>
      <w:r>
        <w:t>HealthShar</w:t>
      </w:r>
      <w:r w:rsidR="00471C2C">
        <w:t>e)</w:t>
      </w:r>
      <w:r>
        <w:t xml:space="preserve">, and the Victorian Institute of Forensic Mental Health (known as Forensicare). The </w:t>
      </w:r>
      <w:r w:rsidRPr="00AA2842">
        <w:rPr>
          <w:i/>
        </w:rPr>
        <w:t xml:space="preserve">Funding </w:t>
      </w:r>
      <w:r w:rsidR="002C35B9">
        <w:t>R</w:t>
      </w:r>
      <w:r>
        <w:t>ules</w:t>
      </w:r>
      <w:r w:rsidR="00BF4EDD">
        <w:t xml:space="preserve"> </w:t>
      </w:r>
      <w:r>
        <w:t>specifies where aspects are relevant for these organisations.</w:t>
      </w:r>
    </w:p>
    <w:p w14:paraId="1F9E0FCF" w14:textId="673B1F51" w:rsidR="00EC597F" w:rsidRDefault="00EC597F" w:rsidP="007F5F21">
      <w:pPr>
        <w:pStyle w:val="Body"/>
      </w:pPr>
      <w:r>
        <w:t xml:space="preserve">Additionally, </w:t>
      </w:r>
      <w:r w:rsidR="009F7CA0">
        <w:t>for</w:t>
      </w:r>
      <w:r>
        <w:t xml:space="preserve"> the </w:t>
      </w:r>
      <w:r w:rsidR="008E6406">
        <w:t xml:space="preserve">following </w:t>
      </w:r>
      <w:r w:rsidR="002838F0">
        <w:t>term</w:t>
      </w:r>
      <w:r w:rsidR="008E6406">
        <w:t>s</w:t>
      </w:r>
      <w:r>
        <w:t>:</w:t>
      </w:r>
    </w:p>
    <w:p w14:paraId="07CAE082" w14:textId="4F13DAD6" w:rsidR="002838F0" w:rsidRPr="00BF6845" w:rsidRDefault="002838F0" w:rsidP="00E05C4E">
      <w:pPr>
        <w:pStyle w:val="Bullet1"/>
      </w:pPr>
      <w:r w:rsidRPr="007137CB">
        <w:t>‘</w:t>
      </w:r>
      <w:r w:rsidRPr="00BF6845">
        <w:t>Aboriginal’</w:t>
      </w:r>
      <w:r w:rsidR="008E6406" w:rsidRPr="00BF6845">
        <w:t xml:space="preserve"> </w:t>
      </w:r>
      <w:r w:rsidRPr="00BF6845">
        <w:t>refers to both Aboriginal and Torres Strait Islander people</w:t>
      </w:r>
    </w:p>
    <w:p w14:paraId="723B9D1C" w14:textId="47BF15DD" w:rsidR="00A5616E" w:rsidRPr="00BF4EDD" w:rsidRDefault="00A5616E" w:rsidP="00AA2842">
      <w:pPr>
        <w:pStyle w:val="Bullet1"/>
      </w:pPr>
      <w:r w:rsidRPr="00BF4EDD">
        <w:t>‘COVID’</w:t>
      </w:r>
      <w:r w:rsidR="009F7CA0" w:rsidRPr="00BF4EDD">
        <w:t xml:space="preserve"> or ‘coronavirus’</w:t>
      </w:r>
      <w:r w:rsidRPr="00BF4EDD">
        <w:t xml:space="preserve"> refers to </w:t>
      </w:r>
      <w:r w:rsidR="00DA5419" w:rsidRPr="00BF4EDD">
        <w:t>coronavirus (</w:t>
      </w:r>
      <w:r w:rsidRPr="00BF4EDD">
        <w:t>COVID-19</w:t>
      </w:r>
      <w:r w:rsidR="00DA5419" w:rsidRPr="00BF4EDD">
        <w:t>)</w:t>
      </w:r>
    </w:p>
    <w:p w14:paraId="372692B3" w14:textId="08B69C20" w:rsidR="002838F0" w:rsidRPr="00BF4EDD" w:rsidRDefault="002838F0" w:rsidP="00AA2842">
      <w:pPr>
        <w:pStyle w:val="Bullet1"/>
      </w:pPr>
      <w:r w:rsidRPr="00BF4EDD">
        <w:t>‘department’</w:t>
      </w:r>
      <w:r w:rsidR="008E6406" w:rsidRPr="00BF4EDD">
        <w:t xml:space="preserve"> </w:t>
      </w:r>
      <w:r w:rsidRPr="00BF4EDD">
        <w:t>refers to the Department of Health, unless specified otherwise</w:t>
      </w:r>
      <w:bookmarkStart w:id="18" w:name="_Toc10099598"/>
      <w:bookmarkStart w:id="19" w:name="_Toc10100378"/>
      <w:bookmarkStart w:id="20" w:name="_Toc10100650"/>
      <w:bookmarkStart w:id="21" w:name="_Toc10100920"/>
      <w:bookmarkStart w:id="22" w:name="_Toc10099599"/>
      <w:bookmarkStart w:id="23" w:name="_Toc10100379"/>
      <w:bookmarkStart w:id="24" w:name="_Toc10100651"/>
      <w:bookmarkStart w:id="25" w:name="_Toc10100921"/>
      <w:bookmarkStart w:id="26" w:name="_Toc10099600"/>
      <w:bookmarkStart w:id="27" w:name="_Toc10100380"/>
      <w:bookmarkStart w:id="28" w:name="_Toc10100652"/>
      <w:bookmarkStart w:id="29" w:name="_Toc10100922"/>
      <w:bookmarkStart w:id="30" w:name="_Toc10099601"/>
      <w:bookmarkStart w:id="31" w:name="_Toc10100381"/>
      <w:bookmarkStart w:id="32" w:name="_Toc10100653"/>
      <w:bookmarkStart w:id="33" w:name="_Toc10100923"/>
      <w:bookmarkStart w:id="34" w:name="_Toc10099602"/>
      <w:bookmarkStart w:id="35" w:name="_Toc10100382"/>
      <w:bookmarkStart w:id="36" w:name="_Toc10100654"/>
      <w:bookmarkStart w:id="37" w:name="_Toc10100924"/>
      <w:bookmarkStart w:id="38" w:name="_Toc10099603"/>
      <w:bookmarkStart w:id="39" w:name="_Toc10100383"/>
      <w:bookmarkStart w:id="40" w:name="_Toc10100655"/>
      <w:bookmarkStart w:id="41" w:name="_Toc10100925"/>
      <w:bookmarkStart w:id="42" w:name="_Toc10099604"/>
      <w:bookmarkStart w:id="43" w:name="_Toc10100384"/>
      <w:bookmarkStart w:id="44" w:name="_Toc10100656"/>
      <w:bookmarkStart w:id="45" w:name="_Toc10100926"/>
      <w:bookmarkStart w:id="46" w:name="_Toc10099605"/>
      <w:bookmarkStart w:id="47" w:name="_Toc10100371"/>
      <w:bookmarkStart w:id="48" w:name="_Toc10100385"/>
      <w:bookmarkStart w:id="49" w:name="_Toc10100643"/>
      <w:bookmarkStart w:id="50" w:name="_Toc10100657"/>
      <w:bookmarkStart w:id="51" w:name="_Toc10100927"/>
      <w:bookmarkStart w:id="52" w:name="_Toc10099606"/>
      <w:bookmarkStart w:id="53" w:name="_Toc10100386"/>
      <w:bookmarkStart w:id="54" w:name="_Toc10100658"/>
      <w:bookmarkStart w:id="55" w:name="_Toc1010092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DAEE47D" w14:textId="60902D1F" w:rsidR="000B27B9" w:rsidRPr="00BF4EDD" w:rsidRDefault="000B27B9" w:rsidP="00AA2842">
      <w:pPr>
        <w:pStyle w:val="Bullet1"/>
      </w:pPr>
      <w:r w:rsidRPr="00BF4EDD">
        <w:t xml:space="preserve">‘funded organisations’ </w:t>
      </w:r>
      <w:r w:rsidR="008E6406" w:rsidRPr="00BF4EDD">
        <w:t>refers to</w:t>
      </w:r>
      <w:r w:rsidRPr="00BF4EDD">
        <w:t xml:space="preserve"> all entities that receive departmental funding to deliver services, unless specified otherwise</w:t>
      </w:r>
    </w:p>
    <w:p w14:paraId="021B4258" w14:textId="161FF2A1" w:rsidR="000B27B9" w:rsidRPr="00BF4EDD" w:rsidRDefault="000B27B9" w:rsidP="00AA2842">
      <w:pPr>
        <w:pStyle w:val="Bullet1"/>
      </w:pPr>
      <w:r w:rsidRPr="00BF4EDD">
        <w:t>‘community service organisations’ refers to registered community health centres, local government authorities and non-government organisations that are not health services.</w:t>
      </w:r>
    </w:p>
    <w:p w14:paraId="1A47A92D" w14:textId="296335DF" w:rsidR="008A74EC" w:rsidRDefault="008A74EC" w:rsidP="05681215">
      <w:pPr>
        <w:rPr>
          <w:color w:val="000000" w:themeColor="text1"/>
          <w:szCs w:val="21"/>
        </w:rPr>
      </w:pPr>
      <w:bookmarkStart w:id="56" w:name="_Toc487742003"/>
      <w:bookmarkStart w:id="57" w:name="_Toc14172232"/>
    </w:p>
    <w:p w14:paraId="6BE08CC9" w14:textId="77777777" w:rsidR="00F963FD" w:rsidRDefault="00F963FD" w:rsidP="008A74EC">
      <w:pPr>
        <w:pStyle w:val="Body"/>
        <w:sectPr w:rsidR="00F963FD" w:rsidSect="00903B70">
          <w:pgSz w:w="11906" w:h="16838" w:code="9"/>
          <w:pgMar w:top="1135" w:right="1304" w:bottom="993" w:left="1304" w:header="680" w:footer="567" w:gutter="0"/>
          <w:pgNumType w:start="1"/>
          <w:cols w:space="340"/>
          <w:titlePg/>
          <w:docGrid w:linePitch="360"/>
        </w:sectPr>
      </w:pPr>
    </w:p>
    <w:p w14:paraId="7218F105" w14:textId="2014A1C2" w:rsidR="000B27B9" w:rsidRPr="0026034E" w:rsidRDefault="000B27B9" w:rsidP="00F963FD">
      <w:pPr>
        <w:pStyle w:val="Heading1"/>
      </w:pPr>
      <w:bookmarkStart w:id="58" w:name="_Toc100263259"/>
      <w:bookmarkStart w:id="59" w:name="_Toc127191901"/>
      <w:r>
        <w:lastRenderedPageBreak/>
        <w:t xml:space="preserve">Budgetary </w:t>
      </w:r>
      <w:r w:rsidR="00A86D14">
        <w:t>L</w:t>
      </w:r>
      <w:r>
        <w:t xml:space="preserve">andscape and </w:t>
      </w:r>
      <w:r w:rsidR="00A86D14">
        <w:t>P</w:t>
      </w:r>
      <w:r w:rsidRPr="0026034E">
        <w:t xml:space="preserve">ricing </w:t>
      </w:r>
      <w:r w:rsidR="00A86D14">
        <w:t>A</w:t>
      </w:r>
      <w:r>
        <w:t>rrangements</w:t>
      </w:r>
      <w:bookmarkEnd w:id="56"/>
      <w:bookmarkEnd w:id="57"/>
      <w:bookmarkEnd w:id="58"/>
      <w:bookmarkEnd w:id="59"/>
    </w:p>
    <w:p w14:paraId="46EE886B" w14:textId="77777777" w:rsidR="00484EDE" w:rsidRDefault="00484EDE" w:rsidP="00296999">
      <w:pPr>
        <w:pStyle w:val="Body"/>
      </w:pPr>
      <w:bookmarkStart w:id="60" w:name="_Toc52892548"/>
      <w:bookmarkStart w:id="61" w:name="_Ref54258664"/>
      <w:bookmarkStart w:id="62" w:name="_Ref54258668"/>
      <w:bookmarkStart w:id="63" w:name="_Ref54258679"/>
      <w:bookmarkStart w:id="64" w:name="_Toc418694901"/>
      <w:bookmarkStart w:id="65" w:name="_Toc6215538"/>
      <w:bookmarkStart w:id="66" w:name="_Toc10199614"/>
      <w:bookmarkStart w:id="67" w:name="_Toc418694900"/>
      <w:bookmarkStart w:id="68" w:name="_Toc487742004"/>
      <w:bookmarkStart w:id="69" w:name="_Toc14172233"/>
    </w:p>
    <w:p w14:paraId="4CC77C0F" w14:textId="77777777" w:rsidR="00F963FD" w:rsidRDefault="00F963FD" w:rsidP="00296999">
      <w:pPr>
        <w:pStyle w:val="Body"/>
        <w:sectPr w:rsidR="00F963FD" w:rsidSect="00903B70">
          <w:pgSz w:w="11906" w:h="16838" w:code="9"/>
          <w:pgMar w:top="4253" w:right="1304" w:bottom="993" w:left="1304" w:header="680" w:footer="567" w:gutter="0"/>
          <w:cols w:space="340"/>
          <w:titlePg/>
          <w:docGrid w:linePitch="360"/>
        </w:sectPr>
      </w:pPr>
    </w:p>
    <w:p w14:paraId="462020CF" w14:textId="3844626C" w:rsidR="000B27B9" w:rsidRPr="00FE19AD" w:rsidRDefault="000B27B9" w:rsidP="00CF372C">
      <w:pPr>
        <w:pStyle w:val="Heading2"/>
      </w:pPr>
      <w:bookmarkStart w:id="70" w:name="_Toc100263260"/>
      <w:bookmarkStart w:id="71" w:name="_Toc127191902"/>
      <w:r w:rsidRPr="000E1848">
        <w:lastRenderedPageBreak/>
        <w:t>Budget</w:t>
      </w:r>
      <w:r w:rsidRPr="00FE19AD">
        <w:t xml:space="preserve"> </w:t>
      </w:r>
      <w:r w:rsidR="00B705F0">
        <w:t>H</w:t>
      </w:r>
      <w:r w:rsidRPr="00FE19AD">
        <w:t>ighlights</w:t>
      </w:r>
      <w:bookmarkEnd w:id="60"/>
      <w:bookmarkEnd w:id="61"/>
      <w:bookmarkEnd w:id="62"/>
      <w:bookmarkEnd w:id="63"/>
      <w:bookmarkEnd w:id="70"/>
      <w:bookmarkEnd w:id="71"/>
    </w:p>
    <w:p w14:paraId="0E9466BC" w14:textId="3BEF5BBC" w:rsidR="003B6D0C" w:rsidRDefault="000B27B9" w:rsidP="00AA2842">
      <w:pPr>
        <w:pStyle w:val="Body"/>
        <w:rPr>
          <w:rFonts w:ascii="VIC-Regular" w:hAnsi="VIC-Regular" w:cs="VIC-Regular"/>
          <w:color w:val="414142"/>
          <w:sz w:val="18"/>
          <w:szCs w:val="18"/>
          <w:lang w:eastAsia="en-AU"/>
        </w:rPr>
      </w:pPr>
      <w:r w:rsidRPr="007E6529">
        <w:t xml:space="preserve">The </w:t>
      </w:r>
      <w:r w:rsidRPr="007E6529">
        <w:rPr>
          <w:i/>
        </w:rPr>
        <w:t xml:space="preserve">Victorian Budget </w:t>
      </w:r>
      <w:r w:rsidR="00B67944" w:rsidRPr="00645B1C">
        <w:rPr>
          <w:i/>
        </w:rPr>
        <w:t>2022</w:t>
      </w:r>
      <w:r w:rsidR="00822A54">
        <w:rPr>
          <w:i/>
        </w:rPr>
        <w:t>–</w:t>
      </w:r>
      <w:r w:rsidR="00A11810" w:rsidRPr="00645B1C">
        <w:rPr>
          <w:i/>
        </w:rPr>
        <w:t>23</w:t>
      </w:r>
      <w:r w:rsidRPr="007E6529">
        <w:t xml:space="preserve"> </w:t>
      </w:r>
      <w:r w:rsidR="00E54383">
        <w:t>(</w:t>
      </w:r>
      <w:r w:rsidR="00822A54">
        <w:t>the budget</w:t>
      </w:r>
      <w:r w:rsidR="00E54383">
        <w:t xml:space="preserve">) </w:t>
      </w:r>
      <w:r w:rsidR="004E37D0" w:rsidRPr="008317F7">
        <w:t>continues</w:t>
      </w:r>
      <w:r w:rsidR="004E37D0">
        <w:t xml:space="preserve"> </w:t>
      </w:r>
      <w:r w:rsidR="007753B9">
        <w:t>to su</w:t>
      </w:r>
      <w:r w:rsidR="0025668E">
        <w:t xml:space="preserve">pport Victorians </w:t>
      </w:r>
      <w:r w:rsidR="00AF6054">
        <w:t>by investing in our health system</w:t>
      </w:r>
      <w:r w:rsidR="00CA2A10">
        <w:t xml:space="preserve"> by providing </w:t>
      </w:r>
      <w:r w:rsidR="00002057">
        <w:t>for mor</w:t>
      </w:r>
      <w:r w:rsidR="00CA2A10" w:rsidRPr="00484EBF">
        <w:t>e staff, better hospitals and first-class care</w:t>
      </w:r>
      <w:r w:rsidR="00CA2A10">
        <w:rPr>
          <w:rFonts w:ascii="VIC-Regular" w:hAnsi="VIC-Regular" w:cs="VIC-Regular"/>
          <w:color w:val="414142"/>
          <w:sz w:val="18"/>
          <w:szCs w:val="18"/>
          <w:lang w:eastAsia="en-AU"/>
        </w:rPr>
        <w:t>.</w:t>
      </w:r>
      <w:r w:rsidR="0037095A">
        <w:rPr>
          <w:rFonts w:ascii="VIC-Regular" w:hAnsi="VIC-Regular" w:cs="VIC-Regular"/>
          <w:color w:val="414142"/>
          <w:sz w:val="18"/>
          <w:szCs w:val="18"/>
          <w:lang w:eastAsia="en-AU"/>
        </w:rPr>
        <w:t xml:space="preserve"> </w:t>
      </w:r>
    </w:p>
    <w:p w14:paraId="66239A7B" w14:textId="788A28C5" w:rsidR="003B6D0C" w:rsidRPr="003B6D0C" w:rsidRDefault="003B6D0C" w:rsidP="008317F7">
      <w:pPr>
        <w:pStyle w:val="Body"/>
      </w:pPr>
      <w:r>
        <w:t xml:space="preserve">There is a </w:t>
      </w:r>
      <w:r w:rsidRPr="003B6D0C">
        <w:t xml:space="preserve">$4.2 billion </w:t>
      </w:r>
      <w:r>
        <w:t xml:space="preserve">package </w:t>
      </w:r>
      <w:r w:rsidRPr="003B6D0C">
        <w:t xml:space="preserve">to support our </w:t>
      </w:r>
      <w:r w:rsidRPr="008317F7">
        <w:t>ongoing</w:t>
      </w:r>
      <w:r w:rsidRPr="003B6D0C">
        <w:t xml:space="preserve"> pandemic</w:t>
      </w:r>
      <w:r>
        <w:t xml:space="preserve"> </w:t>
      </w:r>
      <w:r w:rsidRPr="003B6D0C">
        <w:t>response, including</w:t>
      </w:r>
      <w:r w:rsidR="2CCD9E80">
        <w:t>:</w:t>
      </w:r>
    </w:p>
    <w:p w14:paraId="4565187C" w14:textId="335090DF" w:rsidR="00853C7F" w:rsidRDefault="003B6D0C" w:rsidP="00AA2842">
      <w:pPr>
        <w:pStyle w:val="Bullet1"/>
      </w:pPr>
      <w:r w:rsidRPr="003B6D0C">
        <w:t>$</w:t>
      </w:r>
      <w:r w:rsidRPr="00853C7F">
        <w:t>522 million to support o</w:t>
      </w:r>
      <w:r w:rsidRPr="21B90F40">
        <w:t>ur hospitals to treat COVID-19</w:t>
      </w:r>
    </w:p>
    <w:p w14:paraId="2408B1F7" w14:textId="1A65A1A4" w:rsidR="00853C7F" w:rsidRDefault="003B6D0C" w:rsidP="00AA2842">
      <w:pPr>
        <w:pStyle w:val="Bullet1"/>
      </w:pPr>
      <w:r w:rsidRPr="00853C7F">
        <w:t>$1.1 billion to purchase and distribute free rapid antigen tests to schools, hospitals and Victorians with disabilit</w:t>
      </w:r>
      <w:r w:rsidR="00853C7F" w:rsidRPr="00853C7F">
        <w:t>y</w:t>
      </w:r>
    </w:p>
    <w:p w14:paraId="5467B3DE" w14:textId="3D894F40" w:rsidR="00853C7F" w:rsidRDefault="003B6D0C" w:rsidP="00AA2842">
      <w:pPr>
        <w:pStyle w:val="Bullet1"/>
      </w:pPr>
      <w:r>
        <w:t>$</w:t>
      </w:r>
      <w:r w:rsidR="21373939">
        <w:t>133</w:t>
      </w:r>
      <w:r>
        <w:t xml:space="preserve"> million for </w:t>
      </w:r>
      <w:r w:rsidR="00822A54">
        <w:t>personal protective equipment</w:t>
      </w:r>
    </w:p>
    <w:p w14:paraId="3571A85F" w14:textId="3ABE2898" w:rsidR="003B6D0C" w:rsidRPr="00853C7F" w:rsidRDefault="003B6D0C" w:rsidP="00AA2842">
      <w:pPr>
        <w:pStyle w:val="Bullet1"/>
      </w:pPr>
      <w:r w:rsidRPr="00853C7F">
        <w:t xml:space="preserve">$258 million to protect and vaccinate Victorians against COVID-19 </w:t>
      </w:r>
    </w:p>
    <w:p w14:paraId="7FF88527" w14:textId="3C05258C" w:rsidR="003B6D0C" w:rsidRPr="00853C7F" w:rsidRDefault="003B6D0C" w:rsidP="00AA2842">
      <w:pPr>
        <w:pStyle w:val="Bullet1"/>
      </w:pPr>
      <w:r w:rsidRPr="00AE6427">
        <w:t>$110 million for COVID-19 care pathways</w:t>
      </w:r>
      <w:r w:rsidR="2CCD9E80" w:rsidRPr="00AE6427">
        <w:t>, including continuing</w:t>
      </w:r>
      <w:r w:rsidRPr="00A83A84">
        <w:t xml:space="preserve"> our 28 general practitioner respiratory clinics.</w:t>
      </w:r>
      <w:r w:rsidR="007A2B12" w:rsidRPr="00A83A84">
        <w:t xml:space="preserve"> </w:t>
      </w:r>
    </w:p>
    <w:p w14:paraId="5F700D0E" w14:textId="4C4EDA5D" w:rsidR="003B6D0C" w:rsidRPr="003B6D0C" w:rsidRDefault="409F2067" w:rsidP="00AA2842">
      <w:pPr>
        <w:pStyle w:val="Bodyafterbullets"/>
      </w:pPr>
      <w:r>
        <w:t>In</w:t>
      </w:r>
      <w:r w:rsidR="007A2B12">
        <w:t xml:space="preserve"> </w:t>
      </w:r>
      <w:r>
        <w:t>addition</w:t>
      </w:r>
      <w:r w:rsidR="00853C7F">
        <w:t>,</w:t>
      </w:r>
      <w:r>
        <w:t xml:space="preserve"> a further</w:t>
      </w:r>
      <w:r w:rsidR="00E54531">
        <w:t xml:space="preserve"> </w:t>
      </w:r>
      <w:r w:rsidR="007A2B12">
        <w:t>$1.5</w:t>
      </w:r>
      <w:r w:rsidR="00BD0723" w:rsidRPr="007A2B12">
        <w:t xml:space="preserve"> billion </w:t>
      </w:r>
      <w:r w:rsidR="542B2C1E">
        <w:t xml:space="preserve">is provided to deliver the </w:t>
      </w:r>
      <w:r w:rsidR="00BD0723" w:rsidRPr="00AA2842">
        <w:t xml:space="preserve">COVID Catch-up </w:t>
      </w:r>
      <w:r w:rsidR="542B2C1E" w:rsidRPr="00AA2842">
        <w:t>Plan</w:t>
      </w:r>
      <w:r w:rsidR="00822A54">
        <w:rPr>
          <w:iCs/>
        </w:rPr>
        <w:t>.</w:t>
      </w:r>
      <w:r w:rsidR="542B2C1E">
        <w:t xml:space="preserve"> </w:t>
      </w:r>
      <w:r w:rsidR="00822A54">
        <w:t>This will</w:t>
      </w:r>
      <w:r w:rsidR="00822A54" w:rsidRPr="007A2B12">
        <w:t xml:space="preserve"> </w:t>
      </w:r>
      <w:r w:rsidR="00BD0723" w:rsidRPr="008317F7">
        <w:t>enable</w:t>
      </w:r>
      <w:r w:rsidR="00BD0723" w:rsidRPr="007A2B12">
        <w:t xml:space="preserve"> record</w:t>
      </w:r>
      <w:r w:rsidR="0034364C">
        <w:t xml:space="preserve"> </w:t>
      </w:r>
      <w:r w:rsidR="00BD0723" w:rsidRPr="007A2B12">
        <w:t>levels of surgical capacity</w:t>
      </w:r>
      <w:r w:rsidR="0034364C">
        <w:t xml:space="preserve"> and</w:t>
      </w:r>
      <w:r w:rsidR="00822A54">
        <w:t xml:space="preserve"> </w:t>
      </w:r>
      <w:r w:rsidR="007A2B12" w:rsidRPr="007A2B12">
        <w:t xml:space="preserve">$300 million for </w:t>
      </w:r>
      <w:r w:rsidR="007A2B12" w:rsidRPr="008317F7">
        <w:t>the</w:t>
      </w:r>
      <w:r w:rsidR="007A2B12" w:rsidRPr="007A2B12">
        <w:t xml:space="preserve"> Regional Health</w:t>
      </w:r>
      <w:r w:rsidR="0034364C">
        <w:t xml:space="preserve"> </w:t>
      </w:r>
      <w:r w:rsidR="007A2B12" w:rsidRPr="007A2B12">
        <w:t>Infrastructure Fund to boost regional healthcare</w:t>
      </w:r>
      <w:r w:rsidR="004E0DDB">
        <w:t>.</w:t>
      </w:r>
    </w:p>
    <w:p w14:paraId="21157445" w14:textId="1C750672" w:rsidR="00002057" w:rsidRPr="00645B1C" w:rsidRDefault="00002057" w:rsidP="00AA2842">
      <w:pPr>
        <w:pStyle w:val="Body"/>
      </w:pPr>
      <w:r w:rsidRPr="00645B1C">
        <w:t xml:space="preserve">This budget </w:t>
      </w:r>
      <w:r w:rsidR="00140C93" w:rsidRPr="00645B1C">
        <w:t xml:space="preserve">backs </w:t>
      </w:r>
      <w:r w:rsidR="007C05ED" w:rsidRPr="00645B1C">
        <w:t xml:space="preserve">our </w:t>
      </w:r>
      <w:r w:rsidRPr="00645B1C">
        <w:t>healthcare workers</w:t>
      </w:r>
      <w:r w:rsidR="00822A54">
        <w:t>,</w:t>
      </w:r>
      <w:r w:rsidRPr="00645B1C">
        <w:t xml:space="preserve"> </w:t>
      </w:r>
      <w:r w:rsidR="327D86AC">
        <w:t xml:space="preserve">providing </w:t>
      </w:r>
      <w:r w:rsidRPr="00645B1C">
        <w:t>training and the extra pair of helping hands</w:t>
      </w:r>
      <w:r w:rsidR="007C05ED" w:rsidRPr="00645B1C">
        <w:t xml:space="preserve"> </w:t>
      </w:r>
      <w:r w:rsidRPr="00645B1C">
        <w:t>they need – with funding to train and hire up</w:t>
      </w:r>
      <w:r w:rsidR="007C05ED" w:rsidRPr="00645B1C">
        <w:t xml:space="preserve"> </w:t>
      </w:r>
      <w:r w:rsidRPr="00645B1C">
        <w:t>to 7</w:t>
      </w:r>
      <w:r w:rsidR="009B5F09">
        <w:t>,</w:t>
      </w:r>
      <w:r w:rsidRPr="00645B1C">
        <w:t xml:space="preserve">000 new </w:t>
      </w:r>
      <w:r w:rsidRPr="008317F7">
        <w:t>healthcare</w:t>
      </w:r>
      <w:r w:rsidRPr="00645B1C">
        <w:t xml:space="preserve"> workers across the</w:t>
      </w:r>
      <w:r w:rsidR="007C05ED" w:rsidRPr="00645B1C">
        <w:t xml:space="preserve"> </w:t>
      </w:r>
      <w:r w:rsidRPr="00645B1C">
        <w:t xml:space="preserve">sector, </w:t>
      </w:r>
      <w:r w:rsidR="7C091990">
        <w:t>helping to</w:t>
      </w:r>
      <w:r w:rsidRPr="00645B1C">
        <w:t xml:space="preserve"> relieve pressure on the system</w:t>
      </w:r>
      <w:r w:rsidR="00484EBF" w:rsidRPr="00645B1C">
        <w:t xml:space="preserve"> </w:t>
      </w:r>
      <w:r w:rsidRPr="00645B1C">
        <w:t>and improve care for all Victorians.</w:t>
      </w:r>
    </w:p>
    <w:p w14:paraId="3A6C9589" w14:textId="02C4A1B1" w:rsidR="00D43758" w:rsidRPr="00AC0F1D" w:rsidRDefault="007E79AE" w:rsidP="00AA2842">
      <w:pPr>
        <w:pStyle w:val="Body"/>
        <w:rPr>
          <w:szCs w:val="21"/>
        </w:rPr>
      </w:pPr>
      <w:r w:rsidRPr="00645B1C">
        <w:t xml:space="preserve">There is strong investment </w:t>
      </w:r>
      <w:r w:rsidR="006F5D88" w:rsidRPr="00645B1C">
        <w:t>in Ambulance Services s</w:t>
      </w:r>
      <w:r w:rsidR="00DE7D31" w:rsidRPr="00645B1C">
        <w:t>o that every Victorian has the confidence that an ambulance will arrive in their hour of need</w:t>
      </w:r>
      <w:r w:rsidR="006A5C6F" w:rsidRPr="00645B1C">
        <w:t xml:space="preserve"> by </w:t>
      </w:r>
      <w:r w:rsidR="00DE7D31" w:rsidRPr="00645B1C">
        <w:t>making record investments in our Triple Zero services and hiring more paramedics</w:t>
      </w:r>
      <w:r w:rsidR="00822A54">
        <w:t>. This includes</w:t>
      </w:r>
      <w:r w:rsidR="0037755D">
        <w:t xml:space="preserve"> </w:t>
      </w:r>
      <w:r w:rsidR="00D43758" w:rsidRPr="0042159F">
        <w:rPr>
          <w:szCs w:val="21"/>
        </w:rPr>
        <w:t>$124.1 million to recruit new paramedics and enhance fleet management, rostering and support functions in order to meet growth in demand for</w:t>
      </w:r>
      <w:r w:rsidR="00D43758">
        <w:rPr>
          <w:szCs w:val="21"/>
        </w:rPr>
        <w:t xml:space="preserve"> </w:t>
      </w:r>
      <w:r w:rsidR="00D43758" w:rsidRPr="0042159F">
        <w:rPr>
          <w:szCs w:val="21"/>
        </w:rPr>
        <w:t>ambulance services</w:t>
      </w:r>
      <w:r w:rsidR="00D43758">
        <w:rPr>
          <w:szCs w:val="21"/>
        </w:rPr>
        <w:t xml:space="preserve"> as well as establishing a s</w:t>
      </w:r>
      <w:r w:rsidR="00D43758" w:rsidRPr="0042159F">
        <w:rPr>
          <w:szCs w:val="21"/>
        </w:rPr>
        <w:t xml:space="preserve">econd </w:t>
      </w:r>
      <w:r w:rsidR="00822A54" w:rsidRPr="0042159F">
        <w:rPr>
          <w:szCs w:val="21"/>
        </w:rPr>
        <w:t xml:space="preserve">mobile stroke unit </w:t>
      </w:r>
      <w:r w:rsidR="00D43758" w:rsidRPr="0042159F">
        <w:rPr>
          <w:szCs w:val="21"/>
        </w:rPr>
        <w:t>to improve</w:t>
      </w:r>
      <w:r w:rsidR="00D43758">
        <w:rPr>
          <w:szCs w:val="21"/>
        </w:rPr>
        <w:t xml:space="preserve"> </w:t>
      </w:r>
      <w:r w:rsidR="00D43758" w:rsidRPr="0042159F">
        <w:rPr>
          <w:szCs w:val="21"/>
        </w:rPr>
        <w:t>access to prehospital stroke treatment</w:t>
      </w:r>
      <w:r w:rsidR="00D43758">
        <w:rPr>
          <w:szCs w:val="21"/>
        </w:rPr>
        <w:t>.</w:t>
      </w:r>
    </w:p>
    <w:p w14:paraId="404DA062" w14:textId="6EDD1ED8" w:rsidR="000B27B9" w:rsidRDefault="001F3E9F" w:rsidP="006E2B0E">
      <w:pPr>
        <w:pStyle w:val="Body"/>
      </w:pPr>
      <w:r>
        <w:fldChar w:fldCharType="begin"/>
      </w:r>
      <w:r>
        <w:instrText xml:space="preserve"> REF _Ref108526859 \r \h </w:instrText>
      </w:r>
      <w:r>
        <w:fldChar w:fldCharType="separate"/>
      </w:r>
      <w:r w:rsidR="006D0756">
        <w:t>Table 1.1</w:t>
      </w:r>
      <w:r>
        <w:fldChar w:fldCharType="end"/>
      </w:r>
      <w:r>
        <w:t xml:space="preserve"> </w:t>
      </w:r>
      <w:r w:rsidR="000B27B9" w:rsidRPr="005B3494">
        <w:t xml:space="preserve">details departmental health operations funding by the </w:t>
      </w:r>
      <w:r w:rsidR="000B27B9" w:rsidRPr="008317F7">
        <w:t>output</w:t>
      </w:r>
      <w:r w:rsidR="000B27B9" w:rsidRPr="005B3494">
        <w:t xml:space="preserve"> categories provided in the </w:t>
      </w:r>
      <w:r w:rsidR="001A1D74">
        <w:rPr>
          <w:rStyle w:val="Emphasis"/>
          <w:i w:val="0"/>
          <w:iCs w:val="0"/>
        </w:rPr>
        <w:t>Budget</w:t>
      </w:r>
      <w:r w:rsidR="000B27B9" w:rsidRPr="005B3494">
        <w:t>.</w:t>
      </w:r>
      <w:r w:rsidR="00C86F0C">
        <w:t xml:space="preserve"> </w:t>
      </w:r>
      <w:r w:rsidR="000B27B9" w:rsidRPr="005B3494">
        <w:t xml:space="preserve">A summary of health service modelled budgets for </w:t>
      </w:r>
      <w:r w:rsidR="00A11810" w:rsidRPr="00645B1C">
        <w:t>2022</w:t>
      </w:r>
      <w:r w:rsidR="00936002">
        <w:t>–</w:t>
      </w:r>
      <w:r w:rsidR="00A11810" w:rsidRPr="00645B1C">
        <w:t>23</w:t>
      </w:r>
      <w:r w:rsidR="00A11810">
        <w:t xml:space="preserve"> </w:t>
      </w:r>
      <w:r w:rsidR="000B27B9" w:rsidRPr="005B3494">
        <w:t xml:space="preserve">is provided </w:t>
      </w:r>
      <w:r w:rsidR="00DD0E99">
        <w:t>at</w:t>
      </w:r>
      <w:r w:rsidR="000B27B9" w:rsidRPr="005B3494">
        <w:t xml:space="preserve"> </w:t>
      </w:r>
      <w:r w:rsidR="00DD0E99">
        <w:t xml:space="preserve">section </w:t>
      </w:r>
      <w:r w:rsidR="003957A4">
        <w:fldChar w:fldCharType="begin"/>
      </w:r>
      <w:r w:rsidR="003957A4">
        <w:instrText xml:space="preserve"> REF _Ref74211078 \w \h </w:instrText>
      </w:r>
      <w:r w:rsidR="003957A4">
        <w:fldChar w:fldCharType="separate"/>
      </w:r>
      <w:r w:rsidR="006D0756">
        <w:t>2.1</w:t>
      </w:r>
      <w:r w:rsidR="003957A4">
        <w:fldChar w:fldCharType="end"/>
      </w:r>
      <w:r w:rsidR="00A80167">
        <w:t xml:space="preserve"> </w:t>
      </w:r>
      <w:r w:rsidR="00DD0E99">
        <w:t>‘</w:t>
      </w:r>
      <w:r w:rsidR="003957A4">
        <w:fldChar w:fldCharType="begin"/>
      </w:r>
      <w:r w:rsidR="003957A4">
        <w:instrText xml:space="preserve"> REF _Ref74211087 \h </w:instrText>
      </w:r>
      <w:r w:rsidR="003957A4">
        <w:fldChar w:fldCharType="separate"/>
      </w:r>
      <w:r w:rsidR="006D0756" w:rsidRPr="004903A7">
        <w:t xml:space="preserve">Budget </w:t>
      </w:r>
      <w:r w:rsidR="006D0756">
        <w:t>T</w:t>
      </w:r>
      <w:r w:rsidR="006D0756" w:rsidRPr="004903A7">
        <w:t>ables</w:t>
      </w:r>
      <w:r w:rsidR="003957A4">
        <w:fldChar w:fldCharType="end"/>
      </w:r>
      <w:r w:rsidR="00A80167">
        <w:t>’</w:t>
      </w:r>
      <w:r w:rsidR="000B27B9" w:rsidRPr="005B3494">
        <w:t>.</w:t>
      </w:r>
      <w:r w:rsidR="00AA4B8E">
        <w:t xml:space="preserve"> </w:t>
      </w:r>
    </w:p>
    <w:p w14:paraId="4093F252" w14:textId="5388ACF6" w:rsidR="006756DB" w:rsidRPr="00F963FD" w:rsidRDefault="000B27B9" w:rsidP="003C01AD">
      <w:pPr>
        <w:pStyle w:val="Tablecaption"/>
        <w:numPr>
          <w:ilvl w:val="0"/>
          <w:numId w:val="31"/>
        </w:numPr>
        <w:rPr>
          <w:rStyle w:val="Emphasis"/>
          <w:i w:val="0"/>
        </w:rPr>
      </w:pPr>
      <w:bookmarkStart w:id="72" w:name="_Ref108526859"/>
      <w:bookmarkStart w:id="73" w:name="_Toc109894096"/>
      <w:bookmarkStart w:id="74" w:name="_Toc119500876"/>
      <w:r w:rsidRPr="00F963FD">
        <w:rPr>
          <w:rStyle w:val="Emphasis"/>
          <w:i w:val="0"/>
        </w:rPr>
        <w:t xml:space="preserve">Victorian </w:t>
      </w:r>
      <w:r w:rsidRPr="00645B1C">
        <w:rPr>
          <w:rStyle w:val="Emphasis"/>
          <w:i w:val="0"/>
        </w:rPr>
        <w:t xml:space="preserve">Budget </w:t>
      </w:r>
      <w:r w:rsidR="00A11810" w:rsidRPr="00645B1C">
        <w:t>2022</w:t>
      </w:r>
      <w:r w:rsidR="00822A54">
        <w:t>–</w:t>
      </w:r>
      <w:r w:rsidR="00A11810" w:rsidRPr="00645B1C">
        <w:t xml:space="preserve">23 </w:t>
      </w:r>
      <w:r w:rsidRPr="00645B1C">
        <w:rPr>
          <w:rStyle w:val="Emphasis"/>
          <w:i w:val="0"/>
        </w:rPr>
        <w:t>by</w:t>
      </w:r>
      <w:r w:rsidRPr="00F963FD">
        <w:rPr>
          <w:rStyle w:val="Emphasis"/>
          <w:i w:val="0"/>
        </w:rPr>
        <w:t xml:space="preserve"> output group</w:t>
      </w:r>
      <w:bookmarkEnd w:id="72"/>
      <w:bookmarkEnd w:id="73"/>
      <w:bookmarkEnd w:id="74"/>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1248"/>
        <w:gridCol w:w="1246"/>
        <w:gridCol w:w="1920"/>
      </w:tblGrid>
      <w:tr w:rsidR="00AE6427" w:rsidRPr="006756DB" w14:paraId="027D84F5" w14:textId="77777777" w:rsidTr="00AE6427">
        <w:trPr>
          <w:tblHeader/>
        </w:trPr>
        <w:tc>
          <w:tcPr>
            <w:tcW w:w="4956" w:type="dxa"/>
            <w:shd w:val="clear" w:color="auto" w:fill="201547"/>
            <w:hideMark/>
          </w:tcPr>
          <w:p w14:paraId="6E29AE6B" w14:textId="77777777" w:rsidR="006756DB" w:rsidRPr="006E2B0E" w:rsidRDefault="006756DB" w:rsidP="006E2B0E">
            <w:pPr>
              <w:pStyle w:val="Tablecolhead"/>
              <w:rPr>
                <w:rFonts w:ascii="Times New Roman" w:hAnsi="Times New Roman"/>
                <w:b w:val="0"/>
                <w:color w:val="FFFFFF" w:themeColor="background1"/>
                <w:sz w:val="24"/>
              </w:rPr>
            </w:pPr>
            <w:r w:rsidRPr="006E2B0E">
              <w:rPr>
                <w:color w:val="FFFFFF" w:themeColor="background1"/>
              </w:rPr>
              <w:t>Output group </w:t>
            </w:r>
          </w:p>
        </w:tc>
        <w:tc>
          <w:tcPr>
            <w:tcW w:w="1257" w:type="dxa"/>
            <w:shd w:val="clear" w:color="auto" w:fill="201547"/>
            <w:hideMark/>
          </w:tcPr>
          <w:p w14:paraId="50152BE4" w14:textId="2F5FB802" w:rsidR="006756DB" w:rsidRPr="006E2B0E" w:rsidRDefault="006756DB" w:rsidP="006E2B0E">
            <w:pPr>
              <w:pStyle w:val="Tablecolhead"/>
              <w:rPr>
                <w:rFonts w:ascii="Times New Roman" w:hAnsi="Times New Roman"/>
                <w:b w:val="0"/>
                <w:color w:val="FFFFFF" w:themeColor="background1"/>
                <w:sz w:val="24"/>
              </w:rPr>
            </w:pPr>
            <w:r w:rsidRPr="006E2B0E">
              <w:rPr>
                <w:color w:val="FFFFFF" w:themeColor="background1"/>
              </w:rPr>
              <w:t>20</w:t>
            </w:r>
            <w:r w:rsidR="000B4B67" w:rsidRPr="006E2B0E">
              <w:rPr>
                <w:color w:val="FFFFFF" w:themeColor="background1"/>
              </w:rPr>
              <w:t>21</w:t>
            </w:r>
            <w:r w:rsidR="00822A54" w:rsidRPr="00AE6427">
              <w:rPr>
                <w:color w:val="FFFFFF" w:themeColor="background1"/>
                <w:lang w:eastAsia="en-AU"/>
              </w:rPr>
              <w:t>–</w:t>
            </w:r>
            <w:r w:rsidR="000B4B67" w:rsidRPr="006E2B0E">
              <w:rPr>
                <w:color w:val="FFFFFF" w:themeColor="background1"/>
              </w:rPr>
              <w:t>22</w:t>
            </w:r>
            <w:r w:rsidRPr="006E2B0E">
              <w:rPr>
                <w:color w:val="FFFFFF" w:themeColor="background1"/>
              </w:rPr>
              <w:t xml:space="preserve"> </w:t>
            </w:r>
            <w:r w:rsidR="00822A54" w:rsidRPr="00AE6427">
              <w:rPr>
                <w:color w:val="FFFFFF" w:themeColor="background1"/>
                <w:lang w:eastAsia="en-AU"/>
              </w:rPr>
              <w:t xml:space="preserve">budget </w:t>
            </w:r>
            <w:r w:rsidRPr="00AE6427">
              <w:rPr>
                <w:color w:val="FFFFFF" w:themeColor="background1"/>
                <w:lang w:eastAsia="en-AU"/>
              </w:rPr>
              <w:t>($</w:t>
            </w:r>
            <w:r w:rsidR="00822A54" w:rsidRPr="00AE6427">
              <w:rPr>
                <w:color w:val="FFFFFF" w:themeColor="background1"/>
                <w:lang w:eastAsia="en-AU"/>
              </w:rPr>
              <w:t> </w:t>
            </w:r>
            <w:r w:rsidRPr="006E2B0E">
              <w:rPr>
                <w:color w:val="FFFFFF" w:themeColor="background1"/>
              </w:rPr>
              <w:t>m) </w:t>
            </w:r>
          </w:p>
        </w:tc>
        <w:tc>
          <w:tcPr>
            <w:tcW w:w="1252" w:type="dxa"/>
            <w:shd w:val="clear" w:color="auto" w:fill="201547"/>
            <w:hideMark/>
          </w:tcPr>
          <w:p w14:paraId="5741AEC1" w14:textId="29961F5C" w:rsidR="006756DB" w:rsidRPr="006E2B0E" w:rsidRDefault="006756DB" w:rsidP="006E2B0E">
            <w:pPr>
              <w:pStyle w:val="Tablecolhead"/>
              <w:rPr>
                <w:rFonts w:ascii="Times New Roman" w:hAnsi="Times New Roman"/>
                <w:b w:val="0"/>
                <w:color w:val="FFFFFF" w:themeColor="background1"/>
                <w:sz w:val="24"/>
              </w:rPr>
            </w:pPr>
            <w:r w:rsidRPr="006E2B0E">
              <w:rPr>
                <w:color w:val="FFFFFF" w:themeColor="background1"/>
              </w:rPr>
              <w:t>202</w:t>
            </w:r>
            <w:r w:rsidR="000B4B67" w:rsidRPr="006E2B0E">
              <w:rPr>
                <w:color w:val="FFFFFF" w:themeColor="background1"/>
              </w:rPr>
              <w:t>2</w:t>
            </w:r>
            <w:r w:rsidR="00822A54" w:rsidRPr="00AE6427">
              <w:rPr>
                <w:color w:val="FFFFFF" w:themeColor="background1"/>
                <w:lang w:eastAsia="en-AU"/>
              </w:rPr>
              <w:t>–</w:t>
            </w:r>
            <w:r w:rsidR="000B4B67" w:rsidRPr="006E2B0E">
              <w:rPr>
                <w:color w:val="FFFFFF" w:themeColor="background1"/>
              </w:rPr>
              <w:t>23</w:t>
            </w:r>
            <w:r w:rsidRPr="006E2B0E">
              <w:rPr>
                <w:color w:val="FFFFFF" w:themeColor="background1"/>
              </w:rPr>
              <w:t xml:space="preserve"> </w:t>
            </w:r>
            <w:r w:rsidR="00822A54" w:rsidRPr="00AE6427">
              <w:rPr>
                <w:color w:val="FFFFFF" w:themeColor="background1"/>
                <w:lang w:eastAsia="en-AU"/>
              </w:rPr>
              <w:t xml:space="preserve">budget </w:t>
            </w:r>
            <w:r w:rsidRPr="00AE6427">
              <w:rPr>
                <w:color w:val="FFFFFF" w:themeColor="background1"/>
                <w:lang w:eastAsia="en-AU"/>
              </w:rPr>
              <w:t>($</w:t>
            </w:r>
            <w:r w:rsidR="00822A54" w:rsidRPr="00AE6427">
              <w:rPr>
                <w:color w:val="FFFFFF" w:themeColor="background1"/>
                <w:lang w:eastAsia="en-AU"/>
              </w:rPr>
              <w:t> </w:t>
            </w:r>
            <w:r w:rsidRPr="006E2B0E">
              <w:rPr>
                <w:color w:val="FFFFFF" w:themeColor="background1"/>
              </w:rPr>
              <w:t>m) </w:t>
            </w:r>
          </w:p>
        </w:tc>
        <w:tc>
          <w:tcPr>
            <w:tcW w:w="1817" w:type="dxa"/>
            <w:shd w:val="clear" w:color="auto" w:fill="201547"/>
            <w:hideMark/>
          </w:tcPr>
          <w:p w14:paraId="0DDA15A8" w14:textId="30683881" w:rsidR="006756DB" w:rsidRPr="006E2B0E" w:rsidRDefault="006756DB" w:rsidP="006E2B0E">
            <w:pPr>
              <w:pStyle w:val="Tablecolhead"/>
              <w:rPr>
                <w:rFonts w:ascii="Times New Roman" w:hAnsi="Times New Roman"/>
                <w:b w:val="0"/>
                <w:color w:val="FFFFFF" w:themeColor="background1"/>
                <w:sz w:val="24"/>
              </w:rPr>
            </w:pPr>
            <w:r w:rsidRPr="006E2B0E">
              <w:rPr>
                <w:color w:val="FFFFFF" w:themeColor="background1"/>
              </w:rPr>
              <w:t>% variation from </w:t>
            </w:r>
            <w:r w:rsidR="009F508E" w:rsidRPr="006E2B0E">
              <w:rPr>
                <w:color w:val="FFFFFF" w:themeColor="background1"/>
              </w:rPr>
              <w:br/>
            </w:r>
            <w:r w:rsidRPr="006E2B0E">
              <w:rPr>
                <w:color w:val="FFFFFF" w:themeColor="background1"/>
              </w:rPr>
              <w:t>20</w:t>
            </w:r>
            <w:r w:rsidR="000B4B67" w:rsidRPr="006E2B0E">
              <w:rPr>
                <w:color w:val="FFFFFF" w:themeColor="background1"/>
              </w:rPr>
              <w:t>21</w:t>
            </w:r>
            <w:r w:rsidR="00822A54" w:rsidRPr="00AE6427">
              <w:rPr>
                <w:color w:val="FFFFFF" w:themeColor="background1"/>
                <w:lang w:eastAsia="en-AU"/>
              </w:rPr>
              <w:t>–</w:t>
            </w:r>
            <w:r w:rsidR="000B4B67" w:rsidRPr="006E2B0E">
              <w:rPr>
                <w:color w:val="FFFFFF" w:themeColor="background1"/>
              </w:rPr>
              <w:t>22</w:t>
            </w:r>
            <w:r w:rsidRPr="006E2B0E">
              <w:rPr>
                <w:color w:val="FFFFFF" w:themeColor="background1"/>
              </w:rPr>
              <w:t xml:space="preserve"> to 20</w:t>
            </w:r>
            <w:r w:rsidR="000B4B67" w:rsidRPr="006E2B0E">
              <w:rPr>
                <w:color w:val="FFFFFF" w:themeColor="background1"/>
              </w:rPr>
              <w:t>22</w:t>
            </w:r>
            <w:r w:rsidR="00822A54" w:rsidRPr="00AE6427">
              <w:rPr>
                <w:color w:val="FFFFFF" w:themeColor="background1"/>
                <w:lang w:eastAsia="en-AU"/>
              </w:rPr>
              <w:t>–</w:t>
            </w:r>
            <w:r w:rsidR="000B4B67" w:rsidRPr="006E2B0E">
              <w:rPr>
                <w:color w:val="FFFFFF" w:themeColor="background1"/>
              </w:rPr>
              <w:t>23</w:t>
            </w:r>
            <w:r w:rsidRPr="006E2B0E">
              <w:rPr>
                <w:color w:val="FFFFFF" w:themeColor="background1"/>
              </w:rPr>
              <w:t> </w:t>
            </w:r>
          </w:p>
        </w:tc>
      </w:tr>
      <w:tr w:rsidR="00AE6427" w:rsidRPr="006756DB" w14:paraId="1FD8345C" w14:textId="77777777" w:rsidTr="00AE6427">
        <w:trPr>
          <w:trHeight w:val="300"/>
        </w:trPr>
        <w:tc>
          <w:tcPr>
            <w:tcW w:w="4956" w:type="dxa"/>
            <w:shd w:val="clear" w:color="auto" w:fill="auto"/>
            <w:hideMark/>
          </w:tcPr>
          <w:p w14:paraId="246263F4"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Admitted Services  </w:t>
            </w:r>
          </w:p>
        </w:tc>
        <w:tc>
          <w:tcPr>
            <w:tcW w:w="1257" w:type="dxa"/>
            <w:shd w:val="clear" w:color="auto" w:fill="auto"/>
            <w:hideMark/>
          </w:tcPr>
          <w:p w14:paraId="6DA13CEA" w14:textId="659B1EEB" w:rsidR="006756DB" w:rsidRPr="00645B1C" w:rsidRDefault="00D7173A" w:rsidP="003D3BF5">
            <w:pPr>
              <w:pStyle w:val="DHHStabletext"/>
              <w:ind w:left="4" w:right="112"/>
              <w:jc w:val="right"/>
              <w:rPr>
                <w:rFonts w:cs="Arial"/>
                <w:szCs w:val="18"/>
                <w:lang w:eastAsia="en-AU"/>
              </w:rPr>
            </w:pPr>
            <w:r w:rsidRPr="00274EAD">
              <w:rPr>
                <w:rFonts w:cs="Arial"/>
                <w:szCs w:val="18"/>
                <w:lang w:eastAsia="en-AU"/>
              </w:rPr>
              <w:t>12 903.4</w:t>
            </w:r>
          </w:p>
        </w:tc>
        <w:tc>
          <w:tcPr>
            <w:tcW w:w="1252" w:type="dxa"/>
            <w:shd w:val="clear" w:color="auto" w:fill="auto"/>
          </w:tcPr>
          <w:p w14:paraId="5DAAD378" w14:textId="7E97DE0E" w:rsidR="006756DB" w:rsidRPr="00645B1C" w:rsidRDefault="67795DC8" w:rsidP="002623CB">
            <w:pPr>
              <w:pStyle w:val="DHHStabletext"/>
              <w:ind w:left="157" w:right="101"/>
              <w:jc w:val="right"/>
              <w:rPr>
                <w:rFonts w:cs="Arial"/>
                <w:lang w:eastAsia="en-AU"/>
              </w:rPr>
            </w:pPr>
            <w:r w:rsidRPr="094986AD">
              <w:rPr>
                <w:rFonts w:cs="Arial"/>
                <w:color w:val="000000" w:themeColor="text1"/>
              </w:rPr>
              <w:t>14 132.6</w:t>
            </w:r>
          </w:p>
        </w:tc>
        <w:tc>
          <w:tcPr>
            <w:tcW w:w="1817" w:type="dxa"/>
            <w:shd w:val="clear" w:color="auto" w:fill="auto"/>
          </w:tcPr>
          <w:p w14:paraId="7D7F832C" w14:textId="2A5B83C7" w:rsidR="006756DB" w:rsidRPr="00645B1C" w:rsidRDefault="00D7173A" w:rsidP="00E1750A">
            <w:pPr>
              <w:pStyle w:val="DHHStabletext"/>
              <w:jc w:val="right"/>
              <w:rPr>
                <w:rFonts w:cs="Arial"/>
                <w:szCs w:val="18"/>
                <w:lang w:eastAsia="en-AU"/>
              </w:rPr>
            </w:pPr>
            <w:r w:rsidRPr="00645B1C">
              <w:rPr>
                <w:rFonts w:cs="Arial"/>
                <w:color w:val="000000"/>
                <w:szCs w:val="18"/>
              </w:rPr>
              <w:t>9.5%</w:t>
            </w:r>
          </w:p>
        </w:tc>
      </w:tr>
      <w:tr w:rsidR="00AE6427" w:rsidRPr="006756DB" w14:paraId="6156ECFC" w14:textId="77777777" w:rsidTr="00AE6427">
        <w:trPr>
          <w:trHeight w:val="300"/>
        </w:trPr>
        <w:tc>
          <w:tcPr>
            <w:tcW w:w="4956" w:type="dxa"/>
            <w:shd w:val="clear" w:color="auto" w:fill="auto"/>
            <w:hideMark/>
          </w:tcPr>
          <w:p w14:paraId="445D6D30"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Non-Admitted Services  </w:t>
            </w:r>
          </w:p>
        </w:tc>
        <w:tc>
          <w:tcPr>
            <w:tcW w:w="1257" w:type="dxa"/>
            <w:shd w:val="clear" w:color="auto" w:fill="auto"/>
            <w:hideMark/>
          </w:tcPr>
          <w:p w14:paraId="4F329404" w14:textId="59950567" w:rsidR="006756DB" w:rsidRPr="00645B1C" w:rsidRDefault="00D7173A" w:rsidP="003D3BF5">
            <w:pPr>
              <w:pStyle w:val="DHHStabletext"/>
              <w:ind w:left="4" w:right="112"/>
              <w:jc w:val="right"/>
              <w:rPr>
                <w:rFonts w:cs="Arial"/>
                <w:szCs w:val="18"/>
                <w:lang w:eastAsia="en-AU"/>
              </w:rPr>
            </w:pPr>
            <w:r w:rsidRPr="00274EAD">
              <w:rPr>
                <w:rFonts w:cs="Arial"/>
                <w:szCs w:val="18"/>
                <w:lang w:eastAsia="en-AU"/>
              </w:rPr>
              <w:t>2 208.8</w:t>
            </w:r>
          </w:p>
        </w:tc>
        <w:tc>
          <w:tcPr>
            <w:tcW w:w="1252" w:type="dxa"/>
            <w:shd w:val="clear" w:color="auto" w:fill="auto"/>
          </w:tcPr>
          <w:p w14:paraId="62654587" w14:textId="58DFD83F"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2189.7</w:t>
            </w:r>
          </w:p>
        </w:tc>
        <w:tc>
          <w:tcPr>
            <w:tcW w:w="1817" w:type="dxa"/>
            <w:shd w:val="clear" w:color="auto" w:fill="auto"/>
          </w:tcPr>
          <w:p w14:paraId="62293158" w14:textId="1E77BD42" w:rsidR="006756DB" w:rsidRPr="00645B1C" w:rsidRDefault="00D7173A" w:rsidP="00E1750A">
            <w:pPr>
              <w:pStyle w:val="DHHStabletext"/>
              <w:jc w:val="right"/>
              <w:rPr>
                <w:rFonts w:cs="Arial"/>
                <w:szCs w:val="18"/>
                <w:lang w:eastAsia="en-AU"/>
              </w:rPr>
            </w:pPr>
            <w:r w:rsidRPr="00645B1C">
              <w:rPr>
                <w:rFonts w:cs="Arial"/>
                <w:color w:val="000000"/>
                <w:szCs w:val="18"/>
              </w:rPr>
              <w:t>-0.9%</w:t>
            </w:r>
          </w:p>
        </w:tc>
      </w:tr>
      <w:tr w:rsidR="00AE6427" w:rsidRPr="006756DB" w14:paraId="067032F4" w14:textId="77777777" w:rsidTr="00AE6427">
        <w:trPr>
          <w:trHeight w:val="300"/>
        </w:trPr>
        <w:tc>
          <w:tcPr>
            <w:tcW w:w="4956" w:type="dxa"/>
            <w:shd w:val="clear" w:color="auto" w:fill="auto"/>
            <w:hideMark/>
          </w:tcPr>
          <w:p w14:paraId="5ECE6E97"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Emergency Services  </w:t>
            </w:r>
          </w:p>
        </w:tc>
        <w:tc>
          <w:tcPr>
            <w:tcW w:w="1257" w:type="dxa"/>
            <w:shd w:val="clear" w:color="auto" w:fill="auto"/>
            <w:hideMark/>
          </w:tcPr>
          <w:p w14:paraId="3075780A" w14:textId="44FD13AA" w:rsidR="006756DB" w:rsidRPr="00645B1C" w:rsidRDefault="00D7173A" w:rsidP="003D3BF5">
            <w:pPr>
              <w:pStyle w:val="DHHStabletext"/>
              <w:ind w:left="4" w:right="112"/>
              <w:jc w:val="right"/>
              <w:rPr>
                <w:rFonts w:cs="Arial"/>
                <w:szCs w:val="18"/>
                <w:lang w:eastAsia="en-AU"/>
              </w:rPr>
            </w:pPr>
            <w:r w:rsidRPr="00274EAD">
              <w:rPr>
                <w:rFonts w:cs="Arial"/>
                <w:szCs w:val="18"/>
                <w:lang w:eastAsia="en-AU"/>
              </w:rPr>
              <w:t>838.3</w:t>
            </w:r>
          </w:p>
        </w:tc>
        <w:tc>
          <w:tcPr>
            <w:tcW w:w="1252" w:type="dxa"/>
            <w:shd w:val="clear" w:color="auto" w:fill="auto"/>
          </w:tcPr>
          <w:p w14:paraId="258AE1AA" w14:textId="255190E5"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882</w:t>
            </w:r>
          </w:p>
        </w:tc>
        <w:tc>
          <w:tcPr>
            <w:tcW w:w="1817" w:type="dxa"/>
            <w:shd w:val="clear" w:color="auto" w:fill="auto"/>
          </w:tcPr>
          <w:p w14:paraId="5BFFFBEA" w14:textId="45307A6E" w:rsidR="006756DB" w:rsidRPr="00645B1C" w:rsidRDefault="00D7173A" w:rsidP="00E1750A">
            <w:pPr>
              <w:pStyle w:val="DHHStabletext"/>
              <w:jc w:val="right"/>
              <w:rPr>
                <w:rFonts w:cs="Arial"/>
                <w:szCs w:val="18"/>
                <w:lang w:eastAsia="en-AU"/>
              </w:rPr>
            </w:pPr>
            <w:r w:rsidRPr="00645B1C">
              <w:rPr>
                <w:rFonts w:cs="Arial"/>
                <w:color w:val="000000"/>
                <w:szCs w:val="18"/>
              </w:rPr>
              <w:t>5.2%</w:t>
            </w:r>
          </w:p>
        </w:tc>
      </w:tr>
      <w:tr w:rsidR="00AE6427" w:rsidRPr="006756DB" w14:paraId="0F824E6D" w14:textId="77777777" w:rsidTr="00AE6427">
        <w:trPr>
          <w:trHeight w:val="300"/>
        </w:trPr>
        <w:tc>
          <w:tcPr>
            <w:tcW w:w="4956" w:type="dxa"/>
            <w:shd w:val="clear" w:color="auto" w:fill="auto"/>
          </w:tcPr>
          <w:p w14:paraId="0D47EAC0" w14:textId="6E431886" w:rsidR="00D7173A" w:rsidRPr="006756DB" w:rsidRDefault="00D7173A" w:rsidP="00D7173A">
            <w:pPr>
              <w:pStyle w:val="DHHStabletext"/>
              <w:rPr>
                <w:lang w:eastAsia="en-AU"/>
              </w:rPr>
            </w:pPr>
            <w:r>
              <w:rPr>
                <w:lang w:eastAsia="en-AU"/>
              </w:rPr>
              <w:t>Health Workforce Training and Development</w:t>
            </w:r>
          </w:p>
        </w:tc>
        <w:tc>
          <w:tcPr>
            <w:tcW w:w="1257" w:type="dxa"/>
            <w:shd w:val="clear" w:color="auto" w:fill="auto"/>
          </w:tcPr>
          <w:p w14:paraId="1B056D71" w14:textId="17D2E2C6" w:rsidR="00D7173A" w:rsidRPr="00274EAD" w:rsidRDefault="00E54531" w:rsidP="003D3BF5">
            <w:pPr>
              <w:pStyle w:val="DHHStabletext"/>
              <w:ind w:left="4" w:right="112"/>
              <w:jc w:val="right"/>
              <w:rPr>
                <w:rFonts w:cs="Arial"/>
                <w:szCs w:val="18"/>
                <w:lang w:eastAsia="en-AU"/>
              </w:rPr>
            </w:pPr>
            <w:r>
              <w:rPr>
                <w:rFonts w:cs="Arial"/>
                <w:szCs w:val="18"/>
                <w:lang w:eastAsia="en-AU"/>
              </w:rPr>
              <w:t xml:space="preserve"> </w:t>
            </w:r>
            <w:r w:rsidR="00D7173A" w:rsidRPr="00274EAD">
              <w:rPr>
                <w:rFonts w:cs="Arial"/>
                <w:szCs w:val="18"/>
                <w:lang w:eastAsia="en-AU"/>
              </w:rPr>
              <w:t>352.3</w:t>
            </w:r>
            <w:r>
              <w:rPr>
                <w:rFonts w:cs="Arial"/>
                <w:szCs w:val="18"/>
                <w:lang w:eastAsia="en-AU"/>
              </w:rPr>
              <w:t xml:space="preserve"> </w:t>
            </w:r>
          </w:p>
        </w:tc>
        <w:tc>
          <w:tcPr>
            <w:tcW w:w="1252" w:type="dxa"/>
            <w:shd w:val="clear" w:color="auto" w:fill="auto"/>
          </w:tcPr>
          <w:p w14:paraId="3A44498A" w14:textId="0F044DA6" w:rsidR="00D7173A" w:rsidRPr="00274EAD" w:rsidRDefault="00D7173A" w:rsidP="002623CB">
            <w:pPr>
              <w:pStyle w:val="DHHStabletext"/>
              <w:ind w:left="157" w:right="101"/>
              <w:jc w:val="right"/>
              <w:rPr>
                <w:rFonts w:cs="Arial"/>
                <w:szCs w:val="18"/>
                <w:lang w:eastAsia="en-AU"/>
              </w:rPr>
            </w:pPr>
            <w:r w:rsidRPr="00645B1C">
              <w:rPr>
                <w:rFonts w:cs="Arial"/>
                <w:color w:val="000000"/>
                <w:szCs w:val="18"/>
              </w:rPr>
              <w:t>439.9</w:t>
            </w:r>
          </w:p>
        </w:tc>
        <w:tc>
          <w:tcPr>
            <w:tcW w:w="1817" w:type="dxa"/>
            <w:shd w:val="clear" w:color="auto" w:fill="auto"/>
          </w:tcPr>
          <w:p w14:paraId="68C60387" w14:textId="6EF4E7EB" w:rsidR="00D7173A" w:rsidRPr="00274EAD" w:rsidRDefault="00D7173A" w:rsidP="00D7173A">
            <w:pPr>
              <w:pStyle w:val="DHHStabletext"/>
              <w:jc w:val="right"/>
              <w:rPr>
                <w:rFonts w:cs="Arial"/>
                <w:szCs w:val="18"/>
                <w:lang w:eastAsia="en-AU"/>
              </w:rPr>
            </w:pPr>
            <w:r w:rsidRPr="00645B1C">
              <w:rPr>
                <w:rFonts w:cs="Arial"/>
                <w:color w:val="000000"/>
                <w:szCs w:val="18"/>
              </w:rPr>
              <w:t>24.9%</w:t>
            </w:r>
          </w:p>
        </w:tc>
      </w:tr>
      <w:tr w:rsidR="00AE6427" w:rsidRPr="006756DB" w14:paraId="2845190E" w14:textId="77777777" w:rsidTr="00AE6427">
        <w:trPr>
          <w:trHeight w:val="300"/>
        </w:trPr>
        <w:tc>
          <w:tcPr>
            <w:tcW w:w="4956" w:type="dxa"/>
            <w:shd w:val="clear" w:color="auto" w:fill="auto"/>
            <w:hideMark/>
          </w:tcPr>
          <w:p w14:paraId="39F0BC12"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Residential Aged Care  </w:t>
            </w:r>
          </w:p>
        </w:tc>
        <w:tc>
          <w:tcPr>
            <w:tcW w:w="1257" w:type="dxa"/>
            <w:shd w:val="clear" w:color="auto" w:fill="auto"/>
          </w:tcPr>
          <w:p w14:paraId="636BDCA6" w14:textId="105285FF" w:rsidR="006756DB" w:rsidRPr="00645B1C" w:rsidRDefault="00D7173A" w:rsidP="003D3BF5">
            <w:pPr>
              <w:pStyle w:val="DHHStabletext"/>
              <w:ind w:left="4" w:right="112"/>
              <w:jc w:val="right"/>
              <w:rPr>
                <w:rFonts w:cs="Arial"/>
                <w:szCs w:val="18"/>
                <w:lang w:eastAsia="en-AU"/>
              </w:rPr>
            </w:pPr>
            <w:r w:rsidRPr="00645B1C">
              <w:rPr>
                <w:rFonts w:cs="Arial"/>
                <w:color w:val="000000"/>
                <w:szCs w:val="18"/>
              </w:rPr>
              <w:t>436.1</w:t>
            </w:r>
            <w:r w:rsidR="00E54531">
              <w:rPr>
                <w:rFonts w:cs="Arial"/>
                <w:color w:val="000000"/>
                <w:szCs w:val="18"/>
              </w:rPr>
              <w:t xml:space="preserve"> </w:t>
            </w:r>
          </w:p>
        </w:tc>
        <w:tc>
          <w:tcPr>
            <w:tcW w:w="1252" w:type="dxa"/>
            <w:shd w:val="clear" w:color="auto" w:fill="auto"/>
          </w:tcPr>
          <w:p w14:paraId="3BFCAB8A" w14:textId="4C628EB5"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439.5</w:t>
            </w:r>
          </w:p>
        </w:tc>
        <w:tc>
          <w:tcPr>
            <w:tcW w:w="1817" w:type="dxa"/>
            <w:shd w:val="clear" w:color="auto" w:fill="auto"/>
          </w:tcPr>
          <w:p w14:paraId="674DA1CD" w14:textId="7C099DD3" w:rsidR="006756DB" w:rsidRPr="00645B1C" w:rsidRDefault="00D7173A" w:rsidP="00E1750A">
            <w:pPr>
              <w:pStyle w:val="DHHStabletext"/>
              <w:jc w:val="right"/>
              <w:rPr>
                <w:rFonts w:cs="Arial"/>
                <w:szCs w:val="18"/>
                <w:lang w:eastAsia="en-AU"/>
              </w:rPr>
            </w:pPr>
            <w:r w:rsidRPr="00645B1C">
              <w:rPr>
                <w:rFonts w:cs="Arial"/>
                <w:color w:val="000000"/>
                <w:szCs w:val="18"/>
              </w:rPr>
              <w:t>0.8%</w:t>
            </w:r>
          </w:p>
        </w:tc>
      </w:tr>
      <w:tr w:rsidR="00AE6427" w:rsidRPr="006756DB" w14:paraId="472125AA" w14:textId="77777777" w:rsidTr="00AE6427">
        <w:trPr>
          <w:trHeight w:val="300"/>
        </w:trPr>
        <w:tc>
          <w:tcPr>
            <w:tcW w:w="4956" w:type="dxa"/>
            <w:shd w:val="clear" w:color="auto" w:fill="auto"/>
            <w:hideMark/>
          </w:tcPr>
          <w:p w14:paraId="7DDEF0EB"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Aged Care Assessment  </w:t>
            </w:r>
          </w:p>
        </w:tc>
        <w:tc>
          <w:tcPr>
            <w:tcW w:w="1257" w:type="dxa"/>
            <w:shd w:val="clear" w:color="auto" w:fill="auto"/>
          </w:tcPr>
          <w:p w14:paraId="6CCD6878" w14:textId="48EB46BA" w:rsidR="006756DB" w:rsidRPr="00645B1C" w:rsidRDefault="00D7173A" w:rsidP="003D3BF5">
            <w:pPr>
              <w:pStyle w:val="DHHStabletext"/>
              <w:ind w:left="4" w:right="112"/>
              <w:jc w:val="right"/>
              <w:rPr>
                <w:rFonts w:cs="Arial"/>
                <w:szCs w:val="18"/>
                <w:lang w:eastAsia="en-AU"/>
              </w:rPr>
            </w:pPr>
            <w:r w:rsidRPr="00645B1C">
              <w:rPr>
                <w:rFonts w:cs="Arial"/>
                <w:color w:val="000000"/>
                <w:szCs w:val="18"/>
              </w:rPr>
              <w:t>59.6</w:t>
            </w:r>
            <w:r w:rsidR="00E54531">
              <w:rPr>
                <w:rFonts w:cs="Arial"/>
                <w:color w:val="000000"/>
                <w:szCs w:val="18"/>
              </w:rPr>
              <w:t xml:space="preserve"> </w:t>
            </w:r>
          </w:p>
        </w:tc>
        <w:tc>
          <w:tcPr>
            <w:tcW w:w="1252" w:type="dxa"/>
            <w:shd w:val="clear" w:color="auto" w:fill="auto"/>
          </w:tcPr>
          <w:p w14:paraId="1F2DC299" w14:textId="3B041A72"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59.7</w:t>
            </w:r>
          </w:p>
        </w:tc>
        <w:tc>
          <w:tcPr>
            <w:tcW w:w="1817" w:type="dxa"/>
            <w:shd w:val="clear" w:color="auto" w:fill="auto"/>
          </w:tcPr>
          <w:p w14:paraId="398F3CED" w14:textId="27775019" w:rsidR="006756DB" w:rsidRPr="00645B1C" w:rsidRDefault="00D7173A" w:rsidP="00E1750A">
            <w:pPr>
              <w:pStyle w:val="DHHStabletext"/>
              <w:jc w:val="right"/>
              <w:rPr>
                <w:rFonts w:cs="Arial"/>
                <w:szCs w:val="18"/>
                <w:lang w:eastAsia="en-AU"/>
              </w:rPr>
            </w:pPr>
            <w:r w:rsidRPr="00645B1C">
              <w:rPr>
                <w:rFonts w:cs="Arial"/>
                <w:color w:val="000000"/>
                <w:szCs w:val="18"/>
              </w:rPr>
              <w:t>0.2%</w:t>
            </w:r>
          </w:p>
        </w:tc>
      </w:tr>
      <w:tr w:rsidR="00AE6427" w:rsidRPr="006756DB" w14:paraId="64372286" w14:textId="77777777" w:rsidTr="00AE6427">
        <w:trPr>
          <w:trHeight w:val="300"/>
        </w:trPr>
        <w:tc>
          <w:tcPr>
            <w:tcW w:w="4956" w:type="dxa"/>
            <w:shd w:val="clear" w:color="auto" w:fill="auto"/>
            <w:hideMark/>
          </w:tcPr>
          <w:p w14:paraId="5DAED53B"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Aged Support Services  </w:t>
            </w:r>
          </w:p>
        </w:tc>
        <w:tc>
          <w:tcPr>
            <w:tcW w:w="1257" w:type="dxa"/>
            <w:shd w:val="clear" w:color="auto" w:fill="auto"/>
          </w:tcPr>
          <w:p w14:paraId="1737168C" w14:textId="274889E7" w:rsidR="006756DB" w:rsidRPr="00645B1C" w:rsidRDefault="00D7173A" w:rsidP="003D3BF5">
            <w:pPr>
              <w:pStyle w:val="DHHStabletext"/>
              <w:ind w:left="4" w:right="112"/>
              <w:jc w:val="right"/>
              <w:rPr>
                <w:rFonts w:cs="Arial"/>
                <w:szCs w:val="18"/>
                <w:lang w:eastAsia="en-AU"/>
              </w:rPr>
            </w:pPr>
            <w:r w:rsidRPr="00645B1C">
              <w:rPr>
                <w:rFonts w:cs="Arial"/>
                <w:color w:val="000000"/>
                <w:szCs w:val="18"/>
              </w:rPr>
              <w:t>108.8</w:t>
            </w:r>
          </w:p>
        </w:tc>
        <w:tc>
          <w:tcPr>
            <w:tcW w:w="1252" w:type="dxa"/>
            <w:shd w:val="clear" w:color="auto" w:fill="auto"/>
          </w:tcPr>
          <w:p w14:paraId="3768B1BB" w14:textId="24DF2CF3"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67.6</w:t>
            </w:r>
          </w:p>
        </w:tc>
        <w:tc>
          <w:tcPr>
            <w:tcW w:w="1817" w:type="dxa"/>
            <w:shd w:val="clear" w:color="auto" w:fill="auto"/>
          </w:tcPr>
          <w:p w14:paraId="4677279A" w14:textId="2F716DD7" w:rsidR="006756DB" w:rsidRPr="00645B1C" w:rsidRDefault="00D7173A" w:rsidP="00E1750A">
            <w:pPr>
              <w:pStyle w:val="DHHStabletext"/>
              <w:jc w:val="right"/>
              <w:rPr>
                <w:rFonts w:cs="Arial"/>
                <w:lang w:eastAsia="en-AU"/>
              </w:rPr>
            </w:pPr>
            <w:r w:rsidRPr="1963A7A8">
              <w:rPr>
                <w:rFonts w:cs="Arial"/>
                <w:color w:val="000000" w:themeColor="text1"/>
              </w:rPr>
              <w:t>-37.</w:t>
            </w:r>
            <w:r w:rsidR="00573AF1">
              <w:rPr>
                <w:rFonts w:cs="Arial"/>
                <w:color w:val="000000" w:themeColor="text1"/>
              </w:rPr>
              <w:t>8</w:t>
            </w:r>
            <w:r w:rsidRPr="1963A7A8">
              <w:rPr>
                <w:rFonts w:cs="Arial"/>
                <w:color w:val="000000" w:themeColor="text1"/>
              </w:rPr>
              <w:t>%</w:t>
            </w:r>
          </w:p>
        </w:tc>
      </w:tr>
      <w:tr w:rsidR="00AE6427" w:rsidRPr="006756DB" w14:paraId="401D7CED" w14:textId="77777777" w:rsidTr="00AE6427">
        <w:trPr>
          <w:trHeight w:val="300"/>
        </w:trPr>
        <w:tc>
          <w:tcPr>
            <w:tcW w:w="4956" w:type="dxa"/>
            <w:shd w:val="clear" w:color="auto" w:fill="auto"/>
            <w:hideMark/>
          </w:tcPr>
          <w:p w14:paraId="323457E1"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Home and Community Care Program for Younger People  </w:t>
            </w:r>
          </w:p>
        </w:tc>
        <w:tc>
          <w:tcPr>
            <w:tcW w:w="1257" w:type="dxa"/>
            <w:shd w:val="clear" w:color="auto" w:fill="auto"/>
          </w:tcPr>
          <w:p w14:paraId="1D1C2D7B" w14:textId="53AB3443" w:rsidR="006756DB" w:rsidRPr="00645B1C" w:rsidRDefault="00D7173A" w:rsidP="003D3BF5">
            <w:pPr>
              <w:pStyle w:val="DHHStabletext"/>
              <w:ind w:left="4" w:right="112"/>
              <w:jc w:val="right"/>
              <w:rPr>
                <w:rFonts w:cs="Arial"/>
                <w:szCs w:val="18"/>
                <w:lang w:eastAsia="en-AU"/>
              </w:rPr>
            </w:pPr>
            <w:r w:rsidRPr="00645B1C">
              <w:rPr>
                <w:rFonts w:cs="Arial"/>
                <w:color w:val="000000"/>
                <w:szCs w:val="18"/>
              </w:rPr>
              <w:t>202.2</w:t>
            </w:r>
          </w:p>
        </w:tc>
        <w:tc>
          <w:tcPr>
            <w:tcW w:w="1252" w:type="dxa"/>
            <w:shd w:val="clear" w:color="auto" w:fill="auto"/>
          </w:tcPr>
          <w:p w14:paraId="5D0979E2" w14:textId="6A00E09A"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189.7</w:t>
            </w:r>
          </w:p>
        </w:tc>
        <w:tc>
          <w:tcPr>
            <w:tcW w:w="1817" w:type="dxa"/>
            <w:shd w:val="clear" w:color="auto" w:fill="auto"/>
          </w:tcPr>
          <w:p w14:paraId="4F95C7C4" w14:textId="3EB57439" w:rsidR="006756DB" w:rsidRPr="00645B1C" w:rsidRDefault="00D7173A" w:rsidP="00E1750A">
            <w:pPr>
              <w:pStyle w:val="DHHStabletext"/>
              <w:jc w:val="right"/>
              <w:rPr>
                <w:rFonts w:cs="Arial"/>
                <w:szCs w:val="18"/>
                <w:lang w:eastAsia="en-AU"/>
              </w:rPr>
            </w:pPr>
            <w:r w:rsidRPr="00645B1C">
              <w:rPr>
                <w:rFonts w:cs="Arial"/>
                <w:color w:val="000000"/>
                <w:szCs w:val="18"/>
              </w:rPr>
              <w:t>-6.2%</w:t>
            </w:r>
          </w:p>
        </w:tc>
      </w:tr>
      <w:tr w:rsidR="00AE6427" w:rsidRPr="006756DB" w14:paraId="122E7314" w14:textId="77777777" w:rsidTr="00AE6427">
        <w:trPr>
          <w:trHeight w:val="300"/>
        </w:trPr>
        <w:tc>
          <w:tcPr>
            <w:tcW w:w="4956" w:type="dxa"/>
            <w:shd w:val="clear" w:color="auto" w:fill="auto"/>
            <w:hideMark/>
          </w:tcPr>
          <w:p w14:paraId="464E57F4"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Ambulance Emergency Services  </w:t>
            </w:r>
          </w:p>
        </w:tc>
        <w:tc>
          <w:tcPr>
            <w:tcW w:w="1257" w:type="dxa"/>
            <w:shd w:val="clear" w:color="auto" w:fill="auto"/>
          </w:tcPr>
          <w:p w14:paraId="46910CE6" w14:textId="5C940F7B" w:rsidR="006756DB" w:rsidRPr="00645B1C" w:rsidRDefault="67795DC8" w:rsidP="003D3BF5">
            <w:pPr>
              <w:pStyle w:val="DHHStabletext"/>
              <w:ind w:left="4" w:right="112"/>
              <w:jc w:val="right"/>
              <w:rPr>
                <w:rFonts w:cs="Arial"/>
                <w:lang w:eastAsia="en-AU"/>
              </w:rPr>
            </w:pPr>
            <w:r w:rsidRPr="094986AD">
              <w:rPr>
                <w:rFonts w:cs="Arial"/>
                <w:color w:val="000000" w:themeColor="text1"/>
              </w:rPr>
              <w:t>1 166</w:t>
            </w:r>
            <w:r w:rsidR="00D7173A" w:rsidRPr="094986AD">
              <w:rPr>
                <w:rFonts w:cs="Arial"/>
                <w:color w:val="000000" w:themeColor="text1"/>
              </w:rPr>
              <w:t>.5</w:t>
            </w:r>
          </w:p>
        </w:tc>
        <w:tc>
          <w:tcPr>
            <w:tcW w:w="1252" w:type="dxa"/>
            <w:shd w:val="clear" w:color="auto" w:fill="auto"/>
          </w:tcPr>
          <w:p w14:paraId="45A8A48D" w14:textId="6AE495A9" w:rsidR="006756DB" w:rsidRPr="00645B1C" w:rsidRDefault="67795DC8" w:rsidP="002623CB">
            <w:pPr>
              <w:pStyle w:val="DHHStabletext"/>
              <w:ind w:left="157" w:right="101"/>
              <w:jc w:val="right"/>
              <w:rPr>
                <w:rFonts w:cs="Arial"/>
                <w:lang w:eastAsia="en-AU"/>
              </w:rPr>
            </w:pPr>
            <w:r w:rsidRPr="094986AD">
              <w:rPr>
                <w:rFonts w:cs="Arial"/>
                <w:color w:val="000000" w:themeColor="text1"/>
              </w:rPr>
              <w:t>1 212</w:t>
            </w:r>
            <w:r w:rsidR="00D7173A" w:rsidRPr="094986AD">
              <w:rPr>
                <w:rFonts w:cs="Arial"/>
                <w:color w:val="000000" w:themeColor="text1"/>
              </w:rPr>
              <w:t>.8</w:t>
            </w:r>
          </w:p>
        </w:tc>
        <w:tc>
          <w:tcPr>
            <w:tcW w:w="1817" w:type="dxa"/>
            <w:shd w:val="clear" w:color="auto" w:fill="auto"/>
          </w:tcPr>
          <w:p w14:paraId="71BD9C9F" w14:textId="5914808B" w:rsidR="006756DB" w:rsidRPr="00645B1C" w:rsidRDefault="00D7173A" w:rsidP="00E1750A">
            <w:pPr>
              <w:pStyle w:val="DHHStabletext"/>
              <w:jc w:val="right"/>
              <w:rPr>
                <w:rFonts w:cs="Arial"/>
                <w:szCs w:val="18"/>
                <w:lang w:eastAsia="en-AU"/>
              </w:rPr>
            </w:pPr>
            <w:r w:rsidRPr="00645B1C">
              <w:rPr>
                <w:rFonts w:cs="Arial"/>
                <w:color w:val="000000"/>
                <w:szCs w:val="18"/>
              </w:rPr>
              <w:t>4.0%</w:t>
            </w:r>
          </w:p>
        </w:tc>
      </w:tr>
      <w:tr w:rsidR="00AE6427" w:rsidRPr="006756DB" w14:paraId="6B2FB422" w14:textId="77777777" w:rsidTr="00AE6427">
        <w:trPr>
          <w:trHeight w:val="300"/>
        </w:trPr>
        <w:tc>
          <w:tcPr>
            <w:tcW w:w="4956" w:type="dxa"/>
            <w:shd w:val="clear" w:color="auto" w:fill="auto"/>
            <w:hideMark/>
          </w:tcPr>
          <w:p w14:paraId="1B018EB9"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Ambulance Non-Emergency Services  </w:t>
            </w:r>
          </w:p>
        </w:tc>
        <w:tc>
          <w:tcPr>
            <w:tcW w:w="1257" w:type="dxa"/>
            <w:shd w:val="clear" w:color="auto" w:fill="auto"/>
          </w:tcPr>
          <w:p w14:paraId="25CD1B7C" w14:textId="646E8753" w:rsidR="006756DB" w:rsidRPr="00645B1C" w:rsidRDefault="00D7173A" w:rsidP="003D3BF5">
            <w:pPr>
              <w:pStyle w:val="DHHStabletext"/>
              <w:ind w:left="4" w:right="112"/>
              <w:jc w:val="right"/>
              <w:rPr>
                <w:rFonts w:cs="Arial"/>
                <w:lang w:eastAsia="en-AU"/>
              </w:rPr>
            </w:pPr>
            <w:r w:rsidRPr="094986AD">
              <w:rPr>
                <w:rFonts w:cs="Arial"/>
                <w:color w:val="000000" w:themeColor="text1"/>
              </w:rPr>
              <w:t>197</w:t>
            </w:r>
            <w:r w:rsidR="67795DC8" w:rsidRPr="094986AD">
              <w:rPr>
                <w:rFonts w:cs="Arial"/>
                <w:color w:val="000000" w:themeColor="text1"/>
              </w:rPr>
              <w:t>.0</w:t>
            </w:r>
          </w:p>
        </w:tc>
        <w:tc>
          <w:tcPr>
            <w:tcW w:w="1252" w:type="dxa"/>
            <w:shd w:val="clear" w:color="auto" w:fill="auto"/>
          </w:tcPr>
          <w:p w14:paraId="48A43A70" w14:textId="5035B8A1" w:rsidR="006756DB" w:rsidRPr="00645B1C" w:rsidRDefault="00D7173A" w:rsidP="002623CB">
            <w:pPr>
              <w:pStyle w:val="DHHStabletext"/>
              <w:ind w:left="157" w:right="101"/>
              <w:jc w:val="right"/>
              <w:rPr>
                <w:rFonts w:cs="Arial"/>
                <w:lang w:eastAsia="en-AU"/>
              </w:rPr>
            </w:pPr>
            <w:r w:rsidRPr="094986AD">
              <w:rPr>
                <w:rFonts w:cs="Arial"/>
                <w:color w:val="000000" w:themeColor="text1"/>
              </w:rPr>
              <w:t>180</w:t>
            </w:r>
            <w:r w:rsidR="67795DC8" w:rsidRPr="094986AD">
              <w:rPr>
                <w:rFonts w:cs="Arial"/>
                <w:color w:val="000000" w:themeColor="text1"/>
              </w:rPr>
              <w:t>.0</w:t>
            </w:r>
          </w:p>
        </w:tc>
        <w:tc>
          <w:tcPr>
            <w:tcW w:w="1817" w:type="dxa"/>
            <w:shd w:val="clear" w:color="auto" w:fill="auto"/>
          </w:tcPr>
          <w:p w14:paraId="5F62C516" w14:textId="54BD001D" w:rsidR="006756DB" w:rsidRPr="00645B1C" w:rsidRDefault="00D7173A" w:rsidP="00E1750A">
            <w:pPr>
              <w:pStyle w:val="DHHStabletext"/>
              <w:jc w:val="right"/>
              <w:rPr>
                <w:rFonts w:cs="Arial"/>
                <w:szCs w:val="18"/>
                <w:lang w:eastAsia="en-AU"/>
              </w:rPr>
            </w:pPr>
            <w:r w:rsidRPr="00645B1C">
              <w:rPr>
                <w:rFonts w:cs="Arial"/>
                <w:color w:val="000000"/>
                <w:szCs w:val="18"/>
              </w:rPr>
              <w:t>-8.6%</w:t>
            </w:r>
          </w:p>
        </w:tc>
      </w:tr>
      <w:tr w:rsidR="00AE6427" w:rsidRPr="006756DB" w14:paraId="54C9DC0B" w14:textId="77777777" w:rsidTr="00AE6427">
        <w:trPr>
          <w:trHeight w:val="300"/>
        </w:trPr>
        <w:tc>
          <w:tcPr>
            <w:tcW w:w="4956" w:type="dxa"/>
            <w:shd w:val="clear" w:color="auto" w:fill="auto"/>
            <w:hideMark/>
          </w:tcPr>
          <w:p w14:paraId="201E5FB5"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Drug Prevention and Control  </w:t>
            </w:r>
          </w:p>
        </w:tc>
        <w:tc>
          <w:tcPr>
            <w:tcW w:w="1257" w:type="dxa"/>
            <w:shd w:val="clear" w:color="auto" w:fill="auto"/>
          </w:tcPr>
          <w:p w14:paraId="484A7733" w14:textId="71BA3270" w:rsidR="006756DB" w:rsidRPr="00645B1C" w:rsidRDefault="00D7173A" w:rsidP="003D3BF5">
            <w:pPr>
              <w:pStyle w:val="DHHStabletext"/>
              <w:ind w:left="4" w:right="112"/>
              <w:jc w:val="right"/>
              <w:rPr>
                <w:rFonts w:cs="Arial"/>
                <w:szCs w:val="18"/>
                <w:lang w:eastAsia="en-AU"/>
              </w:rPr>
            </w:pPr>
            <w:r w:rsidRPr="00645B1C">
              <w:rPr>
                <w:rFonts w:cs="Arial"/>
                <w:color w:val="000000"/>
                <w:szCs w:val="18"/>
              </w:rPr>
              <w:t>44.8</w:t>
            </w:r>
          </w:p>
        </w:tc>
        <w:tc>
          <w:tcPr>
            <w:tcW w:w="1252" w:type="dxa"/>
            <w:shd w:val="clear" w:color="auto" w:fill="auto"/>
          </w:tcPr>
          <w:p w14:paraId="6BCBAE33" w14:textId="0F2DE269"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40.8</w:t>
            </w:r>
          </w:p>
        </w:tc>
        <w:tc>
          <w:tcPr>
            <w:tcW w:w="1817" w:type="dxa"/>
            <w:shd w:val="clear" w:color="auto" w:fill="auto"/>
          </w:tcPr>
          <w:p w14:paraId="7FE6D016" w14:textId="7C3CAC29" w:rsidR="006756DB" w:rsidRPr="00645B1C" w:rsidRDefault="00D7173A" w:rsidP="00E1750A">
            <w:pPr>
              <w:pStyle w:val="DHHStabletext"/>
              <w:jc w:val="right"/>
              <w:rPr>
                <w:rFonts w:cs="Arial"/>
                <w:lang w:eastAsia="en-AU"/>
              </w:rPr>
            </w:pPr>
            <w:r w:rsidRPr="1963A7A8">
              <w:rPr>
                <w:rFonts w:cs="Arial"/>
                <w:color w:val="000000" w:themeColor="text1"/>
              </w:rPr>
              <w:t>-</w:t>
            </w:r>
            <w:r w:rsidR="004764FC">
              <w:rPr>
                <w:rFonts w:cs="Arial"/>
                <w:color w:val="000000" w:themeColor="text1"/>
              </w:rPr>
              <w:t>9.1</w:t>
            </w:r>
            <w:r w:rsidRPr="1963A7A8">
              <w:rPr>
                <w:rFonts w:cs="Arial"/>
                <w:color w:val="000000" w:themeColor="text1"/>
              </w:rPr>
              <w:t>%</w:t>
            </w:r>
          </w:p>
        </w:tc>
      </w:tr>
      <w:tr w:rsidR="00AE6427" w:rsidRPr="006756DB" w14:paraId="6BC1D8FF" w14:textId="77777777" w:rsidTr="00AE6427">
        <w:trPr>
          <w:trHeight w:val="300"/>
        </w:trPr>
        <w:tc>
          <w:tcPr>
            <w:tcW w:w="4956" w:type="dxa"/>
            <w:shd w:val="clear" w:color="auto" w:fill="auto"/>
            <w:hideMark/>
          </w:tcPr>
          <w:p w14:paraId="5F0B7C2B"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Drug Treatment and Rehabilitation  </w:t>
            </w:r>
          </w:p>
        </w:tc>
        <w:tc>
          <w:tcPr>
            <w:tcW w:w="1257" w:type="dxa"/>
            <w:shd w:val="clear" w:color="auto" w:fill="auto"/>
          </w:tcPr>
          <w:p w14:paraId="56A76638" w14:textId="14D675D1" w:rsidR="006756DB" w:rsidRPr="00645B1C" w:rsidRDefault="00D7173A" w:rsidP="003D3BF5">
            <w:pPr>
              <w:pStyle w:val="DHHStabletext"/>
              <w:ind w:left="4" w:right="112"/>
              <w:jc w:val="right"/>
              <w:rPr>
                <w:rFonts w:cs="Arial"/>
                <w:szCs w:val="18"/>
                <w:lang w:eastAsia="en-AU"/>
              </w:rPr>
            </w:pPr>
            <w:r w:rsidRPr="00645B1C">
              <w:rPr>
                <w:rFonts w:cs="Arial"/>
                <w:color w:val="000000"/>
                <w:szCs w:val="18"/>
              </w:rPr>
              <w:t>285.4</w:t>
            </w:r>
          </w:p>
        </w:tc>
        <w:tc>
          <w:tcPr>
            <w:tcW w:w="1252" w:type="dxa"/>
            <w:shd w:val="clear" w:color="auto" w:fill="auto"/>
          </w:tcPr>
          <w:p w14:paraId="6F09620F" w14:textId="0272977D" w:rsidR="006756DB" w:rsidRPr="00645B1C" w:rsidRDefault="00D7173A" w:rsidP="002623CB">
            <w:pPr>
              <w:pStyle w:val="DHHStabletext"/>
              <w:ind w:left="157" w:right="101"/>
              <w:jc w:val="right"/>
              <w:rPr>
                <w:rFonts w:cs="Arial"/>
                <w:szCs w:val="18"/>
                <w:lang w:eastAsia="en-AU"/>
              </w:rPr>
            </w:pPr>
            <w:r w:rsidRPr="00645B1C">
              <w:rPr>
                <w:rFonts w:cs="Arial"/>
                <w:color w:val="000000"/>
                <w:szCs w:val="18"/>
              </w:rPr>
              <w:t>272.5</w:t>
            </w:r>
          </w:p>
        </w:tc>
        <w:tc>
          <w:tcPr>
            <w:tcW w:w="1817" w:type="dxa"/>
            <w:shd w:val="clear" w:color="auto" w:fill="auto"/>
          </w:tcPr>
          <w:p w14:paraId="5603D2FB" w14:textId="012A519C" w:rsidR="006756DB" w:rsidRPr="00645B1C" w:rsidRDefault="00D7173A" w:rsidP="00E1750A">
            <w:pPr>
              <w:pStyle w:val="DHHStabletext"/>
              <w:jc w:val="right"/>
              <w:rPr>
                <w:rFonts w:cs="Arial"/>
                <w:szCs w:val="18"/>
                <w:lang w:eastAsia="en-AU"/>
              </w:rPr>
            </w:pPr>
            <w:r w:rsidRPr="00645B1C">
              <w:rPr>
                <w:rFonts w:cs="Arial"/>
                <w:color w:val="000000"/>
                <w:szCs w:val="18"/>
              </w:rPr>
              <w:t>-4.5%</w:t>
            </w:r>
          </w:p>
        </w:tc>
      </w:tr>
      <w:tr w:rsidR="00AE6427" w:rsidRPr="006756DB" w14:paraId="280211C5" w14:textId="77777777" w:rsidTr="00AE6427">
        <w:trPr>
          <w:trHeight w:val="300"/>
        </w:trPr>
        <w:tc>
          <w:tcPr>
            <w:tcW w:w="4956" w:type="dxa"/>
            <w:shd w:val="clear" w:color="auto" w:fill="auto"/>
            <w:hideMark/>
          </w:tcPr>
          <w:p w14:paraId="06AEAB79"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lastRenderedPageBreak/>
              <w:t>Mental Health Clinical Care  </w:t>
            </w:r>
          </w:p>
        </w:tc>
        <w:tc>
          <w:tcPr>
            <w:tcW w:w="1257" w:type="dxa"/>
            <w:shd w:val="clear" w:color="auto" w:fill="auto"/>
          </w:tcPr>
          <w:p w14:paraId="75F4E5BE" w14:textId="3CCBCB3F" w:rsidR="006756DB" w:rsidRPr="00645B1C" w:rsidRDefault="00D7173A" w:rsidP="002623CB">
            <w:pPr>
              <w:pStyle w:val="DHHStabletext"/>
              <w:ind w:right="112"/>
              <w:jc w:val="right"/>
              <w:rPr>
                <w:rFonts w:cs="Arial"/>
                <w:lang w:eastAsia="en-AU"/>
              </w:rPr>
            </w:pPr>
            <w:r w:rsidRPr="094986AD">
              <w:rPr>
                <w:rFonts w:cs="Arial"/>
                <w:color w:val="000000" w:themeColor="text1"/>
              </w:rPr>
              <w:t>2177</w:t>
            </w:r>
            <w:r w:rsidR="67795DC8" w:rsidRPr="094986AD">
              <w:rPr>
                <w:rFonts w:cs="Arial"/>
                <w:color w:val="000000" w:themeColor="text1"/>
              </w:rPr>
              <w:t>.0</w:t>
            </w:r>
          </w:p>
        </w:tc>
        <w:tc>
          <w:tcPr>
            <w:tcW w:w="1252" w:type="dxa"/>
            <w:shd w:val="clear" w:color="auto" w:fill="auto"/>
          </w:tcPr>
          <w:p w14:paraId="4F1EB158" w14:textId="6646D8D6"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2594.7</w:t>
            </w:r>
          </w:p>
        </w:tc>
        <w:tc>
          <w:tcPr>
            <w:tcW w:w="1817" w:type="dxa"/>
            <w:shd w:val="clear" w:color="auto" w:fill="auto"/>
          </w:tcPr>
          <w:p w14:paraId="6786589B" w14:textId="46F988BF" w:rsidR="006756DB" w:rsidRPr="00645B1C" w:rsidRDefault="00D7173A" w:rsidP="00E1750A">
            <w:pPr>
              <w:pStyle w:val="DHHStabletext"/>
              <w:jc w:val="right"/>
              <w:rPr>
                <w:rFonts w:cs="Arial"/>
                <w:szCs w:val="18"/>
                <w:lang w:eastAsia="en-AU"/>
              </w:rPr>
            </w:pPr>
            <w:r w:rsidRPr="00645B1C">
              <w:rPr>
                <w:rFonts w:cs="Arial"/>
                <w:color w:val="000000"/>
                <w:szCs w:val="18"/>
              </w:rPr>
              <w:t>19.2%</w:t>
            </w:r>
          </w:p>
        </w:tc>
      </w:tr>
      <w:tr w:rsidR="00AE6427" w:rsidRPr="006756DB" w14:paraId="05F6B652" w14:textId="77777777" w:rsidTr="00AE6427">
        <w:trPr>
          <w:trHeight w:val="300"/>
        </w:trPr>
        <w:tc>
          <w:tcPr>
            <w:tcW w:w="4956" w:type="dxa"/>
            <w:shd w:val="clear" w:color="auto" w:fill="auto"/>
            <w:hideMark/>
          </w:tcPr>
          <w:p w14:paraId="727075C6"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Mental Health Community Support Services  </w:t>
            </w:r>
          </w:p>
        </w:tc>
        <w:tc>
          <w:tcPr>
            <w:tcW w:w="1257" w:type="dxa"/>
            <w:shd w:val="clear" w:color="auto" w:fill="auto"/>
          </w:tcPr>
          <w:p w14:paraId="5F632A82" w14:textId="6DFFDCA7" w:rsidR="006756DB" w:rsidRPr="00645B1C" w:rsidRDefault="00D7173A" w:rsidP="002623CB">
            <w:pPr>
              <w:pStyle w:val="DHHStabletext"/>
              <w:ind w:right="112"/>
              <w:jc w:val="right"/>
              <w:rPr>
                <w:rFonts w:cs="Arial"/>
                <w:szCs w:val="18"/>
                <w:lang w:eastAsia="en-AU"/>
              </w:rPr>
            </w:pPr>
            <w:r w:rsidRPr="00645B1C">
              <w:rPr>
                <w:rFonts w:cs="Arial"/>
                <w:color w:val="000000"/>
                <w:szCs w:val="18"/>
              </w:rPr>
              <w:t>166.3</w:t>
            </w:r>
          </w:p>
        </w:tc>
        <w:tc>
          <w:tcPr>
            <w:tcW w:w="1252" w:type="dxa"/>
            <w:shd w:val="clear" w:color="auto" w:fill="auto"/>
          </w:tcPr>
          <w:p w14:paraId="7A62A78C" w14:textId="0BC0E7A2"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155.2</w:t>
            </w:r>
          </w:p>
        </w:tc>
        <w:tc>
          <w:tcPr>
            <w:tcW w:w="1817" w:type="dxa"/>
            <w:shd w:val="clear" w:color="auto" w:fill="auto"/>
          </w:tcPr>
          <w:p w14:paraId="35C29C66" w14:textId="0282FA29" w:rsidR="006756DB" w:rsidRPr="00645B1C" w:rsidRDefault="00D7173A" w:rsidP="00E1750A">
            <w:pPr>
              <w:pStyle w:val="DHHStabletext"/>
              <w:jc w:val="right"/>
              <w:rPr>
                <w:rFonts w:cs="Arial"/>
                <w:szCs w:val="18"/>
                <w:lang w:eastAsia="en-AU"/>
              </w:rPr>
            </w:pPr>
            <w:r w:rsidRPr="00645B1C">
              <w:rPr>
                <w:rFonts w:cs="Arial"/>
                <w:color w:val="000000"/>
                <w:szCs w:val="18"/>
              </w:rPr>
              <w:t>-6.7%</w:t>
            </w:r>
          </w:p>
        </w:tc>
      </w:tr>
      <w:tr w:rsidR="00AE6427" w:rsidRPr="006756DB" w14:paraId="2469F1B3" w14:textId="77777777" w:rsidTr="00AE6427">
        <w:trPr>
          <w:trHeight w:val="300"/>
        </w:trPr>
        <w:tc>
          <w:tcPr>
            <w:tcW w:w="4956" w:type="dxa"/>
            <w:shd w:val="clear" w:color="auto" w:fill="auto"/>
            <w:hideMark/>
          </w:tcPr>
          <w:p w14:paraId="64BD2348"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Community Health Care  </w:t>
            </w:r>
          </w:p>
        </w:tc>
        <w:tc>
          <w:tcPr>
            <w:tcW w:w="1257" w:type="dxa"/>
            <w:shd w:val="clear" w:color="auto" w:fill="auto"/>
          </w:tcPr>
          <w:p w14:paraId="46FF6389" w14:textId="583B7D6B" w:rsidR="006756DB" w:rsidRPr="00645B1C" w:rsidRDefault="00D7173A" w:rsidP="002623CB">
            <w:pPr>
              <w:pStyle w:val="DHHStabletext"/>
              <w:ind w:right="112"/>
              <w:jc w:val="right"/>
              <w:rPr>
                <w:rFonts w:cs="Arial"/>
                <w:lang w:eastAsia="en-AU"/>
              </w:rPr>
            </w:pPr>
            <w:r w:rsidRPr="094986AD">
              <w:rPr>
                <w:rFonts w:cs="Arial"/>
                <w:color w:val="000000" w:themeColor="text1"/>
              </w:rPr>
              <w:t>381</w:t>
            </w:r>
            <w:r w:rsidR="67795DC8" w:rsidRPr="094986AD">
              <w:rPr>
                <w:rFonts w:cs="Arial"/>
                <w:color w:val="000000" w:themeColor="text1"/>
              </w:rPr>
              <w:t>.0</w:t>
            </w:r>
          </w:p>
        </w:tc>
        <w:tc>
          <w:tcPr>
            <w:tcW w:w="1252" w:type="dxa"/>
            <w:shd w:val="clear" w:color="auto" w:fill="auto"/>
          </w:tcPr>
          <w:p w14:paraId="4E9A6B91" w14:textId="700C9D6E"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401.2</w:t>
            </w:r>
          </w:p>
        </w:tc>
        <w:tc>
          <w:tcPr>
            <w:tcW w:w="1817" w:type="dxa"/>
            <w:shd w:val="clear" w:color="auto" w:fill="auto"/>
            <w:hideMark/>
          </w:tcPr>
          <w:p w14:paraId="151D69A1" w14:textId="2F00859D" w:rsidR="006756DB" w:rsidRPr="00645B1C" w:rsidRDefault="00D7173A" w:rsidP="00E1750A">
            <w:pPr>
              <w:pStyle w:val="DHHStabletext"/>
              <w:jc w:val="right"/>
              <w:rPr>
                <w:rFonts w:cs="Arial"/>
                <w:szCs w:val="18"/>
                <w:lang w:eastAsia="en-AU"/>
              </w:rPr>
            </w:pPr>
            <w:r w:rsidRPr="00645B1C">
              <w:rPr>
                <w:rFonts w:cs="Arial"/>
                <w:color w:val="000000"/>
                <w:szCs w:val="18"/>
              </w:rPr>
              <w:t>5.3%</w:t>
            </w:r>
          </w:p>
        </w:tc>
      </w:tr>
      <w:tr w:rsidR="00AE6427" w:rsidRPr="006756DB" w14:paraId="66725B9E" w14:textId="77777777" w:rsidTr="00AE6427">
        <w:trPr>
          <w:trHeight w:val="300"/>
        </w:trPr>
        <w:tc>
          <w:tcPr>
            <w:tcW w:w="4956" w:type="dxa"/>
            <w:shd w:val="clear" w:color="auto" w:fill="auto"/>
            <w:hideMark/>
          </w:tcPr>
          <w:p w14:paraId="0F6A19F3"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Dental Services  </w:t>
            </w:r>
          </w:p>
        </w:tc>
        <w:tc>
          <w:tcPr>
            <w:tcW w:w="1257" w:type="dxa"/>
            <w:shd w:val="clear" w:color="auto" w:fill="auto"/>
          </w:tcPr>
          <w:p w14:paraId="74724269" w14:textId="4212AD3B" w:rsidR="006756DB" w:rsidRPr="00645B1C" w:rsidRDefault="00D7173A" w:rsidP="002623CB">
            <w:pPr>
              <w:pStyle w:val="DHHStabletext"/>
              <w:ind w:right="112"/>
              <w:jc w:val="right"/>
              <w:rPr>
                <w:rFonts w:cs="Arial"/>
                <w:szCs w:val="18"/>
                <w:lang w:eastAsia="en-AU"/>
              </w:rPr>
            </w:pPr>
            <w:r w:rsidRPr="00645B1C">
              <w:rPr>
                <w:rFonts w:cs="Arial"/>
                <w:color w:val="000000"/>
                <w:szCs w:val="18"/>
              </w:rPr>
              <w:t>351.9</w:t>
            </w:r>
          </w:p>
        </w:tc>
        <w:tc>
          <w:tcPr>
            <w:tcW w:w="1252" w:type="dxa"/>
            <w:shd w:val="clear" w:color="auto" w:fill="auto"/>
          </w:tcPr>
          <w:p w14:paraId="5E6AACC1" w14:textId="618C7810"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327.7</w:t>
            </w:r>
          </w:p>
        </w:tc>
        <w:tc>
          <w:tcPr>
            <w:tcW w:w="1817" w:type="dxa"/>
            <w:shd w:val="clear" w:color="auto" w:fill="auto"/>
          </w:tcPr>
          <w:p w14:paraId="3D7256A2" w14:textId="64E6F087" w:rsidR="006756DB" w:rsidRPr="00645B1C" w:rsidRDefault="00D7173A" w:rsidP="00E1750A">
            <w:pPr>
              <w:pStyle w:val="DHHStabletext"/>
              <w:jc w:val="right"/>
              <w:rPr>
                <w:rFonts w:cs="Arial"/>
                <w:szCs w:val="18"/>
                <w:lang w:eastAsia="en-AU"/>
              </w:rPr>
            </w:pPr>
            <w:r w:rsidRPr="00645B1C">
              <w:rPr>
                <w:rFonts w:cs="Arial"/>
                <w:color w:val="000000"/>
                <w:szCs w:val="18"/>
              </w:rPr>
              <w:t>-6.9%</w:t>
            </w:r>
          </w:p>
        </w:tc>
      </w:tr>
      <w:tr w:rsidR="00AE6427" w:rsidRPr="006756DB" w14:paraId="67B4E3B4" w14:textId="77777777" w:rsidTr="00AE6427">
        <w:trPr>
          <w:trHeight w:val="300"/>
        </w:trPr>
        <w:tc>
          <w:tcPr>
            <w:tcW w:w="4956" w:type="dxa"/>
            <w:shd w:val="clear" w:color="auto" w:fill="auto"/>
            <w:hideMark/>
          </w:tcPr>
          <w:p w14:paraId="4C31A346"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Maternal and Child Health and Early Parenting Services  </w:t>
            </w:r>
          </w:p>
        </w:tc>
        <w:tc>
          <w:tcPr>
            <w:tcW w:w="1257" w:type="dxa"/>
            <w:shd w:val="clear" w:color="auto" w:fill="auto"/>
          </w:tcPr>
          <w:p w14:paraId="27519D55" w14:textId="0AA64868" w:rsidR="006756DB" w:rsidRPr="00645B1C" w:rsidRDefault="00D7173A" w:rsidP="002623CB">
            <w:pPr>
              <w:pStyle w:val="DHHStabletext"/>
              <w:ind w:right="112"/>
              <w:jc w:val="right"/>
              <w:rPr>
                <w:rFonts w:cs="Arial"/>
                <w:szCs w:val="18"/>
                <w:lang w:eastAsia="en-AU"/>
              </w:rPr>
            </w:pPr>
            <w:r w:rsidRPr="00645B1C">
              <w:rPr>
                <w:rFonts w:cs="Arial"/>
                <w:color w:val="000000"/>
                <w:szCs w:val="18"/>
              </w:rPr>
              <w:t>150.6</w:t>
            </w:r>
          </w:p>
        </w:tc>
        <w:tc>
          <w:tcPr>
            <w:tcW w:w="1252" w:type="dxa"/>
            <w:shd w:val="clear" w:color="auto" w:fill="auto"/>
          </w:tcPr>
          <w:p w14:paraId="010D84BF" w14:textId="138EDDAA" w:rsidR="006756DB" w:rsidRPr="00645B1C" w:rsidRDefault="00D7173A" w:rsidP="00603549">
            <w:pPr>
              <w:pStyle w:val="DHHStabletext"/>
              <w:ind w:left="15" w:right="101"/>
              <w:jc w:val="right"/>
              <w:rPr>
                <w:rFonts w:cs="Arial"/>
                <w:lang w:eastAsia="en-AU"/>
              </w:rPr>
            </w:pPr>
            <w:r w:rsidRPr="094986AD">
              <w:rPr>
                <w:rFonts w:cs="Arial"/>
                <w:color w:val="000000" w:themeColor="text1"/>
              </w:rPr>
              <w:t>155</w:t>
            </w:r>
            <w:r w:rsidR="67795DC8" w:rsidRPr="094986AD">
              <w:rPr>
                <w:rFonts w:cs="Arial"/>
                <w:color w:val="000000" w:themeColor="text1"/>
              </w:rPr>
              <w:t>.0</w:t>
            </w:r>
          </w:p>
        </w:tc>
        <w:tc>
          <w:tcPr>
            <w:tcW w:w="1817" w:type="dxa"/>
            <w:shd w:val="clear" w:color="auto" w:fill="auto"/>
          </w:tcPr>
          <w:p w14:paraId="7EAA5612" w14:textId="00C6ED2F" w:rsidR="006756DB" w:rsidRPr="00645B1C" w:rsidRDefault="00D7173A" w:rsidP="00E1750A">
            <w:pPr>
              <w:pStyle w:val="DHHStabletext"/>
              <w:jc w:val="right"/>
              <w:rPr>
                <w:rFonts w:cs="Arial"/>
                <w:szCs w:val="18"/>
                <w:lang w:eastAsia="en-AU"/>
              </w:rPr>
            </w:pPr>
            <w:r w:rsidRPr="00645B1C">
              <w:rPr>
                <w:rFonts w:cs="Arial"/>
                <w:color w:val="000000"/>
                <w:szCs w:val="18"/>
              </w:rPr>
              <w:t>2.9%</w:t>
            </w:r>
          </w:p>
        </w:tc>
      </w:tr>
      <w:tr w:rsidR="00AE6427" w:rsidRPr="006756DB" w14:paraId="6DAF4960" w14:textId="77777777" w:rsidTr="00AE6427">
        <w:trPr>
          <w:trHeight w:val="300"/>
        </w:trPr>
        <w:tc>
          <w:tcPr>
            <w:tcW w:w="4956" w:type="dxa"/>
            <w:shd w:val="clear" w:color="auto" w:fill="auto"/>
            <w:hideMark/>
          </w:tcPr>
          <w:p w14:paraId="21905CD0"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Health Protection  </w:t>
            </w:r>
          </w:p>
        </w:tc>
        <w:tc>
          <w:tcPr>
            <w:tcW w:w="1257" w:type="dxa"/>
            <w:shd w:val="clear" w:color="auto" w:fill="auto"/>
          </w:tcPr>
          <w:p w14:paraId="3A456B09" w14:textId="759F1BAE" w:rsidR="006756DB" w:rsidRPr="00645B1C" w:rsidRDefault="00D7173A" w:rsidP="002623CB">
            <w:pPr>
              <w:pStyle w:val="DHHStabletext"/>
              <w:ind w:right="112"/>
              <w:jc w:val="right"/>
              <w:rPr>
                <w:rFonts w:cs="Arial"/>
                <w:lang w:eastAsia="en-AU"/>
              </w:rPr>
            </w:pPr>
            <w:r w:rsidRPr="094986AD">
              <w:rPr>
                <w:rFonts w:cs="Arial"/>
                <w:color w:val="000000" w:themeColor="text1"/>
              </w:rPr>
              <w:t>555</w:t>
            </w:r>
            <w:r w:rsidR="67795DC8" w:rsidRPr="094986AD">
              <w:rPr>
                <w:rFonts w:cs="Arial"/>
                <w:color w:val="000000" w:themeColor="text1"/>
              </w:rPr>
              <w:t>.0</w:t>
            </w:r>
          </w:p>
        </w:tc>
        <w:tc>
          <w:tcPr>
            <w:tcW w:w="1252" w:type="dxa"/>
            <w:shd w:val="clear" w:color="auto" w:fill="auto"/>
          </w:tcPr>
          <w:p w14:paraId="1427F916" w14:textId="2C91038D"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446.2</w:t>
            </w:r>
          </w:p>
        </w:tc>
        <w:tc>
          <w:tcPr>
            <w:tcW w:w="1817" w:type="dxa"/>
            <w:shd w:val="clear" w:color="auto" w:fill="auto"/>
          </w:tcPr>
          <w:p w14:paraId="5C8B790A" w14:textId="5242064C" w:rsidR="006756DB" w:rsidRPr="00645B1C" w:rsidRDefault="00D7173A" w:rsidP="00E1750A">
            <w:pPr>
              <w:pStyle w:val="DHHStabletext"/>
              <w:jc w:val="right"/>
              <w:rPr>
                <w:rFonts w:cs="Arial"/>
                <w:szCs w:val="18"/>
                <w:lang w:eastAsia="en-AU"/>
              </w:rPr>
            </w:pPr>
            <w:r w:rsidRPr="00645B1C">
              <w:rPr>
                <w:rFonts w:cs="Arial"/>
                <w:color w:val="000000"/>
                <w:szCs w:val="18"/>
              </w:rPr>
              <w:t>-19.6%</w:t>
            </w:r>
          </w:p>
        </w:tc>
      </w:tr>
      <w:tr w:rsidR="00AE6427" w:rsidRPr="006756DB" w14:paraId="6F3E9B8D" w14:textId="77777777" w:rsidTr="00AE6427">
        <w:trPr>
          <w:trHeight w:val="300"/>
        </w:trPr>
        <w:tc>
          <w:tcPr>
            <w:tcW w:w="4956" w:type="dxa"/>
            <w:shd w:val="clear" w:color="auto" w:fill="auto"/>
            <w:hideMark/>
          </w:tcPr>
          <w:p w14:paraId="789ED26B"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Health Advancement  </w:t>
            </w:r>
          </w:p>
        </w:tc>
        <w:tc>
          <w:tcPr>
            <w:tcW w:w="1257" w:type="dxa"/>
            <w:shd w:val="clear" w:color="auto" w:fill="auto"/>
          </w:tcPr>
          <w:p w14:paraId="7FFB5E75" w14:textId="49F875CA" w:rsidR="006756DB" w:rsidRPr="00645B1C" w:rsidRDefault="00D7173A" w:rsidP="002623CB">
            <w:pPr>
              <w:pStyle w:val="DHHStabletext"/>
              <w:ind w:right="112"/>
              <w:jc w:val="right"/>
              <w:rPr>
                <w:rFonts w:cs="Arial"/>
                <w:szCs w:val="18"/>
                <w:lang w:eastAsia="en-AU"/>
              </w:rPr>
            </w:pPr>
            <w:r w:rsidRPr="00645B1C">
              <w:rPr>
                <w:rFonts w:cs="Arial"/>
                <w:color w:val="000000"/>
                <w:szCs w:val="18"/>
              </w:rPr>
              <w:t>81.5</w:t>
            </w:r>
          </w:p>
        </w:tc>
        <w:tc>
          <w:tcPr>
            <w:tcW w:w="1252" w:type="dxa"/>
            <w:shd w:val="clear" w:color="auto" w:fill="auto"/>
          </w:tcPr>
          <w:p w14:paraId="6963BDFD" w14:textId="5BCB9A9A"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103.1</w:t>
            </w:r>
          </w:p>
        </w:tc>
        <w:tc>
          <w:tcPr>
            <w:tcW w:w="1817" w:type="dxa"/>
            <w:shd w:val="clear" w:color="auto" w:fill="auto"/>
          </w:tcPr>
          <w:p w14:paraId="327C8D1F" w14:textId="2CF6E614" w:rsidR="006756DB" w:rsidRPr="00645B1C" w:rsidRDefault="00D7173A" w:rsidP="00E1750A">
            <w:pPr>
              <w:pStyle w:val="DHHStabletext"/>
              <w:jc w:val="right"/>
              <w:rPr>
                <w:rFonts w:cs="Arial"/>
                <w:szCs w:val="18"/>
                <w:lang w:eastAsia="en-AU"/>
              </w:rPr>
            </w:pPr>
            <w:r w:rsidRPr="00645B1C">
              <w:rPr>
                <w:rFonts w:cs="Arial"/>
                <w:color w:val="000000"/>
                <w:szCs w:val="18"/>
              </w:rPr>
              <w:t>26.5%</w:t>
            </w:r>
          </w:p>
        </w:tc>
      </w:tr>
      <w:tr w:rsidR="00AE6427" w:rsidRPr="006756DB" w14:paraId="686639EC" w14:textId="77777777" w:rsidTr="00AE6427">
        <w:trPr>
          <w:trHeight w:val="300"/>
        </w:trPr>
        <w:tc>
          <w:tcPr>
            <w:tcW w:w="4956" w:type="dxa"/>
            <w:shd w:val="clear" w:color="auto" w:fill="auto"/>
            <w:hideMark/>
          </w:tcPr>
          <w:p w14:paraId="4FE26064"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Emergency Management  </w:t>
            </w:r>
          </w:p>
        </w:tc>
        <w:tc>
          <w:tcPr>
            <w:tcW w:w="1257" w:type="dxa"/>
            <w:shd w:val="clear" w:color="auto" w:fill="auto"/>
          </w:tcPr>
          <w:p w14:paraId="3A98B305" w14:textId="6808CDD1" w:rsidR="006756DB" w:rsidRPr="00645B1C" w:rsidRDefault="00D7173A" w:rsidP="002623CB">
            <w:pPr>
              <w:pStyle w:val="DHHStabletext"/>
              <w:ind w:right="112"/>
              <w:jc w:val="right"/>
              <w:rPr>
                <w:rFonts w:cs="Arial"/>
                <w:lang w:eastAsia="en-AU"/>
              </w:rPr>
            </w:pPr>
            <w:r w:rsidRPr="703DDC56">
              <w:rPr>
                <w:rFonts w:cs="Arial"/>
                <w:color w:val="000000" w:themeColor="text1"/>
              </w:rPr>
              <w:t>15</w:t>
            </w:r>
            <w:r w:rsidR="67795DC8" w:rsidRPr="703DDC56">
              <w:rPr>
                <w:rFonts w:cs="Arial"/>
                <w:color w:val="000000" w:themeColor="text1"/>
              </w:rPr>
              <w:t>.0</w:t>
            </w:r>
          </w:p>
        </w:tc>
        <w:tc>
          <w:tcPr>
            <w:tcW w:w="1252" w:type="dxa"/>
            <w:shd w:val="clear" w:color="auto" w:fill="auto"/>
          </w:tcPr>
          <w:p w14:paraId="0F18A6BA" w14:textId="79F36581"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12.9</w:t>
            </w:r>
          </w:p>
        </w:tc>
        <w:tc>
          <w:tcPr>
            <w:tcW w:w="1817" w:type="dxa"/>
            <w:shd w:val="clear" w:color="auto" w:fill="auto"/>
          </w:tcPr>
          <w:p w14:paraId="3FC0F43A" w14:textId="293F50C8" w:rsidR="006756DB" w:rsidRPr="00645B1C" w:rsidRDefault="00D7173A" w:rsidP="00E1750A">
            <w:pPr>
              <w:pStyle w:val="DHHStabletext"/>
              <w:jc w:val="right"/>
              <w:rPr>
                <w:rFonts w:cs="Arial"/>
                <w:lang w:eastAsia="en-AU"/>
              </w:rPr>
            </w:pPr>
            <w:r w:rsidRPr="26D14292">
              <w:rPr>
                <w:rFonts w:cs="Arial"/>
                <w:color w:val="000000" w:themeColor="text1"/>
              </w:rPr>
              <w:t>-</w:t>
            </w:r>
            <w:r w:rsidR="00C14933">
              <w:rPr>
                <w:rFonts w:cs="Arial"/>
                <w:color w:val="000000" w:themeColor="text1"/>
              </w:rPr>
              <w:t>13.8</w:t>
            </w:r>
            <w:r w:rsidRPr="26D14292">
              <w:rPr>
                <w:rFonts w:cs="Arial"/>
                <w:color w:val="000000" w:themeColor="text1"/>
              </w:rPr>
              <w:t>%</w:t>
            </w:r>
          </w:p>
        </w:tc>
      </w:tr>
      <w:tr w:rsidR="00AE6427" w:rsidRPr="006756DB" w14:paraId="2C7EE9F6" w14:textId="77777777" w:rsidTr="00AE6427">
        <w:trPr>
          <w:trHeight w:val="300"/>
        </w:trPr>
        <w:tc>
          <w:tcPr>
            <w:tcW w:w="4956" w:type="dxa"/>
            <w:shd w:val="clear" w:color="auto" w:fill="auto"/>
            <w:hideMark/>
          </w:tcPr>
          <w:p w14:paraId="34C8FF4E"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Small Rural Services – Acute Health  </w:t>
            </w:r>
          </w:p>
        </w:tc>
        <w:tc>
          <w:tcPr>
            <w:tcW w:w="1257" w:type="dxa"/>
            <w:shd w:val="clear" w:color="auto" w:fill="auto"/>
          </w:tcPr>
          <w:p w14:paraId="1DF734BF" w14:textId="0C518BCB" w:rsidR="006756DB" w:rsidRPr="00645B1C" w:rsidRDefault="00D7173A" w:rsidP="002623CB">
            <w:pPr>
              <w:pStyle w:val="DHHStabletext"/>
              <w:ind w:right="112"/>
              <w:jc w:val="right"/>
              <w:rPr>
                <w:rFonts w:cs="Arial"/>
                <w:szCs w:val="18"/>
                <w:lang w:eastAsia="en-AU"/>
              </w:rPr>
            </w:pPr>
            <w:r w:rsidRPr="00645B1C">
              <w:rPr>
                <w:rFonts w:cs="Arial"/>
                <w:color w:val="000000"/>
                <w:szCs w:val="18"/>
              </w:rPr>
              <w:t>431.5</w:t>
            </w:r>
          </w:p>
        </w:tc>
        <w:tc>
          <w:tcPr>
            <w:tcW w:w="1252" w:type="dxa"/>
            <w:shd w:val="clear" w:color="auto" w:fill="auto"/>
          </w:tcPr>
          <w:p w14:paraId="2FAF3BF5" w14:textId="2F6CB23B"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429.5</w:t>
            </w:r>
          </w:p>
        </w:tc>
        <w:tc>
          <w:tcPr>
            <w:tcW w:w="1817" w:type="dxa"/>
            <w:shd w:val="clear" w:color="auto" w:fill="auto"/>
          </w:tcPr>
          <w:p w14:paraId="709C0529" w14:textId="77FE3FD9" w:rsidR="006756DB" w:rsidRPr="00645B1C" w:rsidRDefault="00D7173A" w:rsidP="00E1750A">
            <w:pPr>
              <w:pStyle w:val="DHHStabletext"/>
              <w:jc w:val="right"/>
              <w:rPr>
                <w:rFonts w:cs="Arial"/>
                <w:szCs w:val="18"/>
                <w:lang w:eastAsia="en-AU"/>
              </w:rPr>
            </w:pPr>
            <w:r w:rsidRPr="00645B1C">
              <w:rPr>
                <w:rFonts w:cs="Arial"/>
                <w:color w:val="000000"/>
                <w:szCs w:val="18"/>
              </w:rPr>
              <w:t>-0.5%</w:t>
            </w:r>
          </w:p>
        </w:tc>
      </w:tr>
      <w:tr w:rsidR="00AE6427" w:rsidRPr="006756DB" w14:paraId="1F88A6AD" w14:textId="77777777" w:rsidTr="00AE6427">
        <w:trPr>
          <w:trHeight w:val="300"/>
        </w:trPr>
        <w:tc>
          <w:tcPr>
            <w:tcW w:w="4956" w:type="dxa"/>
            <w:shd w:val="clear" w:color="auto" w:fill="auto"/>
            <w:hideMark/>
          </w:tcPr>
          <w:p w14:paraId="1BE243C8"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Small Rural Services – Aged Care  </w:t>
            </w:r>
          </w:p>
        </w:tc>
        <w:tc>
          <w:tcPr>
            <w:tcW w:w="1257" w:type="dxa"/>
            <w:shd w:val="clear" w:color="auto" w:fill="auto"/>
          </w:tcPr>
          <w:p w14:paraId="524F1916" w14:textId="6FE44D6F" w:rsidR="006756DB" w:rsidRPr="00645B1C" w:rsidRDefault="00D7173A" w:rsidP="002623CB">
            <w:pPr>
              <w:pStyle w:val="DHHStabletext"/>
              <w:ind w:right="112"/>
              <w:jc w:val="right"/>
              <w:rPr>
                <w:rFonts w:cs="Arial"/>
                <w:szCs w:val="18"/>
                <w:lang w:eastAsia="en-AU"/>
              </w:rPr>
            </w:pPr>
            <w:r w:rsidRPr="00645B1C">
              <w:rPr>
                <w:rFonts w:cs="Arial"/>
                <w:color w:val="000000"/>
                <w:szCs w:val="18"/>
              </w:rPr>
              <w:t>243.9</w:t>
            </w:r>
          </w:p>
        </w:tc>
        <w:tc>
          <w:tcPr>
            <w:tcW w:w="1252" w:type="dxa"/>
            <w:shd w:val="clear" w:color="auto" w:fill="auto"/>
          </w:tcPr>
          <w:p w14:paraId="3F823B22" w14:textId="247B80DB"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250.3</w:t>
            </w:r>
          </w:p>
        </w:tc>
        <w:tc>
          <w:tcPr>
            <w:tcW w:w="1817" w:type="dxa"/>
            <w:shd w:val="clear" w:color="auto" w:fill="auto"/>
          </w:tcPr>
          <w:p w14:paraId="02234E8A" w14:textId="310B09D5" w:rsidR="006756DB" w:rsidRPr="00645B1C" w:rsidRDefault="00D7173A" w:rsidP="00E1750A">
            <w:pPr>
              <w:pStyle w:val="DHHStabletext"/>
              <w:jc w:val="right"/>
              <w:rPr>
                <w:rFonts w:cs="Arial"/>
                <w:szCs w:val="18"/>
                <w:lang w:eastAsia="en-AU"/>
              </w:rPr>
            </w:pPr>
            <w:r w:rsidRPr="00645B1C">
              <w:rPr>
                <w:rFonts w:cs="Arial"/>
                <w:color w:val="000000"/>
                <w:szCs w:val="18"/>
              </w:rPr>
              <w:t>2.6%</w:t>
            </w:r>
          </w:p>
        </w:tc>
      </w:tr>
      <w:tr w:rsidR="00AE6427" w:rsidRPr="006756DB" w14:paraId="68099DD2" w14:textId="77777777" w:rsidTr="00AE6427">
        <w:trPr>
          <w:trHeight w:val="300"/>
        </w:trPr>
        <w:tc>
          <w:tcPr>
            <w:tcW w:w="4956" w:type="dxa"/>
            <w:shd w:val="clear" w:color="auto" w:fill="auto"/>
            <w:hideMark/>
          </w:tcPr>
          <w:p w14:paraId="586F0A93"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Small Rural Services – Home and Community Care Services  </w:t>
            </w:r>
          </w:p>
        </w:tc>
        <w:tc>
          <w:tcPr>
            <w:tcW w:w="1257" w:type="dxa"/>
            <w:shd w:val="clear" w:color="auto" w:fill="auto"/>
          </w:tcPr>
          <w:p w14:paraId="36F57E12" w14:textId="0F84F3AB" w:rsidR="006756DB" w:rsidRPr="00C14933" w:rsidRDefault="00D7173A" w:rsidP="002623CB">
            <w:pPr>
              <w:pStyle w:val="DHHStabletext"/>
              <w:ind w:right="112"/>
              <w:jc w:val="right"/>
              <w:rPr>
                <w:rFonts w:cs="Arial"/>
                <w:szCs w:val="18"/>
                <w:lang w:eastAsia="en-AU"/>
              </w:rPr>
            </w:pPr>
            <w:r w:rsidRPr="00C14933">
              <w:rPr>
                <w:rFonts w:cs="Arial"/>
                <w:color w:val="000000"/>
                <w:szCs w:val="18"/>
              </w:rPr>
              <w:t>5.3</w:t>
            </w:r>
          </w:p>
        </w:tc>
        <w:tc>
          <w:tcPr>
            <w:tcW w:w="1252" w:type="dxa"/>
            <w:shd w:val="clear" w:color="auto" w:fill="auto"/>
          </w:tcPr>
          <w:p w14:paraId="02F25C1F" w14:textId="7A849EF0" w:rsidR="006756DB" w:rsidRPr="00C14933" w:rsidRDefault="00D7173A" w:rsidP="00603549">
            <w:pPr>
              <w:pStyle w:val="DHHStabletext"/>
              <w:ind w:left="15" w:right="101"/>
              <w:jc w:val="right"/>
              <w:rPr>
                <w:rFonts w:cs="Arial"/>
                <w:szCs w:val="18"/>
                <w:lang w:eastAsia="en-AU"/>
              </w:rPr>
            </w:pPr>
            <w:r w:rsidRPr="00C14933">
              <w:rPr>
                <w:rFonts w:cs="Arial"/>
                <w:color w:val="000000"/>
                <w:szCs w:val="18"/>
              </w:rPr>
              <w:t>11.5</w:t>
            </w:r>
          </w:p>
        </w:tc>
        <w:tc>
          <w:tcPr>
            <w:tcW w:w="1817" w:type="dxa"/>
            <w:shd w:val="clear" w:color="auto" w:fill="auto"/>
          </w:tcPr>
          <w:p w14:paraId="26C4D41A" w14:textId="5F80B9C5" w:rsidR="006756DB" w:rsidRPr="00C14933" w:rsidRDefault="00D7173A" w:rsidP="00E1750A">
            <w:pPr>
              <w:pStyle w:val="DHHStabletext"/>
              <w:jc w:val="right"/>
              <w:rPr>
                <w:rFonts w:cs="Arial"/>
                <w:lang w:eastAsia="en-AU"/>
              </w:rPr>
            </w:pPr>
            <w:r w:rsidRPr="00C14933">
              <w:rPr>
                <w:rFonts w:cs="Arial"/>
                <w:color w:val="000000" w:themeColor="text1"/>
              </w:rPr>
              <w:t>1</w:t>
            </w:r>
            <w:r w:rsidR="00C14933" w:rsidRPr="00C14933">
              <w:rPr>
                <w:rFonts w:cs="Arial"/>
                <w:color w:val="000000" w:themeColor="text1"/>
              </w:rPr>
              <w:t>16.2</w:t>
            </w:r>
            <w:r w:rsidRPr="00C14933">
              <w:rPr>
                <w:rFonts w:cs="Arial"/>
                <w:color w:val="000000" w:themeColor="text1"/>
              </w:rPr>
              <w:t>%</w:t>
            </w:r>
          </w:p>
        </w:tc>
      </w:tr>
      <w:tr w:rsidR="00AE6427" w:rsidRPr="006756DB" w14:paraId="2997D485" w14:textId="77777777" w:rsidTr="00AE6427">
        <w:trPr>
          <w:trHeight w:val="300"/>
        </w:trPr>
        <w:tc>
          <w:tcPr>
            <w:tcW w:w="4956" w:type="dxa"/>
            <w:shd w:val="clear" w:color="auto" w:fill="auto"/>
            <w:hideMark/>
          </w:tcPr>
          <w:p w14:paraId="53F870DB" w14:textId="77777777" w:rsidR="006756DB" w:rsidRPr="006756DB" w:rsidRDefault="006756DB" w:rsidP="00E1750A">
            <w:pPr>
              <w:pStyle w:val="DHHStabletext"/>
              <w:rPr>
                <w:rFonts w:ascii="Times New Roman" w:hAnsi="Times New Roman"/>
                <w:sz w:val="24"/>
                <w:szCs w:val="24"/>
                <w:lang w:eastAsia="en-AU"/>
              </w:rPr>
            </w:pPr>
            <w:r w:rsidRPr="006756DB">
              <w:rPr>
                <w:lang w:eastAsia="en-AU"/>
              </w:rPr>
              <w:t>Small Rural Services – Primary Health  </w:t>
            </w:r>
          </w:p>
        </w:tc>
        <w:tc>
          <w:tcPr>
            <w:tcW w:w="1257" w:type="dxa"/>
            <w:shd w:val="clear" w:color="auto" w:fill="auto"/>
            <w:hideMark/>
          </w:tcPr>
          <w:p w14:paraId="7D0E6D27" w14:textId="3F2FE1A9" w:rsidR="006756DB" w:rsidRPr="00645B1C" w:rsidRDefault="00D7173A" w:rsidP="002623CB">
            <w:pPr>
              <w:pStyle w:val="DHHStabletext"/>
              <w:ind w:right="112"/>
              <w:jc w:val="right"/>
              <w:rPr>
                <w:rFonts w:cs="Arial"/>
                <w:szCs w:val="18"/>
                <w:lang w:eastAsia="en-AU"/>
              </w:rPr>
            </w:pPr>
            <w:r w:rsidRPr="00645B1C">
              <w:rPr>
                <w:rFonts w:cs="Arial"/>
                <w:color w:val="000000"/>
                <w:szCs w:val="18"/>
              </w:rPr>
              <w:t>24.5</w:t>
            </w:r>
          </w:p>
        </w:tc>
        <w:tc>
          <w:tcPr>
            <w:tcW w:w="1252" w:type="dxa"/>
            <w:shd w:val="clear" w:color="auto" w:fill="auto"/>
          </w:tcPr>
          <w:p w14:paraId="2D7E6B14" w14:textId="2AF0F45A" w:rsidR="006756DB" w:rsidRPr="00645B1C" w:rsidRDefault="00D7173A" w:rsidP="00603549">
            <w:pPr>
              <w:pStyle w:val="DHHStabletext"/>
              <w:ind w:left="15" w:right="101"/>
              <w:jc w:val="right"/>
              <w:rPr>
                <w:rFonts w:cs="Arial"/>
                <w:szCs w:val="18"/>
                <w:lang w:eastAsia="en-AU"/>
              </w:rPr>
            </w:pPr>
            <w:r w:rsidRPr="00645B1C">
              <w:rPr>
                <w:rFonts w:cs="Arial"/>
                <w:color w:val="000000"/>
                <w:szCs w:val="18"/>
              </w:rPr>
              <w:t>24.7</w:t>
            </w:r>
          </w:p>
        </w:tc>
        <w:tc>
          <w:tcPr>
            <w:tcW w:w="1817" w:type="dxa"/>
            <w:shd w:val="clear" w:color="auto" w:fill="auto"/>
          </w:tcPr>
          <w:p w14:paraId="65DEA61F" w14:textId="78DAE002" w:rsidR="006756DB" w:rsidRPr="00645B1C" w:rsidRDefault="00D7173A" w:rsidP="00E1750A">
            <w:pPr>
              <w:pStyle w:val="DHHStabletext"/>
              <w:jc w:val="right"/>
              <w:rPr>
                <w:rFonts w:cs="Arial"/>
                <w:szCs w:val="18"/>
                <w:lang w:eastAsia="en-AU"/>
              </w:rPr>
            </w:pPr>
            <w:r w:rsidRPr="00645B1C">
              <w:rPr>
                <w:rFonts w:cs="Arial"/>
                <w:color w:val="000000"/>
                <w:szCs w:val="18"/>
              </w:rPr>
              <w:t>0.8%</w:t>
            </w:r>
          </w:p>
        </w:tc>
      </w:tr>
      <w:tr w:rsidR="00AE6427" w:rsidRPr="006756DB" w14:paraId="5ABBCDD0" w14:textId="77777777" w:rsidTr="00AE6427">
        <w:tc>
          <w:tcPr>
            <w:tcW w:w="4956" w:type="dxa"/>
            <w:shd w:val="clear" w:color="auto" w:fill="auto"/>
            <w:hideMark/>
          </w:tcPr>
          <w:p w14:paraId="40C0C350" w14:textId="77777777" w:rsidR="006756DB" w:rsidRPr="006756DB" w:rsidRDefault="006756DB" w:rsidP="00E1750A">
            <w:pPr>
              <w:pStyle w:val="DHHStabletext"/>
              <w:rPr>
                <w:rFonts w:ascii="Times New Roman" w:hAnsi="Times New Roman"/>
                <w:sz w:val="24"/>
                <w:szCs w:val="24"/>
                <w:lang w:eastAsia="en-AU"/>
              </w:rPr>
            </w:pPr>
            <w:r w:rsidRPr="006756DB">
              <w:rPr>
                <w:b/>
                <w:bCs/>
                <w:lang w:eastAsia="en-AU"/>
              </w:rPr>
              <w:t>Total</w:t>
            </w:r>
            <w:r w:rsidRPr="006756DB">
              <w:rPr>
                <w:lang w:eastAsia="en-AU"/>
              </w:rPr>
              <w:t> </w:t>
            </w:r>
          </w:p>
        </w:tc>
        <w:tc>
          <w:tcPr>
            <w:tcW w:w="1257" w:type="dxa"/>
            <w:shd w:val="clear" w:color="auto" w:fill="auto"/>
            <w:hideMark/>
          </w:tcPr>
          <w:p w14:paraId="3E11BB77" w14:textId="7F94B029" w:rsidR="006756DB" w:rsidRPr="00645B1C" w:rsidRDefault="00D7173A" w:rsidP="002623CB">
            <w:pPr>
              <w:pStyle w:val="DHHStabletext"/>
              <w:ind w:right="112"/>
              <w:jc w:val="right"/>
              <w:rPr>
                <w:rFonts w:cs="Arial"/>
                <w:lang w:eastAsia="en-AU"/>
              </w:rPr>
            </w:pPr>
            <w:r w:rsidRPr="703DDC56">
              <w:rPr>
                <w:rFonts w:cs="Arial"/>
                <w:b/>
                <w:lang w:eastAsia="en-AU"/>
              </w:rPr>
              <w:t>23</w:t>
            </w:r>
            <w:r w:rsidR="67795DC8" w:rsidRPr="703DDC56">
              <w:rPr>
                <w:rFonts w:cs="Arial"/>
                <w:b/>
                <w:bCs/>
                <w:lang w:eastAsia="en-AU"/>
              </w:rPr>
              <w:t xml:space="preserve"> </w:t>
            </w:r>
            <w:r w:rsidRPr="703DDC56">
              <w:rPr>
                <w:rFonts w:cs="Arial"/>
                <w:b/>
                <w:lang w:eastAsia="en-AU"/>
              </w:rPr>
              <w:t>386.6</w:t>
            </w:r>
          </w:p>
        </w:tc>
        <w:tc>
          <w:tcPr>
            <w:tcW w:w="1252" w:type="dxa"/>
            <w:shd w:val="clear" w:color="auto" w:fill="auto"/>
            <w:hideMark/>
          </w:tcPr>
          <w:p w14:paraId="4951912E" w14:textId="063700CC" w:rsidR="006756DB" w:rsidRPr="00645B1C" w:rsidRDefault="00D7173A" w:rsidP="00603549">
            <w:pPr>
              <w:pStyle w:val="DHHStabletext"/>
              <w:ind w:left="15" w:right="101"/>
              <w:jc w:val="right"/>
              <w:rPr>
                <w:rFonts w:cs="Arial"/>
                <w:lang w:eastAsia="en-AU"/>
              </w:rPr>
            </w:pPr>
            <w:r w:rsidRPr="703DDC56">
              <w:rPr>
                <w:rFonts w:cs="Arial"/>
                <w:b/>
                <w:lang w:eastAsia="en-AU"/>
              </w:rPr>
              <w:t>25</w:t>
            </w:r>
            <w:r w:rsidR="46372BD1" w:rsidRPr="703DDC56">
              <w:rPr>
                <w:rFonts w:cs="Arial"/>
                <w:b/>
                <w:bCs/>
                <w:lang w:eastAsia="en-AU"/>
              </w:rPr>
              <w:t xml:space="preserve"> </w:t>
            </w:r>
            <w:r w:rsidRPr="703DDC56">
              <w:rPr>
                <w:rFonts w:cs="Arial"/>
                <w:b/>
                <w:lang w:eastAsia="en-AU"/>
              </w:rPr>
              <w:t>018.9</w:t>
            </w:r>
          </w:p>
        </w:tc>
        <w:tc>
          <w:tcPr>
            <w:tcW w:w="1817" w:type="dxa"/>
            <w:shd w:val="clear" w:color="auto" w:fill="auto"/>
            <w:hideMark/>
          </w:tcPr>
          <w:p w14:paraId="593B8074" w14:textId="0C45A54D" w:rsidR="006756DB" w:rsidRPr="00645B1C" w:rsidRDefault="00D7173A" w:rsidP="00E1750A">
            <w:pPr>
              <w:pStyle w:val="DHHStabletext"/>
              <w:jc w:val="right"/>
              <w:rPr>
                <w:rFonts w:cs="Arial"/>
                <w:szCs w:val="18"/>
                <w:lang w:eastAsia="en-AU"/>
              </w:rPr>
            </w:pPr>
            <w:r w:rsidRPr="00274EAD">
              <w:rPr>
                <w:rFonts w:cs="Arial"/>
                <w:b/>
                <w:bCs/>
                <w:szCs w:val="18"/>
                <w:lang w:eastAsia="en-AU"/>
              </w:rPr>
              <w:t>7.0</w:t>
            </w:r>
            <w:r w:rsidR="006E5645">
              <w:rPr>
                <w:rFonts w:cs="Arial"/>
                <w:b/>
                <w:bCs/>
                <w:szCs w:val="18"/>
                <w:lang w:eastAsia="en-AU"/>
              </w:rPr>
              <w:t>%</w:t>
            </w:r>
          </w:p>
        </w:tc>
      </w:tr>
    </w:tbl>
    <w:p w14:paraId="51C0B6F4" w14:textId="762C2C54" w:rsidR="000B27B9" w:rsidRPr="006E2B0E" w:rsidRDefault="000B27B9" w:rsidP="00822A54">
      <w:pPr>
        <w:pStyle w:val="Tablefigurenote9pt"/>
      </w:pPr>
      <w:r w:rsidRPr="00822A54">
        <w:t>Source</w:t>
      </w:r>
      <w:r w:rsidRPr="006E2B0E">
        <w:t xml:space="preserve">: </w:t>
      </w:r>
      <w:r w:rsidR="00D7173A" w:rsidRPr="00AE6427">
        <w:rPr>
          <w:i/>
          <w:iCs/>
        </w:rPr>
        <w:t>2022</w:t>
      </w:r>
      <w:r w:rsidR="00822A54" w:rsidRPr="00AE6427">
        <w:rPr>
          <w:i/>
          <w:iCs/>
        </w:rPr>
        <w:t>–</w:t>
      </w:r>
      <w:r w:rsidR="00D7173A" w:rsidRPr="00AE6427">
        <w:rPr>
          <w:i/>
          <w:iCs/>
        </w:rPr>
        <w:t>23</w:t>
      </w:r>
      <w:r w:rsidRPr="00AE6427">
        <w:rPr>
          <w:i/>
          <w:iCs/>
        </w:rPr>
        <w:t xml:space="preserve"> Victorian Budget Paper No. 3</w:t>
      </w:r>
      <w:r w:rsidR="00822A54">
        <w:t>,</w:t>
      </w:r>
      <w:r w:rsidR="0010432E" w:rsidRPr="00427CA4">
        <w:t xml:space="preserve"> </w:t>
      </w:r>
      <w:r w:rsidR="00822A54">
        <w:t>p.</w:t>
      </w:r>
      <w:r w:rsidR="00822A54" w:rsidRPr="006E2B0E">
        <w:t xml:space="preserve"> </w:t>
      </w:r>
      <w:r w:rsidR="00A22440" w:rsidRPr="006E2B0E">
        <w:t>220</w:t>
      </w:r>
      <w:r w:rsidR="00822A54">
        <w:t>.</w:t>
      </w:r>
    </w:p>
    <w:p w14:paraId="69378F98" w14:textId="77B56C84" w:rsidR="000B27B9" w:rsidRPr="00FE19AD" w:rsidRDefault="000B27B9" w:rsidP="00233E9A">
      <w:pPr>
        <w:pStyle w:val="Heading2"/>
        <w:spacing w:after="440" w:line="440" w:lineRule="atLeast"/>
      </w:pPr>
      <w:bookmarkStart w:id="75" w:name="_Toc7123532"/>
      <w:bookmarkStart w:id="76" w:name="_Toc8310419"/>
      <w:bookmarkStart w:id="77" w:name="_Toc12884102"/>
      <w:bookmarkStart w:id="78" w:name="_Toc52892549"/>
      <w:bookmarkStart w:id="79" w:name="_Toc100263261"/>
      <w:bookmarkStart w:id="80" w:name="_Toc127191903"/>
      <w:r w:rsidRPr="00FE19AD">
        <w:lastRenderedPageBreak/>
        <w:t xml:space="preserve">Output </w:t>
      </w:r>
      <w:bookmarkEnd w:id="75"/>
      <w:bookmarkEnd w:id="76"/>
      <w:bookmarkEnd w:id="77"/>
      <w:bookmarkEnd w:id="78"/>
      <w:bookmarkEnd w:id="79"/>
      <w:r w:rsidR="000F7780">
        <w:t>I</w:t>
      </w:r>
      <w:r w:rsidRPr="00FE19AD">
        <w:t>nitiatives</w:t>
      </w:r>
      <w:bookmarkEnd w:id="80"/>
    </w:p>
    <w:p w14:paraId="138CBC13" w14:textId="68DF7E32" w:rsidR="000B27B9" w:rsidRPr="00FE19AD" w:rsidRDefault="00822A54" w:rsidP="00B92CD4">
      <w:pPr>
        <w:pStyle w:val="Body"/>
      </w:pPr>
      <w:r>
        <w:t>Through</w:t>
      </w:r>
      <w:r w:rsidR="001A666A">
        <w:t xml:space="preserve"> the </w:t>
      </w:r>
      <w:r w:rsidRPr="673BC71C">
        <w:rPr>
          <w:i/>
          <w:iCs/>
        </w:rPr>
        <w:t xml:space="preserve">Victorian Budget </w:t>
      </w:r>
      <w:r w:rsidR="00A11810">
        <w:t>2022</w:t>
      </w:r>
      <w:r>
        <w:t>–</w:t>
      </w:r>
      <w:r w:rsidR="00A11810">
        <w:t>23</w:t>
      </w:r>
      <w:r>
        <w:t xml:space="preserve">, the department </w:t>
      </w:r>
      <w:r w:rsidR="6BC6BEBD">
        <w:t>w</w:t>
      </w:r>
      <w:r w:rsidR="001A666A">
        <w:t>as allocated $</w:t>
      </w:r>
      <w:r w:rsidR="00C90424">
        <w:t>2.62</w:t>
      </w:r>
      <w:r w:rsidR="001A666A">
        <w:t xml:space="preserve"> billion in </w:t>
      </w:r>
      <w:r w:rsidR="00A11810">
        <w:t>2022</w:t>
      </w:r>
      <w:r>
        <w:t>–</w:t>
      </w:r>
      <w:r w:rsidR="00A11810">
        <w:t xml:space="preserve">23 </w:t>
      </w:r>
      <w:r w:rsidR="001A666A">
        <w:t>and $9.</w:t>
      </w:r>
      <w:r w:rsidR="00F27F55">
        <w:t>33</w:t>
      </w:r>
      <w:r w:rsidR="001A666A">
        <w:t xml:space="preserve"> billion over five years for new output initiatives that will grow and strengthen the health, ambulance, mental health, and aged care sectors</w:t>
      </w:r>
      <w:r w:rsidR="00E86C5D">
        <w:t>.</w:t>
      </w:r>
    </w:p>
    <w:p w14:paraId="1917D010" w14:textId="7A9066F2" w:rsidR="000B27B9" w:rsidRPr="00FE19AD" w:rsidRDefault="007C1155" w:rsidP="00C46A54">
      <w:pPr>
        <w:pStyle w:val="Heading3"/>
      </w:pPr>
      <w:bookmarkStart w:id="81" w:name="_Toc127191904"/>
      <w:bookmarkStart w:id="82" w:name="_Toc100263262"/>
      <w:r w:rsidRPr="00936002">
        <w:t>Admitted</w:t>
      </w:r>
      <w:r>
        <w:t xml:space="preserve"> </w:t>
      </w:r>
      <w:r w:rsidR="00D96AED">
        <w:t>S</w:t>
      </w:r>
      <w:r>
        <w:t>ervices</w:t>
      </w:r>
      <w:bookmarkEnd w:id="81"/>
      <w:r w:rsidR="000B27B9" w:rsidRPr="00FE19AD">
        <w:t xml:space="preserve"> </w:t>
      </w:r>
      <w:bookmarkEnd w:id="82"/>
    </w:p>
    <w:p w14:paraId="3B3501A1" w14:textId="4AA93C42" w:rsidR="00297367" w:rsidRPr="00110B89" w:rsidRDefault="00822A54" w:rsidP="00297367">
      <w:pPr>
        <w:pStyle w:val="Body"/>
        <w:rPr>
          <w:lang w:val="en-US"/>
        </w:rPr>
      </w:pPr>
      <w:r>
        <w:rPr>
          <w:lang w:val="en-US"/>
        </w:rPr>
        <w:t>The</w:t>
      </w:r>
      <w:r w:rsidR="00427CA4">
        <w:rPr>
          <w:lang w:val="en-US"/>
        </w:rPr>
        <w:t xml:space="preserve"> department</w:t>
      </w:r>
      <w:r w:rsidR="00297367" w:rsidRPr="00110B89">
        <w:rPr>
          <w:i/>
          <w:iCs/>
          <w:lang w:val="en-US"/>
        </w:rPr>
        <w:t xml:space="preserve"> </w:t>
      </w:r>
      <w:r w:rsidR="00297367" w:rsidRPr="00110B89">
        <w:rPr>
          <w:lang w:val="en-US"/>
        </w:rPr>
        <w:t>is investing $1.</w:t>
      </w:r>
      <w:r w:rsidR="00110BD8" w:rsidRPr="004A60A9">
        <w:rPr>
          <w:lang w:val="en-US"/>
        </w:rPr>
        <w:t>99</w:t>
      </w:r>
      <w:r w:rsidR="00500A7B">
        <w:rPr>
          <w:lang w:val="en-US"/>
        </w:rPr>
        <w:t xml:space="preserve"> </w:t>
      </w:r>
      <w:r w:rsidR="00297367" w:rsidRPr="00110B89">
        <w:rPr>
          <w:lang w:val="en-US"/>
        </w:rPr>
        <w:t xml:space="preserve">billion in </w:t>
      </w:r>
      <w:r w:rsidR="00A11810" w:rsidRPr="005600EB">
        <w:t>2022</w:t>
      </w:r>
      <w:r>
        <w:t>–</w:t>
      </w:r>
      <w:r w:rsidR="00A11810" w:rsidRPr="005600EB">
        <w:t>23</w:t>
      </w:r>
      <w:r w:rsidR="00A11810" w:rsidRPr="00110B89">
        <w:rPr>
          <w:lang w:val="en-US"/>
        </w:rPr>
        <w:t xml:space="preserve"> </w:t>
      </w:r>
      <w:r w:rsidR="00297367" w:rsidRPr="00110B89">
        <w:rPr>
          <w:lang w:val="en-US"/>
        </w:rPr>
        <w:t>($</w:t>
      </w:r>
      <w:r w:rsidR="00190E7E">
        <w:rPr>
          <w:lang w:val="en-US"/>
        </w:rPr>
        <w:t>6.09</w:t>
      </w:r>
      <w:r w:rsidR="00297367" w:rsidRPr="00110B89">
        <w:rPr>
          <w:lang w:val="en-US"/>
        </w:rPr>
        <w:t xml:space="preserve"> billion over five years) in output funding for acute health services and programs across metropolitan Melbourne and regional Victoria, including</w:t>
      </w:r>
      <w:r w:rsidR="004C7EAB">
        <w:rPr>
          <w:lang w:val="en-US"/>
        </w:rPr>
        <w:t xml:space="preserve"> the following</w:t>
      </w:r>
      <w:r w:rsidR="00297367" w:rsidRPr="00110B89">
        <w:rPr>
          <w:lang w:val="en-US"/>
        </w:rPr>
        <w:t>:</w:t>
      </w:r>
    </w:p>
    <w:p w14:paraId="753EC818" w14:textId="59798997" w:rsidR="002F7F48" w:rsidRDefault="00297367" w:rsidP="00233E9A">
      <w:pPr>
        <w:pStyle w:val="Bullet1"/>
      </w:pPr>
      <w:r w:rsidRPr="00110B89">
        <w:t>$</w:t>
      </w:r>
      <w:r w:rsidR="006F3DD4">
        <w:t>1.9 million in 2022</w:t>
      </w:r>
      <w:r w:rsidR="00936002">
        <w:t>–</w:t>
      </w:r>
      <w:r w:rsidR="006F3DD4">
        <w:t>23 ($</w:t>
      </w:r>
      <w:r w:rsidRPr="00110B89">
        <w:t>4</w:t>
      </w:r>
      <w:r w:rsidR="006F3DD4">
        <w:t>.8</w:t>
      </w:r>
      <w:r w:rsidRPr="00110B89">
        <w:t xml:space="preserve"> million over four years</w:t>
      </w:r>
      <w:r w:rsidR="004C7EAB">
        <w:t>) is provided to</w:t>
      </w:r>
      <w:r w:rsidR="00C1388B" w:rsidRPr="00110B89">
        <w:t xml:space="preserve"> </w:t>
      </w:r>
      <w:r w:rsidR="00841AE7" w:rsidRPr="005600EB">
        <w:t>support the health and wellbeing of the Victorian health</w:t>
      </w:r>
      <w:r w:rsidR="00841AE7">
        <w:t xml:space="preserve"> </w:t>
      </w:r>
      <w:r w:rsidR="00841AE7" w:rsidRPr="005600EB">
        <w:t>workforce. This includes the continuation and expansion of Safer Care Victoria’s</w:t>
      </w:r>
      <w:r w:rsidR="00841AE7">
        <w:t xml:space="preserve"> </w:t>
      </w:r>
      <w:r w:rsidR="00841AE7" w:rsidRPr="005600EB">
        <w:t>Healthcare Worker Wellbeing Centre to provide programs and training to organisations</w:t>
      </w:r>
      <w:r w:rsidR="00841AE7">
        <w:t xml:space="preserve"> </w:t>
      </w:r>
      <w:r w:rsidR="00841AE7" w:rsidRPr="005600EB">
        <w:t>to create productive and safe workplaces</w:t>
      </w:r>
      <w:r w:rsidR="00A1406F">
        <w:t xml:space="preserve"> and </w:t>
      </w:r>
      <w:r w:rsidR="00841AE7" w:rsidRPr="005600EB">
        <w:t>expand the Nursing and Midwifery Health Program</w:t>
      </w:r>
      <w:r w:rsidR="00C1388B">
        <w:t>.</w:t>
      </w:r>
    </w:p>
    <w:p w14:paraId="7D52CF14" w14:textId="26A048FD" w:rsidR="00092DC6" w:rsidRDefault="00C6524A" w:rsidP="00233E9A">
      <w:pPr>
        <w:pStyle w:val="Bullet1"/>
      </w:pPr>
      <w:r w:rsidRPr="00110B89">
        <w:t>$</w:t>
      </w:r>
      <w:r>
        <w:t>172.6 million in 2022</w:t>
      </w:r>
      <w:r w:rsidR="00C1388B">
        <w:t>–</w:t>
      </w:r>
      <w:r>
        <w:t>23 ($</w:t>
      </w:r>
      <w:r w:rsidR="003145F8">
        <w:t>698.1</w:t>
      </w:r>
      <w:r w:rsidRPr="00110B89">
        <w:t xml:space="preserve"> million over four years</w:t>
      </w:r>
      <w:r>
        <w:t xml:space="preserve">) </w:t>
      </w:r>
      <w:r w:rsidR="004C7EAB">
        <w:t>is provided to</w:t>
      </w:r>
      <w:r w:rsidR="00C1388B" w:rsidRPr="005600EB">
        <w:t xml:space="preserve"> </w:t>
      </w:r>
      <w:r w:rsidRPr="005600EB">
        <w:t>continue the delivery of healthcare in the home through use of</w:t>
      </w:r>
      <w:r w:rsidR="003145F8">
        <w:t xml:space="preserve"> </w:t>
      </w:r>
      <w:r w:rsidRPr="005600EB">
        <w:t xml:space="preserve">home-based and </w:t>
      </w:r>
      <w:r w:rsidRPr="00936002">
        <w:t>virtual</w:t>
      </w:r>
      <w:r w:rsidRPr="005600EB">
        <w:t xml:space="preserve"> care models where clinically appropriate and selected by patients.</w:t>
      </w:r>
      <w:r w:rsidR="003145F8">
        <w:t xml:space="preserve"> </w:t>
      </w:r>
      <w:r w:rsidRPr="005600EB">
        <w:t>This includes funding to support sustained activity growth and maturation of new shared</w:t>
      </w:r>
      <w:r w:rsidR="003145F8">
        <w:t xml:space="preserve"> </w:t>
      </w:r>
      <w:r w:rsidRPr="005600EB">
        <w:t>service model</w:t>
      </w:r>
      <w:r w:rsidR="003145F8">
        <w:t xml:space="preserve">s as well as </w:t>
      </w:r>
      <w:r w:rsidRPr="005600EB">
        <w:t>the expansion of a pilot model between</w:t>
      </w:r>
      <w:r w:rsidR="003145F8">
        <w:t xml:space="preserve"> </w:t>
      </w:r>
      <w:r w:rsidRPr="005600EB">
        <w:t>health services providing transitional care in home like settings while patients await</w:t>
      </w:r>
      <w:r w:rsidR="003145F8">
        <w:t xml:space="preserve"> </w:t>
      </w:r>
      <w:r w:rsidRPr="005600EB">
        <w:t>NDIS packages</w:t>
      </w:r>
      <w:r w:rsidR="003145F8">
        <w:t xml:space="preserve"> and to </w:t>
      </w:r>
      <w:r w:rsidRPr="005600EB">
        <w:t>pilot</w:t>
      </w:r>
      <w:r w:rsidR="003145F8">
        <w:t xml:space="preserve"> </w:t>
      </w:r>
      <w:r w:rsidRPr="005600EB">
        <w:t>a virtual specialist clinic model that enables Aboriginal Victorians to access care on</w:t>
      </w:r>
      <w:r w:rsidR="003145F8">
        <w:t xml:space="preserve"> </w:t>
      </w:r>
      <w:r w:rsidR="00FE1D71">
        <w:t>C</w:t>
      </w:r>
      <w:r w:rsidR="003145F8">
        <w:t>ountry</w:t>
      </w:r>
      <w:r w:rsidR="00C1388B">
        <w:t>.</w:t>
      </w:r>
    </w:p>
    <w:p w14:paraId="5E40E286" w14:textId="71958B64" w:rsidR="00796009" w:rsidRDefault="00092DC6" w:rsidP="00233E9A">
      <w:pPr>
        <w:pStyle w:val="Bullet1"/>
      </w:pPr>
      <w:r w:rsidRPr="00110B89">
        <w:t>$</w:t>
      </w:r>
      <w:r>
        <w:t xml:space="preserve">564.8 </w:t>
      </w:r>
      <w:r w:rsidR="009B2ACB">
        <w:t xml:space="preserve">million </w:t>
      </w:r>
      <w:r>
        <w:t>in 2022</w:t>
      </w:r>
      <w:r w:rsidR="00936002">
        <w:t>–</w:t>
      </w:r>
      <w:r>
        <w:t>23 ($</w:t>
      </w:r>
      <w:r w:rsidR="000A4606">
        <w:t>1.35 billion over five years</w:t>
      </w:r>
      <w:r w:rsidR="00796009">
        <w:t>)</w:t>
      </w:r>
      <w:r w:rsidR="00936002">
        <w:t>,</w:t>
      </w:r>
      <w:r w:rsidR="000A4606">
        <w:t xml:space="preserve"> </w:t>
      </w:r>
      <w:r w:rsidR="004C2482">
        <w:t xml:space="preserve">with </w:t>
      </w:r>
      <w:r w:rsidR="4AE64A2F">
        <w:t xml:space="preserve">a further </w:t>
      </w:r>
      <w:r w:rsidR="00011671">
        <w:t>$70.3 million in asset funding</w:t>
      </w:r>
      <w:r w:rsidR="00C819B2">
        <w:t xml:space="preserve"> over five years</w:t>
      </w:r>
      <w:r w:rsidR="00011671">
        <w:t xml:space="preserve"> (TEI to be confirmed)</w:t>
      </w:r>
      <w:r w:rsidR="00936002">
        <w:t>,</w:t>
      </w:r>
      <w:r w:rsidR="00011671">
        <w:t xml:space="preserve"> </w:t>
      </w:r>
      <w:r w:rsidR="004C7EAB">
        <w:t>is provided to</w:t>
      </w:r>
      <w:r w:rsidR="00C1388B" w:rsidRPr="005600EB">
        <w:t xml:space="preserve"> </w:t>
      </w:r>
      <w:r w:rsidR="002109DC" w:rsidRPr="005600EB">
        <w:t>increase surgical activity across Victoria to record volumes,</w:t>
      </w:r>
      <w:r w:rsidR="000A4606">
        <w:t xml:space="preserve"> </w:t>
      </w:r>
      <w:r w:rsidR="002109DC" w:rsidRPr="005600EB">
        <w:t>exceeding pre-pandemic levels by 25</w:t>
      </w:r>
      <w:r w:rsidR="00887E93">
        <w:t>%</w:t>
      </w:r>
      <w:r w:rsidR="002109DC" w:rsidRPr="005600EB">
        <w:t xml:space="preserve">. </w:t>
      </w:r>
      <w:r w:rsidR="00FD2A26">
        <w:t>Funding will support at</w:t>
      </w:r>
      <w:r w:rsidR="002109DC" w:rsidRPr="005600EB">
        <w:t xml:space="preserve"> total of 240</w:t>
      </w:r>
      <w:r w:rsidR="00D62A67">
        <w:t>,</w:t>
      </w:r>
      <w:r w:rsidR="002109DC" w:rsidRPr="005600EB">
        <w:t>000 surgeries annually by 2024</w:t>
      </w:r>
      <w:r w:rsidR="00FD2A26">
        <w:t xml:space="preserve">, including by </w:t>
      </w:r>
      <w:r w:rsidR="00FD2A26" w:rsidRPr="00936002">
        <w:t>transforming</w:t>
      </w:r>
      <w:r w:rsidR="007203E7">
        <w:t xml:space="preserve"> Frankston Private Hospital into a public surgery centre to deliver additional capacity</w:t>
      </w:r>
      <w:r w:rsidR="00C1388B">
        <w:t>.</w:t>
      </w:r>
    </w:p>
    <w:p w14:paraId="10FB52BF" w14:textId="4B487715" w:rsidR="00C84757" w:rsidRDefault="00796009" w:rsidP="00233E9A">
      <w:pPr>
        <w:pStyle w:val="Bullet1"/>
      </w:pPr>
      <w:r w:rsidRPr="00110B89">
        <w:t>$</w:t>
      </w:r>
      <w:r w:rsidR="00135FA5">
        <w:t>942.8</w:t>
      </w:r>
      <w:r w:rsidR="009B2ACB">
        <w:t xml:space="preserve"> million </w:t>
      </w:r>
      <w:r>
        <w:t>in 2022</w:t>
      </w:r>
      <w:r w:rsidR="00936002">
        <w:t>–</w:t>
      </w:r>
      <w:r>
        <w:t>23 ($</w:t>
      </w:r>
      <w:r w:rsidR="008E0807">
        <w:t>2.34</w:t>
      </w:r>
      <w:r>
        <w:t xml:space="preserve"> billion over five years) </w:t>
      </w:r>
      <w:r w:rsidR="00AE258C">
        <w:t>with $6</w:t>
      </w:r>
      <w:r w:rsidR="000D4205">
        <w:t xml:space="preserve"> </w:t>
      </w:r>
      <w:r w:rsidR="00AE258C">
        <w:t>m</w:t>
      </w:r>
      <w:r w:rsidR="000D4205">
        <w:t>illio</w:t>
      </w:r>
      <w:r w:rsidR="008D3570">
        <w:t>n</w:t>
      </w:r>
      <w:r w:rsidR="00AE258C">
        <w:t xml:space="preserve"> TEI in asset funding </w:t>
      </w:r>
      <w:r w:rsidR="004C7EAB">
        <w:t>is provided to</w:t>
      </w:r>
      <w:r w:rsidR="00C1388B" w:rsidRPr="006B165C">
        <w:t xml:space="preserve"> </w:t>
      </w:r>
      <w:r w:rsidR="00135FA5" w:rsidRPr="005600EB">
        <w:t>support service delivery and performance in Victoria’s hospitals,</w:t>
      </w:r>
      <w:r w:rsidR="006B165C">
        <w:t xml:space="preserve"> </w:t>
      </w:r>
      <w:r w:rsidR="00135FA5" w:rsidRPr="005600EB">
        <w:t>including more emergency department staff, additional highly specialised therapies</w:t>
      </w:r>
      <w:r w:rsidR="00936002">
        <w:t>,</w:t>
      </w:r>
      <w:r w:rsidR="00135FA5" w:rsidRPr="005600EB">
        <w:t xml:space="preserve"> and to</w:t>
      </w:r>
      <w:r w:rsidR="006B165C">
        <w:t xml:space="preserve"> </w:t>
      </w:r>
      <w:r w:rsidR="00135FA5" w:rsidRPr="00936002">
        <w:t>support</w:t>
      </w:r>
      <w:r w:rsidR="00135FA5" w:rsidRPr="005600EB">
        <w:t xml:space="preserve"> new wards. Funding is also provided to expand the newborn screening program,</w:t>
      </w:r>
      <w:r w:rsidR="006B165C">
        <w:t xml:space="preserve"> </w:t>
      </w:r>
      <w:r w:rsidR="00135FA5" w:rsidRPr="005600EB">
        <w:t>medicinal cannabis compassionate access scheme for children, and robot assisted surgery</w:t>
      </w:r>
      <w:r w:rsidR="00C1388B">
        <w:t>.</w:t>
      </w:r>
    </w:p>
    <w:p w14:paraId="702F6A87" w14:textId="35F5EED8" w:rsidR="00C84757" w:rsidRDefault="00C84757" w:rsidP="00233E9A">
      <w:pPr>
        <w:pStyle w:val="Bullet1"/>
      </w:pPr>
      <w:r w:rsidRPr="00110B89">
        <w:t>$</w:t>
      </w:r>
      <w:r w:rsidR="00DB6F51">
        <w:t>11.4</w:t>
      </w:r>
      <w:r>
        <w:t xml:space="preserve"> </w:t>
      </w:r>
      <w:r w:rsidR="009B2ACB">
        <w:t xml:space="preserve">million </w:t>
      </w:r>
      <w:r>
        <w:t>in 2022</w:t>
      </w:r>
      <w:r w:rsidR="00936002">
        <w:t>–</w:t>
      </w:r>
      <w:r>
        <w:t>23 ($</w:t>
      </w:r>
      <w:r w:rsidR="00DB6F51">
        <w:t>23.8</w:t>
      </w:r>
      <w:r>
        <w:t xml:space="preserve"> </w:t>
      </w:r>
      <w:r w:rsidR="00556DBA">
        <w:t>m</w:t>
      </w:r>
      <w:r>
        <w:t xml:space="preserve">illion over </w:t>
      </w:r>
      <w:r w:rsidR="009B2ACB">
        <w:t>four</w:t>
      </w:r>
      <w:r w:rsidR="00556DBA">
        <w:t xml:space="preserve"> </w:t>
      </w:r>
      <w:r>
        <w:t>years)</w:t>
      </w:r>
      <w:r w:rsidR="0045112F">
        <w:t xml:space="preserve"> </w:t>
      </w:r>
      <w:r w:rsidR="00084698">
        <w:t xml:space="preserve">with $13.7 million TEI in asset funding </w:t>
      </w:r>
      <w:r w:rsidR="00847B4C">
        <w:t>is</w:t>
      </w:r>
      <w:r w:rsidR="00C1388B" w:rsidRPr="005600EB">
        <w:t xml:space="preserve"> </w:t>
      </w:r>
      <w:r w:rsidRPr="005600EB">
        <w:t>provided to BreastScreen Victoria (BSV) to deliver additional breast cancer</w:t>
      </w:r>
      <w:r w:rsidR="0045112F">
        <w:t xml:space="preserve"> </w:t>
      </w:r>
      <w:r w:rsidRPr="005600EB">
        <w:t>screening across new and existing services. Additional funding is provided to meet</w:t>
      </w:r>
      <w:r w:rsidR="0045112F">
        <w:t xml:space="preserve"> </w:t>
      </w:r>
      <w:r w:rsidRPr="005600EB">
        <w:t>increases in demand for cancer treatment following the easing of COVID-19 restrictions.</w:t>
      </w:r>
      <w:r w:rsidR="0045112F">
        <w:t xml:space="preserve"> </w:t>
      </w:r>
      <w:r w:rsidRPr="005600EB">
        <w:t>Further investment is provided to replace radiotherapy linear accelerators</w:t>
      </w:r>
      <w:r w:rsidR="0045112F">
        <w:t xml:space="preserve">, </w:t>
      </w:r>
      <w:r w:rsidRPr="00936002">
        <w:t>install</w:t>
      </w:r>
      <w:r w:rsidRPr="005600EB">
        <w:t xml:space="preserve"> a new radiotherapy linear accelerator in Traralgon</w:t>
      </w:r>
      <w:r w:rsidR="0045112F">
        <w:t xml:space="preserve"> and </w:t>
      </w:r>
      <w:r w:rsidRPr="005600EB">
        <w:t xml:space="preserve">catch up </w:t>
      </w:r>
      <w:r w:rsidR="0045112F">
        <w:t xml:space="preserve">on </w:t>
      </w:r>
      <w:r w:rsidRPr="005600EB">
        <w:t>vaccination</w:t>
      </w:r>
      <w:r w:rsidR="0045112F">
        <w:t>s</w:t>
      </w:r>
      <w:r w:rsidRPr="005600EB">
        <w:t xml:space="preserve"> against the Human Papilloma Virus (HPV) for young</w:t>
      </w:r>
      <w:r w:rsidR="0045112F">
        <w:t xml:space="preserve"> </w:t>
      </w:r>
      <w:r w:rsidRPr="005600EB">
        <w:t>Victorians at secondary schools</w:t>
      </w:r>
    </w:p>
    <w:p w14:paraId="4EAEDDE6" w14:textId="2DE0E9B2" w:rsidR="001B270F" w:rsidRDefault="001D1DF1" w:rsidP="00233E9A">
      <w:pPr>
        <w:pStyle w:val="Bullet1"/>
      </w:pPr>
      <w:r w:rsidRPr="00110B89">
        <w:t>$</w:t>
      </w:r>
      <w:r>
        <w:t>1</w:t>
      </w:r>
      <w:r w:rsidR="009B2ACB">
        <w:t>.5 million</w:t>
      </w:r>
      <w:r>
        <w:t xml:space="preserve"> in 2022</w:t>
      </w:r>
      <w:r w:rsidR="00936002">
        <w:t>–</w:t>
      </w:r>
      <w:r>
        <w:t>23 ($</w:t>
      </w:r>
      <w:r w:rsidR="005D50D0">
        <w:t>3.0</w:t>
      </w:r>
      <w:r w:rsidR="00FB58DD">
        <w:t xml:space="preserve"> </w:t>
      </w:r>
      <w:r>
        <w:t xml:space="preserve">million over </w:t>
      </w:r>
      <w:r w:rsidR="009B2ACB">
        <w:t>two</w:t>
      </w:r>
      <w:r>
        <w:t xml:space="preserve"> years</w:t>
      </w:r>
      <w:r w:rsidR="00CE7C40">
        <w:t xml:space="preserve">) </w:t>
      </w:r>
      <w:r w:rsidR="009B2ACB">
        <w:t>o</w:t>
      </w:r>
      <w:r w:rsidR="00DB6F51" w:rsidRPr="009B2ACB">
        <w:t>f f</w:t>
      </w:r>
      <w:r w:rsidR="00DB6F51" w:rsidRPr="005600EB">
        <w:t xml:space="preserve">unding is provided for the implementation of the </w:t>
      </w:r>
      <w:r w:rsidR="00DB6F51" w:rsidRPr="00FD2A26">
        <w:rPr>
          <w:i/>
        </w:rPr>
        <w:t>Child Wellbeing and Safety (Child Safe</w:t>
      </w:r>
      <w:r w:rsidR="009B2ACB" w:rsidRPr="00FD2A26">
        <w:rPr>
          <w:i/>
        </w:rPr>
        <w:t xml:space="preserve"> </w:t>
      </w:r>
      <w:r w:rsidR="00DB6F51" w:rsidRPr="00FD2A26">
        <w:rPr>
          <w:i/>
        </w:rPr>
        <w:t>Standards Compliance and Enforcement) Amendment Act 2021</w:t>
      </w:r>
      <w:r w:rsidR="00DB6F51" w:rsidRPr="005600EB">
        <w:t>.</w:t>
      </w:r>
      <w:r w:rsidR="00CE7C40" w:rsidRPr="009B2ACB">
        <w:t xml:space="preserve"> </w:t>
      </w:r>
      <w:r w:rsidR="000B2226">
        <w:t xml:space="preserve">As a result of </w:t>
      </w:r>
      <w:r w:rsidR="000B2226" w:rsidRPr="00936002">
        <w:t>these</w:t>
      </w:r>
      <w:r w:rsidR="000B2226">
        <w:t xml:space="preserve"> legislative reforms, additional support is required to set up information sharing systems and compliance and enforcement frameworks and make necessary organisational changes</w:t>
      </w:r>
    </w:p>
    <w:p w14:paraId="40E00ECC" w14:textId="42429195" w:rsidR="00DB6F51" w:rsidRDefault="001B270F" w:rsidP="00233E9A">
      <w:pPr>
        <w:pStyle w:val="Bullet1"/>
      </w:pPr>
      <w:r w:rsidRPr="00110B89">
        <w:t>$</w:t>
      </w:r>
      <w:r>
        <w:t>35.7 million in 2022</w:t>
      </w:r>
      <w:r w:rsidR="00936002">
        <w:t>–</w:t>
      </w:r>
      <w:r>
        <w:t>23 ($</w:t>
      </w:r>
      <w:r w:rsidR="00700C9F">
        <w:t>64.9</w:t>
      </w:r>
      <w:r>
        <w:t xml:space="preserve"> million over t</w:t>
      </w:r>
      <w:r w:rsidR="00700C9F">
        <w:t>hree y</w:t>
      </w:r>
      <w:r>
        <w:t xml:space="preserve">ears) </w:t>
      </w:r>
      <w:r w:rsidR="00FD2A26">
        <w:t>with</w:t>
      </w:r>
      <w:r w:rsidR="00FB58DD">
        <w:t xml:space="preserve"> $54.9 million </w:t>
      </w:r>
      <w:r w:rsidR="00813108">
        <w:t xml:space="preserve">TEI </w:t>
      </w:r>
      <w:r w:rsidR="00FB58DD">
        <w:t>in asset funding in 2021</w:t>
      </w:r>
      <w:r w:rsidR="00936002">
        <w:t>–</w:t>
      </w:r>
      <w:r w:rsidR="003C3E6F">
        <w:t xml:space="preserve">22 </w:t>
      </w:r>
      <w:r w:rsidR="000B7900" w:rsidRPr="005600EB">
        <w:t xml:space="preserve">is provided to establish additional capacity at </w:t>
      </w:r>
      <w:r w:rsidR="000B7900" w:rsidRPr="00936002">
        <w:t>Werribee</w:t>
      </w:r>
      <w:r w:rsidR="000B7900" w:rsidRPr="005600EB">
        <w:t xml:space="preserve"> Mercy Hospital,</w:t>
      </w:r>
      <w:r w:rsidR="000B7900">
        <w:t xml:space="preserve"> </w:t>
      </w:r>
      <w:r w:rsidR="000B7900" w:rsidRPr="005600EB">
        <w:t>Northern Hospital and Casey Hospital. This includes the establishment and staffing of</w:t>
      </w:r>
      <w:r w:rsidR="000B7900">
        <w:t xml:space="preserve"> </w:t>
      </w:r>
      <w:r w:rsidR="000B7900" w:rsidRPr="005600EB">
        <w:t xml:space="preserve">modular units to </w:t>
      </w:r>
      <w:r w:rsidR="000B7900" w:rsidRPr="005600EB">
        <w:lastRenderedPageBreak/>
        <w:t>alleviate demand on health service emergency departments by providing</w:t>
      </w:r>
      <w:r w:rsidR="003E20C8">
        <w:t xml:space="preserve"> </w:t>
      </w:r>
      <w:r w:rsidR="000B7900" w:rsidRPr="005600EB">
        <w:t>triage, assessment, respiratory clinic, and urgent care clinic functions</w:t>
      </w:r>
    </w:p>
    <w:p w14:paraId="7604F594" w14:textId="4C7D91A5" w:rsidR="00813108" w:rsidRDefault="003E20C8" w:rsidP="00233E9A">
      <w:pPr>
        <w:pStyle w:val="Bullet1"/>
      </w:pPr>
      <w:r w:rsidRPr="00110B89">
        <w:t>$</w:t>
      </w:r>
      <w:r w:rsidR="003C3E6F">
        <w:t>19 million in 2022</w:t>
      </w:r>
      <w:r w:rsidR="00936002">
        <w:t>–</w:t>
      </w:r>
      <w:r w:rsidR="003C3E6F">
        <w:t>23</w:t>
      </w:r>
      <w:r w:rsidR="0053753A">
        <w:t xml:space="preserve"> </w:t>
      </w:r>
      <w:r w:rsidR="00FD2A26">
        <w:t>with</w:t>
      </w:r>
      <w:r w:rsidR="0053753A">
        <w:t xml:space="preserve"> $15 million TEI in asset funding</w:t>
      </w:r>
      <w:r w:rsidR="00EC2F90">
        <w:t xml:space="preserve"> </w:t>
      </w:r>
      <w:r w:rsidR="00EC2F90" w:rsidRPr="005600EB">
        <w:t>is provided to upgrade the network infrastructure needed to support and deliver</w:t>
      </w:r>
      <w:r w:rsidR="00EC2F90">
        <w:t xml:space="preserve"> </w:t>
      </w:r>
      <w:r w:rsidR="00EC2F90" w:rsidRPr="005600EB">
        <w:t>patient-related services such as pathology, diagnostic imaging and patient management</w:t>
      </w:r>
      <w:r w:rsidR="00EC2F90">
        <w:t xml:space="preserve"> </w:t>
      </w:r>
      <w:r w:rsidR="00EC2F90" w:rsidRPr="005600EB">
        <w:t>systems. Funding is also provided to strengthen cybersecurity measures for Victorian</w:t>
      </w:r>
      <w:r w:rsidR="00EC2F90">
        <w:t xml:space="preserve"> </w:t>
      </w:r>
      <w:r w:rsidR="00EC2F90" w:rsidRPr="005600EB">
        <w:t xml:space="preserve">public health services and Ambulance Victoria. This includes </w:t>
      </w:r>
      <w:r w:rsidR="00EC2F90" w:rsidRPr="003C5876">
        <w:t>support</w:t>
      </w:r>
      <w:r w:rsidR="00EC2F90" w:rsidRPr="005600EB">
        <w:t xml:space="preserve"> for next generation</w:t>
      </w:r>
      <w:r w:rsidR="00EC2F90">
        <w:t xml:space="preserve"> </w:t>
      </w:r>
      <w:r w:rsidR="00EC2F90" w:rsidRPr="005600EB">
        <w:t>antivirus protections, a security operations centre, and a recovery service in the event of a</w:t>
      </w:r>
      <w:r w:rsidR="002525E6">
        <w:t xml:space="preserve"> successful cyber</w:t>
      </w:r>
      <w:r w:rsidR="00070DA7">
        <w:t>-</w:t>
      </w:r>
      <w:r w:rsidR="002525E6">
        <w:t>attack</w:t>
      </w:r>
    </w:p>
    <w:p w14:paraId="127C63FB" w14:textId="006EC5FE" w:rsidR="001774CC" w:rsidRDefault="00813108" w:rsidP="00233E9A">
      <w:pPr>
        <w:pStyle w:val="Bullet1"/>
      </w:pPr>
      <w:r w:rsidRPr="00110B89">
        <w:t>$</w:t>
      </w:r>
      <w:r w:rsidR="00A558EF">
        <w:t>4.6</w:t>
      </w:r>
      <w:r>
        <w:t xml:space="preserve"> million in 2022</w:t>
      </w:r>
      <w:r w:rsidR="00936002">
        <w:t>–</w:t>
      </w:r>
      <w:r>
        <w:t>23 ($</w:t>
      </w:r>
      <w:r w:rsidR="00A558EF">
        <w:t>9.8 m</w:t>
      </w:r>
      <w:r>
        <w:t>illion over t</w:t>
      </w:r>
      <w:r w:rsidR="00A558EF">
        <w:t>wo ye</w:t>
      </w:r>
      <w:r>
        <w:t>ars)</w:t>
      </w:r>
      <w:r w:rsidR="00A558EF">
        <w:t xml:space="preserve"> of </w:t>
      </w:r>
      <w:r w:rsidR="00A558EF" w:rsidRPr="00936002">
        <w:t>f</w:t>
      </w:r>
      <w:r w:rsidRPr="00936002">
        <w:t>unding</w:t>
      </w:r>
      <w:r w:rsidRPr="005600EB">
        <w:t xml:space="preserve"> is provided for maternity workforce capacity and support, including new</w:t>
      </w:r>
      <w:r w:rsidR="00A558EF">
        <w:t xml:space="preserve"> </w:t>
      </w:r>
      <w:r w:rsidRPr="005600EB">
        <w:t>Registered Undergraduate Student of Midwifery positions. Funding is also provided to</w:t>
      </w:r>
      <w:r w:rsidR="00A558EF">
        <w:t xml:space="preserve"> </w:t>
      </w:r>
      <w:r w:rsidRPr="005600EB">
        <w:t>health services to support the midwifery workforce and meet growing demand for</w:t>
      </w:r>
      <w:r w:rsidR="00A558EF">
        <w:t xml:space="preserve"> </w:t>
      </w:r>
      <w:r w:rsidRPr="005600EB">
        <w:t>maternity services through flexible approaches</w:t>
      </w:r>
    </w:p>
    <w:p w14:paraId="78F99A9F" w14:textId="1DD3C87D" w:rsidR="00D10F20" w:rsidRDefault="001774CC" w:rsidP="00233E9A">
      <w:pPr>
        <w:pStyle w:val="Bullet1"/>
      </w:pPr>
      <w:r w:rsidRPr="00110B89">
        <w:t>$</w:t>
      </w:r>
      <w:r>
        <w:t>244 million in 2022</w:t>
      </w:r>
      <w:r w:rsidR="00936002">
        <w:t>–</w:t>
      </w:r>
      <w:r>
        <w:t>23 ($</w:t>
      </w:r>
      <w:r w:rsidR="00C016BB">
        <w:t xml:space="preserve">1.58 billion </w:t>
      </w:r>
      <w:r>
        <w:t>over two ye</w:t>
      </w:r>
      <w:r w:rsidR="00924237">
        <w:t>ars)</w:t>
      </w:r>
      <w:r w:rsidR="00521F1B">
        <w:t xml:space="preserve"> with $4.9 million TEI in </w:t>
      </w:r>
      <w:r w:rsidR="00521F1B" w:rsidRPr="00936002">
        <w:t>asset</w:t>
      </w:r>
      <w:r w:rsidR="00521F1B">
        <w:t xml:space="preserve"> funding </w:t>
      </w:r>
      <w:r w:rsidR="00D10F20" w:rsidRPr="005600EB">
        <w:t>is provided to continue support for patients in recovery from COVID-19 and</w:t>
      </w:r>
      <w:r w:rsidR="00924237">
        <w:t xml:space="preserve"> </w:t>
      </w:r>
      <w:r w:rsidR="00D10F20" w:rsidRPr="005600EB">
        <w:t>support for the health system in continuing to address Victoria’s COVID-19 case</w:t>
      </w:r>
      <w:r w:rsidR="001D379D">
        <w:t xml:space="preserve"> </w:t>
      </w:r>
      <w:r w:rsidR="00D10F20" w:rsidRPr="005600EB">
        <w:t>load</w:t>
      </w:r>
      <w:r w:rsidR="001B5D9E">
        <w:t>.</w:t>
      </w:r>
    </w:p>
    <w:p w14:paraId="683B6840" w14:textId="543C81D6" w:rsidR="00307E72" w:rsidRPr="00110B89" w:rsidRDefault="00FB5634" w:rsidP="00C46A54">
      <w:pPr>
        <w:pStyle w:val="Heading3"/>
      </w:pPr>
      <w:bookmarkStart w:id="83" w:name="_Toc100263263"/>
      <w:bookmarkStart w:id="84" w:name="_Toc127191905"/>
      <w:r>
        <w:t>Aged Support Services</w:t>
      </w:r>
      <w:bookmarkEnd w:id="83"/>
      <w:bookmarkEnd w:id="84"/>
    </w:p>
    <w:p w14:paraId="045711C8" w14:textId="520FE89D" w:rsidR="00820B54" w:rsidRPr="008D6418" w:rsidRDefault="00307E72" w:rsidP="00233E9A">
      <w:pPr>
        <w:pStyle w:val="Body"/>
      </w:pPr>
      <w:r w:rsidRPr="57CDACF4">
        <w:rPr>
          <w:lang w:val="en-US"/>
        </w:rPr>
        <w:t xml:space="preserve">The </w:t>
      </w:r>
      <w:r w:rsidRPr="00233E9A">
        <w:t>department</w:t>
      </w:r>
      <w:r w:rsidRPr="57CDACF4">
        <w:rPr>
          <w:lang w:val="en-US"/>
        </w:rPr>
        <w:t xml:space="preserve"> is investing $</w:t>
      </w:r>
      <w:r w:rsidR="000D286E">
        <w:rPr>
          <w:lang w:val="en-US"/>
        </w:rPr>
        <w:t>800,</w:t>
      </w:r>
      <w:r w:rsidR="000D286E" w:rsidRPr="004A60A9">
        <w:rPr>
          <w:lang w:val="en-US"/>
        </w:rPr>
        <w:t xml:space="preserve">000 </w:t>
      </w:r>
      <w:r w:rsidRPr="57CDACF4">
        <w:rPr>
          <w:lang w:val="en-US"/>
        </w:rPr>
        <w:t xml:space="preserve">in </w:t>
      </w:r>
      <w:r w:rsidR="00E17EE2" w:rsidRPr="008D6418">
        <w:t>2022</w:t>
      </w:r>
      <w:r w:rsidR="00D96AED">
        <w:t>–</w:t>
      </w:r>
      <w:r w:rsidR="00E17EE2" w:rsidRPr="008D6418">
        <w:t>23</w:t>
      </w:r>
      <w:r w:rsidRPr="57CDACF4">
        <w:rPr>
          <w:lang w:val="en-US"/>
        </w:rPr>
        <w:t xml:space="preserve"> </w:t>
      </w:r>
      <w:r w:rsidR="00820B54" w:rsidRPr="004A60A9">
        <w:rPr>
          <w:lang w:val="en-US"/>
        </w:rPr>
        <w:t>to</w:t>
      </w:r>
      <w:r w:rsidR="00820B54">
        <w:rPr>
          <w:lang w:val="en-US"/>
        </w:rPr>
        <w:t xml:space="preserve"> </w:t>
      </w:r>
      <w:r w:rsidR="00820B54" w:rsidRPr="008D6418">
        <w:t xml:space="preserve">design and plan a new 60-bed </w:t>
      </w:r>
      <w:r w:rsidR="00D96AED" w:rsidRPr="008D6418">
        <w:t>public sector residential aged care</w:t>
      </w:r>
      <w:r w:rsidR="00D96AED">
        <w:t xml:space="preserve"> </w:t>
      </w:r>
      <w:r w:rsidR="00D96AED" w:rsidRPr="008D6418">
        <w:t xml:space="preserve">services </w:t>
      </w:r>
      <w:r w:rsidR="00820B54" w:rsidRPr="008D6418">
        <w:t xml:space="preserve">facility, </w:t>
      </w:r>
      <w:r w:rsidR="00820B54">
        <w:t xml:space="preserve">including </w:t>
      </w:r>
      <w:r w:rsidR="00820B54" w:rsidRPr="008D6418">
        <w:t xml:space="preserve">a </w:t>
      </w:r>
      <w:r w:rsidR="00820B54">
        <w:t xml:space="preserve">new </w:t>
      </w:r>
      <w:r w:rsidR="00820B54" w:rsidRPr="008D6418">
        <w:t>30-bed specialist</w:t>
      </w:r>
      <w:r w:rsidR="000308FF">
        <w:t xml:space="preserve"> </w:t>
      </w:r>
      <w:r w:rsidR="00820B54" w:rsidRPr="008D6418">
        <w:t>dementia unit at the Mornington Centre.</w:t>
      </w:r>
    </w:p>
    <w:p w14:paraId="74B0AEE2" w14:textId="195E619D" w:rsidR="009908F5" w:rsidRPr="00110B89" w:rsidRDefault="009908F5" w:rsidP="009908F5">
      <w:pPr>
        <w:pStyle w:val="Heading3"/>
        <w:spacing w:before="240"/>
      </w:pPr>
      <w:bookmarkStart w:id="85" w:name="_Toc100263264"/>
      <w:bookmarkStart w:id="86" w:name="_Toc127191906"/>
      <w:r w:rsidRPr="00110B89">
        <w:t xml:space="preserve">Ambulance </w:t>
      </w:r>
      <w:r w:rsidR="00B647F3">
        <w:t>Emergency</w:t>
      </w:r>
      <w:r w:rsidR="00765762">
        <w:t xml:space="preserve"> </w:t>
      </w:r>
      <w:r w:rsidRPr="00110B89">
        <w:t>Services</w:t>
      </w:r>
      <w:bookmarkEnd w:id="85"/>
      <w:bookmarkEnd w:id="86"/>
    </w:p>
    <w:p w14:paraId="1787A07A" w14:textId="118322AE" w:rsidR="006C2057" w:rsidRPr="006C067C" w:rsidRDefault="009908F5" w:rsidP="008B7F00">
      <w:pPr>
        <w:pStyle w:val="Body"/>
      </w:pPr>
      <w:r w:rsidRPr="00110B89">
        <w:rPr>
          <w:lang w:val="en-US"/>
        </w:rPr>
        <w:t>The department is investing $</w:t>
      </w:r>
      <w:r w:rsidR="0017140F" w:rsidRPr="004A60A9">
        <w:rPr>
          <w:lang w:val="en-US"/>
        </w:rPr>
        <w:t>33.4</w:t>
      </w:r>
      <w:r w:rsidRPr="00110B89">
        <w:rPr>
          <w:lang w:val="en-US"/>
        </w:rPr>
        <w:t xml:space="preserve"> million in </w:t>
      </w:r>
      <w:r w:rsidR="00E17EE2" w:rsidRPr="006C067C">
        <w:t>2022</w:t>
      </w:r>
      <w:r w:rsidR="00D96AED">
        <w:t>–</w:t>
      </w:r>
      <w:r w:rsidR="00E17EE2" w:rsidRPr="006C067C">
        <w:t>23</w:t>
      </w:r>
      <w:r w:rsidR="00E17EE2" w:rsidRPr="00110B89">
        <w:rPr>
          <w:lang w:val="en-US"/>
        </w:rPr>
        <w:t xml:space="preserve"> </w:t>
      </w:r>
      <w:r w:rsidRPr="00110B89">
        <w:rPr>
          <w:lang w:val="en-US"/>
        </w:rPr>
        <w:t>($</w:t>
      </w:r>
      <w:r w:rsidR="008B7F00">
        <w:rPr>
          <w:lang w:val="en-US"/>
        </w:rPr>
        <w:t>122.3</w:t>
      </w:r>
      <w:r w:rsidRPr="00110B89">
        <w:rPr>
          <w:lang w:val="en-US"/>
        </w:rPr>
        <w:t xml:space="preserve"> million over </w:t>
      </w:r>
      <w:r w:rsidR="008B7F00">
        <w:rPr>
          <w:lang w:val="en-US"/>
        </w:rPr>
        <w:t>five</w:t>
      </w:r>
      <w:r w:rsidR="008B7F00" w:rsidRPr="00110B89">
        <w:rPr>
          <w:lang w:val="en-US"/>
        </w:rPr>
        <w:t xml:space="preserve"> </w:t>
      </w:r>
      <w:r w:rsidRPr="00110B89">
        <w:rPr>
          <w:lang w:val="en-US"/>
        </w:rPr>
        <w:t>years)</w:t>
      </w:r>
      <w:r w:rsidR="00D96AED">
        <w:rPr>
          <w:lang w:val="en-US"/>
        </w:rPr>
        <w:t>,</w:t>
      </w:r>
      <w:r w:rsidRPr="00110B89">
        <w:rPr>
          <w:lang w:val="en-US"/>
        </w:rPr>
        <w:t xml:space="preserve"> </w:t>
      </w:r>
      <w:r w:rsidR="00F8106F">
        <w:rPr>
          <w:lang w:val="en-US"/>
        </w:rPr>
        <w:t>with $1</w:t>
      </w:r>
      <w:r w:rsidR="006D1D6B">
        <w:rPr>
          <w:lang w:val="en-US"/>
        </w:rPr>
        <w:t>.</w:t>
      </w:r>
      <w:r w:rsidR="00D96AED">
        <w:rPr>
          <w:lang w:val="en-US"/>
        </w:rPr>
        <w:t>8 </w:t>
      </w:r>
      <w:r w:rsidR="00F8106F">
        <w:rPr>
          <w:lang w:val="en-US"/>
        </w:rPr>
        <w:t xml:space="preserve">million TEI </w:t>
      </w:r>
      <w:r w:rsidR="002D7FEE">
        <w:rPr>
          <w:lang w:val="en-US"/>
        </w:rPr>
        <w:t>in asset funding</w:t>
      </w:r>
      <w:r w:rsidRPr="00110B89">
        <w:rPr>
          <w:lang w:val="en-US"/>
        </w:rPr>
        <w:t xml:space="preserve"> </w:t>
      </w:r>
      <w:r w:rsidR="006C2057" w:rsidRPr="006C067C">
        <w:t>to recruit new paramedics to meet growth in demand for</w:t>
      </w:r>
      <w:r w:rsidR="0088428A">
        <w:t xml:space="preserve"> </w:t>
      </w:r>
      <w:r w:rsidR="006C2057" w:rsidRPr="006C067C">
        <w:t xml:space="preserve">ambulance services. A second </w:t>
      </w:r>
      <w:r w:rsidR="00D96AED" w:rsidRPr="006C067C">
        <w:t xml:space="preserve">mobile stroke unit </w:t>
      </w:r>
      <w:r w:rsidR="006C2057" w:rsidRPr="006C067C">
        <w:t>will also be established to improve</w:t>
      </w:r>
      <w:r w:rsidR="0088428A">
        <w:t xml:space="preserve"> </w:t>
      </w:r>
      <w:r w:rsidR="006C2057" w:rsidRPr="006C067C">
        <w:t>access to prehospital stroke treatment. Funding will also support Ambulance Victoria to</w:t>
      </w:r>
      <w:r w:rsidR="0088428A">
        <w:t xml:space="preserve"> </w:t>
      </w:r>
      <w:r w:rsidR="006C2057" w:rsidRPr="006C067C">
        <w:t>implement recommendations from the Victorian Equal Opportunity and Human Rights</w:t>
      </w:r>
      <w:r w:rsidR="0088428A">
        <w:t xml:space="preserve"> </w:t>
      </w:r>
      <w:r w:rsidR="006C2057" w:rsidRPr="006C067C">
        <w:t>Commission’s review.</w:t>
      </w:r>
    </w:p>
    <w:p w14:paraId="56F533AF" w14:textId="559F5B63" w:rsidR="00B57F91" w:rsidRDefault="00B57F91">
      <w:pPr>
        <w:pStyle w:val="Heading3"/>
      </w:pPr>
      <w:bookmarkStart w:id="87" w:name="_Toc127191907"/>
      <w:bookmarkStart w:id="88" w:name="_Toc100263265"/>
      <w:r>
        <w:t>Community Health Care</w:t>
      </w:r>
      <w:bookmarkEnd w:id="87"/>
    </w:p>
    <w:p w14:paraId="6853AA96" w14:textId="5D496D15" w:rsidR="000E0E8F" w:rsidRDefault="00B57F91" w:rsidP="00B57F91">
      <w:pPr>
        <w:pStyle w:val="Body"/>
      </w:pPr>
      <w:r w:rsidRPr="00110B89">
        <w:rPr>
          <w:lang w:val="en-US"/>
        </w:rPr>
        <w:t xml:space="preserve">The department </w:t>
      </w:r>
      <w:r w:rsidRPr="004A60A9">
        <w:rPr>
          <w:lang w:val="en-US"/>
        </w:rPr>
        <w:t>is investing $</w:t>
      </w:r>
      <w:r w:rsidR="003107E5" w:rsidRPr="004A60A9">
        <w:rPr>
          <w:lang w:val="en-US"/>
        </w:rPr>
        <w:t>21</w:t>
      </w:r>
      <w:r w:rsidRPr="004A60A9">
        <w:rPr>
          <w:lang w:val="en-US"/>
        </w:rPr>
        <w:t xml:space="preserve"> million in </w:t>
      </w:r>
      <w:r w:rsidRPr="00FB4C20">
        <w:t>2022</w:t>
      </w:r>
      <w:r w:rsidR="00D96AED">
        <w:t>–</w:t>
      </w:r>
      <w:r w:rsidRPr="00FB4C20">
        <w:t>23</w:t>
      </w:r>
      <w:r w:rsidRPr="00110B89">
        <w:rPr>
          <w:lang w:val="en-US"/>
        </w:rPr>
        <w:t xml:space="preserve"> ($</w:t>
      </w:r>
      <w:r w:rsidR="00120FC8">
        <w:rPr>
          <w:lang w:val="en-US"/>
        </w:rPr>
        <w:t>41.2</w:t>
      </w:r>
      <w:r w:rsidRPr="00110B89">
        <w:rPr>
          <w:lang w:val="en-US"/>
        </w:rPr>
        <w:t xml:space="preserve"> million over </w:t>
      </w:r>
      <w:r w:rsidR="00120FC8">
        <w:rPr>
          <w:lang w:val="en-US"/>
        </w:rPr>
        <w:t>four</w:t>
      </w:r>
      <w:r w:rsidRPr="00110B89">
        <w:rPr>
          <w:lang w:val="en-US"/>
        </w:rPr>
        <w:t xml:space="preserve"> years) </w:t>
      </w:r>
      <w:r w:rsidRPr="0042159F">
        <w:t>to</w:t>
      </w:r>
      <w:r w:rsidR="0069540E">
        <w:t xml:space="preserve"> support new </w:t>
      </w:r>
      <w:r w:rsidR="00A61B03">
        <w:t>output</w:t>
      </w:r>
      <w:r w:rsidR="0069540E" w:rsidRPr="001A666A">
        <w:t xml:space="preserve"> initiatives that will</w:t>
      </w:r>
      <w:r w:rsidR="00C14C66">
        <w:t xml:space="preserve"> </w:t>
      </w:r>
      <w:r w:rsidR="00AE6217">
        <w:t>improve access to health services for vulnerable Victorians</w:t>
      </w:r>
      <w:r w:rsidR="009D49E4">
        <w:t xml:space="preserve"> in the community including the following:</w:t>
      </w:r>
    </w:p>
    <w:p w14:paraId="1760EE6F" w14:textId="64EAA5F4" w:rsidR="00B57F91" w:rsidRDefault="008B5D03" w:rsidP="00233E9A">
      <w:pPr>
        <w:pStyle w:val="Bullet1"/>
      </w:pPr>
      <w:r>
        <w:t>$5.7 million in 20</w:t>
      </w:r>
      <w:r w:rsidR="00DC2074">
        <w:t>22</w:t>
      </w:r>
      <w:r w:rsidR="00D96AED">
        <w:t>–</w:t>
      </w:r>
      <w:r w:rsidR="00DC2074">
        <w:t>23</w:t>
      </w:r>
      <w:r w:rsidR="008716BD">
        <w:t xml:space="preserve"> is provided to</w:t>
      </w:r>
      <w:r w:rsidR="008716BD" w:rsidRPr="00FB4C20">
        <w:t xml:space="preserve"> continue and expand services to asylum seekers in Victoria,</w:t>
      </w:r>
      <w:r w:rsidR="008716BD">
        <w:t xml:space="preserve"> </w:t>
      </w:r>
      <w:r w:rsidR="008716BD" w:rsidRPr="00FB4C20">
        <w:t>addressing gaps in safety net supports and delivering culturally appropriate healthcare to</w:t>
      </w:r>
      <w:r w:rsidR="008716BD">
        <w:t xml:space="preserve"> </w:t>
      </w:r>
      <w:r w:rsidR="008716BD" w:rsidRPr="00FB4C20">
        <w:t>newly arrived and at-risk refugees</w:t>
      </w:r>
      <w:r w:rsidR="00847B4C">
        <w:t>.</w:t>
      </w:r>
    </w:p>
    <w:p w14:paraId="4BDEFEC4" w14:textId="2FB78C69" w:rsidR="00E71248" w:rsidRDefault="002017EC" w:rsidP="00233E9A">
      <w:pPr>
        <w:pStyle w:val="Bullet1"/>
      </w:pPr>
      <w:r>
        <w:t>$700,000</w:t>
      </w:r>
      <w:r w:rsidR="00802279">
        <w:t xml:space="preserve"> in 2022-23 ($1.4 million over two years)</w:t>
      </w:r>
      <w:r w:rsidR="001260B5">
        <w:t xml:space="preserve"> is </w:t>
      </w:r>
      <w:r w:rsidR="001260B5" w:rsidRPr="00BF28F6">
        <w:t>provided</w:t>
      </w:r>
      <w:r w:rsidR="001260B5">
        <w:t xml:space="preserve"> to fund </w:t>
      </w:r>
      <w:r w:rsidR="00E71248">
        <w:t>the Trans and Gender Diverse in Community Health Program</w:t>
      </w:r>
      <w:r w:rsidR="00847B4C">
        <w:t>.</w:t>
      </w:r>
    </w:p>
    <w:p w14:paraId="6EA97F35" w14:textId="67A14F69" w:rsidR="00E311EA" w:rsidRDefault="006B005B" w:rsidP="00233E9A">
      <w:pPr>
        <w:pStyle w:val="Bullet1"/>
      </w:pPr>
      <w:r>
        <w:t>$6.5 million in 2022</w:t>
      </w:r>
      <w:r w:rsidR="00AB4A8C">
        <w:t>–</w:t>
      </w:r>
      <w:r>
        <w:t>23 (</w:t>
      </w:r>
      <w:r w:rsidR="00336A56">
        <w:t>$7.3 million over two yea</w:t>
      </w:r>
      <w:r w:rsidR="0029125C">
        <w:t xml:space="preserve">rs) </w:t>
      </w:r>
      <w:r w:rsidR="00055FD1" w:rsidRPr="00BF28F6">
        <w:t>i</w:t>
      </w:r>
      <w:r w:rsidR="00C47A3C" w:rsidRPr="00BF28F6">
        <w:t>s</w:t>
      </w:r>
      <w:r w:rsidR="00C47A3C" w:rsidRPr="00FB4C20">
        <w:t xml:space="preserve"> provided to strengthen community-based healthcare, by increasing the delivery</w:t>
      </w:r>
      <w:r w:rsidR="00C5256B">
        <w:t xml:space="preserve"> </w:t>
      </w:r>
      <w:r w:rsidR="00C47A3C" w:rsidRPr="00FB4C20">
        <w:t xml:space="preserve">of services for people who have deferred </w:t>
      </w:r>
      <w:r w:rsidR="00B74030" w:rsidRPr="00FB4C20">
        <w:t>care and</w:t>
      </w:r>
      <w:r w:rsidR="00C47A3C" w:rsidRPr="00FB4C20">
        <w:t xml:space="preserve"> supporting the integration of general</w:t>
      </w:r>
      <w:r w:rsidR="00C5256B">
        <w:t xml:space="preserve"> </w:t>
      </w:r>
      <w:r w:rsidR="00C47A3C" w:rsidRPr="00FB4C20">
        <w:t>practitioners into 20 registered community health services</w:t>
      </w:r>
      <w:r w:rsidR="0078219A" w:rsidRPr="00C5256B">
        <w:t xml:space="preserve"> as well as </w:t>
      </w:r>
      <w:r w:rsidR="001822CC" w:rsidRPr="00E311EA">
        <w:t xml:space="preserve">supporting </w:t>
      </w:r>
      <w:r w:rsidR="00C47A3C" w:rsidRPr="00FB4C20">
        <w:t>the design of a new community-based model of care for people diagnosed with</w:t>
      </w:r>
      <w:r w:rsidR="001822CC" w:rsidRPr="00C5256B">
        <w:t xml:space="preserve"> </w:t>
      </w:r>
      <w:r w:rsidR="00AB4A8C">
        <w:t>t</w:t>
      </w:r>
      <w:r w:rsidR="00AB4A8C" w:rsidRPr="00FB4C20">
        <w:t xml:space="preserve">ype </w:t>
      </w:r>
      <w:r w:rsidR="00C47A3C" w:rsidRPr="00FB4C20">
        <w:t>2 diabetes</w:t>
      </w:r>
      <w:r w:rsidR="00847B4C">
        <w:t>.</w:t>
      </w:r>
    </w:p>
    <w:p w14:paraId="19C76EFC" w14:textId="32705A71" w:rsidR="001A466F" w:rsidRDefault="000A46B4" w:rsidP="00233E9A">
      <w:pPr>
        <w:pStyle w:val="Bullet1"/>
      </w:pPr>
      <w:r>
        <w:t>$8.1 million in 2022</w:t>
      </w:r>
      <w:r w:rsidR="00AB4A8C">
        <w:t>–</w:t>
      </w:r>
      <w:r>
        <w:t xml:space="preserve">23 </w:t>
      </w:r>
      <w:r w:rsidR="005E5847">
        <w:t xml:space="preserve">($26.8 </w:t>
      </w:r>
      <w:r w:rsidR="00EE6EB5">
        <w:t xml:space="preserve">million over four </w:t>
      </w:r>
      <w:r w:rsidR="00EE6EB5" w:rsidRPr="00AB4A8C">
        <w:t>years</w:t>
      </w:r>
      <w:r w:rsidR="00EE6EB5">
        <w:t xml:space="preserve">) </w:t>
      </w:r>
      <w:r w:rsidR="00136407" w:rsidRPr="00FB4C20">
        <w:t>is provided to help community service organisations that deliver social</w:t>
      </w:r>
      <w:r w:rsidR="007F0306">
        <w:t xml:space="preserve"> </w:t>
      </w:r>
      <w:r w:rsidR="00136407" w:rsidRPr="00FB4C20">
        <w:t xml:space="preserve">services </w:t>
      </w:r>
      <w:r w:rsidR="00136407" w:rsidRPr="00AB4A8C">
        <w:t>on</w:t>
      </w:r>
      <w:r w:rsidR="00136407" w:rsidRPr="00FB4C20">
        <w:t xml:space="preserve"> behalf of the Government to cover the impacts of minimum wage and</w:t>
      </w:r>
      <w:r w:rsidR="007F0306">
        <w:t xml:space="preserve"> </w:t>
      </w:r>
      <w:r w:rsidR="00136407" w:rsidRPr="00FB4C20">
        <w:t>consumer price index cost increases</w:t>
      </w:r>
      <w:r w:rsidR="00847B4C">
        <w:t>.</w:t>
      </w:r>
    </w:p>
    <w:p w14:paraId="0867E398" w14:textId="13FA4743" w:rsidR="00ED3E32" w:rsidRDefault="00ED3E32" w:rsidP="00233E9A">
      <w:pPr>
        <w:pStyle w:val="Bullet1"/>
      </w:pPr>
      <w:r>
        <w:t>$</w:t>
      </w:r>
      <w:r w:rsidR="001A466F">
        <w:t>5</w:t>
      </w:r>
      <w:r>
        <w:t>00,000 in 2022</w:t>
      </w:r>
      <w:r w:rsidR="00AB4A8C">
        <w:t>–</w:t>
      </w:r>
      <w:r>
        <w:t xml:space="preserve">23 </w:t>
      </w:r>
      <w:r w:rsidRPr="0091675F">
        <w:t xml:space="preserve">is </w:t>
      </w:r>
      <w:r w:rsidRPr="001A466F">
        <w:t>provided</w:t>
      </w:r>
      <w:r w:rsidR="001A466F">
        <w:t xml:space="preserve"> </w:t>
      </w:r>
      <w:r w:rsidR="001A466F" w:rsidRPr="00FB4C20">
        <w:t>to progress planning for two co-</w:t>
      </w:r>
      <w:r w:rsidR="001A466F" w:rsidRPr="00AB4A8C">
        <w:t>designed</w:t>
      </w:r>
      <w:r w:rsidR="001A466F" w:rsidRPr="00FB4C20">
        <w:t xml:space="preserve"> healing centres that will</w:t>
      </w:r>
      <w:r w:rsidR="001A466F">
        <w:t xml:space="preserve"> </w:t>
      </w:r>
      <w:r w:rsidR="001A466F" w:rsidRPr="00FB4C20">
        <w:t>support and promote the social and emotional wellbeing of Aboriginal Victorians</w:t>
      </w:r>
    </w:p>
    <w:p w14:paraId="41F5F399" w14:textId="038C87C5" w:rsidR="00ED3E32" w:rsidRDefault="009F447F" w:rsidP="00233E9A">
      <w:pPr>
        <w:pStyle w:val="Bullet1"/>
      </w:pPr>
      <w:r>
        <w:lastRenderedPageBreak/>
        <w:t>$100,000 in 2022</w:t>
      </w:r>
      <w:r w:rsidR="00AB4A8C">
        <w:t>–</w:t>
      </w:r>
      <w:r>
        <w:t>23 ($1</w:t>
      </w:r>
      <w:r w:rsidR="00ED3E32">
        <w:t xml:space="preserve"> </w:t>
      </w:r>
      <w:r>
        <w:t xml:space="preserve">million over four years) </w:t>
      </w:r>
      <w:r w:rsidRPr="0091675F">
        <w:t xml:space="preserve">is </w:t>
      </w:r>
      <w:r w:rsidRPr="00FB4C20">
        <w:t>provided to design and deliver an Aboriginal-led employee assistance program,</w:t>
      </w:r>
      <w:r w:rsidR="00ED3E32">
        <w:t xml:space="preserve"> </w:t>
      </w:r>
      <w:r w:rsidRPr="00FB4C20">
        <w:t>which will include supervision and mentoring for all workers in the Aboriginal health</w:t>
      </w:r>
      <w:r w:rsidR="00ED3E32">
        <w:t xml:space="preserve"> </w:t>
      </w:r>
      <w:r w:rsidRPr="00FB4C20">
        <w:t>sector to improve cultural safety and embed culture as a protective factor for workforce</w:t>
      </w:r>
      <w:r w:rsidR="00ED3E32">
        <w:t xml:space="preserve"> wellbeing.</w:t>
      </w:r>
    </w:p>
    <w:p w14:paraId="363D29A2" w14:textId="43483908" w:rsidR="00D261C6" w:rsidRDefault="00D261C6" w:rsidP="00C46A54">
      <w:pPr>
        <w:pStyle w:val="Heading3"/>
      </w:pPr>
      <w:bookmarkStart w:id="89" w:name="_Toc127191908"/>
      <w:r>
        <w:t>Dental Services</w:t>
      </w:r>
      <w:bookmarkEnd w:id="89"/>
    </w:p>
    <w:p w14:paraId="41D4177B" w14:textId="22084056" w:rsidR="007B1698" w:rsidRPr="001131C8" w:rsidRDefault="00B92204" w:rsidP="00391AA1">
      <w:pPr>
        <w:pStyle w:val="Body"/>
      </w:pPr>
      <w:r>
        <w:rPr>
          <w:lang w:val="en-US"/>
        </w:rPr>
        <w:t>T</w:t>
      </w:r>
      <w:r w:rsidR="000050F7" w:rsidRPr="00110B89">
        <w:rPr>
          <w:lang w:val="en-US"/>
        </w:rPr>
        <w:t>he department</w:t>
      </w:r>
      <w:r w:rsidR="000050F7" w:rsidRPr="00233E9A">
        <w:rPr>
          <w:lang w:val="en-US"/>
        </w:rPr>
        <w:t xml:space="preserve"> </w:t>
      </w:r>
      <w:r w:rsidR="000050F7" w:rsidRPr="00110B89">
        <w:rPr>
          <w:lang w:val="en-US"/>
        </w:rPr>
        <w:t>is investing</w:t>
      </w:r>
      <w:r w:rsidR="0096656F">
        <w:rPr>
          <w:lang w:val="en-US"/>
        </w:rPr>
        <w:t xml:space="preserve"> funds </w:t>
      </w:r>
      <w:r w:rsidR="00232570">
        <w:rPr>
          <w:lang w:val="en-US"/>
        </w:rPr>
        <w:t xml:space="preserve">to </w:t>
      </w:r>
      <w:r w:rsidR="000050F7" w:rsidRPr="00391AA1">
        <w:t>deliver additional specialist dental treatment to children referred by</w:t>
      </w:r>
      <w:r w:rsidR="00232570">
        <w:t xml:space="preserve"> </w:t>
      </w:r>
      <w:r w:rsidR="000050F7" w:rsidRPr="00391AA1">
        <w:t>Smile Squad. This includes an uplift to specialist capacity, and the development of the</w:t>
      </w:r>
      <w:r w:rsidR="00232570">
        <w:t xml:space="preserve"> </w:t>
      </w:r>
      <w:r w:rsidR="000050F7" w:rsidRPr="00391AA1">
        <w:t>public specialist workforce through overseas recruitment and training to upskill generalist</w:t>
      </w:r>
      <w:r w:rsidR="00232570">
        <w:t xml:space="preserve"> </w:t>
      </w:r>
      <w:r w:rsidR="000050F7" w:rsidRPr="00391AA1">
        <w:t>dentists.</w:t>
      </w:r>
      <w:r w:rsidR="009E3255">
        <w:t xml:space="preserve"> Note: </w:t>
      </w:r>
      <w:r w:rsidR="007B1698" w:rsidRPr="00391AA1">
        <w:t>Funding allocation is not for publication at this time as arrangements are commercial in confidence</w:t>
      </w:r>
      <w:r w:rsidR="00AB4A8C">
        <w:t>.</w:t>
      </w:r>
    </w:p>
    <w:p w14:paraId="312DEB38" w14:textId="65C6237A" w:rsidR="00E71726" w:rsidRDefault="00E71726" w:rsidP="00E71726">
      <w:pPr>
        <w:pStyle w:val="Heading3"/>
      </w:pPr>
      <w:bookmarkStart w:id="90" w:name="_Toc127191909"/>
      <w:r>
        <w:t>Drug Treatment and Rehabilitation</w:t>
      </w:r>
      <w:bookmarkEnd w:id="90"/>
      <w:r>
        <w:t xml:space="preserve"> </w:t>
      </w:r>
    </w:p>
    <w:bookmarkEnd w:id="88"/>
    <w:p w14:paraId="63EC09E3" w14:textId="635940F8" w:rsidR="00B258D0" w:rsidRPr="00110B89" w:rsidRDefault="00B258D0" w:rsidP="00B258D0">
      <w:pPr>
        <w:pStyle w:val="Body"/>
      </w:pPr>
      <w:r w:rsidRPr="00110B89">
        <w:rPr>
          <w:lang w:val="en-US"/>
        </w:rPr>
        <w:t>The department is investing $</w:t>
      </w:r>
      <w:r w:rsidR="001371F2" w:rsidRPr="004A60A9">
        <w:rPr>
          <w:lang w:val="en-US"/>
        </w:rPr>
        <w:t>13.5</w:t>
      </w:r>
      <w:r w:rsidRPr="00110B89">
        <w:rPr>
          <w:lang w:val="en-US"/>
        </w:rPr>
        <w:t xml:space="preserve"> million in </w:t>
      </w:r>
      <w:r w:rsidR="00E17EE2" w:rsidRPr="00451C46">
        <w:t>2022</w:t>
      </w:r>
      <w:r w:rsidR="00AB4A8C">
        <w:t>–</w:t>
      </w:r>
      <w:r w:rsidR="00E17EE2" w:rsidRPr="00451C46">
        <w:t>23</w:t>
      </w:r>
      <w:r w:rsidR="00E17EE2" w:rsidRPr="00110B89">
        <w:rPr>
          <w:lang w:val="en-US"/>
        </w:rPr>
        <w:t xml:space="preserve"> </w:t>
      </w:r>
      <w:r w:rsidRPr="00110B89">
        <w:rPr>
          <w:lang w:val="en-US"/>
        </w:rPr>
        <w:t>($</w:t>
      </w:r>
      <w:r w:rsidR="00B336A4">
        <w:rPr>
          <w:lang w:val="en-US"/>
        </w:rPr>
        <w:t>19.5</w:t>
      </w:r>
      <w:r w:rsidRPr="00110B89">
        <w:rPr>
          <w:lang w:val="en-US"/>
        </w:rPr>
        <w:t xml:space="preserve"> million over four years) in drug treatment and rehabilitation services</w:t>
      </w:r>
      <w:r w:rsidRPr="00110B89">
        <w:t>, including the following:</w:t>
      </w:r>
    </w:p>
    <w:p w14:paraId="3C54E32E" w14:textId="72655A35" w:rsidR="008428A9" w:rsidRPr="00451C46" w:rsidRDefault="008428A9" w:rsidP="00233E9A">
      <w:pPr>
        <w:pStyle w:val="Bullet1"/>
      </w:pPr>
      <w:r>
        <w:t>$9.3 million in 2022</w:t>
      </w:r>
      <w:r w:rsidR="00C1388B">
        <w:t>–</w:t>
      </w:r>
      <w:r>
        <w:t xml:space="preserve">23 ($14.9 million over four years) </w:t>
      </w:r>
      <w:r w:rsidR="00847B4C">
        <w:t xml:space="preserve">is provided </w:t>
      </w:r>
      <w:r w:rsidRPr="00451C46">
        <w:t xml:space="preserve">to support better outcomes for Victorians experiencing substance use and </w:t>
      </w:r>
      <w:r w:rsidRPr="00AB4A8C">
        <w:t>addiction</w:t>
      </w:r>
      <w:r w:rsidRPr="00451C46">
        <w:t>, including continued support for community and forensic treatment services, Aboriginal Metropolitan Ice Partnerships and the Needle and Syringe Program</w:t>
      </w:r>
    </w:p>
    <w:p w14:paraId="638668B0" w14:textId="3542A974" w:rsidR="00707D53" w:rsidRPr="00451C46" w:rsidRDefault="00A906B3" w:rsidP="00233E9A">
      <w:pPr>
        <w:pStyle w:val="Bullet1"/>
      </w:pPr>
      <w:r w:rsidRPr="00451C46">
        <w:t>$4.2 million in 2022</w:t>
      </w:r>
      <w:r w:rsidR="00C1388B">
        <w:t>–</w:t>
      </w:r>
      <w:r w:rsidRPr="00451C46">
        <w:t>23 ($4.6 million over three years</w:t>
      </w:r>
      <w:r w:rsidR="00847B4C" w:rsidRPr="00451C46">
        <w:t>)</w:t>
      </w:r>
      <w:r w:rsidR="00847B4C">
        <w:t xml:space="preserve"> is provided </w:t>
      </w:r>
      <w:r w:rsidR="00707D53" w:rsidRPr="00451C46">
        <w:t>to improve access to health and social support services, enhance</w:t>
      </w:r>
      <w:r w:rsidR="003F2E55" w:rsidRPr="00451C46">
        <w:t xml:space="preserve"> </w:t>
      </w:r>
      <w:r w:rsidR="00707D53" w:rsidRPr="00451C46">
        <w:t xml:space="preserve">public </w:t>
      </w:r>
      <w:r w:rsidR="00707D53" w:rsidRPr="00AB4A8C">
        <w:t>amenity</w:t>
      </w:r>
      <w:r w:rsidR="00707D53" w:rsidRPr="00451C46">
        <w:t xml:space="preserve"> and improve experiences and perceptions of safety and security in the</w:t>
      </w:r>
      <w:r w:rsidR="003F2E55" w:rsidRPr="00451C46">
        <w:t xml:space="preserve"> </w:t>
      </w:r>
      <w:r w:rsidR="00707D53" w:rsidRPr="00451C46">
        <w:t>North Richmond precinct</w:t>
      </w:r>
      <w:r w:rsidR="003F2E55" w:rsidRPr="00451C46">
        <w:t xml:space="preserve">. </w:t>
      </w:r>
      <w:r w:rsidR="00707D53" w:rsidRPr="00451C46">
        <w:t>Enhanced outreach in the Melbourne CBD will also be continued, providing a</w:t>
      </w:r>
      <w:r w:rsidR="003F2E55" w:rsidRPr="00451C46">
        <w:t xml:space="preserve"> </w:t>
      </w:r>
      <w:r w:rsidR="00707D53" w:rsidRPr="00451C46">
        <w:t>multidisciplinary team of alcohol and other drug workers</w:t>
      </w:r>
      <w:r w:rsidR="008476B6" w:rsidRPr="00451C46">
        <w:t>.</w:t>
      </w:r>
    </w:p>
    <w:p w14:paraId="09D99E9E" w14:textId="74F6DF63" w:rsidR="00351A8C" w:rsidRDefault="000F471E">
      <w:pPr>
        <w:pStyle w:val="Heading3"/>
      </w:pPr>
      <w:bookmarkStart w:id="91" w:name="_Toc127191910"/>
      <w:bookmarkStart w:id="92" w:name="_Toc100263266"/>
      <w:r>
        <w:t>Health Protection</w:t>
      </w:r>
      <w:bookmarkEnd w:id="91"/>
    </w:p>
    <w:p w14:paraId="197C7CEF" w14:textId="1132F435" w:rsidR="009835AD" w:rsidRPr="00110B89" w:rsidRDefault="009835AD" w:rsidP="009835AD">
      <w:pPr>
        <w:pStyle w:val="Body"/>
      </w:pPr>
      <w:r w:rsidRPr="00110B89">
        <w:rPr>
          <w:lang w:val="en-US"/>
        </w:rPr>
        <w:t xml:space="preserve">The department </w:t>
      </w:r>
      <w:r w:rsidRPr="004A60A9">
        <w:rPr>
          <w:lang w:val="en-US"/>
        </w:rPr>
        <w:t xml:space="preserve">is investing $249.4 million in </w:t>
      </w:r>
      <w:r w:rsidRPr="00DD105B">
        <w:t>2022</w:t>
      </w:r>
      <w:r w:rsidR="00C1388B">
        <w:t>–</w:t>
      </w:r>
      <w:r w:rsidRPr="00DD105B">
        <w:t>23</w:t>
      </w:r>
      <w:r w:rsidRPr="00110B89">
        <w:rPr>
          <w:lang w:val="en-US"/>
        </w:rPr>
        <w:t xml:space="preserve"> ($</w:t>
      </w:r>
      <w:r>
        <w:rPr>
          <w:lang w:val="en-US"/>
        </w:rPr>
        <w:t>2.1 billion</w:t>
      </w:r>
      <w:r w:rsidRPr="00110B89">
        <w:rPr>
          <w:lang w:val="en-US"/>
        </w:rPr>
        <w:t xml:space="preserve"> over </w:t>
      </w:r>
      <w:r w:rsidR="00215150">
        <w:rPr>
          <w:lang w:val="en-US"/>
        </w:rPr>
        <w:t>five</w:t>
      </w:r>
      <w:r w:rsidRPr="00110B89">
        <w:rPr>
          <w:lang w:val="en-US"/>
        </w:rPr>
        <w:t xml:space="preserve"> years) in </w:t>
      </w:r>
      <w:r w:rsidR="00215150">
        <w:rPr>
          <w:lang w:val="en-US"/>
        </w:rPr>
        <w:t>health protection services</w:t>
      </w:r>
      <w:r w:rsidR="00DF7C8D">
        <w:rPr>
          <w:lang w:val="en-US"/>
        </w:rPr>
        <w:t xml:space="preserve"> </w:t>
      </w:r>
      <w:r w:rsidRPr="00110B89">
        <w:t>including the following:</w:t>
      </w:r>
    </w:p>
    <w:p w14:paraId="78183930" w14:textId="6ACF5DEF" w:rsidR="00B33F2C" w:rsidRPr="00B33F2C" w:rsidRDefault="001D289E" w:rsidP="00233E9A">
      <w:pPr>
        <w:pStyle w:val="Bullet1"/>
        <w:rPr>
          <w:lang w:val="en-US"/>
        </w:rPr>
      </w:pPr>
      <w:r>
        <w:t>$</w:t>
      </w:r>
      <w:r w:rsidR="00AE7F6D">
        <w:t xml:space="preserve">175.5 </w:t>
      </w:r>
      <w:r>
        <w:t>million in 2022</w:t>
      </w:r>
      <w:r w:rsidR="00847B4C">
        <w:t>–</w:t>
      </w:r>
      <w:r>
        <w:t>23 (</w:t>
      </w:r>
      <w:r w:rsidR="00AE7F6D">
        <w:t xml:space="preserve">plus </w:t>
      </w:r>
      <w:r w:rsidR="00FC7CA3">
        <w:t>$466.5 million in 2021-22</w:t>
      </w:r>
      <w:r>
        <w:t xml:space="preserve">) </w:t>
      </w:r>
      <w:r w:rsidR="00E75D2B">
        <w:rPr>
          <w:lang w:val="en-US"/>
        </w:rPr>
        <w:t>is</w:t>
      </w:r>
      <w:r w:rsidRPr="00B33F2C">
        <w:rPr>
          <w:lang w:val="en-US"/>
        </w:rPr>
        <w:t xml:space="preserve"> </w:t>
      </w:r>
      <w:r w:rsidR="00B33F2C" w:rsidRPr="00DD105B">
        <w:rPr>
          <w:lang w:val="en-US"/>
        </w:rPr>
        <w:t>provided to scale down the COVID-19 public health response in 2022-23 to</w:t>
      </w:r>
      <w:r w:rsidR="00B33F2C" w:rsidRPr="00B33F2C">
        <w:rPr>
          <w:lang w:val="en-US"/>
        </w:rPr>
        <w:t xml:space="preserve"> </w:t>
      </w:r>
      <w:r w:rsidR="00B33F2C" w:rsidRPr="00DD105B">
        <w:rPr>
          <w:lang w:val="en-US"/>
        </w:rPr>
        <w:t>transition from crisis response to a public health stewardship role</w:t>
      </w:r>
      <w:r w:rsidR="00B33F2C" w:rsidRPr="066D0547">
        <w:rPr>
          <w:lang w:val="en-US"/>
        </w:rPr>
        <w:t>,</w:t>
      </w:r>
      <w:r w:rsidR="00B33F2C" w:rsidRPr="00DD105B">
        <w:rPr>
          <w:lang w:val="en-US"/>
        </w:rPr>
        <w:t xml:space="preserve"> </w:t>
      </w:r>
      <w:r w:rsidR="00A20C2C">
        <w:rPr>
          <w:lang w:val="en-US"/>
        </w:rPr>
        <w:t xml:space="preserve">including </w:t>
      </w:r>
      <w:r w:rsidR="00B33F2C" w:rsidRPr="00DD105B">
        <w:rPr>
          <w:lang w:val="en-US"/>
        </w:rPr>
        <w:t>targeted outbreak management in</w:t>
      </w:r>
      <w:r w:rsidR="00B33F2C" w:rsidRPr="00B33F2C">
        <w:rPr>
          <w:lang w:val="en-US"/>
        </w:rPr>
        <w:t xml:space="preserve"> </w:t>
      </w:r>
      <w:r w:rsidR="00B33F2C" w:rsidRPr="00DD105B">
        <w:rPr>
          <w:lang w:val="en-US"/>
        </w:rPr>
        <w:t>high-risk aged care and health settings via local public health units and multidisciplinary</w:t>
      </w:r>
      <w:r w:rsidR="00B33F2C">
        <w:rPr>
          <w:lang w:val="en-US"/>
        </w:rPr>
        <w:t xml:space="preserve"> </w:t>
      </w:r>
      <w:r w:rsidR="00B33F2C" w:rsidRPr="00DD105B">
        <w:rPr>
          <w:lang w:val="en-US"/>
        </w:rPr>
        <w:t>mobile teams.</w:t>
      </w:r>
    </w:p>
    <w:p w14:paraId="74B15F47" w14:textId="0DA2C5D6" w:rsidR="00135FE9" w:rsidRDefault="00D5014C" w:rsidP="00233E9A">
      <w:pPr>
        <w:pStyle w:val="Bullet1"/>
        <w:rPr>
          <w:lang w:val="en-US"/>
        </w:rPr>
      </w:pPr>
      <w:r>
        <w:t>$1.6</w:t>
      </w:r>
      <w:r w:rsidR="002E1137">
        <w:t xml:space="preserve"> m</w:t>
      </w:r>
      <w:r>
        <w:t>illion in 2022</w:t>
      </w:r>
      <w:r w:rsidR="00847B4C">
        <w:t>–</w:t>
      </w:r>
      <w:r>
        <w:t>23 ($</w:t>
      </w:r>
      <w:r w:rsidR="00CF63D5">
        <w:t>3</w:t>
      </w:r>
      <w:r>
        <w:t xml:space="preserve"> million</w:t>
      </w:r>
      <w:r w:rsidR="00921BC7">
        <w:t xml:space="preserve"> over two years</w:t>
      </w:r>
      <w:r>
        <w:t xml:space="preserve">) </w:t>
      </w:r>
      <w:r w:rsidR="00847B4C">
        <w:t xml:space="preserve">is provided </w:t>
      </w:r>
      <w:r w:rsidRPr="00F22789">
        <w:rPr>
          <w:lang w:val="en-US"/>
        </w:rPr>
        <w:t xml:space="preserve">to </w:t>
      </w:r>
      <w:r w:rsidR="00EC2B59" w:rsidRPr="00DD105B">
        <w:rPr>
          <w:lang w:val="en-US"/>
        </w:rPr>
        <w:t>continue reforms relating to the decriminalisation of sex work in</w:t>
      </w:r>
      <w:r w:rsidR="00EC2B59" w:rsidRPr="00F22789">
        <w:rPr>
          <w:lang w:val="en-US"/>
        </w:rPr>
        <w:t xml:space="preserve"> </w:t>
      </w:r>
      <w:r w:rsidR="00EC2B59" w:rsidRPr="00DD105B">
        <w:rPr>
          <w:lang w:val="en-US"/>
        </w:rPr>
        <w:t>Victoria. This includes support for WorkSafe to establish a dedicated Sex Work Safety</w:t>
      </w:r>
      <w:r w:rsidR="00F22789" w:rsidRPr="00F22789">
        <w:rPr>
          <w:lang w:val="en-US"/>
        </w:rPr>
        <w:t xml:space="preserve"> </w:t>
      </w:r>
      <w:r w:rsidR="00EC2B59" w:rsidRPr="00DD105B">
        <w:rPr>
          <w:lang w:val="en-US"/>
        </w:rPr>
        <w:t xml:space="preserve">Team </w:t>
      </w:r>
      <w:r w:rsidR="00F22789" w:rsidRPr="00F22789">
        <w:rPr>
          <w:lang w:val="en-US"/>
        </w:rPr>
        <w:t xml:space="preserve">and </w:t>
      </w:r>
      <w:r w:rsidR="00EC2B59" w:rsidRPr="00F22789">
        <w:rPr>
          <w:lang w:val="en-US"/>
        </w:rPr>
        <w:t>for</w:t>
      </w:r>
      <w:r w:rsidR="00EC2B59" w:rsidRPr="00DD105B">
        <w:rPr>
          <w:lang w:val="en-US"/>
        </w:rPr>
        <w:t xml:space="preserve"> Victoria</w:t>
      </w:r>
      <w:r w:rsidR="00F22789" w:rsidRPr="00F22789">
        <w:rPr>
          <w:lang w:val="en-US"/>
        </w:rPr>
        <w:t xml:space="preserve"> </w:t>
      </w:r>
      <w:r w:rsidR="00EC2B59" w:rsidRPr="00DD105B">
        <w:rPr>
          <w:lang w:val="en-US"/>
        </w:rPr>
        <w:t>Police to manage the transition to decriminalisation</w:t>
      </w:r>
      <w:r w:rsidR="00F22789">
        <w:rPr>
          <w:lang w:val="en-US"/>
        </w:rPr>
        <w:t xml:space="preserve">. </w:t>
      </w:r>
      <w:r w:rsidR="00F22789">
        <w:t xml:space="preserve">Note: This program is delivered through the </w:t>
      </w:r>
      <w:r w:rsidR="00764C44" w:rsidRPr="00DD105B">
        <w:rPr>
          <w:lang w:val="en-US"/>
        </w:rPr>
        <w:t>Department of Justice and Community Safety</w:t>
      </w:r>
      <w:r w:rsidR="00DD105B">
        <w:rPr>
          <w:lang w:val="en-US"/>
        </w:rPr>
        <w:t xml:space="preserve">, </w:t>
      </w:r>
      <w:r w:rsidR="002C343D">
        <w:rPr>
          <w:lang w:val="en-US"/>
        </w:rPr>
        <w:t>further developing a peer-led agency to embed the reforms within the sex</w:t>
      </w:r>
      <w:r w:rsidR="00847B4C">
        <w:rPr>
          <w:lang w:val="en-US"/>
        </w:rPr>
        <w:t>-</w:t>
      </w:r>
      <w:r w:rsidR="002C343D">
        <w:rPr>
          <w:lang w:val="en-US"/>
        </w:rPr>
        <w:t>worker industry</w:t>
      </w:r>
      <w:r w:rsidR="00AB5B59">
        <w:rPr>
          <w:lang w:val="en-US"/>
        </w:rPr>
        <w:t>.</w:t>
      </w:r>
    </w:p>
    <w:p w14:paraId="049F60C0" w14:textId="388C4882" w:rsidR="00F22789" w:rsidRPr="00F837B4" w:rsidRDefault="00D5014C" w:rsidP="00233E9A">
      <w:pPr>
        <w:pStyle w:val="Bullet1"/>
        <w:rPr>
          <w:lang w:val="en-US"/>
        </w:rPr>
      </w:pPr>
      <w:r>
        <w:t>$</w:t>
      </w:r>
      <w:r w:rsidR="0069277E">
        <w:t>257.9</w:t>
      </w:r>
      <w:r>
        <w:t xml:space="preserve"> million in 202</w:t>
      </w:r>
      <w:r w:rsidR="0069277E">
        <w:t>1</w:t>
      </w:r>
      <w:r w:rsidR="00847B4C">
        <w:t>–</w:t>
      </w:r>
      <w:r w:rsidR="0069277E">
        <w:t>22</w:t>
      </w:r>
      <w:r>
        <w:t xml:space="preserve"> </w:t>
      </w:r>
      <w:r w:rsidR="339F1A71">
        <w:t>wa</w:t>
      </w:r>
      <w:r w:rsidR="00F22789">
        <w:t>s</w:t>
      </w:r>
      <w:r w:rsidR="00F22789" w:rsidRPr="00F837B4">
        <w:rPr>
          <w:lang w:val="en-US"/>
        </w:rPr>
        <w:t xml:space="preserve"> provided to support delivery of COVID-19 vaccines to Victorians due for a booster shot and 5</w:t>
      </w:r>
      <w:r w:rsidR="00847B4C">
        <w:rPr>
          <w:lang w:val="en-US"/>
        </w:rPr>
        <w:t>-</w:t>
      </w:r>
      <w:r w:rsidR="00F22789" w:rsidRPr="00F837B4">
        <w:rPr>
          <w:lang w:val="en-US"/>
        </w:rPr>
        <w:t xml:space="preserve"> to 11-year-olds receiving their first two vaccine doses. Vaccines are distributed through a combination of fixed and mobile clinics and are supported by</w:t>
      </w:r>
      <w:r w:rsidR="00F837B4">
        <w:rPr>
          <w:lang w:val="en-US"/>
        </w:rPr>
        <w:t xml:space="preserve"> </w:t>
      </w:r>
      <w:r w:rsidR="00F22789" w:rsidRPr="00F837B4">
        <w:rPr>
          <w:lang w:val="en-US"/>
        </w:rPr>
        <w:t>community engagement, booking systems, and dedicated support for 5</w:t>
      </w:r>
      <w:r w:rsidR="00847B4C">
        <w:rPr>
          <w:lang w:val="en-US"/>
        </w:rPr>
        <w:t>-</w:t>
      </w:r>
      <w:r w:rsidR="00F22789" w:rsidRPr="00F837B4">
        <w:rPr>
          <w:lang w:val="en-US"/>
        </w:rPr>
        <w:t xml:space="preserve"> to 11-year-olds.</w:t>
      </w:r>
    </w:p>
    <w:p w14:paraId="6BB4E62E" w14:textId="78C66BAE" w:rsidR="00851DD8" w:rsidRPr="00DD105B" w:rsidRDefault="00D5014C" w:rsidP="00233E9A">
      <w:pPr>
        <w:pStyle w:val="Bullet1"/>
        <w:rPr>
          <w:lang w:val="en-US"/>
        </w:rPr>
      </w:pPr>
      <w:r>
        <w:t>$</w:t>
      </w:r>
      <w:r w:rsidR="003D29B7">
        <w:t xml:space="preserve">72.3 </w:t>
      </w:r>
      <w:r>
        <w:t>million in 2022</w:t>
      </w:r>
      <w:r w:rsidR="00C1388B">
        <w:t>–</w:t>
      </w:r>
      <w:r>
        <w:t>23 (</w:t>
      </w:r>
      <w:r w:rsidR="003D29B7">
        <w:t>$</w:t>
      </w:r>
      <w:r w:rsidR="00A64896">
        <w:t>87 million over four years</w:t>
      </w:r>
      <w:r>
        <w:t xml:space="preserve">) </w:t>
      </w:r>
      <w:r w:rsidR="0037062D" w:rsidRPr="00DD105B">
        <w:rPr>
          <w:lang w:val="en-US"/>
        </w:rPr>
        <w:t>is provided for the continued operation of local public health units and</w:t>
      </w:r>
      <w:r w:rsidR="00ED1663" w:rsidRPr="00ED1663">
        <w:rPr>
          <w:lang w:val="en-US"/>
        </w:rPr>
        <w:t xml:space="preserve"> </w:t>
      </w:r>
      <w:r w:rsidR="0037062D" w:rsidRPr="00DD105B">
        <w:rPr>
          <w:lang w:val="en-US"/>
        </w:rPr>
        <w:t xml:space="preserve">additional public </w:t>
      </w:r>
      <w:r w:rsidR="0037062D" w:rsidRPr="00233E9A">
        <w:t>health</w:t>
      </w:r>
      <w:r w:rsidR="0037062D" w:rsidRPr="00DD105B">
        <w:rPr>
          <w:lang w:val="en-US"/>
        </w:rPr>
        <w:t xml:space="preserve"> capacity to support these services</w:t>
      </w:r>
      <w:r w:rsidR="00851DD8">
        <w:rPr>
          <w:lang w:val="en-US"/>
        </w:rPr>
        <w:t xml:space="preserve">. </w:t>
      </w:r>
      <w:r w:rsidR="00851DD8" w:rsidRPr="00DD105B">
        <w:rPr>
          <w:lang w:val="en-US"/>
        </w:rPr>
        <w:t xml:space="preserve">Funding will </w:t>
      </w:r>
      <w:r w:rsidR="00851DD8">
        <w:rPr>
          <w:lang w:val="en-US"/>
        </w:rPr>
        <w:t xml:space="preserve">also </w:t>
      </w:r>
      <w:r w:rsidR="00851DD8" w:rsidRPr="00DD105B">
        <w:rPr>
          <w:lang w:val="en-US"/>
        </w:rPr>
        <w:t>support public health prevention, regulation</w:t>
      </w:r>
      <w:r w:rsidR="000D4B62" w:rsidRPr="00DD105B">
        <w:rPr>
          <w:lang w:val="en-US"/>
        </w:rPr>
        <w:t>,</w:t>
      </w:r>
      <w:r w:rsidR="00851DD8" w:rsidRPr="00DD105B">
        <w:rPr>
          <w:lang w:val="en-US"/>
        </w:rPr>
        <w:t xml:space="preserve"> and response programs</w:t>
      </w:r>
      <w:r w:rsidR="00847B4C">
        <w:rPr>
          <w:lang w:val="en-US"/>
        </w:rPr>
        <w:t>.</w:t>
      </w:r>
    </w:p>
    <w:p w14:paraId="09AF98C1" w14:textId="6F1DE4D9" w:rsidR="001D289E" w:rsidRDefault="000063B2" w:rsidP="00233E9A">
      <w:pPr>
        <w:pStyle w:val="Bullet1"/>
      </w:pPr>
      <w:r>
        <w:t>$1.1 billion in 2021</w:t>
      </w:r>
      <w:r w:rsidR="00C1388B">
        <w:t>–</w:t>
      </w:r>
      <w:r>
        <w:t xml:space="preserve">22 </w:t>
      </w:r>
      <w:r w:rsidR="02893EC9" w:rsidRPr="62825640">
        <w:rPr>
          <w:lang w:val="en-US"/>
        </w:rPr>
        <w:t>wa</w:t>
      </w:r>
      <w:r w:rsidR="007D3F1B" w:rsidRPr="00DD105B">
        <w:t>s</w:t>
      </w:r>
      <w:r w:rsidR="007D3F1B">
        <w:t xml:space="preserve"> provided to purchase more than 200 million rapid antigen tests to support Victoria’s testing strategy, and provide </w:t>
      </w:r>
      <w:r w:rsidR="007D3F1B" w:rsidRPr="00C1388B">
        <w:t>tests</w:t>
      </w:r>
      <w:r w:rsidR="007D3F1B">
        <w:t xml:space="preserve"> to healthcare workers, school students, COVID contacts and other essential public sector workforces.</w:t>
      </w:r>
    </w:p>
    <w:p w14:paraId="74CB41FC" w14:textId="26494404" w:rsidR="007D3F1B" w:rsidRDefault="007D3F1B" w:rsidP="00C46A54">
      <w:pPr>
        <w:pStyle w:val="Heading3"/>
      </w:pPr>
      <w:bookmarkStart w:id="93" w:name="_Toc127191911"/>
      <w:r>
        <w:lastRenderedPageBreak/>
        <w:t>Health Workforce Training and Development</w:t>
      </w:r>
      <w:bookmarkEnd w:id="93"/>
    </w:p>
    <w:p w14:paraId="34AF616D" w14:textId="558955D2" w:rsidR="007D3F1B" w:rsidRPr="00110B89" w:rsidRDefault="007D3F1B" w:rsidP="007D3F1B">
      <w:pPr>
        <w:pStyle w:val="Body"/>
      </w:pPr>
      <w:r w:rsidRPr="00110B89">
        <w:rPr>
          <w:lang w:val="en-US"/>
        </w:rPr>
        <w:t xml:space="preserve">The department </w:t>
      </w:r>
      <w:r w:rsidRPr="007C7A2A">
        <w:rPr>
          <w:lang w:val="en-US"/>
        </w:rPr>
        <w:t>is investing $</w:t>
      </w:r>
      <w:r w:rsidR="00434458" w:rsidRPr="007C7A2A">
        <w:rPr>
          <w:lang w:val="en-US"/>
        </w:rPr>
        <w:t>42.8</w:t>
      </w:r>
      <w:r w:rsidR="00684EFA" w:rsidRPr="003504D1">
        <w:rPr>
          <w:lang w:val="en-US"/>
        </w:rPr>
        <w:t xml:space="preserve"> million </w:t>
      </w:r>
      <w:r w:rsidRPr="003504D1">
        <w:rPr>
          <w:lang w:val="en-US"/>
        </w:rPr>
        <w:t xml:space="preserve">in </w:t>
      </w:r>
      <w:r w:rsidRPr="00EF24DF">
        <w:t>2022</w:t>
      </w:r>
      <w:r w:rsidR="00847B4C">
        <w:t>–</w:t>
      </w:r>
      <w:r w:rsidR="009E257F" w:rsidRPr="00FD44C5">
        <w:t>23</w:t>
      </w:r>
      <w:r w:rsidR="009E257F" w:rsidRPr="00110B89">
        <w:rPr>
          <w:lang w:val="en-US"/>
        </w:rPr>
        <w:t xml:space="preserve"> </w:t>
      </w:r>
      <w:r w:rsidRPr="00110B89">
        <w:rPr>
          <w:lang w:val="en-US"/>
        </w:rPr>
        <w:t>($</w:t>
      </w:r>
      <w:r w:rsidR="00434458">
        <w:rPr>
          <w:lang w:val="en-US"/>
        </w:rPr>
        <w:t xml:space="preserve">75.8 million over </w:t>
      </w:r>
      <w:r>
        <w:rPr>
          <w:lang w:val="en-US"/>
        </w:rPr>
        <w:t>f</w:t>
      </w:r>
      <w:r w:rsidR="00434458">
        <w:rPr>
          <w:lang w:val="en-US"/>
        </w:rPr>
        <w:t>our</w:t>
      </w:r>
      <w:r w:rsidRPr="00110B89">
        <w:rPr>
          <w:lang w:val="en-US"/>
        </w:rPr>
        <w:t xml:space="preserve"> years) in </w:t>
      </w:r>
      <w:r w:rsidR="00434458">
        <w:rPr>
          <w:lang w:val="en-US"/>
        </w:rPr>
        <w:t>workforce training and development</w:t>
      </w:r>
      <w:r>
        <w:rPr>
          <w:lang w:val="en-US"/>
        </w:rPr>
        <w:t xml:space="preserve"> </w:t>
      </w:r>
      <w:r w:rsidRPr="00110B89">
        <w:t>including the following:</w:t>
      </w:r>
    </w:p>
    <w:p w14:paraId="1377F1BD" w14:textId="5C31454D" w:rsidR="00961044" w:rsidRPr="00BB49D8" w:rsidRDefault="007D3F1B" w:rsidP="00233E9A">
      <w:pPr>
        <w:pStyle w:val="Bullet1"/>
        <w:rPr>
          <w:lang w:val="en-US"/>
        </w:rPr>
      </w:pPr>
      <w:r>
        <w:t>$</w:t>
      </w:r>
      <w:r w:rsidR="00961044" w:rsidRPr="00BB49D8">
        <w:rPr>
          <w:lang w:val="en-US"/>
        </w:rPr>
        <w:t xml:space="preserve">5 million </w:t>
      </w:r>
      <w:r w:rsidRPr="00BB49D8">
        <w:rPr>
          <w:lang w:val="en-US"/>
        </w:rPr>
        <w:t>in 2022</w:t>
      </w:r>
      <w:r w:rsidR="00847B4C">
        <w:rPr>
          <w:lang w:val="en-US"/>
        </w:rPr>
        <w:t>–</w:t>
      </w:r>
      <w:r w:rsidR="00624CD3" w:rsidRPr="00BB49D8">
        <w:rPr>
          <w:lang w:val="en-US"/>
        </w:rPr>
        <w:t xml:space="preserve">23 is </w:t>
      </w:r>
      <w:r w:rsidRPr="00624CD3">
        <w:rPr>
          <w:lang w:val="en-US"/>
        </w:rPr>
        <w:t xml:space="preserve">provided </w:t>
      </w:r>
      <w:r w:rsidR="00624CD3" w:rsidRPr="00BB49D8">
        <w:rPr>
          <w:lang w:val="en-US"/>
        </w:rPr>
        <w:t xml:space="preserve">to the Jreissati Family Pancreatic Centre at Epworth to support efforts to diagnose and </w:t>
      </w:r>
      <w:r w:rsidR="00624CD3" w:rsidRPr="00233E9A">
        <w:t>treat</w:t>
      </w:r>
      <w:r w:rsidR="00624CD3" w:rsidRPr="00BB49D8">
        <w:rPr>
          <w:lang w:val="en-US"/>
        </w:rPr>
        <w:t xml:space="preserve"> pancreatic cancer. This will incl</w:t>
      </w:r>
      <w:r w:rsidR="00624CD3">
        <w:rPr>
          <w:lang w:val="en-US"/>
        </w:rPr>
        <w:t xml:space="preserve">ude </w:t>
      </w:r>
      <w:r w:rsidR="00624CD3" w:rsidRPr="00233E9A">
        <w:t>improving treatment pathways, undertaking research</w:t>
      </w:r>
      <w:r w:rsidR="000D4B62" w:rsidRPr="00233E9A">
        <w:t>,</w:t>
      </w:r>
      <w:r w:rsidR="00624CD3" w:rsidRPr="00233E9A">
        <w:t xml:space="preserve"> and developing education materials</w:t>
      </w:r>
      <w:r w:rsidR="00624CD3" w:rsidRPr="00BB49D8">
        <w:rPr>
          <w:lang w:val="en-US"/>
        </w:rPr>
        <w:t xml:space="preserve"> for health</w:t>
      </w:r>
      <w:r w:rsidR="00BB49D8">
        <w:rPr>
          <w:lang w:val="en-US"/>
        </w:rPr>
        <w:t xml:space="preserve"> </w:t>
      </w:r>
      <w:r w:rsidR="70EDBF63" w:rsidRPr="00BB49D8">
        <w:rPr>
          <w:lang w:val="en-US"/>
        </w:rPr>
        <w:t>practitioners, patients and families affected by pancreatic cancer.</w:t>
      </w:r>
    </w:p>
    <w:p w14:paraId="4E8217A2" w14:textId="08C949B0" w:rsidR="00D94255" w:rsidRPr="00BB49D8" w:rsidRDefault="00961044" w:rsidP="00233E9A">
      <w:pPr>
        <w:pStyle w:val="Bullet1"/>
        <w:rPr>
          <w:lang w:val="en-US"/>
        </w:rPr>
      </w:pPr>
      <w:r w:rsidRPr="00BB49D8">
        <w:rPr>
          <w:lang w:val="en-US"/>
        </w:rPr>
        <w:t>$</w:t>
      </w:r>
      <w:r w:rsidR="006D754C" w:rsidRPr="00BB49D8">
        <w:rPr>
          <w:lang w:val="en-US"/>
        </w:rPr>
        <w:t xml:space="preserve">37.8 million </w:t>
      </w:r>
      <w:r w:rsidRPr="00BB49D8">
        <w:rPr>
          <w:lang w:val="en-US"/>
        </w:rPr>
        <w:t>in 2022</w:t>
      </w:r>
      <w:r w:rsidR="00847B4C">
        <w:rPr>
          <w:lang w:val="en-US"/>
        </w:rPr>
        <w:t>–</w:t>
      </w:r>
      <w:r w:rsidRPr="00BB49D8">
        <w:rPr>
          <w:lang w:val="en-US"/>
        </w:rPr>
        <w:t xml:space="preserve">23 </w:t>
      </w:r>
      <w:r w:rsidR="006D754C" w:rsidRPr="00BB49D8">
        <w:rPr>
          <w:lang w:val="en-US"/>
        </w:rPr>
        <w:t xml:space="preserve">($70.8 million over four years) </w:t>
      </w:r>
      <w:r w:rsidR="00FD6E56" w:rsidRPr="00BB49D8">
        <w:rPr>
          <w:lang w:val="en-US"/>
        </w:rPr>
        <w:t>is provided for a review into current clinical placement activity to improve the</w:t>
      </w:r>
      <w:r w:rsidR="00BE35F1" w:rsidRPr="00BB49D8">
        <w:rPr>
          <w:lang w:val="en-US"/>
        </w:rPr>
        <w:t xml:space="preserve"> </w:t>
      </w:r>
      <w:r w:rsidR="00FD6E56" w:rsidRPr="00BB49D8">
        <w:rPr>
          <w:lang w:val="en-US"/>
        </w:rPr>
        <w:t xml:space="preserve">quantity and quality of clinical placements across healthcare </w:t>
      </w:r>
      <w:r w:rsidR="00FD6E56" w:rsidRPr="00233E9A">
        <w:t>disciplines</w:t>
      </w:r>
      <w:r w:rsidR="00FD6E56" w:rsidRPr="00BB49D8">
        <w:rPr>
          <w:lang w:val="en-US"/>
        </w:rPr>
        <w:t xml:space="preserve"> and expand allied</w:t>
      </w:r>
      <w:r w:rsidR="00BE35F1" w:rsidRPr="00BB49D8">
        <w:rPr>
          <w:lang w:val="en-US"/>
        </w:rPr>
        <w:t xml:space="preserve"> </w:t>
      </w:r>
      <w:r w:rsidR="00FD6E56" w:rsidRPr="00BB49D8">
        <w:rPr>
          <w:lang w:val="en-US"/>
        </w:rPr>
        <w:t>health advanced practice service</w:t>
      </w:r>
      <w:r w:rsidR="007464DC" w:rsidRPr="00BB49D8">
        <w:rPr>
          <w:lang w:val="en-US"/>
        </w:rPr>
        <w:t xml:space="preserve"> models</w:t>
      </w:r>
      <w:r w:rsidR="00FD6E56" w:rsidRPr="00BB49D8">
        <w:rPr>
          <w:lang w:val="en-US"/>
        </w:rPr>
        <w:t>.</w:t>
      </w:r>
      <w:r w:rsidR="007464DC" w:rsidRPr="00BB49D8">
        <w:rPr>
          <w:lang w:val="en-US"/>
        </w:rPr>
        <w:t xml:space="preserve"> Funding is also provide</w:t>
      </w:r>
      <w:r w:rsidR="00BE35F1" w:rsidRPr="00BB49D8">
        <w:rPr>
          <w:lang w:val="en-US"/>
        </w:rPr>
        <w:t xml:space="preserve">d </w:t>
      </w:r>
      <w:r w:rsidR="000A76BC" w:rsidRPr="00BB49D8">
        <w:rPr>
          <w:lang w:val="en-US"/>
        </w:rPr>
        <w:t>to support newly graduated enrolled nurses to enter health</w:t>
      </w:r>
      <w:r w:rsidR="00BE35F1" w:rsidRPr="00BB49D8">
        <w:rPr>
          <w:lang w:val="en-US"/>
        </w:rPr>
        <w:t xml:space="preserve"> </w:t>
      </w:r>
      <w:r w:rsidR="000A76BC" w:rsidRPr="00BB49D8">
        <w:rPr>
          <w:lang w:val="en-US"/>
        </w:rPr>
        <w:t>services with additional support to become skilled professionals within their first year of</w:t>
      </w:r>
      <w:r w:rsidR="00BE35F1" w:rsidRPr="00BB49D8">
        <w:rPr>
          <w:lang w:val="en-US"/>
        </w:rPr>
        <w:t xml:space="preserve"> </w:t>
      </w:r>
      <w:r w:rsidR="000A76BC" w:rsidRPr="00BB49D8">
        <w:rPr>
          <w:lang w:val="en-US"/>
        </w:rPr>
        <w:t>practice</w:t>
      </w:r>
      <w:r w:rsidR="00BE35F1" w:rsidRPr="00BB49D8">
        <w:rPr>
          <w:lang w:val="en-US"/>
        </w:rPr>
        <w:t xml:space="preserve"> as well as </w:t>
      </w:r>
      <w:r w:rsidR="00D94255" w:rsidRPr="00BB49D8">
        <w:rPr>
          <w:lang w:val="en-US"/>
        </w:rPr>
        <w:t>support</w:t>
      </w:r>
      <w:r w:rsidR="00BE35F1" w:rsidRPr="00BB49D8">
        <w:rPr>
          <w:lang w:val="en-US"/>
        </w:rPr>
        <w:t>ing</w:t>
      </w:r>
      <w:r w:rsidR="00D94255" w:rsidRPr="00BB49D8">
        <w:rPr>
          <w:lang w:val="en-US"/>
        </w:rPr>
        <w:t xml:space="preserve"> the retention and growth of the Aboriginal health</w:t>
      </w:r>
      <w:r w:rsidR="00BE35F1" w:rsidRPr="00BB49D8">
        <w:rPr>
          <w:lang w:val="en-US"/>
        </w:rPr>
        <w:t xml:space="preserve"> </w:t>
      </w:r>
      <w:r w:rsidR="00D94255" w:rsidRPr="00BB49D8">
        <w:rPr>
          <w:lang w:val="en-US"/>
        </w:rPr>
        <w:t>workforce to increase the accessibility of culturally safe services and fill essential</w:t>
      </w:r>
      <w:r w:rsidR="00BE35F1" w:rsidRPr="00BB49D8">
        <w:rPr>
          <w:lang w:val="en-US"/>
        </w:rPr>
        <w:t xml:space="preserve"> </w:t>
      </w:r>
      <w:r w:rsidR="00D94255" w:rsidRPr="00BB49D8">
        <w:rPr>
          <w:lang w:val="en-US"/>
        </w:rPr>
        <w:t xml:space="preserve">workforce gaps. </w:t>
      </w:r>
      <w:r w:rsidR="00BE35F1" w:rsidRPr="00BB49D8">
        <w:rPr>
          <w:lang w:val="en-US"/>
        </w:rPr>
        <w:t xml:space="preserve">Lastly funding is to </w:t>
      </w:r>
      <w:r w:rsidR="0070007F" w:rsidRPr="00BB49D8">
        <w:rPr>
          <w:lang w:val="en-US"/>
        </w:rPr>
        <w:t>consolidate learning and facilitate the transition to registered graduate practice, a</w:t>
      </w:r>
      <w:r w:rsidR="00BE35F1" w:rsidRPr="00BB49D8">
        <w:rPr>
          <w:lang w:val="en-US"/>
        </w:rPr>
        <w:t xml:space="preserve"> </w:t>
      </w:r>
      <w:r w:rsidR="0070007F" w:rsidRPr="00BB49D8">
        <w:rPr>
          <w:lang w:val="en-US"/>
        </w:rPr>
        <w:t>Registered Undergraduate Student of Nursing (RUSON) pilot program will be established</w:t>
      </w:r>
      <w:r w:rsidR="00BE35F1" w:rsidRPr="00BB49D8">
        <w:rPr>
          <w:lang w:val="en-US"/>
        </w:rPr>
        <w:t xml:space="preserve"> </w:t>
      </w:r>
      <w:r w:rsidR="0070007F" w:rsidRPr="00BB49D8">
        <w:rPr>
          <w:lang w:val="en-US"/>
        </w:rPr>
        <w:t>to facilitate the appointment of 1</w:t>
      </w:r>
      <w:r w:rsidR="008223EE" w:rsidRPr="00BB49D8">
        <w:rPr>
          <w:lang w:val="en-US"/>
        </w:rPr>
        <w:t>,</w:t>
      </w:r>
      <w:r w:rsidR="0070007F" w:rsidRPr="00BB49D8">
        <w:rPr>
          <w:lang w:val="en-US"/>
        </w:rPr>
        <w:t>125 RUSONs a year.</w:t>
      </w:r>
    </w:p>
    <w:p w14:paraId="2DA621B3" w14:textId="44BFFF60" w:rsidR="005433DC" w:rsidRDefault="00C20B6A" w:rsidP="00C46A54">
      <w:pPr>
        <w:pStyle w:val="Heading3"/>
      </w:pPr>
      <w:bookmarkStart w:id="94" w:name="_Toc127191912"/>
      <w:r>
        <w:t>Ageing</w:t>
      </w:r>
      <w:r w:rsidR="00802124">
        <w:t>, Aged and Home Care</w:t>
      </w:r>
      <w:bookmarkEnd w:id="94"/>
      <w:r w:rsidR="00802124">
        <w:t xml:space="preserve"> </w:t>
      </w:r>
    </w:p>
    <w:p w14:paraId="6C30E3F1" w14:textId="4F374B1D" w:rsidR="00E42CF4" w:rsidRDefault="001B1577" w:rsidP="00D82C19">
      <w:pPr>
        <w:pStyle w:val="Body"/>
      </w:pPr>
      <w:r>
        <w:rPr>
          <w:lang w:val="en-US"/>
        </w:rPr>
        <w:t>T</w:t>
      </w:r>
      <w:r w:rsidRPr="00110B89">
        <w:rPr>
          <w:lang w:val="en-US"/>
        </w:rPr>
        <w:t>he department</w:t>
      </w:r>
      <w:r w:rsidRPr="00233E9A">
        <w:rPr>
          <w:i/>
          <w:lang w:val="en-US"/>
        </w:rPr>
        <w:t xml:space="preserve"> </w:t>
      </w:r>
      <w:r w:rsidRPr="004F751E">
        <w:rPr>
          <w:lang w:val="en-US"/>
        </w:rPr>
        <w:t xml:space="preserve">is </w:t>
      </w:r>
      <w:r w:rsidR="00D82C19" w:rsidRPr="00F66CFD">
        <w:rPr>
          <w:lang w:val="en-US"/>
        </w:rPr>
        <w:t>investing $</w:t>
      </w:r>
      <w:r w:rsidR="00E209B0" w:rsidRPr="00D10FDA">
        <w:rPr>
          <w:lang w:val="en-US"/>
        </w:rPr>
        <w:t>41.4</w:t>
      </w:r>
      <w:r w:rsidR="00D82C19" w:rsidRPr="00D10FDA">
        <w:rPr>
          <w:lang w:val="en-US"/>
        </w:rPr>
        <w:t xml:space="preserve"> million in </w:t>
      </w:r>
      <w:r w:rsidR="00D82C19" w:rsidRPr="00B30B17">
        <w:t>2022</w:t>
      </w:r>
      <w:r w:rsidR="00847B4C">
        <w:t>–</w:t>
      </w:r>
      <w:r w:rsidR="009E257F" w:rsidRPr="00FD44C5">
        <w:t>23</w:t>
      </w:r>
      <w:r w:rsidR="009E257F" w:rsidRPr="00110B89">
        <w:rPr>
          <w:lang w:val="en-US"/>
        </w:rPr>
        <w:t xml:space="preserve"> </w:t>
      </w:r>
      <w:r w:rsidR="00D82C19" w:rsidRPr="00110B89">
        <w:rPr>
          <w:lang w:val="en-US"/>
        </w:rPr>
        <w:t>($</w:t>
      </w:r>
      <w:r w:rsidR="00D30204">
        <w:rPr>
          <w:lang w:val="en-US"/>
        </w:rPr>
        <w:t>80.7</w:t>
      </w:r>
      <w:r w:rsidR="00D82C19" w:rsidRPr="00110B89">
        <w:rPr>
          <w:lang w:val="en-US"/>
        </w:rPr>
        <w:t xml:space="preserve"> million over </w:t>
      </w:r>
      <w:r w:rsidR="006D45E3">
        <w:rPr>
          <w:lang w:val="en-US"/>
        </w:rPr>
        <w:t>two</w:t>
      </w:r>
      <w:r w:rsidR="00D82C19" w:rsidRPr="00110B89">
        <w:rPr>
          <w:lang w:val="en-US"/>
        </w:rPr>
        <w:t xml:space="preserve"> years)</w:t>
      </w:r>
      <w:r w:rsidR="00696184">
        <w:rPr>
          <w:lang w:val="en-US"/>
        </w:rPr>
        <w:t xml:space="preserve"> t</w:t>
      </w:r>
      <w:r w:rsidR="00D30204">
        <w:t>o fund</w:t>
      </w:r>
      <w:r w:rsidR="00E42CF4" w:rsidRPr="00B30B17">
        <w:t xml:space="preserve"> services and programs to support Victorians with disability who</w:t>
      </w:r>
      <w:r w:rsidR="00D30204">
        <w:t xml:space="preserve"> </w:t>
      </w:r>
      <w:r w:rsidR="00E42CF4" w:rsidRPr="00B30B17">
        <w:t>are not eligible for the National Disability Insurance Scheme (NDIS)</w:t>
      </w:r>
      <w:r w:rsidR="00847B4C">
        <w:t>. This includes</w:t>
      </w:r>
      <w:r w:rsidR="001B21CF">
        <w:t xml:space="preserve"> </w:t>
      </w:r>
      <w:r w:rsidR="00CB39CD">
        <w:t>the Home and Community Care Program for Younger People</w:t>
      </w:r>
      <w:r w:rsidR="00847B4C">
        <w:t>. It will also provide</w:t>
      </w:r>
      <w:r w:rsidR="00CB39CD">
        <w:t xml:space="preserve"> aids and equipment support. </w:t>
      </w:r>
      <w:r w:rsidR="00D82C19" w:rsidRPr="00B30B17">
        <w:t xml:space="preserve">This initiative will deliver on the </w:t>
      </w:r>
      <w:r w:rsidR="00847B4C">
        <w:t>g</w:t>
      </w:r>
      <w:r w:rsidR="00847B4C" w:rsidRPr="00B30B17">
        <w:t xml:space="preserve">overnment’s </w:t>
      </w:r>
      <w:r w:rsidR="00D82C19" w:rsidRPr="00B30B17">
        <w:t>commitment to continue to provide</w:t>
      </w:r>
      <w:r w:rsidR="00D30204">
        <w:t xml:space="preserve"> </w:t>
      </w:r>
      <w:r w:rsidR="00D82C19" w:rsidRPr="00B30B17">
        <w:t>support to existing Victorian disability services’ clients who have not been able to</w:t>
      </w:r>
      <w:r w:rsidR="00D30204">
        <w:t xml:space="preserve"> </w:t>
      </w:r>
      <w:r w:rsidR="00D82C19" w:rsidRPr="00B30B17">
        <w:t>transition to the NDIS.</w:t>
      </w:r>
    </w:p>
    <w:p w14:paraId="45742106" w14:textId="5898F186" w:rsidR="00E86E1E" w:rsidRDefault="00E86E1E" w:rsidP="0084004D">
      <w:pPr>
        <w:pStyle w:val="Heading3"/>
      </w:pPr>
      <w:bookmarkStart w:id="95" w:name="_Toc127191913"/>
      <w:r>
        <w:t>Maternal and Child Health and Early Parenting Services</w:t>
      </w:r>
      <w:bookmarkEnd w:id="95"/>
    </w:p>
    <w:p w14:paraId="1CC2D7A1" w14:textId="48A5E91D" w:rsidR="00EF7B71" w:rsidRPr="00136567" w:rsidRDefault="00EF7B71" w:rsidP="00EF7B71">
      <w:pPr>
        <w:pStyle w:val="Body"/>
        <w:rPr>
          <w:lang w:val="en-US"/>
        </w:rPr>
      </w:pPr>
      <w:r>
        <w:rPr>
          <w:lang w:val="en-US"/>
        </w:rPr>
        <w:t>T</w:t>
      </w:r>
      <w:r w:rsidRPr="00110B89">
        <w:rPr>
          <w:lang w:val="en-US"/>
        </w:rPr>
        <w:t xml:space="preserve">he department </w:t>
      </w:r>
      <w:r w:rsidRPr="00743FFB">
        <w:rPr>
          <w:lang w:val="en-US"/>
        </w:rPr>
        <w:t>is investing $</w:t>
      </w:r>
      <w:r w:rsidR="004F751E">
        <w:rPr>
          <w:lang w:val="en-US"/>
        </w:rPr>
        <w:t>3.9</w:t>
      </w:r>
      <w:r w:rsidRPr="00743FFB">
        <w:rPr>
          <w:lang w:val="en-US"/>
        </w:rPr>
        <w:t xml:space="preserve"> million in </w:t>
      </w:r>
      <w:r w:rsidRPr="00136567">
        <w:t>2022</w:t>
      </w:r>
      <w:r w:rsidR="00847B4C">
        <w:t>–</w:t>
      </w:r>
      <w:r w:rsidR="009E257F" w:rsidRPr="00FD44C5">
        <w:t>23</w:t>
      </w:r>
      <w:r w:rsidR="009E257F" w:rsidRPr="00110B89">
        <w:rPr>
          <w:lang w:val="en-US"/>
        </w:rPr>
        <w:t xml:space="preserve"> </w:t>
      </w:r>
      <w:r w:rsidRPr="00110B89">
        <w:rPr>
          <w:lang w:val="en-US"/>
        </w:rPr>
        <w:t>($</w:t>
      </w:r>
      <w:r w:rsidR="00846223">
        <w:rPr>
          <w:lang w:val="en-US"/>
        </w:rPr>
        <w:t>10.2</w:t>
      </w:r>
      <w:r w:rsidRPr="00110B89">
        <w:rPr>
          <w:lang w:val="en-US"/>
        </w:rPr>
        <w:t xml:space="preserve"> million over </w:t>
      </w:r>
      <w:r w:rsidR="00846223">
        <w:rPr>
          <w:lang w:val="en-US"/>
        </w:rPr>
        <w:t>four</w:t>
      </w:r>
      <w:r w:rsidR="00440F60">
        <w:rPr>
          <w:lang w:val="en-US"/>
        </w:rPr>
        <w:t xml:space="preserve"> </w:t>
      </w:r>
      <w:r w:rsidRPr="00110B89">
        <w:rPr>
          <w:lang w:val="en-US"/>
        </w:rPr>
        <w:t>years)</w:t>
      </w:r>
      <w:r>
        <w:rPr>
          <w:lang w:val="en-US"/>
        </w:rPr>
        <w:t xml:space="preserve"> </w:t>
      </w:r>
      <w:r w:rsidRPr="00136567">
        <w:rPr>
          <w:lang w:val="en-US"/>
        </w:rPr>
        <w:t>to continue support for maternal and child health services delivered</w:t>
      </w:r>
      <w:r w:rsidR="00743FFB">
        <w:rPr>
          <w:lang w:val="en-US"/>
        </w:rPr>
        <w:t xml:space="preserve"> </w:t>
      </w:r>
      <w:r w:rsidRPr="00136567">
        <w:rPr>
          <w:lang w:val="en-US"/>
        </w:rPr>
        <w:t>by Aboriginal organisations</w:t>
      </w:r>
      <w:r w:rsidR="00847B4C">
        <w:rPr>
          <w:lang w:val="en-US"/>
        </w:rPr>
        <w:t>. This also includes</w:t>
      </w:r>
      <w:r w:rsidRPr="00136567">
        <w:rPr>
          <w:lang w:val="en-US"/>
        </w:rPr>
        <w:t xml:space="preserve"> the Aboriginal</w:t>
      </w:r>
      <w:r w:rsidR="00D9542F">
        <w:rPr>
          <w:lang w:val="en-US"/>
        </w:rPr>
        <w:t>-</w:t>
      </w:r>
      <w:r w:rsidRPr="00136567">
        <w:rPr>
          <w:lang w:val="en-US"/>
        </w:rPr>
        <w:t>led co-design of Aboriginal early years</w:t>
      </w:r>
      <w:r w:rsidR="00743FFB">
        <w:rPr>
          <w:lang w:val="en-US"/>
        </w:rPr>
        <w:t xml:space="preserve"> </w:t>
      </w:r>
      <w:r w:rsidRPr="00136567">
        <w:rPr>
          <w:lang w:val="en-US"/>
        </w:rPr>
        <w:t>health services spanning antenatal, maternal and child health, and early parenting.</w:t>
      </w:r>
      <w:r w:rsidR="00743FFB">
        <w:rPr>
          <w:lang w:val="en-US"/>
        </w:rPr>
        <w:t xml:space="preserve"> </w:t>
      </w:r>
      <w:r w:rsidRPr="00136567">
        <w:rPr>
          <w:lang w:val="en-US"/>
        </w:rPr>
        <w:t xml:space="preserve">Additional funding is also provided to support four new </w:t>
      </w:r>
      <w:r w:rsidR="00847B4C" w:rsidRPr="00136567">
        <w:rPr>
          <w:lang w:val="en-US"/>
        </w:rPr>
        <w:t>early parenting centres</w:t>
      </w:r>
      <w:r w:rsidR="00847B4C">
        <w:rPr>
          <w:lang w:val="en-US"/>
        </w:rPr>
        <w:t xml:space="preserve"> to become</w:t>
      </w:r>
      <w:r w:rsidR="00847B4C" w:rsidRPr="00136567">
        <w:rPr>
          <w:lang w:val="en-US"/>
        </w:rPr>
        <w:t xml:space="preserve"> </w:t>
      </w:r>
      <w:r w:rsidRPr="00136567">
        <w:rPr>
          <w:lang w:val="en-US"/>
        </w:rPr>
        <w:t>operational in 2023.</w:t>
      </w:r>
    </w:p>
    <w:p w14:paraId="64C0A662" w14:textId="46CEAE2F" w:rsidR="006A1AAC" w:rsidRPr="00110B89" w:rsidRDefault="006A1AAC" w:rsidP="0084004D">
      <w:pPr>
        <w:pStyle w:val="Heading3"/>
      </w:pPr>
      <w:bookmarkStart w:id="96" w:name="_Toc127191914"/>
      <w:r w:rsidRPr="00110B89">
        <w:t>Mental Health</w:t>
      </w:r>
      <w:bookmarkEnd w:id="92"/>
      <w:r w:rsidR="660CDBAA">
        <w:t xml:space="preserve"> Clin</w:t>
      </w:r>
      <w:r w:rsidR="374B1659">
        <w:t>ical Care</w:t>
      </w:r>
      <w:bookmarkEnd w:id="96"/>
    </w:p>
    <w:p w14:paraId="3C670327" w14:textId="724E7B66" w:rsidR="006A1AAC" w:rsidRPr="00110B89" w:rsidRDefault="006A1AAC" w:rsidP="00136567">
      <w:pPr>
        <w:pStyle w:val="Body"/>
        <w:spacing w:before="120" w:line="240" w:lineRule="auto"/>
        <w:rPr>
          <w:color w:val="FF0000"/>
        </w:rPr>
      </w:pPr>
      <w:r w:rsidRPr="00110B89">
        <w:rPr>
          <w:lang w:val="en-US"/>
        </w:rPr>
        <w:t>The department is investing $</w:t>
      </w:r>
      <w:r w:rsidR="008D63AB">
        <w:rPr>
          <w:lang w:val="en-US"/>
        </w:rPr>
        <w:t>167.4</w:t>
      </w:r>
      <w:r w:rsidR="003504D1">
        <w:rPr>
          <w:lang w:val="en-US"/>
        </w:rPr>
        <w:t xml:space="preserve"> </w:t>
      </w:r>
      <w:r w:rsidRPr="00110B89">
        <w:rPr>
          <w:lang w:val="en-US"/>
        </w:rPr>
        <w:t xml:space="preserve">million in </w:t>
      </w:r>
      <w:r w:rsidR="00E17EE2" w:rsidRPr="00136567">
        <w:t>2022</w:t>
      </w:r>
      <w:r w:rsidR="00847B4C">
        <w:t>–</w:t>
      </w:r>
      <w:r w:rsidR="00E17EE2" w:rsidRPr="00136567">
        <w:t>23</w:t>
      </w:r>
      <w:r w:rsidR="00E17EE2" w:rsidRPr="00110B89">
        <w:rPr>
          <w:lang w:val="en-US"/>
        </w:rPr>
        <w:t xml:space="preserve"> </w:t>
      </w:r>
      <w:r w:rsidRPr="00110B89">
        <w:rPr>
          <w:lang w:val="en-US"/>
        </w:rPr>
        <w:t>($</w:t>
      </w:r>
      <w:r w:rsidR="008D63AB">
        <w:rPr>
          <w:lang w:val="en-US"/>
        </w:rPr>
        <w:t>774</w:t>
      </w:r>
      <w:r w:rsidRPr="00110B89">
        <w:rPr>
          <w:lang w:val="en-US"/>
        </w:rPr>
        <w:t xml:space="preserve"> </w:t>
      </w:r>
      <w:r w:rsidR="00166C62">
        <w:rPr>
          <w:lang w:val="en-US"/>
        </w:rPr>
        <w:t>million</w:t>
      </w:r>
      <w:r w:rsidR="00166C62" w:rsidRPr="00110B89">
        <w:rPr>
          <w:lang w:val="en-US"/>
        </w:rPr>
        <w:t xml:space="preserve"> </w:t>
      </w:r>
      <w:r w:rsidRPr="00110B89">
        <w:rPr>
          <w:lang w:val="en-US"/>
        </w:rPr>
        <w:t xml:space="preserve">over five years) in </w:t>
      </w:r>
      <w:r w:rsidRPr="00110B89">
        <w:t>mental health services, including the following:</w:t>
      </w:r>
    </w:p>
    <w:p w14:paraId="0A5B24BF" w14:textId="0F8299CC" w:rsidR="003123C3" w:rsidRDefault="006A1AAC" w:rsidP="00233E9A">
      <w:pPr>
        <w:pStyle w:val="Bullet1"/>
      </w:pPr>
      <w:r w:rsidRPr="00110B89">
        <w:t>$</w:t>
      </w:r>
      <w:r w:rsidR="006E3E26">
        <w:t>200,000</w:t>
      </w:r>
      <w:r w:rsidRPr="00110B89">
        <w:t xml:space="preserve"> </w:t>
      </w:r>
      <w:r w:rsidR="00166C62">
        <w:t>in 2022</w:t>
      </w:r>
      <w:r w:rsidR="00BD76C7">
        <w:t>–</w:t>
      </w:r>
      <w:r w:rsidR="00166C62">
        <w:t>23 ($</w:t>
      </w:r>
      <w:r w:rsidR="003F3F5A">
        <w:t>4</w:t>
      </w:r>
      <w:r w:rsidR="00166C62">
        <w:t xml:space="preserve"> million over </w:t>
      </w:r>
      <w:r w:rsidR="003F3F5A">
        <w:t>four ye</w:t>
      </w:r>
      <w:r w:rsidR="00166C62">
        <w:t>ars)</w:t>
      </w:r>
      <w:r w:rsidR="00BD76C7">
        <w:t>,</w:t>
      </w:r>
      <w:r w:rsidR="00166C62">
        <w:t xml:space="preserve"> </w:t>
      </w:r>
      <w:r w:rsidR="0098548E">
        <w:t>with $60.8 million TEI in asset funding</w:t>
      </w:r>
      <w:r w:rsidR="00BD76C7">
        <w:t>, is provided</w:t>
      </w:r>
      <w:r w:rsidRPr="00110B89">
        <w:t xml:space="preserve"> </w:t>
      </w:r>
      <w:r w:rsidR="00761F3E" w:rsidRPr="00136567">
        <w:t xml:space="preserve">to implement contemporary mental health information </w:t>
      </w:r>
      <w:r w:rsidR="00BD76C7" w:rsidRPr="00136567">
        <w:t>infrastructure</w:t>
      </w:r>
      <w:r w:rsidR="00BD76C7">
        <w:t>. This will comprise</w:t>
      </w:r>
      <w:r w:rsidR="00761F3E" w:rsidRPr="00136567">
        <w:t xml:space="preserve"> an electronic statewide </w:t>
      </w:r>
      <w:r w:rsidR="00761F3E" w:rsidRPr="00774AE9">
        <w:t>mental</w:t>
      </w:r>
      <w:r w:rsidR="00761F3E" w:rsidRPr="00136567">
        <w:t xml:space="preserve"> health and wellbeing record, mental health</w:t>
      </w:r>
      <w:r w:rsidR="004E761C">
        <w:t xml:space="preserve"> </w:t>
      </w:r>
      <w:r w:rsidR="00761F3E" w:rsidRPr="00136567">
        <w:t>information and data exchange, and online portal for Victorians experiencing mental</w:t>
      </w:r>
      <w:r w:rsidR="004E761C">
        <w:t xml:space="preserve"> </w:t>
      </w:r>
      <w:r w:rsidR="00761F3E" w:rsidRPr="00136567">
        <w:t>illness or psychological distress to support personalised and integrated mental health and</w:t>
      </w:r>
      <w:r w:rsidR="004E761C">
        <w:t xml:space="preserve"> wellbeing services.</w:t>
      </w:r>
    </w:p>
    <w:p w14:paraId="35FFA612" w14:textId="2052E873" w:rsidR="001E5C64" w:rsidRDefault="003123C3" w:rsidP="00233E9A">
      <w:pPr>
        <w:pStyle w:val="Bullet1"/>
      </w:pPr>
      <w:r w:rsidRPr="00110B89">
        <w:t>$</w:t>
      </w:r>
      <w:r w:rsidR="00E9513D">
        <w:t>29.3</w:t>
      </w:r>
      <w:r w:rsidR="004421E6">
        <w:t xml:space="preserve"> </w:t>
      </w:r>
      <w:r w:rsidRPr="00110B89">
        <w:t xml:space="preserve">million </w:t>
      </w:r>
      <w:r>
        <w:t>in 2022</w:t>
      </w:r>
      <w:r w:rsidR="00BD76C7">
        <w:t>–</w:t>
      </w:r>
      <w:r>
        <w:t>23 ($</w:t>
      </w:r>
      <w:r w:rsidR="00DA5A94">
        <w:t>218.4</w:t>
      </w:r>
      <w:r>
        <w:t xml:space="preserve"> million over </w:t>
      </w:r>
      <w:r w:rsidR="00DA5A94">
        <w:t>four</w:t>
      </w:r>
      <w:r>
        <w:t xml:space="preserve"> years) </w:t>
      </w:r>
      <w:r w:rsidR="00EE0EFF" w:rsidRPr="00136567">
        <w:t>is provided to operationalise 82 new beds in Victoria’s mental health system to</w:t>
      </w:r>
      <w:r w:rsidR="004B52A6">
        <w:t xml:space="preserve"> </w:t>
      </w:r>
      <w:r w:rsidR="00EE0EFF" w:rsidRPr="00136567">
        <w:t>improve access to acute care for those experiencing mental illness as well as increased</w:t>
      </w:r>
      <w:r w:rsidR="004B52A6">
        <w:t xml:space="preserve"> </w:t>
      </w:r>
      <w:r w:rsidR="00EE0EFF" w:rsidRPr="00136567">
        <w:t xml:space="preserve">bed-based support for people experiencing eating disorders. </w:t>
      </w:r>
      <w:r w:rsidR="004B52A6">
        <w:t xml:space="preserve">Funding is also available to expand </w:t>
      </w:r>
      <w:r w:rsidR="00EE0EFF" w:rsidRPr="00136567">
        <w:t xml:space="preserve">the </w:t>
      </w:r>
      <w:r w:rsidR="00EE0EFF" w:rsidRPr="00774AE9">
        <w:t>eating</w:t>
      </w:r>
      <w:r w:rsidR="004B52A6">
        <w:t xml:space="preserve"> </w:t>
      </w:r>
      <w:r w:rsidR="00EE0EFF" w:rsidRPr="00136567">
        <w:t xml:space="preserve">disorder enhanced integrated specialist model into </w:t>
      </w:r>
      <w:r w:rsidR="00EE0EFF" w:rsidRPr="00136567">
        <w:lastRenderedPageBreak/>
        <w:t>four regional health services</w:t>
      </w:r>
      <w:r w:rsidR="004B52A6">
        <w:t>.</w:t>
      </w:r>
      <w:r w:rsidR="007D3DA9">
        <w:t xml:space="preserve"> </w:t>
      </w:r>
      <w:r w:rsidR="00EE0EFF" w:rsidRPr="00136567">
        <w:t>Funding will also support the operation of five emergency department mental health and</w:t>
      </w:r>
      <w:r w:rsidR="007D3DA9">
        <w:t xml:space="preserve"> </w:t>
      </w:r>
      <w:r w:rsidR="00EE0EFF" w:rsidRPr="00136567">
        <w:t>alcohol and other drug hubs.</w:t>
      </w:r>
    </w:p>
    <w:p w14:paraId="286547A5" w14:textId="27AC463E" w:rsidR="001F797E" w:rsidRDefault="001E5C64" w:rsidP="00233E9A">
      <w:pPr>
        <w:pStyle w:val="Bullet1"/>
      </w:pPr>
      <w:r w:rsidRPr="00110B89">
        <w:t>$</w:t>
      </w:r>
      <w:r w:rsidR="004F5BFF">
        <w:t>1</w:t>
      </w:r>
      <w:r w:rsidR="003C3C92">
        <w:t xml:space="preserve">.1 million </w:t>
      </w:r>
      <w:r>
        <w:t>in 202</w:t>
      </w:r>
      <w:r w:rsidR="004F5BFF">
        <w:t>4</w:t>
      </w:r>
      <w:r w:rsidR="0071740D">
        <w:t>–</w:t>
      </w:r>
      <w:r w:rsidR="004F5BFF">
        <w:t>25</w:t>
      </w:r>
      <w:r>
        <w:t xml:space="preserve"> </w:t>
      </w:r>
      <w:r w:rsidR="00C638DD">
        <w:t>with $61.1 million TEI in asset funding</w:t>
      </w:r>
      <w:r>
        <w:t xml:space="preserve"> </w:t>
      </w:r>
      <w:r w:rsidRPr="00AE77CD">
        <w:t>is provided</w:t>
      </w:r>
      <w:r w:rsidR="00AE77CD">
        <w:t xml:space="preserve"> </w:t>
      </w:r>
      <w:r w:rsidR="00AE77CD" w:rsidRPr="00136567">
        <w:t>for a program of works to improve the separation of vulnerable</w:t>
      </w:r>
      <w:r w:rsidR="00AE77CD">
        <w:t xml:space="preserve"> </w:t>
      </w:r>
      <w:r w:rsidR="00AE77CD" w:rsidRPr="00136567">
        <w:t>consumers, including gender-based separation, in the intensive care areas of mental health</w:t>
      </w:r>
      <w:r w:rsidR="00AE77CD">
        <w:t xml:space="preserve"> </w:t>
      </w:r>
      <w:r w:rsidR="00AE77CD" w:rsidRPr="00136567">
        <w:t>inpatient facilities</w:t>
      </w:r>
      <w:r w:rsidR="000D22F8">
        <w:t>.</w:t>
      </w:r>
    </w:p>
    <w:p w14:paraId="5F7EC25B" w14:textId="170F706C" w:rsidR="00544B7D" w:rsidRDefault="001F797E" w:rsidP="00233E9A">
      <w:pPr>
        <w:pStyle w:val="Bullet1"/>
      </w:pPr>
      <w:r w:rsidRPr="00110B89">
        <w:t>$</w:t>
      </w:r>
      <w:r w:rsidR="00705DFD">
        <w:t>3.5</w:t>
      </w:r>
      <w:r>
        <w:t xml:space="preserve"> million in 202</w:t>
      </w:r>
      <w:r w:rsidR="00733071">
        <w:t>2</w:t>
      </w:r>
      <w:r w:rsidR="0071740D">
        <w:t>–</w:t>
      </w:r>
      <w:r w:rsidR="00733071">
        <w:t>23</w:t>
      </w:r>
      <w:r>
        <w:t xml:space="preserve"> with $6</w:t>
      </w:r>
      <w:r w:rsidR="00733071">
        <w:t>.5</w:t>
      </w:r>
      <w:r>
        <w:t xml:space="preserve"> million TEI in</w:t>
      </w:r>
      <w:r w:rsidR="00733071">
        <w:t xml:space="preserve"> asset funding </w:t>
      </w:r>
      <w:r w:rsidR="00596431" w:rsidRPr="00136567">
        <w:t>is provided to construct a new emergency department mental health and alcohol</w:t>
      </w:r>
      <w:r w:rsidR="00DD5E18">
        <w:t xml:space="preserve"> </w:t>
      </w:r>
      <w:r w:rsidR="00596431" w:rsidRPr="00136567">
        <w:t>and other drug crisis hub at the Latrobe Regional Hospital. Planning funding is provided</w:t>
      </w:r>
      <w:r w:rsidR="00DD5E18">
        <w:t xml:space="preserve"> </w:t>
      </w:r>
      <w:r w:rsidR="00596431" w:rsidRPr="00136567">
        <w:t>for future hubs</w:t>
      </w:r>
      <w:r w:rsidR="00BC6201">
        <w:t xml:space="preserve"> in Ballarat, Bendigo and Shepparton</w:t>
      </w:r>
      <w:r w:rsidR="00544B7D">
        <w:t>.</w:t>
      </w:r>
    </w:p>
    <w:p w14:paraId="1217906E" w14:textId="1C70D391" w:rsidR="007C7A2A" w:rsidRPr="00110B89" w:rsidRDefault="00AD7DBA" w:rsidP="00233E9A">
      <w:pPr>
        <w:pStyle w:val="Bullet1"/>
      </w:pPr>
      <w:r w:rsidRPr="00110B89">
        <w:t>$</w:t>
      </w:r>
      <w:r w:rsidR="00DB38DA">
        <w:t>1</w:t>
      </w:r>
      <w:r w:rsidR="000F70FB">
        <w:t>5.7</w:t>
      </w:r>
      <w:r w:rsidR="00DB38DA">
        <w:t xml:space="preserve"> million </w:t>
      </w:r>
      <w:r>
        <w:t>in 2022</w:t>
      </w:r>
      <w:r w:rsidR="0071740D">
        <w:t>–</w:t>
      </w:r>
      <w:r>
        <w:t>23 ($</w:t>
      </w:r>
      <w:r w:rsidR="008D1A82">
        <w:t>29.</w:t>
      </w:r>
      <w:r>
        <w:t xml:space="preserve">4 million over four years) </w:t>
      </w:r>
      <w:r w:rsidR="00014D0C" w:rsidRPr="00136567">
        <w:t>is provided to support the implementation of new mental health and wellbeing</w:t>
      </w:r>
      <w:r w:rsidR="003E5522">
        <w:t xml:space="preserve"> </w:t>
      </w:r>
      <w:r w:rsidR="00014D0C" w:rsidRPr="00774AE9">
        <w:t>legislation</w:t>
      </w:r>
      <w:r w:rsidR="004C7C22">
        <w:t xml:space="preserve"> as well as the delivery </w:t>
      </w:r>
      <w:r w:rsidR="00014D0C" w:rsidRPr="00136567">
        <w:t xml:space="preserve">on the </w:t>
      </w:r>
      <w:r w:rsidR="0071740D">
        <w:t>g</w:t>
      </w:r>
      <w:r w:rsidR="0071740D" w:rsidRPr="00136567">
        <w:t xml:space="preserve">overnment’s </w:t>
      </w:r>
      <w:r w:rsidR="00014D0C" w:rsidRPr="00136567">
        <w:t>commitment to undertake an</w:t>
      </w:r>
      <w:r w:rsidR="003E5522">
        <w:t xml:space="preserve"> </w:t>
      </w:r>
      <w:r w:rsidR="00014D0C" w:rsidRPr="00136567">
        <w:t>independent review of compulsory treatment criteria, and support ongoing legislative</w:t>
      </w:r>
      <w:r w:rsidR="003E5522">
        <w:t xml:space="preserve"> </w:t>
      </w:r>
      <w:r w:rsidR="00014D0C" w:rsidRPr="00136567">
        <w:t>reform and development of supporting regulations.</w:t>
      </w:r>
    </w:p>
    <w:p w14:paraId="5713F434" w14:textId="21845C7D" w:rsidR="003E5522" w:rsidRDefault="00BF02CA" w:rsidP="00233E9A">
      <w:pPr>
        <w:pStyle w:val="Bullet1"/>
      </w:pPr>
      <w:r w:rsidRPr="00110B89">
        <w:t>$</w:t>
      </w:r>
      <w:r w:rsidR="00A12BE8">
        <w:t>10.5</w:t>
      </w:r>
      <w:r>
        <w:t xml:space="preserve"> million in 2022</w:t>
      </w:r>
      <w:r w:rsidR="0071740D">
        <w:t>–</w:t>
      </w:r>
      <w:r>
        <w:t xml:space="preserve">23 </w:t>
      </w:r>
      <w:r w:rsidR="009167F5">
        <w:t>(</w:t>
      </w:r>
      <w:r w:rsidR="008D63AB">
        <w:t>$</w:t>
      </w:r>
      <w:r w:rsidR="009167F5">
        <w:t>30.5</w:t>
      </w:r>
      <w:r w:rsidR="008D63AB">
        <w:t xml:space="preserve"> million over four years) </w:t>
      </w:r>
      <w:r w:rsidR="00C45DA3" w:rsidRPr="00136567">
        <w:t>is provided to foster connection and reduce social isolation in vulnerable groups</w:t>
      </w:r>
      <w:r w:rsidR="00D930E5">
        <w:t xml:space="preserve"> </w:t>
      </w:r>
      <w:r w:rsidR="00C45DA3" w:rsidRPr="00136567">
        <w:t xml:space="preserve">by establishing </w:t>
      </w:r>
      <w:r w:rsidR="0071740D">
        <w:t>10</w:t>
      </w:r>
      <w:r w:rsidR="0071740D" w:rsidRPr="00136567">
        <w:t xml:space="preserve"> </w:t>
      </w:r>
      <w:r w:rsidR="00C45DA3" w:rsidRPr="00136567">
        <w:t>new social inclusion action groups in local government areas. Mental</w:t>
      </w:r>
      <w:r w:rsidR="00D930E5">
        <w:t xml:space="preserve"> </w:t>
      </w:r>
      <w:r w:rsidR="00C45DA3" w:rsidRPr="00136567">
        <w:t xml:space="preserve">health training for </w:t>
      </w:r>
      <w:r w:rsidR="00C45DA3" w:rsidRPr="00774AE9">
        <w:t>Auslan</w:t>
      </w:r>
      <w:r w:rsidR="00C45DA3" w:rsidRPr="00136567">
        <w:t xml:space="preserve"> and deaf interpreters is also funded to increase the availability</w:t>
      </w:r>
      <w:r w:rsidR="00D930E5">
        <w:t xml:space="preserve"> </w:t>
      </w:r>
      <w:r w:rsidR="00C45DA3" w:rsidRPr="00136567">
        <w:t>of credentialled interpreters.</w:t>
      </w:r>
    </w:p>
    <w:p w14:paraId="39A2BDAB" w14:textId="4D24E3DE" w:rsidR="003E5522" w:rsidRDefault="00344AC1" w:rsidP="00233E9A">
      <w:pPr>
        <w:pStyle w:val="Bullet1"/>
      </w:pPr>
      <w:r w:rsidRPr="00110B89">
        <w:t>$</w:t>
      </w:r>
      <w:r w:rsidR="00D1453E">
        <w:t>42.9</w:t>
      </w:r>
      <w:r>
        <w:t xml:space="preserve"> million in 2022</w:t>
      </w:r>
      <w:r w:rsidR="0071740D">
        <w:t>–</w:t>
      </w:r>
      <w:r>
        <w:t>23 ($</w:t>
      </w:r>
      <w:r w:rsidR="00E86D53">
        <w:t>115.6</w:t>
      </w:r>
      <w:r>
        <w:t xml:space="preserve"> million over four years) </w:t>
      </w:r>
      <w:r w:rsidR="005B715B" w:rsidRPr="00136567">
        <w:t>is provided for a range of initiatives to deliver a mental health and wellbeing</w:t>
      </w:r>
      <w:r w:rsidR="00050DD4">
        <w:t xml:space="preserve"> </w:t>
      </w:r>
      <w:r w:rsidR="005B715B" w:rsidRPr="00136567">
        <w:t>system that is reoriented towards community-based treatment, care and support. This</w:t>
      </w:r>
      <w:r w:rsidR="00050DD4">
        <w:t xml:space="preserve"> </w:t>
      </w:r>
      <w:r w:rsidR="005B715B" w:rsidRPr="00136567">
        <w:t>includes</w:t>
      </w:r>
      <w:r w:rsidR="005B715B" w:rsidRPr="00050DD4">
        <w:t xml:space="preserve"> </w:t>
      </w:r>
      <w:r w:rsidR="005B715B" w:rsidRPr="00136567">
        <w:t>integrated treatment, care and support for people with a co-occurring mental illness</w:t>
      </w:r>
      <w:r w:rsidR="00050DD4">
        <w:t xml:space="preserve"> </w:t>
      </w:r>
      <w:r w:rsidR="005B715B" w:rsidRPr="00136567">
        <w:t xml:space="preserve">and substance use or </w:t>
      </w:r>
      <w:r w:rsidR="005B715B" w:rsidRPr="00774AE9">
        <w:t>addiction</w:t>
      </w:r>
      <w:r w:rsidR="00E27CDD" w:rsidRPr="00050DD4">
        <w:t xml:space="preserve">, </w:t>
      </w:r>
      <w:r w:rsidR="0071740D">
        <w:t xml:space="preserve">and </w:t>
      </w:r>
      <w:r w:rsidR="005B715B" w:rsidRPr="00136567">
        <w:t>extension of the TelePROMPT program</w:t>
      </w:r>
      <w:r w:rsidR="0071740D">
        <w:t>. It also includes</w:t>
      </w:r>
      <w:r w:rsidR="005B715B" w:rsidRPr="00136567">
        <w:t xml:space="preserve"> in-person group-based parenting sessions to be delivered in regional Infant, Child and</w:t>
      </w:r>
      <w:r w:rsidR="00050DD4" w:rsidRPr="00050DD4">
        <w:t xml:space="preserve"> </w:t>
      </w:r>
      <w:r w:rsidR="005B715B" w:rsidRPr="00136567">
        <w:t>Youth Area Mental Health and Wellbeing Services</w:t>
      </w:r>
      <w:r w:rsidR="0071740D">
        <w:t>,</w:t>
      </w:r>
      <w:r w:rsidR="00050DD4" w:rsidRPr="00050DD4">
        <w:t xml:space="preserve"> and </w:t>
      </w:r>
      <w:r w:rsidR="005B715B" w:rsidRPr="00136567">
        <w:t>approaches to eating disorder care and support to be enhanced through the</w:t>
      </w:r>
      <w:r w:rsidR="00050DD4">
        <w:t xml:space="preserve"> </w:t>
      </w:r>
      <w:r w:rsidR="005B715B" w:rsidRPr="00136567">
        <w:t xml:space="preserve">development of a new statewide eating disorder strategy. </w:t>
      </w:r>
    </w:p>
    <w:p w14:paraId="5FA7BD5A" w14:textId="58798061" w:rsidR="002664F2" w:rsidRPr="00B4761B" w:rsidRDefault="002664F2" w:rsidP="00233E9A">
      <w:pPr>
        <w:pStyle w:val="Bullet1"/>
      </w:pPr>
      <w:r w:rsidRPr="00110B89">
        <w:t>$</w:t>
      </w:r>
      <w:r w:rsidR="00FB661D">
        <w:t>65.3</w:t>
      </w:r>
      <w:r>
        <w:t xml:space="preserve"> million in 2022</w:t>
      </w:r>
      <w:r w:rsidR="0071740D">
        <w:t>–</w:t>
      </w:r>
      <w:r>
        <w:t xml:space="preserve">23 ($371.5 million over </w:t>
      </w:r>
      <w:r w:rsidR="00BB214E">
        <w:t>five</w:t>
      </w:r>
      <w:r>
        <w:t xml:space="preserve"> years) </w:t>
      </w:r>
      <w:r w:rsidR="00A53933" w:rsidRPr="00136567">
        <w:t>is provided to continue building the pipeline of workers required to deliver</w:t>
      </w:r>
      <w:r w:rsidR="00B4761B">
        <w:t xml:space="preserve"> </w:t>
      </w:r>
      <w:r w:rsidR="00A53933" w:rsidRPr="00136567">
        <w:t xml:space="preserve">Victoria’s mental health reform agenda in line with the </w:t>
      </w:r>
      <w:r w:rsidR="00A53933" w:rsidRPr="00FD2A26">
        <w:rPr>
          <w:i/>
        </w:rPr>
        <w:t xml:space="preserve">Mental </w:t>
      </w:r>
      <w:r w:rsidR="0071740D" w:rsidRPr="00FD2A26">
        <w:rPr>
          <w:i/>
        </w:rPr>
        <w:t>health and wellbeing workforce strategy</w:t>
      </w:r>
      <w:r w:rsidR="00A53933" w:rsidRPr="00136567">
        <w:t xml:space="preserve">. </w:t>
      </w:r>
      <w:r w:rsidR="00A53933" w:rsidRPr="00B4761B">
        <w:t>This includes</w:t>
      </w:r>
      <w:r w:rsidR="00A53933" w:rsidRPr="00136567">
        <w:t xml:space="preserve"> clinical supervision trainin</w:t>
      </w:r>
      <w:r w:rsidR="00820BA6" w:rsidRPr="00B4761B">
        <w:t xml:space="preserve">g, improvement in </w:t>
      </w:r>
      <w:r w:rsidR="00421954" w:rsidRPr="00D43758">
        <w:t>c</w:t>
      </w:r>
      <w:r w:rsidR="00A53933" w:rsidRPr="00136567">
        <w:t>apability in providing safe and responsive care to culturally and linguistically diverse</w:t>
      </w:r>
      <w:r w:rsidR="00820BA6" w:rsidRPr="00B4761B">
        <w:t xml:space="preserve"> </w:t>
      </w:r>
      <w:r w:rsidR="00A53933" w:rsidRPr="00136567">
        <w:t>and LGBTIQ+ Victorians</w:t>
      </w:r>
      <w:r w:rsidR="2231CA2C">
        <w:t>,</w:t>
      </w:r>
      <w:r w:rsidR="00A53933" w:rsidRPr="00136567">
        <w:t xml:space="preserve"> </w:t>
      </w:r>
      <w:r w:rsidR="00820BA6" w:rsidRPr="00B4761B">
        <w:t xml:space="preserve">with the </w:t>
      </w:r>
      <w:r w:rsidR="00A53933" w:rsidRPr="00136567">
        <w:t xml:space="preserve">Mental </w:t>
      </w:r>
      <w:r w:rsidR="00A53933" w:rsidRPr="00774AE9">
        <w:t>Health</w:t>
      </w:r>
      <w:r w:rsidR="00A53933" w:rsidRPr="00136567">
        <w:t xml:space="preserve"> Workforce Capability</w:t>
      </w:r>
      <w:r w:rsidRPr="00B4761B">
        <w:t xml:space="preserve"> </w:t>
      </w:r>
      <w:r w:rsidR="00A53933" w:rsidRPr="00136567">
        <w:t xml:space="preserve">Framework </w:t>
      </w:r>
      <w:r w:rsidRPr="00B4761B">
        <w:t xml:space="preserve">being </w:t>
      </w:r>
      <w:r w:rsidR="00A53933" w:rsidRPr="00136567">
        <w:t>implemented through the development of educational resources</w:t>
      </w:r>
      <w:r w:rsidRPr="00B4761B">
        <w:t xml:space="preserve"> </w:t>
      </w:r>
      <w:r w:rsidR="00A53933" w:rsidRPr="00136567">
        <w:t>and an interactive web platform</w:t>
      </w:r>
      <w:r w:rsidRPr="00B4761B">
        <w:t>.</w:t>
      </w:r>
    </w:p>
    <w:p w14:paraId="007A6FD5" w14:textId="1247557E" w:rsidR="000B27B9" w:rsidRPr="00AA4546" w:rsidRDefault="638D1463" w:rsidP="0084004D">
      <w:pPr>
        <w:pStyle w:val="Heading3"/>
      </w:pPr>
      <w:bookmarkStart w:id="97" w:name="_Toc100263267"/>
      <w:bookmarkStart w:id="98" w:name="_Toc127191915"/>
      <w:r>
        <w:t>Non-Admitted Services</w:t>
      </w:r>
      <w:bookmarkEnd w:id="97"/>
      <w:bookmarkEnd w:id="98"/>
    </w:p>
    <w:p w14:paraId="299749A5" w14:textId="2993CA9F" w:rsidR="00F16645" w:rsidRDefault="00CE397B" w:rsidP="00F16645">
      <w:pPr>
        <w:pStyle w:val="Body"/>
        <w:rPr>
          <w:lang w:val="en-US"/>
        </w:rPr>
      </w:pPr>
      <w:r>
        <w:rPr>
          <w:lang w:val="en-US"/>
        </w:rPr>
        <w:t>T</w:t>
      </w:r>
      <w:r w:rsidRPr="00110B89">
        <w:rPr>
          <w:lang w:val="en-US"/>
        </w:rPr>
        <w:t xml:space="preserve">he department </w:t>
      </w:r>
      <w:r w:rsidRPr="00743FFB">
        <w:rPr>
          <w:lang w:val="en-US"/>
        </w:rPr>
        <w:t>is investing $</w:t>
      </w:r>
      <w:r w:rsidR="00C822C3">
        <w:rPr>
          <w:lang w:val="en-US"/>
        </w:rPr>
        <w:t>18.4</w:t>
      </w:r>
      <w:r w:rsidRPr="00743FFB">
        <w:rPr>
          <w:lang w:val="en-US"/>
        </w:rPr>
        <w:t xml:space="preserve"> million in </w:t>
      </w:r>
      <w:r w:rsidRPr="0042159F">
        <w:t>2022</w:t>
      </w:r>
      <w:r w:rsidR="0071740D">
        <w:t>–</w:t>
      </w:r>
      <w:r w:rsidRPr="0042159F">
        <w:t>23</w:t>
      </w:r>
      <w:r w:rsidR="00C822C3">
        <w:t xml:space="preserve"> </w:t>
      </w:r>
      <w:r w:rsidR="00C822C3" w:rsidRPr="00110B89">
        <w:rPr>
          <w:lang w:val="en-US"/>
        </w:rPr>
        <w:t>($</w:t>
      </w:r>
      <w:r w:rsidR="00C822C3">
        <w:rPr>
          <w:lang w:val="en-US"/>
        </w:rPr>
        <w:t>32.4</w:t>
      </w:r>
      <w:r w:rsidR="00C822C3" w:rsidRPr="00110B89">
        <w:rPr>
          <w:lang w:val="en-US"/>
        </w:rPr>
        <w:t xml:space="preserve"> million over </w:t>
      </w:r>
      <w:r w:rsidR="00C822C3">
        <w:rPr>
          <w:lang w:val="en-US"/>
        </w:rPr>
        <w:t xml:space="preserve">four </w:t>
      </w:r>
      <w:r w:rsidR="00C822C3" w:rsidRPr="00110B89">
        <w:rPr>
          <w:lang w:val="en-US"/>
        </w:rPr>
        <w:t>years)</w:t>
      </w:r>
      <w:r w:rsidR="00C822C3">
        <w:rPr>
          <w:lang w:val="en-US"/>
        </w:rPr>
        <w:t xml:space="preserve"> </w:t>
      </w:r>
      <w:r w:rsidRPr="0042159F">
        <w:rPr>
          <w:lang w:val="en-US"/>
        </w:rPr>
        <w:t xml:space="preserve">to </w:t>
      </w:r>
      <w:r w:rsidR="00134DF1">
        <w:rPr>
          <w:lang w:val="en-US"/>
        </w:rPr>
        <w:t>c</w:t>
      </w:r>
      <w:r w:rsidR="00F16645" w:rsidRPr="004C7CEE">
        <w:rPr>
          <w:lang w:val="en-US"/>
        </w:rPr>
        <w:t>ontinue palliative care services, including regional and rural</w:t>
      </w:r>
      <w:r w:rsidR="00134DF1">
        <w:rPr>
          <w:lang w:val="en-US"/>
        </w:rPr>
        <w:t xml:space="preserve"> </w:t>
      </w:r>
      <w:r w:rsidR="00F16645" w:rsidRPr="004C7CEE">
        <w:rPr>
          <w:lang w:val="en-US"/>
        </w:rPr>
        <w:t xml:space="preserve">services and the statewide Palliative Care Advice Service. </w:t>
      </w:r>
      <w:r w:rsidR="4DC12300" w:rsidRPr="34B61870">
        <w:rPr>
          <w:lang w:val="en-US"/>
        </w:rPr>
        <w:t>Funding</w:t>
      </w:r>
      <w:r w:rsidR="00F16645" w:rsidRPr="004C7CEE">
        <w:rPr>
          <w:lang w:val="en-US"/>
        </w:rPr>
        <w:t xml:space="preserve"> is also</w:t>
      </w:r>
      <w:r w:rsidR="00134DF1">
        <w:rPr>
          <w:lang w:val="en-US"/>
        </w:rPr>
        <w:t xml:space="preserve"> </w:t>
      </w:r>
      <w:r w:rsidR="00F16645" w:rsidRPr="004C7CEE">
        <w:rPr>
          <w:lang w:val="en-US"/>
        </w:rPr>
        <w:t>provided to enable palliative care providers to respond to increased demand for specialist</w:t>
      </w:r>
      <w:r w:rsidR="00134DF1">
        <w:rPr>
          <w:lang w:val="en-US"/>
        </w:rPr>
        <w:t xml:space="preserve"> </w:t>
      </w:r>
      <w:r w:rsidR="00F16645" w:rsidRPr="004C7CEE">
        <w:rPr>
          <w:lang w:val="en-US"/>
        </w:rPr>
        <w:t>palliative care throughout the COVID-19 pandemic.</w:t>
      </w:r>
    </w:p>
    <w:p w14:paraId="4DC90942" w14:textId="291462F4" w:rsidR="004E579B" w:rsidRPr="00110B89" w:rsidRDefault="3451DC6C" w:rsidP="004E579B">
      <w:pPr>
        <w:pStyle w:val="Heading3"/>
      </w:pPr>
      <w:bookmarkStart w:id="99" w:name="_Toc100263268"/>
      <w:bookmarkStart w:id="100" w:name="_Toc127191916"/>
      <w:r>
        <w:t>Re</w:t>
      </w:r>
      <w:r w:rsidR="00EC501B">
        <w:t xml:space="preserve">sidential </w:t>
      </w:r>
      <w:r>
        <w:t>Aged Care</w:t>
      </w:r>
      <w:bookmarkEnd w:id="99"/>
      <w:bookmarkEnd w:id="100"/>
    </w:p>
    <w:p w14:paraId="170D885B" w14:textId="6E89413F" w:rsidR="002C2FF4" w:rsidRPr="009302CE" w:rsidRDefault="4CB84DC0" w:rsidP="004C7CEE">
      <w:pPr>
        <w:pStyle w:val="Body"/>
        <w:rPr>
          <w:lang w:val="en-US"/>
        </w:rPr>
      </w:pPr>
      <w:r w:rsidRPr="36742FBA">
        <w:rPr>
          <w:lang w:val="en-US"/>
        </w:rPr>
        <w:t xml:space="preserve">The department </w:t>
      </w:r>
      <w:r w:rsidR="0071740D">
        <w:rPr>
          <w:lang w:val="en-US"/>
        </w:rPr>
        <w:t>is</w:t>
      </w:r>
      <w:r w:rsidRPr="36742FBA">
        <w:rPr>
          <w:lang w:val="en-US"/>
        </w:rPr>
        <w:t xml:space="preserve"> investing $</w:t>
      </w:r>
      <w:r w:rsidR="08AF7547" w:rsidRPr="36742FBA">
        <w:rPr>
          <w:lang w:val="en-US"/>
        </w:rPr>
        <w:t>29.9</w:t>
      </w:r>
      <w:r w:rsidRPr="36742FBA">
        <w:rPr>
          <w:lang w:val="en-US"/>
        </w:rPr>
        <w:t xml:space="preserve"> million in </w:t>
      </w:r>
      <w:r>
        <w:t>2022</w:t>
      </w:r>
      <w:r w:rsidR="0071740D">
        <w:t>–</w:t>
      </w:r>
      <w:r>
        <w:t>23</w:t>
      </w:r>
      <w:r w:rsidRPr="36742FBA">
        <w:rPr>
          <w:lang w:val="en-US"/>
        </w:rPr>
        <w:t xml:space="preserve"> </w:t>
      </w:r>
      <w:r w:rsidR="4D359E64" w:rsidRPr="34B61870">
        <w:rPr>
          <w:lang w:val="en-US"/>
        </w:rPr>
        <w:t>in</w:t>
      </w:r>
      <w:r w:rsidR="00EC501B" w:rsidRPr="00EC501B">
        <w:rPr>
          <w:lang w:val="en-US"/>
        </w:rPr>
        <w:t xml:space="preserve"> public sector residential aged care services to continue to provide</w:t>
      </w:r>
      <w:r w:rsidR="00EC501B">
        <w:rPr>
          <w:lang w:val="en-US"/>
        </w:rPr>
        <w:t xml:space="preserve"> </w:t>
      </w:r>
      <w:r w:rsidR="00EC501B" w:rsidRPr="00EC501B">
        <w:rPr>
          <w:lang w:val="en-US"/>
        </w:rPr>
        <w:t>high-quality care to vulnerable aged persons, including those with mental health issues</w:t>
      </w:r>
      <w:r w:rsidR="4D359E64" w:rsidRPr="34B61870">
        <w:rPr>
          <w:lang w:val="en-US"/>
        </w:rPr>
        <w:t>,</w:t>
      </w:r>
      <w:r w:rsidR="00EC501B" w:rsidRPr="00EC501B">
        <w:rPr>
          <w:lang w:val="en-US"/>
        </w:rPr>
        <w:t xml:space="preserve"> and</w:t>
      </w:r>
      <w:r w:rsidR="00EC501B">
        <w:rPr>
          <w:lang w:val="en-US"/>
        </w:rPr>
        <w:t xml:space="preserve"> </w:t>
      </w:r>
      <w:r w:rsidR="00EC501B" w:rsidRPr="00EC501B">
        <w:rPr>
          <w:lang w:val="en-US"/>
        </w:rPr>
        <w:t xml:space="preserve">assist in meeting nurse to patient ratios in public sector residential aged care. </w:t>
      </w:r>
    </w:p>
    <w:p w14:paraId="1AC306E2" w14:textId="08946F1A" w:rsidR="000B27B9" w:rsidRPr="00FE19AD" w:rsidRDefault="000B27B9" w:rsidP="000B27B9">
      <w:pPr>
        <w:pStyle w:val="Heading2"/>
        <w:spacing w:after="440" w:line="440" w:lineRule="atLeast"/>
      </w:pPr>
      <w:bookmarkStart w:id="101" w:name="_Toc7123533"/>
      <w:bookmarkStart w:id="102" w:name="_Toc8310420"/>
      <w:bookmarkStart w:id="103" w:name="_Toc12884103"/>
      <w:bookmarkStart w:id="104" w:name="_Toc52892550"/>
      <w:bookmarkStart w:id="105" w:name="_Toc100263269"/>
      <w:bookmarkStart w:id="106" w:name="_Toc127191917"/>
      <w:r>
        <w:lastRenderedPageBreak/>
        <w:t xml:space="preserve">Asset </w:t>
      </w:r>
      <w:r w:rsidR="002F002C">
        <w:t>I</w:t>
      </w:r>
      <w:r>
        <w:t>nitiatives</w:t>
      </w:r>
      <w:bookmarkEnd w:id="101"/>
      <w:bookmarkEnd w:id="102"/>
      <w:bookmarkEnd w:id="103"/>
      <w:bookmarkEnd w:id="104"/>
      <w:bookmarkEnd w:id="105"/>
      <w:bookmarkEnd w:id="106"/>
    </w:p>
    <w:p w14:paraId="46EBB95C" w14:textId="2AE9DBE0" w:rsidR="000B27B9" w:rsidRDefault="00F22D0D" w:rsidP="00B92CD4">
      <w:pPr>
        <w:pStyle w:val="Body"/>
      </w:pPr>
      <w:bookmarkStart w:id="107" w:name="_Toc454132449"/>
      <w:r w:rsidRPr="00FE19AD">
        <w:t xml:space="preserve">The </w:t>
      </w:r>
      <w:r>
        <w:t>Budget</w:t>
      </w:r>
      <w:r w:rsidRPr="5D20441A">
        <w:rPr>
          <w:i/>
          <w:iCs/>
        </w:rPr>
        <w:t xml:space="preserve"> </w:t>
      </w:r>
      <w:r w:rsidRPr="00FE19AD">
        <w:t>includes</w:t>
      </w:r>
      <w:r>
        <w:t xml:space="preserve"> funding of </w:t>
      </w:r>
      <w:r w:rsidR="0071740D">
        <w:t xml:space="preserve">more than </w:t>
      </w:r>
      <w:r>
        <w:t>$</w:t>
      </w:r>
      <w:r w:rsidR="002563F0">
        <w:t>2</w:t>
      </w:r>
      <w:r>
        <w:t>.6 billion</w:t>
      </w:r>
      <w:r w:rsidR="0071740D">
        <w:rPr>
          <w:rStyle w:val="FootnoteReference"/>
        </w:rPr>
        <w:footnoteReference w:id="2"/>
      </w:r>
      <w:r>
        <w:t xml:space="preserve"> for health, mental health and aged care infrastructure.</w:t>
      </w:r>
      <w:r w:rsidR="000246E8">
        <w:t xml:space="preserve"> </w:t>
      </w:r>
    </w:p>
    <w:p w14:paraId="5C32CD2C" w14:textId="31A749A2" w:rsidR="000B27B9" w:rsidRDefault="000B27B9" w:rsidP="003C01AD">
      <w:pPr>
        <w:pStyle w:val="Tablecaption"/>
        <w:numPr>
          <w:ilvl w:val="0"/>
          <w:numId w:val="31"/>
        </w:numPr>
      </w:pPr>
      <w:bookmarkStart w:id="108" w:name="_Toc7123579"/>
      <w:bookmarkStart w:id="109" w:name="_Toc7388214"/>
      <w:bookmarkStart w:id="110" w:name="_Toc12703336"/>
      <w:bookmarkStart w:id="111" w:name="_Toc14194695"/>
      <w:bookmarkStart w:id="112" w:name="_Toc33715044"/>
      <w:bookmarkStart w:id="113" w:name="_Toc54261379"/>
      <w:bookmarkStart w:id="114" w:name="_Toc54616253"/>
      <w:bookmarkStart w:id="115" w:name="_Toc109894097"/>
      <w:bookmarkStart w:id="116" w:name="_Toc119500877"/>
      <w:r>
        <w:t>Funding for asset initiatives</w:t>
      </w:r>
      <w:bookmarkEnd w:id="108"/>
      <w:bookmarkEnd w:id="109"/>
      <w:r>
        <w:t xml:space="preserve"> – acute health</w:t>
      </w:r>
      <w:bookmarkEnd w:id="110"/>
      <w:bookmarkEnd w:id="111"/>
      <w:bookmarkEnd w:id="112"/>
      <w:bookmarkEnd w:id="113"/>
      <w:bookmarkEnd w:id="114"/>
      <w:bookmarkEnd w:id="115"/>
      <w:bookmarkEnd w:id="116"/>
    </w:p>
    <w:tbl>
      <w:tblPr>
        <w:tblStyle w:val="TableGrid1"/>
        <w:tblW w:w="9299" w:type="dxa"/>
        <w:tblLayout w:type="fixed"/>
        <w:tblCellMar>
          <w:left w:w="108" w:type="dxa"/>
          <w:right w:w="108" w:type="dxa"/>
        </w:tblCellMar>
        <w:tblLook w:val="06A0" w:firstRow="1" w:lastRow="0" w:firstColumn="1" w:lastColumn="0" w:noHBand="1" w:noVBand="1"/>
      </w:tblPr>
      <w:tblGrid>
        <w:gridCol w:w="2445"/>
        <w:gridCol w:w="5630"/>
        <w:gridCol w:w="1224"/>
      </w:tblGrid>
      <w:tr w:rsidR="00AE6427" w:rsidRPr="00920EB6" w14:paraId="77BD4FC8" w14:textId="77777777" w:rsidTr="006214A1">
        <w:trPr>
          <w:cnfStyle w:val="100000000000" w:firstRow="1" w:lastRow="0" w:firstColumn="0" w:lastColumn="0" w:oddVBand="0" w:evenVBand="0" w:oddHBand="0" w:evenHBand="0" w:firstRowFirstColumn="0" w:firstRowLastColumn="0" w:lastRowFirstColumn="0" w:lastRowLastColumn="0"/>
          <w:tblHeader/>
        </w:trPr>
        <w:tc>
          <w:tcPr>
            <w:tcW w:w="2445" w:type="dxa"/>
            <w:tcBorders>
              <w:right w:val="single" w:sz="4" w:space="0" w:color="FFFFFF" w:themeColor="background1"/>
            </w:tcBorders>
          </w:tcPr>
          <w:p w14:paraId="23F5E727" w14:textId="77777777" w:rsidR="000B27B9" w:rsidRPr="00233E9A" w:rsidRDefault="000B27B9" w:rsidP="00233E9A">
            <w:pPr>
              <w:pStyle w:val="Tablecolhead"/>
              <w:rPr>
                <w:color w:val="FFFFFF" w:themeColor="background1"/>
              </w:rPr>
            </w:pPr>
            <w:r w:rsidRPr="00233E9A">
              <w:rPr>
                <w:color w:val="FFFFFF" w:themeColor="background1"/>
              </w:rPr>
              <w:t>Initiative</w:t>
            </w:r>
          </w:p>
        </w:tc>
        <w:tc>
          <w:tcPr>
            <w:tcW w:w="5630" w:type="dxa"/>
            <w:tcBorders>
              <w:left w:val="single" w:sz="4" w:space="0" w:color="FFFFFF" w:themeColor="background1"/>
              <w:right w:val="single" w:sz="4" w:space="0" w:color="FFFFFF" w:themeColor="background1"/>
            </w:tcBorders>
          </w:tcPr>
          <w:p w14:paraId="2BB198AA" w14:textId="77777777" w:rsidR="000B27B9" w:rsidRPr="00233E9A" w:rsidRDefault="000B27B9" w:rsidP="00233E9A">
            <w:pPr>
              <w:pStyle w:val="Tablecolhead"/>
              <w:rPr>
                <w:color w:val="FFFFFF" w:themeColor="background1"/>
              </w:rPr>
            </w:pPr>
            <w:r w:rsidRPr="00233E9A">
              <w:rPr>
                <w:color w:val="FFFFFF" w:themeColor="background1"/>
              </w:rPr>
              <w:t>Description</w:t>
            </w:r>
          </w:p>
        </w:tc>
        <w:tc>
          <w:tcPr>
            <w:tcW w:w="1224" w:type="dxa"/>
            <w:tcBorders>
              <w:left w:val="single" w:sz="4" w:space="0" w:color="FFFFFF" w:themeColor="background1"/>
            </w:tcBorders>
          </w:tcPr>
          <w:p w14:paraId="573A6EE6" w14:textId="77777777" w:rsidR="000B27B9" w:rsidRPr="00233E9A" w:rsidRDefault="000B27B9" w:rsidP="006214A1">
            <w:pPr>
              <w:pStyle w:val="Tablecolhead"/>
              <w:jc w:val="both"/>
              <w:rPr>
                <w:color w:val="FFFFFF" w:themeColor="background1"/>
              </w:rPr>
            </w:pPr>
            <w:r w:rsidRPr="00233E9A">
              <w:rPr>
                <w:color w:val="FFFFFF" w:themeColor="background1"/>
              </w:rPr>
              <w:t>TEI ($ million)</w:t>
            </w:r>
          </w:p>
        </w:tc>
      </w:tr>
      <w:tr w:rsidR="00AE6427" w:rsidRPr="00B03CA8" w14:paraId="0670C557" w14:textId="77777777" w:rsidTr="006214A1">
        <w:tc>
          <w:tcPr>
            <w:tcW w:w="2445" w:type="dxa"/>
            <w:tcBorders>
              <w:top w:val="nil"/>
              <w:left w:val="single" w:sz="8" w:space="0" w:color="auto"/>
              <w:bottom w:val="single" w:sz="4" w:space="0" w:color="auto"/>
              <w:right w:val="single" w:sz="8" w:space="0" w:color="auto"/>
            </w:tcBorders>
          </w:tcPr>
          <w:p w14:paraId="24AAAB6D" w14:textId="119B3D62" w:rsidR="005A700B" w:rsidRPr="00AE6427" w:rsidRDefault="005A700B" w:rsidP="00233E9A">
            <w:pPr>
              <w:pStyle w:val="Tabletext"/>
            </w:pPr>
            <w:r w:rsidRPr="0071740D">
              <w:t>Barwon Women’s and Children’s Hospital</w:t>
            </w:r>
          </w:p>
        </w:tc>
        <w:tc>
          <w:tcPr>
            <w:tcW w:w="5630" w:type="dxa"/>
            <w:tcBorders>
              <w:top w:val="nil"/>
              <w:left w:val="nil"/>
              <w:bottom w:val="single" w:sz="4" w:space="0" w:color="auto"/>
              <w:right w:val="single" w:sz="8" w:space="0" w:color="auto"/>
            </w:tcBorders>
          </w:tcPr>
          <w:p w14:paraId="542B2950" w14:textId="77777777" w:rsidR="005A700B" w:rsidRPr="00233E9A" w:rsidRDefault="005A700B" w:rsidP="00233E9A">
            <w:pPr>
              <w:pStyle w:val="Tabletext"/>
            </w:pPr>
            <w:r w:rsidRPr="00233E9A">
              <w:t>Funding is provided to expand women’s and children’s services at University Hospital Geelong. In Stage 1, capacity will increase in paediatric outpatient services, operating theatres, birthing suites and Maternity Assessment and Short Stay Unit. Stage 2 will build a new inpatient tower with maternity, women’s and paediatric services and Special Care Nursery. This expansion will deliver better access to quality care for people in the Barwon region.</w:t>
            </w:r>
          </w:p>
          <w:p w14:paraId="16DCC472" w14:textId="3E3EB4F7" w:rsidR="005A700B" w:rsidRPr="00233E9A" w:rsidRDefault="005A700B" w:rsidP="00233E9A">
            <w:pPr>
              <w:pStyle w:val="Tabletext"/>
            </w:pPr>
            <w:r w:rsidRPr="00233E9A">
              <w:t xml:space="preserve">This initiative delivers on the </w:t>
            </w:r>
            <w:r w:rsidR="00B9774C" w:rsidRPr="00233E9A">
              <w:t>g</w:t>
            </w:r>
            <w:r w:rsidRPr="00233E9A">
              <w:t>overnment’s election commitment as published in Labor’s Financial Statement 2018.</w:t>
            </w:r>
          </w:p>
          <w:p w14:paraId="257B9832" w14:textId="79D938F9" w:rsidR="005A700B" w:rsidRPr="00AE6427" w:rsidRDefault="005A700B" w:rsidP="00233E9A">
            <w:pPr>
              <w:pStyle w:val="Tabletext"/>
            </w:pPr>
            <w:r w:rsidRPr="0071740D">
              <w:t xml:space="preserve">This initiative contributes to the </w:t>
            </w:r>
            <w:r w:rsidR="00FB3F73" w:rsidRPr="0071740D">
              <w:t xml:space="preserve">department’s </w:t>
            </w:r>
            <w:r w:rsidRPr="0071740D">
              <w:t>Admitted Services output.</w:t>
            </w:r>
          </w:p>
        </w:tc>
        <w:tc>
          <w:tcPr>
            <w:tcW w:w="1224" w:type="dxa"/>
            <w:tcBorders>
              <w:top w:val="nil"/>
              <w:left w:val="nil"/>
              <w:bottom w:val="single" w:sz="4" w:space="0" w:color="auto"/>
              <w:right w:val="single" w:sz="8" w:space="0" w:color="auto"/>
            </w:tcBorders>
          </w:tcPr>
          <w:p w14:paraId="118A6C7E" w14:textId="68A4D7F8" w:rsidR="005A700B" w:rsidRPr="00AE6427" w:rsidRDefault="005A700B" w:rsidP="00233E9A">
            <w:pPr>
              <w:pStyle w:val="Tabletext"/>
              <w:jc w:val="right"/>
            </w:pPr>
            <w:r w:rsidRPr="0071740D">
              <w:t>500.000</w:t>
            </w:r>
            <w:r w:rsidR="0071740D" w:rsidRPr="0071740D">
              <w:t>–</w:t>
            </w:r>
            <w:r w:rsidRPr="0071740D">
              <w:t xml:space="preserve"> 525.000</w:t>
            </w:r>
          </w:p>
        </w:tc>
      </w:tr>
      <w:tr w:rsidR="006214A1" w:rsidRPr="00B03CA8" w14:paraId="6318B45D" w14:textId="77777777" w:rsidTr="006214A1">
        <w:tc>
          <w:tcPr>
            <w:tcW w:w="2445" w:type="dxa"/>
            <w:tcBorders>
              <w:top w:val="single" w:sz="4" w:space="0" w:color="auto"/>
              <w:left w:val="single" w:sz="4" w:space="0" w:color="auto"/>
              <w:bottom w:val="single" w:sz="4" w:space="0" w:color="auto"/>
              <w:right w:val="single" w:sz="4" w:space="0" w:color="auto"/>
            </w:tcBorders>
          </w:tcPr>
          <w:p w14:paraId="6F8A8A61" w14:textId="5F16C92D" w:rsidR="005A700B" w:rsidRPr="0071740D" w:rsidDel="00B24750" w:rsidRDefault="005A700B" w:rsidP="00233E9A">
            <w:pPr>
              <w:pStyle w:val="Tabletext"/>
            </w:pPr>
            <w:r w:rsidRPr="0071740D">
              <w:t>Early Parenting Centre –</w:t>
            </w:r>
            <w:r w:rsidR="00B92F1E">
              <w:t xml:space="preserve"> </w:t>
            </w:r>
            <w:r w:rsidRPr="0071740D">
              <w:t>Shepparton</w:t>
            </w:r>
          </w:p>
        </w:tc>
        <w:tc>
          <w:tcPr>
            <w:tcW w:w="5630" w:type="dxa"/>
            <w:tcBorders>
              <w:top w:val="single" w:sz="4" w:space="0" w:color="auto"/>
              <w:left w:val="single" w:sz="4" w:space="0" w:color="auto"/>
              <w:bottom w:val="single" w:sz="4" w:space="0" w:color="auto"/>
              <w:right w:val="single" w:sz="4" w:space="0" w:color="auto"/>
            </w:tcBorders>
          </w:tcPr>
          <w:p w14:paraId="26238F5B" w14:textId="30FAEA03" w:rsidR="005A700B" w:rsidRPr="00233E9A" w:rsidRDefault="005A700B" w:rsidP="00233E9A">
            <w:pPr>
              <w:pStyle w:val="Tabletext"/>
            </w:pPr>
            <w:r w:rsidRPr="00233E9A">
              <w:t xml:space="preserve">Funding is provided to </w:t>
            </w:r>
            <w:r w:rsidR="00266A92" w:rsidRPr="00233E9A">
              <w:t xml:space="preserve">increase the current </w:t>
            </w:r>
            <w:r w:rsidR="00B92F1E">
              <w:t>e</w:t>
            </w:r>
            <w:r w:rsidR="00B92F1E" w:rsidRPr="00AE6427">
              <w:rPr>
                <w:szCs w:val="20"/>
              </w:rPr>
              <w:t>arly</w:t>
            </w:r>
            <w:r w:rsidR="00B92F1E" w:rsidRPr="00233E9A">
              <w:t xml:space="preserve"> </w:t>
            </w:r>
            <w:r w:rsidR="00266A92" w:rsidRPr="00233E9A">
              <w:t xml:space="preserve">parenting centres expansion and upgrade program </w:t>
            </w:r>
            <w:r w:rsidR="008C0A07" w:rsidRPr="00233E9A">
              <w:t xml:space="preserve">by building </w:t>
            </w:r>
            <w:r w:rsidRPr="00233E9A">
              <w:t>a</w:t>
            </w:r>
            <w:r w:rsidR="008C0A07" w:rsidRPr="00233E9A">
              <w:t xml:space="preserve"> new</w:t>
            </w:r>
            <w:r w:rsidRPr="00233E9A">
              <w:t xml:space="preserve"> 10</w:t>
            </w:r>
            <w:r w:rsidR="00B92F1E">
              <w:t>-</w:t>
            </w:r>
            <w:r w:rsidRPr="00233E9A">
              <w:t>bed early parenting centre in Shepparton. It will provide specialist support and deliver flexible, targeted services for families with children up to four years of age to enhance the parent</w:t>
            </w:r>
            <w:r w:rsidR="006A015D">
              <w:t>–</w:t>
            </w:r>
            <w:r w:rsidRPr="00233E9A">
              <w:t>child relationship and support parents with strategies to achieve their parenting goals.</w:t>
            </w:r>
          </w:p>
          <w:p w14:paraId="30EB9902" w14:textId="3D3F5932" w:rsidR="005A700B" w:rsidRPr="00AE6427" w:rsidDel="00B24750" w:rsidRDefault="005A700B" w:rsidP="00233E9A">
            <w:pPr>
              <w:pStyle w:val="Tabletext"/>
            </w:pPr>
            <w:r w:rsidRPr="0071740D">
              <w:t>This initiative contributes to the Department of Health’s Maternal and Child Health and Early Parenting Centres output.</w:t>
            </w:r>
          </w:p>
        </w:tc>
        <w:tc>
          <w:tcPr>
            <w:tcW w:w="1224" w:type="dxa"/>
            <w:tcBorders>
              <w:top w:val="single" w:sz="4" w:space="0" w:color="auto"/>
              <w:left w:val="single" w:sz="4" w:space="0" w:color="auto"/>
              <w:bottom w:val="single" w:sz="4" w:space="0" w:color="auto"/>
              <w:right w:val="single" w:sz="4" w:space="0" w:color="auto"/>
            </w:tcBorders>
          </w:tcPr>
          <w:p w14:paraId="5959BF9C" w14:textId="424DA36A" w:rsidR="005A700B" w:rsidRPr="00AE6427" w:rsidDel="00B24750" w:rsidRDefault="005A700B" w:rsidP="00233E9A">
            <w:pPr>
              <w:pStyle w:val="Tabletext"/>
              <w:jc w:val="right"/>
            </w:pPr>
            <w:r w:rsidRPr="0071740D">
              <w:t>25.000</w:t>
            </w:r>
          </w:p>
        </w:tc>
      </w:tr>
      <w:tr w:rsidR="006214A1" w:rsidRPr="00B03CA8" w14:paraId="3DBD8BB3" w14:textId="77777777" w:rsidTr="006214A1">
        <w:tc>
          <w:tcPr>
            <w:tcW w:w="2445" w:type="dxa"/>
            <w:tcBorders>
              <w:top w:val="single" w:sz="4" w:space="0" w:color="auto"/>
              <w:left w:val="single" w:sz="4" w:space="0" w:color="auto"/>
              <w:bottom w:val="single" w:sz="4" w:space="0" w:color="auto"/>
              <w:right w:val="single" w:sz="4" w:space="0" w:color="auto"/>
            </w:tcBorders>
          </w:tcPr>
          <w:p w14:paraId="0E4D3332" w14:textId="3782E197" w:rsidR="005A700B" w:rsidRPr="0071740D" w:rsidDel="00B24750" w:rsidRDefault="005A700B" w:rsidP="00233E9A">
            <w:pPr>
              <w:pStyle w:val="Tabletext"/>
            </w:pPr>
            <w:r w:rsidRPr="0071740D">
              <w:t>Emergency Departments Expansion Program – Casey Hospital (Casey) and Werribee Mercy Hospital (Werribee)</w:t>
            </w:r>
          </w:p>
        </w:tc>
        <w:tc>
          <w:tcPr>
            <w:tcW w:w="5630" w:type="dxa"/>
            <w:tcBorders>
              <w:top w:val="single" w:sz="4" w:space="0" w:color="auto"/>
              <w:left w:val="single" w:sz="4" w:space="0" w:color="auto"/>
              <w:bottom w:val="single" w:sz="4" w:space="0" w:color="auto"/>
              <w:right w:val="single" w:sz="4" w:space="0" w:color="auto"/>
            </w:tcBorders>
          </w:tcPr>
          <w:p w14:paraId="33152DA8" w14:textId="77777777" w:rsidR="005A700B" w:rsidRPr="00233E9A" w:rsidRDefault="005A700B" w:rsidP="00233E9A">
            <w:pPr>
              <w:pStyle w:val="Tabletext"/>
            </w:pPr>
            <w:r w:rsidRPr="00233E9A">
              <w:t>Funding is provided to expand emergency department capacity at Casey Hospital and Werribee Mercy Hospital to address significant demand for emergency services. This investment will increase the performance of the hospitals and Ambulance Victoria by delivering more efficient patient flows and better patient care.</w:t>
            </w:r>
          </w:p>
          <w:p w14:paraId="4E854AAA" w14:textId="24F03EF9" w:rsidR="005A700B" w:rsidRPr="00233E9A" w:rsidRDefault="005A700B" w:rsidP="00233E9A">
            <w:pPr>
              <w:pStyle w:val="Tabletext"/>
            </w:pPr>
            <w:r w:rsidRPr="00233E9A">
              <w:t xml:space="preserve">This initiative builds on the </w:t>
            </w:r>
            <w:r w:rsidR="00B92F1E">
              <w:t>‘</w:t>
            </w:r>
            <w:r w:rsidRPr="00233E9A">
              <w:t xml:space="preserve">Providing additional bed capacity through modular </w:t>
            </w:r>
            <w:r w:rsidRPr="00AE6427">
              <w:rPr>
                <w:szCs w:val="20"/>
              </w:rPr>
              <w:t>facilities</w:t>
            </w:r>
            <w:r w:rsidR="00B92F1E">
              <w:t>’</w:t>
            </w:r>
            <w:r w:rsidRPr="00233E9A">
              <w:t xml:space="preserve"> investment to provide short-term capacity expansions of the emergency departments at Casey Hospital, Northern Hospital and Werribee Mercy Hospital.</w:t>
            </w:r>
          </w:p>
          <w:p w14:paraId="42B1B1BF" w14:textId="27210451" w:rsidR="005A700B" w:rsidRPr="00AE6427" w:rsidDel="00B24750" w:rsidRDefault="005A700B" w:rsidP="00233E9A">
            <w:pPr>
              <w:pStyle w:val="Tabletext"/>
            </w:pPr>
            <w:r w:rsidRPr="0071740D">
              <w:t xml:space="preserve">This initiative contributes to the </w:t>
            </w:r>
            <w:r w:rsidR="00FB3F73" w:rsidRPr="0071740D">
              <w:t>department’s</w:t>
            </w:r>
            <w:r w:rsidRPr="0071740D">
              <w:t xml:space="preserve"> Admitted Services output.</w:t>
            </w:r>
          </w:p>
        </w:tc>
        <w:tc>
          <w:tcPr>
            <w:tcW w:w="1224" w:type="dxa"/>
            <w:tcBorders>
              <w:top w:val="single" w:sz="4" w:space="0" w:color="auto"/>
              <w:left w:val="single" w:sz="4" w:space="0" w:color="auto"/>
              <w:bottom w:val="single" w:sz="4" w:space="0" w:color="auto"/>
              <w:right w:val="single" w:sz="4" w:space="0" w:color="auto"/>
            </w:tcBorders>
          </w:tcPr>
          <w:p w14:paraId="35FCC926" w14:textId="6EDE66E7" w:rsidR="005A700B" w:rsidRPr="00AE6427" w:rsidDel="00B24750" w:rsidRDefault="005A700B" w:rsidP="00233E9A">
            <w:pPr>
              <w:pStyle w:val="Tabletext"/>
              <w:jc w:val="right"/>
            </w:pPr>
            <w:r w:rsidRPr="0071740D">
              <w:t>236.400</w:t>
            </w:r>
          </w:p>
        </w:tc>
      </w:tr>
      <w:tr w:rsidR="006214A1" w:rsidRPr="00B03CA8" w14:paraId="5633C129" w14:textId="77777777" w:rsidTr="006214A1">
        <w:tc>
          <w:tcPr>
            <w:tcW w:w="2445" w:type="dxa"/>
            <w:tcBorders>
              <w:top w:val="single" w:sz="4" w:space="0" w:color="auto"/>
              <w:left w:val="single" w:sz="4" w:space="0" w:color="auto"/>
              <w:bottom w:val="single" w:sz="4" w:space="0" w:color="auto"/>
              <w:right w:val="single" w:sz="4" w:space="0" w:color="auto"/>
            </w:tcBorders>
          </w:tcPr>
          <w:p w14:paraId="76F24233" w14:textId="2FAC8DAE" w:rsidR="005A700B" w:rsidRPr="0071740D" w:rsidDel="00B24750" w:rsidRDefault="005A700B" w:rsidP="00233E9A">
            <w:pPr>
              <w:pStyle w:val="Tabletext"/>
            </w:pPr>
            <w:r w:rsidRPr="0071740D">
              <w:t xml:space="preserve">Engineering infrastructure </w:t>
            </w:r>
            <w:r w:rsidRPr="0071740D">
              <w:lastRenderedPageBreak/>
              <w:t>replacement program 2022</w:t>
            </w:r>
            <w:r w:rsidR="00B92F1E">
              <w:t>–</w:t>
            </w:r>
            <w:r w:rsidRPr="0071740D">
              <w:t>23</w:t>
            </w:r>
          </w:p>
        </w:tc>
        <w:tc>
          <w:tcPr>
            <w:tcW w:w="5630" w:type="dxa"/>
            <w:tcBorders>
              <w:top w:val="single" w:sz="4" w:space="0" w:color="auto"/>
              <w:left w:val="single" w:sz="4" w:space="0" w:color="auto"/>
              <w:bottom w:val="single" w:sz="4" w:space="0" w:color="auto"/>
              <w:right w:val="single" w:sz="4" w:space="0" w:color="auto"/>
            </w:tcBorders>
          </w:tcPr>
          <w:p w14:paraId="645C3767" w14:textId="1DA6853C" w:rsidR="005A700B" w:rsidRPr="00233E9A" w:rsidRDefault="0C2605E1" w:rsidP="00233E9A">
            <w:pPr>
              <w:pStyle w:val="Tabletext"/>
            </w:pPr>
            <w:r w:rsidRPr="00233E9A">
              <w:lastRenderedPageBreak/>
              <w:t xml:space="preserve">Funding is provided to upgrade and replace essential engineering infrastructure in selected metropolitan, rural and regional hospitals. This will allow health services to </w:t>
            </w:r>
            <w:r w:rsidRPr="00233E9A">
              <w:lastRenderedPageBreak/>
              <w:t>support the successful delivery of high-quality care and ensure continued public confidence in Victorian health services.</w:t>
            </w:r>
          </w:p>
          <w:p w14:paraId="40C663CD" w14:textId="77777777" w:rsidR="005A700B" w:rsidRPr="00233E9A" w:rsidRDefault="005A700B" w:rsidP="00233E9A">
            <w:pPr>
              <w:pStyle w:val="Tabletext"/>
            </w:pPr>
            <w:r w:rsidRPr="00233E9A">
              <w:t>Funding covers a range of infrastructure items and can include boilers, air handling units, cardiac electrical body protection systems and fire risk management systems to enable continuity of health service delivery and compliance with regulatory requirements.</w:t>
            </w:r>
          </w:p>
          <w:p w14:paraId="46E289AD" w14:textId="4F450EA5" w:rsidR="005A700B" w:rsidRPr="00AE6427" w:rsidDel="00B24750" w:rsidRDefault="005A700B" w:rsidP="00233E9A">
            <w:pPr>
              <w:pStyle w:val="Tabletext"/>
            </w:pPr>
            <w:r w:rsidRPr="0071740D">
              <w:t xml:space="preserve">This initiative contributes to the </w:t>
            </w:r>
            <w:r w:rsidR="00FB3F73" w:rsidRPr="0071740D">
              <w:t xml:space="preserve">department’s </w:t>
            </w:r>
            <w:r w:rsidRPr="0071740D">
              <w:t>Admitted Services output.</w:t>
            </w:r>
          </w:p>
        </w:tc>
        <w:tc>
          <w:tcPr>
            <w:tcW w:w="1224" w:type="dxa"/>
            <w:tcBorders>
              <w:top w:val="single" w:sz="4" w:space="0" w:color="auto"/>
              <w:left w:val="single" w:sz="4" w:space="0" w:color="auto"/>
              <w:bottom w:val="single" w:sz="4" w:space="0" w:color="auto"/>
              <w:right w:val="single" w:sz="4" w:space="0" w:color="auto"/>
            </w:tcBorders>
          </w:tcPr>
          <w:p w14:paraId="7BC88218" w14:textId="22EF02AA" w:rsidR="005A700B" w:rsidRPr="00AE6427" w:rsidDel="00B24750" w:rsidRDefault="005A700B" w:rsidP="00233E9A">
            <w:pPr>
              <w:pStyle w:val="Tabletext"/>
              <w:jc w:val="right"/>
            </w:pPr>
            <w:r w:rsidRPr="0071740D">
              <w:lastRenderedPageBreak/>
              <w:t>20.000</w:t>
            </w:r>
          </w:p>
        </w:tc>
      </w:tr>
      <w:tr w:rsidR="006214A1" w:rsidRPr="00B03CA8" w14:paraId="24EDB84D" w14:textId="77777777" w:rsidTr="006214A1">
        <w:tc>
          <w:tcPr>
            <w:tcW w:w="2445" w:type="dxa"/>
            <w:tcBorders>
              <w:top w:val="single" w:sz="4" w:space="0" w:color="auto"/>
              <w:left w:val="single" w:sz="4" w:space="0" w:color="auto"/>
              <w:bottom w:val="single" w:sz="4" w:space="0" w:color="auto"/>
              <w:right w:val="single" w:sz="4" w:space="0" w:color="auto"/>
            </w:tcBorders>
          </w:tcPr>
          <w:p w14:paraId="31B1B353" w14:textId="09C42109" w:rsidR="005A700B" w:rsidRPr="0071740D" w:rsidDel="00B24750" w:rsidRDefault="005A700B" w:rsidP="00233E9A">
            <w:pPr>
              <w:pStyle w:val="Tabletext"/>
            </w:pPr>
            <w:r w:rsidRPr="0071740D">
              <w:t>Medical equipment replacement program 2022</w:t>
            </w:r>
            <w:r w:rsidR="00B92F1E">
              <w:t>–</w:t>
            </w:r>
            <w:r w:rsidRPr="0071740D">
              <w:t>23</w:t>
            </w:r>
          </w:p>
        </w:tc>
        <w:tc>
          <w:tcPr>
            <w:tcW w:w="5630" w:type="dxa"/>
            <w:tcBorders>
              <w:top w:val="single" w:sz="4" w:space="0" w:color="auto"/>
              <w:left w:val="single" w:sz="4" w:space="0" w:color="auto"/>
              <w:bottom w:val="single" w:sz="4" w:space="0" w:color="auto"/>
              <w:right w:val="single" w:sz="4" w:space="0" w:color="auto"/>
            </w:tcBorders>
          </w:tcPr>
          <w:p w14:paraId="076AC4EE" w14:textId="1852226B" w:rsidR="005A700B" w:rsidRPr="00233E9A" w:rsidRDefault="0C2605E1" w:rsidP="00233E9A">
            <w:pPr>
              <w:pStyle w:val="Tabletext"/>
            </w:pPr>
            <w:r w:rsidRPr="00233E9A">
              <w:t>Funding is provided to continue to replace essential medical equipment across Victoria. The equipment supports operating suites, emergency departments, surgical wards, intensive care units, neonatal and maternity services, and specialist areas. This will reduce risks for patients and staff and improve service availability through the introduction of newer, more advanced medical equipment.</w:t>
            </w:r>
          </w:p>
          <w:p w14:paraId="09394767" w14:textId="3151864B" w:rsidR="005A700B" w:rsidRPr="00AE6427" w:rsidDel="00B24750" w:rsidRDefault="005A700B" w:rsidP="00233E9A">
            <w:pPr>
              <w:pStyle w:val="Tabletext"/>
            </w:pPr>
            <w:r w:rsidRPr="0071740D">
              <w:t xml:space="preserve">This initiative contributes to the </w:t>
            </w:r>
            <w:r w:rsidR="00FB3F73" w:rsidRPr="0071740D">
              <w:t>department</w:t>
            </w:r>
            <w:r w:rsidR="00FB3F73" w:rsidRPr="00AE6427">
              <w:rPr>
                <w:szCs w:val="20"/>
              </w:rPr>
              <w:t>’s</w:t>
            </w:r>
            <w:r w:rsidRPr="0071740D">
              <w:t xml:space="preserve"> Admitted Services output.</w:t>
            </w:r>
          </w:p>
        </w:tc>
        <w:tc>
          <w:tcPr>
            <w:tcW w:w="1224" w:type="dxa"/>
            <w:tcBorders>
              <w:top w:val="single" w:sz="4" w:space="0" w:color="auto"/>
              <w:left w:val="single" w:sz="4" w:space="0" w:color="auto"/>
              <w:bottom w:val="single" w:sz="4" w:space="0" w:color="auto"/>
              <w:right w:val="single" w:sz="4" w:space="0" w:color="auto"/>
            </w:tcBorders>
          </w:tcPr>
          <w:p w14:paraId="7575027F" w14:textId="0E0F53B8" w:rsidR="005A700B" w:rsidRPr="00AE6427" w:rsidDel="00B24750" w:rsidRDefault="005A700B" w:rsidP="00233E9A">
            <w:pPr>
              <w:pStyle w:val="Tabletext"/>
              <w:jc w:val="right"/>
            </w:pPr>
            <w:r w:rsidRPr="0071740D">
              <w:t>35.000</w:t>
            </w:r>
          </w:p>
        </w:tc>
      </w:tr>
      <w:tr w:rsidR="006214A1" w:rsidRPr="00920EB6" w14:paraId="0BCA3401" w14:textId="77777777" w:rsidTr="006214A1">
        <w:tc>
          <w:tcPr>
            <w:tcW w:w="2445" w:type="dxa"/>
            <w:tcBorders>
              <w:top w:val="single" w:sz="4" w:space="0" w:color="auto"/>
              <w:left w:val="single" w:sz="4" w:space="0" w:color="auto"/>
              <w:bottom w:val="single" w:sz="4" w:space="0" w:color="auto"/>
              <w:right w:val="single" w:sz="4" w:space="0" w:color="auto"/>
            </w:tcBorders>
          </w:tcPr>
          <w:p w14:paraId="191C8D7C" w14:textId="4433FB0F" w:rsidR="005A700B" w:rsidRPr="0071740D" w:rsidDel="00B24750" w:rsidRDefault="005A700B" w:rsidP="00233E9A">
            <w:pPr>
              <w:pStyle w:val="Tabletext"/>
            </w:pPr>
            <w:r w:rsidRPr="0071740D">
              <w:t>Metropolitan Health Infrastructure Fund 2022</w:t>
            </w:r>
            <w:r w:rsidR="00B92F1E">
              <w:t>–</w:t>
            </w:r>
            <w:r w:rsidRPr="0071740D">
              <w:t>23</w:t>
            </w:r>
          </w:p>
        </w:tc>
        <w:tc>
          <w:tcPr>
            <w:tcW w:w="5630" w:type="dxa"/>
            <w:tcBorders>
              <w:top w:val="single" w:sz="4" w:space="0" w:color="auto"/>
              <w:left w:val="single" w:sz="4" w:space="0" w:color="auto"/>
              <w:bottom w:val="single" w:sz="4" w:space="0" w:color="auto"/>
              <w:right w:val="single" w:sz="4" w:space="0" w:color="auto"/>
            </w:tcBorders>
          </w:tcPr>
          <w:p w14:paraId="3E0B4AD2" w14:textId="77777777" w:rsidR="005A700B" w:rsidRPr="00233E9A" w:rsidRDefault="005A700B" w:rsidP="00233E9A">
            <w:pPr>
              <w:pStyle w:val="Tabletext"/>
            </w:pPr>
            <w:r w:rsidRPr="00233E9A">
              <w:t>Additional funding is provided to the Metropolitan Health Infrastructure Fund to improve the quality and amenity of infrastructure across a range of metropolitan health services. This funding will allow health services to respond to local priorities and maintain and enhance their service delivery capacity.</w:t>
            </w:r>
          </w:p>
          <w:p w14:paraId="776C9573" w14:textId="66620EDA" w:rsidR="005A700B" w:rsidRPr="00AE6427" w:rsidDel="00B24750" w:rsidRDefault="005A700B" w:rsidP="00233E9A">
            <w:pPr>
              <w:pStyle w:val="Tabletext"/>
            </w:pPr>
            <w:r w:rsidRPr="0071740D">
              <w:t xml:space="preserve">This initiative contributes to the </w:t>
            </w:r>
            <w:r w:rsidR="00FB3F73" w:rsidRPr="0071740D">
              <w:t>department’s</w:t>
            </w:r>
            <w:r w:rsidRPr="0071740D">
              <w:t xml:space="preserve"> Admitted Services output.</w:t>
            </w:r>
          </w:p>
        </w:tc>
        <w:tc>
          <w:tcPr>
            <w:tcW w:w="1224" w:type="dxa"/>
            <w:tcBorders>
              <w:top w:val="single" w:sz="4" w:space="0" w:color="auto"/>
              <w:left w:val="single" w:sz="4" w:space="0" w:color="auto"/>
              <w:bottom w:val="single" w:sz="4" w:space="0" w:color="auto"/>
              <w:right w:val="single" w:sz="4" w:space="0" w:color="auto"/>
            </w:tcBorders>
          </w:tcPr>
          <w:p w14:paraId="1BAE60F4" w14:textId="4D614F7E" w:rsidR="005A700B" w:rsidRPr="00AE6427" w:rsidDel="00B24750" w:rsidRDefault="005A700B" w:rsidP="00233E9A">
            <w:pPr>
              <w:pStyle w:val="Tabletext"/>
              <w:jc w:val="right"/>
            </w:pPr>
            <w:r w:rsidRPr="0071740D">
              <w:t>25.000</w:t>
            </w:r>
          </w:p>
        </w:tc>
      </w:tr>
      <w:tr w:rsidR="006214A1" w:rsidRPr="00B03CA8" w14:paraId="38AB594F" w14:textId="77777777" w:rsidTr="006214A1">
        <w:tc>
          <w:tcPr>
            <w:tcW w:w="2445" w:type="dxa"/>
            <w:tcBorders>
              <w:top w:val="single" w:sz="4" w:space="0" w:color="auto"/>
              <w:left w:val="single" w:sz="4" w:space="0" w:color="auto"/>
              <w:bottom w:val="single" w:sz="4" w:space="0" w:color="auto"/>
              <w:right w:val="single" w:sz="4" w:space="0" w:color="auto"/>
            </w:tcBorders>
          </w:tcPr>
          <w:p w14:paraId="74D6376A" w14:textId="29337176" w:rsidR="005A700B" w:rsidRPr="0071740D" w:rsidDel="00B24750" w:rsidRDefault="005A700B" w:rsidP="00233E9A">
            <w:pPr>
              <w:pStyle w:val="Tabletext"/>
            </w:pPr>
            <w:r w:rsidRPr="0071740D">
              <w:t xml:space="preserve">New Melton Hospital </w:t>
            </w:r>
          </w:p>
        </w:tc>
        <w:tc>
          <w:tcPr>
            <w:tcW w:w="5630" w:type="dxa"/>
            <w:tcBorders>
              <w:top w:val="single" w:sz="4" w:space="0" w:color="auto"/>
              <w:left w:val="single" w:sz="4" w:space="0" w:color="auto"/>
              <w:bottom w:val="single" w:sz="4" w:space="0" w:color="auto"/>
              <w:right w:val="single" w:sz="4" w:space="0" w:color="auto"/>
            </w:tcBorders>
          </w:tcPr>
          <w:p w14:paraId="359489CB" w14:textId="19334F69" w:rsidR="005A700B" w:rsidRPr="00233E9A" w:rsidRDefault="005A700B" w:rsidP="00233E9A">
            <w:pPr>
              <w:pStyle w:val="Tabletext"/>
            </w:pPr>
            <w:r w:rsidRPr="00233E9A">
              <w:t xml:space="preserve">Funding is provided to construct a new tertiary Melton Hospital in Cobblebank, which will provide 24-hour emergency services supported by </w:t>
            </w:r>
            <w:r w:rsidR="00B92F1E">
              <w:t xml:space="preserve">more </w:t>
            </w:r>
            <w:r w:rsidR="000B1C45">
              <w:t>than</w:t>
            </w:r>
            <w:r w:rsidR="000B1C45" w:rsidRPr="00233E9A">
              <w:t xml:space="preserve"> </w:t>
            </w:r>
            <w:r w:rsidRPr="00233E9A">
              <w:t xml:space="preserve">100 medical and surgical beds, </w:t>
            </w:r>
            <w:r w:rsidR="4D2AD2AA" w:rsidRPr="00233E9A">
              <w:t xml:space="preserve">an </w:t>
            </w:r>
            <w:r w:rsidRPr="00233E9A">
              <w:t>intensive care unit, maternity and neonatal services, mental health services, ambulatory care, and a range of clinical supports.</w:t>
            </w:r>
          </w:p>
          <w:p w14:paraId="1E7706FE" w14:textId="77777777" w:rsidR="005A700B" w:rsidRPr="00233E9A" w:rsidRDefault="005A700B" w:rsidP="00233E9A">
            <w:pPr>
              <w:pStyle w:val="Tabletext"/>
            </w:pPr>
            <w:r w:rsidRPr="00233E9A">
              <w:t>The new hospital will also be fully electric and will contribute to the Victorian Government’s climate policy and renewable energy targets.</w:t>
            </w:r>
          </w:p>
          <w:p w14:paraId="5753F45F" w14:textId="77777777" w:rsidR="005A700B" w:rsidRPr="00233E9A" w:rsidRDefault="005A700B" w:rsidP="00233E9A">
            <w:pPr>
              <w:pStyle w:val="Tabletext"/>
            </w:pPr>
            <w:r w:rsidRPr="00233E9A">
              <w:t>This investment will activate the Cobblebank precinct and stimulate further investment and development in the area to drive employment growth and nearby residential developments to improve housing supply. This initiative builds on funding provided in previous years to plan, acquire land and undertake early works for the new hospital.</w:t>
            </w:r>
          </w:p>
          <w:p w14:paraId="5918D4F1" w14:textId="2135BD03" w:rsidR="005A700B" w:rsidRPr="00AE6427" w:rsidDel="00B24750" w:rsidRDefault="005A700B" w:rsidP="00233E9A">
            <w:pPr>
              <w:pStyle w:val="Tabletext"/>
            </w:pPr>
            <w:r w:rsidRPr="0071740D">
              <w:t xml:space="preserve">This initiative contributes to the </w:t>
            </w:r>
            <w:r w:rsidR="00FB3F73" w:rsidRPr="0071740D">
              <w:t xml:space="preserve">department’s </w:t>
            </w:r>
            <w:r w:rsidRPr="0071740D">
              <w:t>Admitted Services output.</w:t>
            </w:r>
          </w:p>
        </w:tc>
        <w:tc>
          <w:tcPr>
            <w:tcW w:w="1224" w:type="dxa"/>
            <w:tcBorders>
              <w:top w:val="single" w:sz="4" w:space="0" w:color="auto"/>
              <w:left w:val="single" w:sz="4" w:space="0" w:color="auto"/>
              <w:bottom w:val="single" w:sz="4" w:space="0" w:color="auto"/>
              <w:right w:val="single" w:sz="4" w:space="0" w:color="auto"/>
            </w:tcBorders>
          </w:tcPr>
          <w:p w14:paraId="28AE1012" w14:textId="607A2444" w:rsidR="005A700B" w:rsidRPr="00AE6427" w:rsidDel="00B24750" w:rsidRDefault="005A700B" w:rsidP="00233E9A">
            <w:pPr>
              <w:pStyle w:val="Tabletext"/>
              <w:jc w:val="right"/>
            </w:pPr>
            <w:r w:rsidRPr="0071740D">
              <w:t>900.000–1000.000</w:t>
            </w:r>
          </w:p>
        </w:tc>
      </w:tr>
      <w:tr w:rsidR="006214A1" w:rsidRPr="00B03CA8" w14:paraId="0710B8C3" w14:textId="77777777" w:rsidTr="006214A1">
        <w:tc>
          <w:tcPr>
            <w:tcW w:w="2445" w:type="dxa"/>
            <w:tcBorders>
              <w:top w:val="single" w:sz="4" w:space="0" w:color="auto"/>
              <w:left w:val="single" w:sz="4" w:space="0" w:color="auto"/>
              <w:bottom w:val="single" w:sz="4" w:space="0" w:color="auto"/>
              <w:right w:val="single" w:sz="4" w:space="0" w:color="auto"/>
            </w:tcBorders>
          </w:tcPr>
          <w:p w14:paraId="1B4342D7" w14:textId="48CE3C97" w:rsidR="005A700B" w:rsidRPr="0071740D" w:rsidDel="00B24750" w:rsidRDefault="005A700B" w:rsidP="00233E9A">
            <w:pPr>
              <w:pStyle w:val="Tabletext"/>
            </w:pPr>
            <w:r w:rsidRPr="0071740D">
              <w:t>Regional Health Infrastructure Fund 2022</w:t>
            </w:r>
            <w:r w:rsidR="00B92F1E">
              <w:t>–</w:t>
            </w:r>
            <w:r w:rsidRPr="0071740D">
              <w:t xml:space="preserve">23 </w:t>
            </w:r>
          </w:p>
        </w:tc>
        <w:tc>
          <w:tcPr>
            <w:tcW w:w="5630" w:type="dxa"/>
            <w:tcBorders>
              <w:top w:val="single" w:sz="4" w:space="0" w:color="auto"/>
              <w:left w:val="single" w:sz="4" w:space="0" w:color="auto"/>
              <w:bottom w:val="single" w:sz="4" w:space="0" w:color="auto"/>
              <w:right w:val="single" w:sz="4" w:space="0" w:color="auto"/>
            </w:tcBorders>
          </w:tcPr>
          <w:p w14:paraId="321E5E5D" w14:textId="77777777" w:rsidR="005A700B" w:rsidRPr="00233E9A" w:rsidRDefault="005A700B" w:rsidP="00233E9A">
            <w:pPr>
              <w:pStyle w:val="Tabletext"/>
            </w:pPr>
            <w:r w:rsidRPr="00233E9A">
              <w:t xml:space="preserve">Additional funding is provided to the Regional Health Infrastructure Fund to improve the quality and amenity of infrastructure across a range of rural and regional health services. This funding will allow health services to respond to local priorities and maintain and enhance their </w:t>
            </w:r>
            <w:r w:rsidRPr="00233E9A">
              <w:lastRenderedPageBreak/>
              <w:t>service delivery capacity. The funding boost takes the investment in this fund to more than $790 million.</w:t>
            </w:r>
          </w:p>
          <w:p w14:paraId="7E67DF95" w14:textId="29722F5F" w:rsidR="005A700B" w:rsidRPr="00AE6427" w:rsidDel="00B24750" w:rsidRDefault="005A700B" w:rsidP="00233E9A">
            <w:pPr>
              <w:pStyle w:val="Tabletext"/>
            </w:pPr>
            <w:r w:rsidRPr="0071740D">
              <w:t xml:space="preserve">This initiative contributes to the </w:t>
            </w:r>
            <w:r w:rsidR="00FB3F73" w:rsidRPr="0071740D">
              <w:t>department’s</w:t>
            </w:r>
            <w:r w:rsidRPr="0071740D">
              <w:t xml:space="preserve"> Admitted Services output.</w:t>
            </w:r>
          </w:p>
        </w:tc>
        <w:tc>
          <w:tcPr>
            <w:tcW w:w="1224" w:type="dxa"/>
            <w:tcBorders>
              <w:top w:val="single" w:sz="4" w:space="0" w:color="auto"/>
              <w:left w:val="single" w:sz="4" w:space="0" w:color="auto"/>
              <w:bottom w:val="single" w:sz="4" w:space="0" w:color="auto"/>
              <w:right w:val="single" w:sz="4" w:space="0" w:color="auto"/>
            </w:tcBorders>
          </w:tcPr>
          <w:p w14:paraId="71F96125" w14:textId="5407E967" w:rsidR="005A700B" w:rsidRPr="00AE6427" w:rsidDel="00B24750" w:rsidRDefault="005A700B" w:rsidP="00233E9A">
            <w:pPr>
              <w:pStyle w:val="Tabletext"/>
              <w:jc w:val="right"/>
            </w:pPr>
            <w:r w:rsidRPr="0071740D">
              <w:lastRenderedPageBreak/>
              <w:t>300.000</w:t>
            </w:r>
          </w:p>
        </w:tc>
      </w:tr>
      <w:tr w:rsidR="006214A1" w:rsidRPr="00B03CA8" w14:paraId="5C092E80" w14:textId="77777777" w:rsidTr="006214A1">
        <w:tc>
          <w:tcPr>
            <w:tcW w:w="2445" w:type="dxa"/>
            <w:tcBorders>
              <w:top w:val="single" w:sz="4" w:space="0" w:color="auto"/>
              <w:left w:val="single" w:sz="4" w:space="0" w:color="auto"/>
              <w:bottom w:val="single" w:sz="4" w:space="0" w:color="auto"/>
              <w:right w:val="single" w:sz="4" w:space="0" w:color="auto"/>
            </w:tcBorders>
          </w:tcPr>
          <w:p w14:paraId="3702724C" w14:textId="4E91E677" w:rsidR="005A700B" w:rsidRPr="0071740D" w:rsidDel="00B24750" w:rsidRDefault="005A700B" w:rsidP="00233E9A">
            <w:pPr>
              <w:pStyle w:val="Tabletext"/>
            </w:pPr>
            <w:r w:rsidRPr="0071740D">
              <w:t>Providing additional bed capacity through modular facilities</w:t>
            </w:r>
          </w:p>
        </w:tc>
        <w:tc>
          <w:tcPr>
            <w:tcW w:w="5630" w:type="dxa"/>
            <w:tcBorders>
              <w:top w:val="single" w:sz="4" w:space="0" w:color="auto"/>
              <w:left w:val="single" w:sz="4" w:space="0" w:color="auto"/>
              <w:bottom w:val="single" w:sz="4" w:space="0" w:color="auto"/>
              <w:right w:val="single" w:sz="4" w:space="0" w:color="auto"/>
            </w:tcBorders>
          </w:tcPr>
          <w:p w14:paraId="73E7A127" w14:textId="4E433919" w:rsidR="005A700B" w:rsidRPr="00AE6427" w:rsidDel="00B24750" w:rsidRDefault="005A700B" w:rsidP="00233E9A">
            <w:pPr>
              <w:pStyle w:val="Tabletext"/>
            </w:pPr>
            <w:r w:rsidRPr="0071740D">
              <w:t>Funding is provided to establish additional capacity at Werribee Mercy Hospital, Northern Hospital and Casey Hospital. This includes the establishment and staffing of modular units to alleviate demand on health service emergency departments by providing triage, assessment, respiratory clinic, and urgent care clinic functions.</w:t>
            </w:r>
          </w:p>
        </w:tc>
        <w:tc>
          <w:tcPr>
            <w:tcW w:w="1224" w:type="dxa"/>
            <w:tcBorders>
              <w:top w:val="single" w:sz="4" w:space="0" w:color="auto"/>
              <w:left w:val="single" w:sz="4" w:space="0" w:color="auto"/>
              <w:bottom w:val="single" w:sz="4" w:space="0" w:color="auto"/>
              <w:right w:val="single" w:sz="4" w:space="0" w:color="auto"/>
            </w:tcBorders>
          </w:tcPr>
          <w:p w14:paraId="181E4351" w14:textId="028FDDCE" w:rsidR="005A700B" w:rsidRPr="00AE6427" w:rsidDel="00B24750" w:rsidRDefault="005A700B" w:rsidP="00233E9A">
            <w:pPr>
              <w:pStyle w:val="Tabletext"/>
              <w:jc w:val="right"/>
            </w:pPr>
            <w:r w:rsidRPr="0071740D">
              <w:t>54.900</w:t>
            </w:r>
          </w:p>
        </w:tc>
      </w:tr>
    </w:tbl>
    <w:p w14:paraId="1D532754" w14:textId="66A29787" w:rsidR="00741BB6" w:rsidRPr="00741BB6" w:rsidRDefault="00741BB6" w:rsidP="003C01AD">
      <w:pPr>
        <w:pStyle w:val="Tablecaption"/>
        <w:numPr>
          <w:ilvl w:val="0"/>
          <w:numId w:val="31"/>
        </w:numPr>
      </w:pPr>
      <w:bookmarkStart w:id="117" w:name="_Toc109894098"/>
      <w:bookmarkStart w:id="118" w:name="_Toc119500878"/>
      <w:r>
        <w:t xml:space="preserve">Funding for asset initiatives – </w:t>
      </w:r>
      <w:r w:rsidRPr="005E523A">
        <w:t>ageing, aged and home care</w:t>
      </w:r>
      <w:bookmarkEnd w:id="117"/>
      <w:bookmarkEnd w:id="118"/>
    </w:p>
    <w:tbl>
      <w:tblPr>
        <w:tblStyle w:val="TableGrid1"/>
        <w:tblW w:w="9402" w:type="dxa"/>
        <w:tblInd w:w="-51" w:type="dxa"/>
        <w:tblLayout w:type="fixed"/>
        <w:tblCellMar>
          <w:left w:w="108" w:type="dxa"/>
          <w:right w:w="108" w:type="dxa"/>
        </w:tblCellMar>
        <w:tblLook w:val="02A0" w:firstRow="1" w:lastRow="0" w:firstColumn="1" w:lastColumn="0" w:noHBand="1" w:noVBand="0"/>
      </w:tblPr>
      <w:tblGrid>
        <w:gridCol w:w="2740"/>
        <w:gridCol w:w="5386"/>
        <w:gridCol w:w="1276"/>
      </w:tblGrid>
      <w:tr w:rsidR="00175162" w:rsidRPr="00D04132" w14:paraId="79613698" w14:textId="77777777" w:rsidTr="00F91AB2">
        <w:trPr>
          <w:cnfStyle w:val="100000000000" w:firstRow="1" w:lastRow="0" w:firstColumn="0" w:lastColumn="0" w:oddVBand="0" w:evenVBand="0" w:oddHBand="0" w:evenHBand="0" w:firstRowFirstColumn="0" w:firstRowLastColumn="0" w:lastRowFirstColumn="0" w:lastRowLastColumn="0"/>
        </w:trPr>
        <w:tc>
          <w:tcPr>
            <w:tcW w:w="2740" w:type="dxa"/>
            <w:tcBorders>
              <w:right w:val="single" w:sz="4" w:space="0" w:color="FFFFFF" w:themeColor="background1"/>
            </w:tcBorders>
          </w:tcPr>
          <w:p w14:paraId="1F83F3D9" w14:textId="77777777" w:rsidR="000B27B9" w:rsidRPr="00233E9A" w:rsidRDefault="000B27B9" w:rsidP="00233E9A">
            <w:pPr>
              <w:pStyle w:val="Tablecolhead"/>
              <w:rPr>
                <w:color w:val="FFFFFF" w:themeColor="background1"/>
              </w:rPr>
            </w:pPr>
            <w:bookmarkStart w:id="119" w:name="_Hlk12607910"/>
            <w:r w:rsidRPr="00233E9A">
              <w:rPr>
                <w:color w:val="FFFFFF" w:themeColor="background1"/>
              </w:rPr>
              <w:t>Initiative</w:t>
            </w:r>
          </w:p>
        </w:tc>
        <w:tc>
          <w:tcPr>
            <w:tcW w:w="5386" w:type="dxa"/>
            <w:tcBorders>
              <w:left w:val="single" w:sz="4" w:space="0" w:color="FFFFFF" w:themeColor="background1"/>
              <w:right w:val="single" w:sz="4" w:space="0" w:color="FFFFFF" w:themeColor="background1"/>
            </w:tcBorders>
          </w:tcPr>
          <w:p w14:paraId="242E8E98" w14:textId="77777777" w:rsidR="000B27B9" w:rsidRPr="00233E9A" w:rsidRDefault="000B27B9" w:rsidP="00233E9A">
            <w:pPr>
              <w:pStyle w:val="Tablecolhead"/>
              <w:rPr>
                <w:color w:val="FFFFFF" w:themeColor="background1"/>
              </w:rPr>
            </w:pPr>
            <w:r w:rsidRPr="00233E9A">
              <w:rPr>
                <w:color w:val="FFFFFF" w:themeColor="background1"/>
              </w:rPr>
              <w:t>Description</w:t>
            </w:r>
          </w:p>
        </w:tc>
        <w:tc>
          <w:tcPr>
            <w:tcW w:w="1276" w:type="dxa"/>
            <w:tcBorders>
              <w:left w:val="single" w:sz="4" w:space="0" w:color="FFFFFF" w:themeColor="background1"/>
            </w:tcBorders>
          </w:tcPr>
          <w:p w14:paraId="292130FE" w14:textId="77777777" w:rsidR="000B27B9" w:rsidRPr="00233E9A" w:rsidRDefault="000B27B9" w:rsidP="00233E9A">
            <w:pPr>
              <w:pStyle w:val="Tablecolhead"/>
              <w:rPr>
                <w:color w:val="FFFFFF" w:themeColor="background1"/>
              </w:rPr>
            </w:pPr>
            <w:r w:rsidRPr="00233E9A">
              <w:rPr>
                <w:color w:val="FFFFFF" w:themeColor="background1"/>
              </w:rPr>
              <w:t>TEI ($ million)</w:t>
            </w:r>
          </w:p>
        </w:tc>
      </w:tr>
      <w:tr w:rsidR="00233E9A" w:rsidRPr="00D04132" w14:paraId="6B5A33D2" w14:textId="77777777" w:rsidTr="00F91AB2">
        <w:tblPrEx>
          <w:tblLook w:val="04A0" w:firstRow="1" w:lastRow="0" w:firstColumn="1" w:lastColumn="0" w:noHBand="0" w:noVBand="1"/>
        </w:tblPrEx>
        <w:tc>
          <w:tcPr>
            <w:tcW w:w="2740" w:type="dxa"/>
          </w:tcPr>
          <w:p w14:paraId="730EE46E" w14:textId="03C6F6D6" w:rsidR="00BE25D6" w:rsidRPr="00AE6427" w:rsidRDefault="00927D01" w:rsidP="00233E9A">
            <w:pPr>
              <w:pStyle w:val="Tabletext"/>
            </w:pPr>
            <w:r w:rsidRPr="00AE6427">
              <w:t>R</w:t>
            </w:r>
            <w:r w:rsidR="00BE25D6" w:rsidRPr="00AE6427">
              <w:t xml:space="preserve">ural and Regional Public Sector Residential Aged Care Revitalisation Stage 1 </w:t>
            </w:r>
          </w:p>
          <w:p w14:paraId="5B2E0E10" w14:textId="2C04C281" w:rsidR="00BE25D6" w:rsidRPr="00AE6427" w:rsidRDefault="00BE25D6" w:rsidP="00233E9A">
            <w:pPr>
              <w:pStyle w:val="Tabletext"/>
            </w:pPr>
          </w:p>
        </w:tc>
        <w:tc>
          <w:tcPr>
            <w:tcW w:w="5386" w:type="dxa"/>
          </w:tcPr>
          <w:p w14:paraId="10DE73ED" w14:textId="1E4B4941" w:rsidR="00927D01" w:rsidRPr="00233E9A" w:rsidRDefault="00850F8F" w:rsidP="00233E9A">
            <w:pPr>
              <w:pStyle w:val="Tabletext"/>
            </w:pPr>
            <w:r w:rsidRPr="00233E9A">
              <w:t>Fundi</w:t>
            </w:r>
            <w:r w:rsidR="005700E7" w:rsidRPr="00233E9A">
              <w:t>n</w:t>
            </w:r>
            <w:r w:rsidRPr="00233E9A">
              <w:t>g is provided to deliver 36 beds at Camperdown Hospital, 72 beds at Mansfield District Hospital and 38 beds at Orbost</w:t>
            </w:r>
            <w:r w:rsidR="0076455F" w:rsidRPr="00233E9A">
              <w:t xml:space="preserve"> </w:t>
            </w:r>
            <w:r w:rsidRPr="00233E9A">
              <w:t>Regional Health</w:t>
            </w:r>
            <w:r w:rsidR="00F2608F" w:rsidRPr="00233E9A">
              <w:t>.</w:t>
            </w:r>
          </w:p>
        </w:tc>
        <w:tc>
          <w:tcPr>
            <w:tcW w:w="1276" w:type="dxa"/>
          </w:tcPr>
          <w:p w14:paraId="41120518" w14:textId="5395AE7F" w:rsidR="005E7BE6" w:rsidRPr="00AE6427" w:rsidRDefault="00BE25D6" w:rsidP="00233E9A">
            <w:pPr>
              <w:pStyle w:val="Tabletext"/>
              <w:jc w:val="right"/>
            </w:pPr>
            <w:r w:rsidRPr="00233E9A">
              <w:t>14</w:t>
            </w:r>
            <w:r w:rsidR="003640F3" w:rsidRPr="00233E9A">
              <w:t>2.845</w:t>
            </w:r>
            <w:r w:rsidRPr="00233E9A">
              <w:t xml:space="preserve"> </w:t>
            </w:r>
          </w:p>
        </w:tc>
      </w:tr>
      <w:tr w:rsidR="00233E9A" w:rsidRPr="00D04132" w14:paraId="3DF83134" w14:textId="77777777" w:rsidTr="00F91AB2">
        <w:tblPrEx>
          <w:tblLook w:val="04A0" w:firstRow="1" w:lastRow="0" w:firstColumn="1" w:lastColumn="0" w:noHBand="0" w:noVBand="1"/>
        </w:tblPrEx>
        <w:tc>
          <w:tcPr>
            <w:tcW w:w="2740" w:type="dxa"/>
          </w:tcPr>
          <w:p w14:paraId="7873080C" w14:textId="014B7372" w:rsidR="00F40F53" w:rsidRPr="00AE6427" w:rsidRDefault="00F40F53" w:rsidP="00233E9A">
            <w:pPr>
              <w:pStyle w:val="Tabletext"/>
            </w:pPr>
            <w:r w:rsidRPr="00AE6427">
              <w:t>Rural and Regional Public Sector Residential Aged Care Revitalisation Stage</w:t>
            </w:r>
          </w:p>
        </w:tc>
        <w:tc>
          <w:tcPr>
            <w:tcW w:w="5386" w:type="dxa"/>
          </w:tcPr>
          <w:p w14:paraId="7008A08E" w14:textId="038C59B8" w:rsidR="00F40F53" w:rsidRPr="00233E9A" w:rsidRDefault="004166E9" w:rsidP="00233E9A">
            <w:pPr>
              <w:pStyle w:val="Tabletext"/>
            </w:pPr>
            <w:r w:rsidRPr="00233E9A">
              <w:t>Output funding to p</w:t>
            </w:r>
            <w:r w:rsidR="00976430" w:rsidRPr="00233E9A">
              <w:t xml:space="preserve">lan for </w:t>
            </w:r>
            <w:r w:rsidR="008C0A07" w:rsidRPr="00233E9A">
              <w:t xml:space="preserve">replacement of </w:t>
            </w:r>
            <w:r w:rsidR="00976430" w:rsidRPr="00233E9A">
              <w:t>two PSRACS in Bright and Heywood</w:t>
            </w:r>
          </w:p>
        </w:tc>
        <w:tc>
          <w:tcPr>
            <w:tcW w:w="1276" w:type="dxa"/>
          </w:tcPr>
          <w:p w14:paraId="16044C84" w14:textId="28927C2E" w:rsidR="00F40F53" w:rsidRPr="00233E9A" w:rsidRDefault="003640F3" w:rsidP="00233E9A">
            <w:pPr>
              <w:pStyle w:val="Tabletext"/>
              <w:jc w:val="right"/>
            </w:pPr>
            <w:r w:rsidRPr="00233E9A">
              <w:t xml:space="preserve">3.177 </w:t>
            </w:r>
          </w:p>
        </w:tc>
      </w:tr>
    </w:tbl>
    <w:p w14:paraId="57B35A06" w14:textId="069C16B3" w:rsidR="00741BB6" w:rsidRPr="00741BB6" w:rsidRDefault="00553DD4" w:rsidP="003C01AD">
      <w:pPr>
        <w:pStyle w:val="Tablecaption"/>
        <w:numPr>
          <w:ilvl w:val="0"/>
          <w:numId w:val="31"/>
        </w:numPr>
      </w:pPr>
      <w:bookmarkStart w:id="120" w:name="_Toc109894099"/>
      <w:bookmarkStart w:id="121" w:name="_Toc119500879"/>
      <w:r w:rsidRPr="00553DD4">
        <w:t xml:space="preserve">Funding for asset initiatives – </w:t>
      </w:r>
      <w:r>
        <w:t>mental health</w:t>
      </w:r>
      <w:bookmarkEnd w:id="120"/>
      <w:bookmarkEnd w:id="121"/>
    </w:p>
    <w:tbl>
      <w:tblPr>
        <w:tblStyle w:val="TableGrid1"/>
        <w:tblpPr w:leftFromText="180" w:rightFromText="180" w:vertAnchor="text" w:tblpY="1"/>
        <w:tblOverlap w:val="never"/>
        <w:tblW w:w="9351" w:type="dxa"/>
        <w:tblLayout w:type="fixed"/>
        <w:tblLook w:val="06A0" w:firstRow="1" w:lastRow="0" w:firstColumn="1" w:lastColumn="0" w:noHBand="1" w:noVBand="1"/>
      </w:tblPr>
      <w:tblGrid>
        <w:gridCol w:w="2444"/>
        <w:gridCol w:w="5773"/>
        <w:gridCol w:w="1134"/>
      </w:tblGrid>
      <w:tr w:rsidR="00AE6427" w:rsidRPr="00D04132" w14:paraId="452EF37E" w14:textId="77777777" w:rsidTr="00F91AB2">
        <w:trPr>
          <w:cnfStyle w:val="100000000000" w:firstRow="1" w:lastRow="0" w:firstColumn="0" w:lastColumn="0" w:oddVBand="0" w:evenVBand="0" w:oddHBand="0" w:evenHBand="0" w:firstRowFirstColumn="0" w:firstRowLastColumn="0" w:lastRowFirstColumn="0" w:lastRowLastColumn="0"/>
          <w:tblHeader/>
        </w:trPr>
        <w:tc>
          <w:tcPr>
            <w:tcW w:w="2444" w:type="dxa"/>
            <w:tcBorders>
              <w:right w:val="single" w:sz="4" w:space="0" w:color="FFFFFF" w:themeColor="background1"/>
            </w:tcBorders>
          </w:tcPr>
          <w:p w14:paraId="28319BDE" w14:textId="77777777" w:rsidR="000B27B9" w:rsidRPr="00714E16" w:rsidRDefault="000B27B9" w:rsidP="00714E16">
            <w:pPr>
              <w:pStyle w:val="Tablecolhead"/>
              <w:rPr>
                <w:color w:val="FFFFFF" w:themeColor="background1"/>
                <w:highlight w:val="yellow"/>
              </w:rPr>
            </w:pPr>
            <w:r w:rsidRPr="00714E16">
              <w:rPr>
                <w:color w:val="FFFFFF" w:themeColor="background1"/>
              </w:rPr>
              <w:t>Initiative</w:t>
            </w:r>
          </w:p>
        </w:tc>
        <w:tc>
          <w:tcPr>
            <w:tcW w:w="5773" w:type="dxa"/>
            <w:tcBorders>
              <w:left w:val="single" w:sz="4" w:space="0" w:color="FFFFFF" w:themeColor="background1"/>
              <w:right w:val="single" w:sz="4" w:space="0" w:color="FFFFFF" w:themeColor="background1"/>
            </w:tcBorders>
          </w:tcPr>
          <w:p w14:paraId="1235573D" w14:textId="77777777" w:rsidR="000B27B9" w:rsidRPr="00714E16" w:rsidRDefault="000B27B9" w:rsidP="00714E16">
            <w:pPr>
              <w:pStyle w:val="Tablecolhead"/>
              <w:rPr>
                <w:color w:val="FFFFFF" w:themeColor="background1"/>
                <w:highlight w:val="yellow"/>
              </w:rPr>
            </w:pPr>
            <w:r w:rsidRPr="00714E16">
              <w:rPr>
                <w:color w:val="FFFFFF" w:themeColor="background1"/>
              </w:rPr>
              <w:t>Description</w:t>
            </w:r>
          </w:p>
        </w:tc>
        <w:tc>
          <w:tcPr>
            <w:tcW w:w="1134" w:type="dxa"/>
            <w:tcBorders>
              <w:left w:val="single" w:sz="4" w:space="0" w:color="FFFFFF" w:themeColor="background1"/>
            </w:tcBorders>
          </w:tcPr>
          <w:p w14:paraId="23606C7E" w14:textId="77777777" w:rsidR="000B27B9" w:rsidRPr="00714E16" w:rsidRDefault="000B27B9" w:rsidP="00714E16">
            <w:pPr>
              <w:pStyle w:val="Tablecolhead"/>
              <w:rPr>
                <w:color w:val="FFFFFF" w:themeColor="background1"/>
                <w:highlight w:val="yellow"/>
              </w:rPr>
            </w:pPr>
            <w:r w:rsidRPr="00714E16">
              <w:rPr>
                <w:color w:val="FFFFFF" w:themeColor="background1"/>
              </w:rPr>
              <w:t>TEI ($ million)</w:t>
            </w:r>
          </w:p>
        </w:tc>
      </w:tr>
      <w:tr w:rsidR="006214A1" w:rsidRPr="00B03CA8" w14:paraId="79B689B9" w14:textId="77777777" w:rsidTr="00F91AB2">
        <w:tc>
          <w:tcPr>
            <w:tcW w:w="2444" w:type="dxa"/>
            <w:tcBorders>
              <w:top w:val="single" w:sz="4" w:space="0" w:color="auto"/>
              <w:left w:val="single" w:sz="4" w:space="0" w:color="auto"/>
              <w:bottom w:val="single" w:sz="4" w:space="0" w:color="auto"/>
              <w:right w:val="single" w:sz="4" w:space="0" w:color="auto"/>
            </w:tcBorders>
          </w:tcPr>
          <w:p w14:paraId="01C6D6C2" w14:textId="3B86048F" w:rsidR="00683A61" w:rsidRPr="00AE6427" w:rsidRDefault="00683A61" w:rsidP="00714E16">
            <w:pPr>
              <w:pStyle w:val="Tabletext"/>
            </w:pPr>
            <w:r w:rsidRPr="00B92F1E">
              <w:t>Additional acute mental health beds in regional Victoria</w:t>
            </w:r>
          </w:p>
        </w:tc>
        <w:tc>
          <w:tcPr>
            <w:tcW w:w="5773" w:type="dxa"/>
            <w:tcBorders>
              <w:top w:val="single" w:sz="4" w:space="0" w:color="auto"/>
              <w:left w:val="single" w:sz="4" w:space="0" w:color="auto"/>
              <w:bottom w:val="single" w:sz="4" w:space="0" w:color="auto"/>
              <w:right w:val="single" w:sz="4" w:space="0" w:color="auto"/>
            </w:tcBorders>
          </w:tcPr>
          <w:p w14:paraId="332E83D1" w14:textId="77777777" w:rsidR="00683A61" w:rsidRPr="00714E16" w:rsidRDefault="00683A61" w:rsidP="00714E16">
            <w:pPr>
              <w:pStyle w:val="Tabletext"/>
            </w:pPr>
            <w:r w:rsidRPr="00714E16">
              <w:t>Funding is provided to replace and expand the existing mental health facility to increase acute and community mental health services at Goulburn Valley Health in Shepparton. The development will enable improved models of care and will ensure the community has access to safe and high-quality mental health services.</w:t>
            </w:r>
          </w:p>
          <w:p w14:paraId="1A83B6C7" w14:textId="77777777" w:rsidR="00683A61" w:rsidRPr="00714E16" w:rsidRDefault="00683A61" w:rsidP="00714E16">
            <w:pPr>
              <w:pStyle w:val="Tabletext"/>
            </w:pPr>
            <w:r w:rsidRPr="00714E16">
              <w:t>Funding is also provided to undertake land acquisition and further detailed planning and design work to deliver additional acute mental health beds in the future at Northeast Health Wangaratta and the Ballarat Base Hospital.</w:t>
            </w:r>
          </w:p>
          <w:p w14:paraId="099AE397" w14:textId="5CA71982" w:rsidR="00683A61" w:rsidRPr="00B92F1E" w:rsidRDefault="00683A61" w:rsidP="00714E16">
            <w:pPr>
              <w:pStyle w:val="Tabletext"/>
            </w:pPr>
            <w:r w:rsidRPr="00B92F1E">
              <w:t xml:space="preserve">This initiative contributes to the </w:t>
            </w:r>
            <w:r w:rsidR="009A57D1" w:rsidRPr="00B92F1E">
              <w:t>g</w:t>
            </w:r>
            <w:r w:rsidRPr="00B92F1E">
              <w:t xml:space="preserve">overnment’s response to the Royal Commission into Victoria’s Mental Health System final report and the </w:t>
            </w:r>
            <w:r w:rsidR="009A57D1" w:rsidRPr="00B92F1E">
              <w:t xml:space="preserve">department’s </w:t>
            </w:r>
            <w:r w:rsidRPr="00B92F1E">
              <w:t>Mental Health Clinical Care output.</w:t>
            </w:r>
          </w:p>
        </w:tc>
        <w:tc>
          <w:tcPr>
            <w:tcW w:w="1134" w:type="dxa"/>
            <w:tcBorders>
              <w:top w:val="single" w:sz="4" w:space="0" w:color="auto"/>
              <w:left w:val="single" w:sz="4" w:space="0" w:color="auto"/>
              <w:bottom w:val="single" w:sz="4" w:space="0" w:color="auto"/>
              <w:right w:val="single" w:sz="4" w:space="0" w:color="auto"/>
            </w:tcBorders>
          </w:tcPr>
          <w:p w14:paraId="1619E017" w14:textId="664CEE8A" w:rsidR="00683A61" w:rsidRPr="00AE6427" w:rsidRDefault="00683A61" w:rsidP="00714E16">
            <w:pPr>
              <w:pStyle w:val="Tabletext"/>
              <w:jc w:val="right"/>
            </w:pPr>
            <w:r w:rsidRPr="00B92F1E">
              <w:t>195.834</w:t>
            </w:r>
          </w:p>
        </w:tc>
      </w:tr>
      <w:tr w:rsidR="006214A1" w:rsidRPr="00B03CA8" w14:paraId="4B08E8A0" w14:textId="77777777" w:rsidTr="00F91AB2">
        <w:tc>
          <w:tcPr>
            <w:tcW w:w="2444" w:type="dxa"/>
            <w:tcBorders>
              <w:top w:val="single" w:sz="4" w:space="0" w:color="auto"/>
              <w:left w:val="single" w:sz="4" w:space="0" w:color="auto"/>
              <w:bottom w:val="single" w:sz="4" w:space="0" w:color="auto"/>
              <w:right w:val="single" w:sz="4" w:space="0" w:color="auto"/>
            </w:tcBorders>
          </w:tcPr>
          <w:p w14:paraId="6ACE8753" w14:textId="3068052B" w:rsidR="00683A61" w:rsidRPr="00AE6427" w:rsidRDefault="00683A61" w:rsidP="00714E16">
            <w:pPr>
              <w:pStyle w:val="Tabletext"/>
            </w:pPr>
            <w:r w:rsidRPr="00B92F1E">
              <w:t xml:space="preserve">Improving safety in mental health intensive care areas </w:t>
            </w:r>
          </w:p>
        </w:tc>
        <w:tc>
          <w:tcPr>
            <w:tcW w:w="5773" w:type="dxa"/>
            <w:tcBorders>
              <w:top w:val="single" w:sz="4" w:space="0" w:color="auto"/>
              <w:left w:val="single" w:sz="4" w:space="0" w:color="auto"/>
              <w:bottom w:val="single" w:sz="4" w:space="0" w:color="auto"/>
              <w:right w:val="single" w:sz="4" w:space="0" w:color="auto"/>
            </w:tcBorders>
          </w:tcPr>
          <w:p w14:paraId="3F3C91AD" w14:textId="77777777" w:rsidR="00683A61" w:rsidRPr="00714E16" w:rsidRDefault="00683A61" w:rsidP="00714E16">
            <w:pPr>
              <w:pStyle w:val="Tabletext"/>
            </w:pPr>
            <w:r w:rsidRPr="00714E16">
              <w:t>Funding is provided for a program of works to improve the separation of vulnerable consumers, including gender-based separation, in the intensive care areas of mental health inpatient facilities.</w:t>
            </w:r>
          </w:p>
          <w:p w14:paraId="45614B1F" w14:textId="7F6FF54B" w:rsidR="00683A61" w:rsidRPr="00B92F1E" w:rsidRDefault="00683A61" w:rsidP="00714E16">
            <w:pPr>
              <w:pStyle w:val="Tabletext"/>
            </w:pPr>
            <w:r w:rsidRPr="00B92F1E">
              <w:t xml:space="preserve">This initiative contributes to the </w:t>
            </w:r>
            <w:r w:rsidR="009A57D1" w:rsidRPr="00B92F1E">
              <w:t>g</w:t>
            </w:r>
            <w:r w:rsidRPr="00B92F1E">
              <w:t xml:space="preserve">overnment’s response to the Royal Commission into Victoria’s Mental Health System final report and the </w:t>
            </w:r>
            <w:r w:rsidR="009A57D1" w:rsidRPr="00B92F1E">
              <w:t xml:space="preserve">department’s </w:t>
            </w:r>
            <w:r w:rsidRPr="00B92F1E">
              <w:t>Mental Health Clinical Care output.</w:t>
            </w:r>
          </w:p>
        </w:tc>
        <w:tc>
          <w:tcPr>
            <w:tcW w:w="1134" w:type="dxa"/>
            <w:tcBorders>
              <w:top w:val="single" w:sz="4" w:space="0" w:color="auto"/>
              <w:left w:val="single" w:sz="4" w:space="0" w:color="auto"/>
              <w:bottom w:val="single" w:sz="4" w:space="0" w:color="auto"/>
              <w:right w:val="single" w:sz="4" w:space="0" w:color="auto"/>
            </w:tcBorders>
          </w:tcPr>
          <w:p w14:paraId="408BB76F" w14:textId="5790DCF9" w:rsidR="00683A61" w:rsidRPr="00AE6427" w:rsidRDefault="00683A61" w:rsidP="00714E16">
            <w:pPr>
              <w:pStyle w:val="Tabletext"/>
              <w:jc w:val="right"/>
            </w:pPr>
            <w:r w:rsidRPr="00B92F1E">
              <w:t>61.138</w:t>
            </w:r>
          </w:p>
        </w:tc>
      </w:tr>
      <w:tr w:rsidR="004F2785" w:rsidRPr="00D04132" w14:paraId="356428AB" w14:textId="77777777" w:rsidTr="00983C73">
        <w:trPr>
          <w:tblHeader/>
        </w:trPr>
        <w:tc>
          <w:tcPr>
            <w:tcW w:w="2444" w:type="dxa"/>
            <w:tcBorders>
              <w:right w:val="single" w:sz="4" w:space="0" w:color="FFFFFF" w:themeColor="background1"/>
            </w:tcBorders>
            <w:shd w:val="clear" w:color="auto" w:fill="002060"/>
          </w:tcPr>
          <w:p w14:paraId="3BAD86E7" w14:textId="77777777" w:rsidR="004F2785" w:rsidRPr="00714E16" w:rsidRDefault="004F2785" w:rsidP="004F2785">
            <w:pPr>
              <w:pStyle w:val="Tablecolhead"/>
              <w:rPr>
                <w:color w:val="FFFFFF" w:themeColor="background1"/>
                <w:highlight w:val="yellow"/>
              </w:rPr>
            </w:pPr>
            <w:r w:rsidRPr="00714E16">
              <w:rPr>
                <w:color w:val="FFFFFF" w:themeColor="background1"/>
              </w:rPr>
              <w:lastRenderedPageBreak/>
              <w:t>Initiative</w:t>
            </w:r>
          </w:p>
        </w:tc>
        <w:tc>
          <w:tcPr>
            <w:tcW w:w="5773" w:type="dxa"/>
            <w:tcBorders>
              <w:left w:val="single" w:sz="4" w:space="0" w:color="FFFFFF" w:themeColor="background1"/>
              <w:right w:val="single" w:sz="4" w:space="0" w:color="FFFFFF" w:themeColor="background1"/>
            </w:tcBorders>
            <w:shd w:val="clear" w:color="auto" w:fill="002060"/>
          </w:tcPr>
          <w:p w14:paraId="0B1D3066" w14:textId="77777777" w:rsidR="004F2785" w:rsidRPr="00714E16" w:rsidRDefault="004F2785" w:rsidP="004F2785">
            <w:pPr>
              <w:pStyle w:val="Tablecolhead"/>
              <w:rPr>
                <w:color w:val="FFFFFF" w:themeColor="background1"/>
                <w:highlight w:val="yellow"/>
              </w:rPr>
            </w:pPr>
            <w:r w:rsidRPr="00714E16">
              <w:rPr>
                <w:color w:val="FFFFFF" w:themeColor="background1"/>
              </w:rPr>
              <w:t>Description</w:t>
            </w:r>
          </w:p>
        </w:tc>
        <w:tc>
          <w:tcPr>
            <w:tcW w:w="1134" w:type="dxa"/>
            <w:tcBorders>
              <w:left w:val="single" w:sz="4" w:space="0" w:color="FFFFFF" w:themeColor="background1"/>
            </w:tcBorders>
            <w:shd w:val="clear" w:color="auto" w:fill="002060"/>
          </w:tcPr>
          <w:p w14:paraId="79D682C8" w14:textId="77777777" w:rsidR="004F2785" w:rsidRPr="00714E16" w:rsidRDefault="004F2785" w:rsidP="004F2785">
            <w:pPr>
              <w:pStyle w:val="Tablecolhead"/>
              <w:rPr>
                <w:color w:val="FFFFFF" w:themeColor="background1"/>
                <w:highlight w:val="yellow"/>
              </w:rPr>
            </w:pPr>
            <w:r w:rsidRPr="00714E16">
              <w:rPr>
                <w:color w:val="FFFFFF" w:themeColor="background1"/>
              </w:rPr>
              <w:t>TEI ($ million)</w:t>
            </w:r>
          </w:p>
        </w:tc>
      </w:tr>
      <w:tr w:rsidR="006214A1" w:rsidRPr="00B03CA8" w14:paraId="3538EB1D" w14:textId="77777777" w:rsidTr="00F91AB2">
        <w:tc>
          <w:tcPr>
            <w:tcW w:w="2444" w:type="dxa"/>
            <w:tcBorders>
              <w:top w:val="single" w:sz="4" w:space="0" w:color="auto"/>
              <w:left w:val="single" w:sz="4" w:space="0" w:color="auto"/>
              <w:bottom w:val="single" w:sz="4" w:space="0" w:color="auto"/>
              <w:right w:val="single" w:sz="4" w:space="0" w:color="auto"/>
            </w:tcBorders>
          </w:tcPr>
          <w:p w14:paraId="2FD13105" w14:textId="44FB5BB0" w:rsidR="00683A61" w:rsidRPr="00AE6427" w:rsidRDefault="00683A61" w:rsidP="00714E16">
            <w:pPr>
              <w:pStyle w:val="Tabletext"/>
            </w:pPr>
            <w:r w:rsidRPr="00B92F1E">
              <w:t>Mental health and alcohol and other drugs emergency department hubs in regional Victoria</w:t>
            </w:r>
          </w:p>
        </w:tc>
        <w:tc>
          <w:tcPr>
            <w:tcW w:w="5773" w:type="dxa"/>
            <w:tcBorders>
              <w:top w:val="single" w:sz="4" w:space="0" w:color="auto"/>
              <w:left w:val="single" w:sz="4" w:space="0" w:color="auto"/>
              <w:bottom w:val="single" w:sz="4" w:space="0" w:color="auto"/>
              <w:right w:val="single" w:sz="4" w:space="0" w:color="auto"/>
            </w:tcBorders>
          </w:tcPr>
          <w:p w14:paraId="029E523F" w14:textId="77777777" w:rsidR="00683A61" w:rsidRPr="00714E16" w:rsidRDefault="00683A61" w:rsidP="00714E16">
            <w:pPr>
              <w:pStyle w:val="Tabletext"/>
            </w:pPr>
            <w:r w:rsidRPr="00714E16">
              <w:t>Funding is provided to construct a new emergency department mental health and alcohol and other drug crisis hub at the Latrobe Regional Hospital. Planning funding is provided for future hubs in Ballarat, Bendigo and Shepparton. The hub at Latrobe Regional Hospital will ensure specialist care is provided to people requiring urgent treatment for mental health, alcohol and drug issues and will also relieve pressure on the emergency department to treat other patients.</w:t>
            </w:r>
          </w:p>
          <w:p w14:paraId="7E3C1815" w14:textId="5B6C8A49" w:rsidR="00683A61" w:rsidRPr="00B92F1E" w:rsidRDefault="00683A61" w:rsidP="00714E16">
            <w:pPr>
              <w:pStyle w:val="Tabletext"/>
            </w:pPr>
            <w:r w:rsidRPr="00B92F1E">
              <w:t xml:space="preserve">This initiative contributes to the </w:t>
            </w:r>
            <w:r w:rsidR="009A57D1" w:rsidRPr="00B92F1E">
              <w:t>g</w:t>
            </w:r>
            <w:r w:rsidRPr="00B92F1E">
              <w:t xml:space="preserve">overnment’s response to the Royal Commission into Victoria’s Mental Health System final report and the </w:t>
            </w:r>
            <w:r w:rsidR="009A57D1" w:rsidRPr="00B92F1E">
              <w:t xml:space="preserve">department’s </w:t>
            </w:r>
            <w:r w:rsidRPr="00B92F1E">
              <w:t>Mental Health Clinical Care output.</w:t>
            </w:r>
          </w:p>
        </w:tc>
        <w:tc>
          <w:tcPr>
            <w:tcW w:w="1134" w:type="dxa"/>
            <w:tcBorders>
              <w:top w:val="single" w:sz="4" w:space="0" w:color="auto"/>
              <w:left w:val="single" w:sz="4" w:space="0" w:color="auto"/>
              <w:bottom w:val="single" w:sz="4" w:space="0" w:color="auto"/>
              <w:right w:val="single" w:sz="4" w:space="0" w:color="auto"/>
            </w:tcBorders>
          </w:tcPr>
          <w:p w14:paraId="6274C866" w14:textId="52BA2350" w:rsidR="00683A61" w:rsidRPr="00AE6427" w:rsidRDefault="00683A61" w:rsidP="00714E16">
            <w:pPr>
              <w:pStyle w:val="Tabletext"/>
              <w:jc w:val="right"/>
            </w:pPr>
            <w:r w:rsidRPr="00B92F1E">
              <w:t>6.500</w:t>
            </w:r>
          </w:p>
        </w:tc>
      </w:tr>
      <w:tr w:rsidR="006214A1" w:rsidRPr="00B03CA8" w14:paraId="178A66AF" w14:textId="77777777" w:rsidTr="00F91AB2">
        <w:tc>
          <w:tcPr>
            <w:tcW w:w="2444" w:type="dxa"/>
            <w:tcBorders>
              <w:top w:val="single" w:sz="4" w:space="0" w:color="auto"/>
              <w:left w:val="single" w:sz="4" w:space="0" w:color="auto"/>
              <w:bottom w:val="single" w:sz="4" w:space="0" w:color="auto"/>
              <w:right w:val="single" w:sz="4" w:space="0" w:color="auto"/>
            </w:tcBorders>
          </w:tcPr>
          <w:p w14:paraId="4CC4771E" w14:textId="54D30767" w:rsidR="00683A61" w:rsidRPr="00B92F1E" w:rsidDel="00683A61" w:rsidRDefault="00683A61" w:rsidP="00714E16">
            <w:pPr>
              <w:pStyle w:val="Tabletext"/>
            </w:pPr>
            <w:r w:rsidRPr="00B92F1E">
              <w:t>Mental health and alcohol and other drugs facility renewal fund 2022</w:t>
            </w:r>
            <w:r w:rsidR="00250720">
              <w:t>–</w:t>
            </w:r>
            <w:r w:rsidRPr="00B92F1E">
              <w:t>23</w:t>
            </w:r>
          </w:p>
        </w:tc>
        <w:tc>
          <w:tcPr>
            <w:tcW w:w="5773" w:type="dxa"/>
            <w:tcBorders>
              <w:top w:val="single" w:sz="4" w:space="0" w:color="auto"/>
              <w:left w:val="single" w:sz="4" w:space="0" w:color="auto"/>
              <w:bottom w:val="single" w:sz="4" w:space="0" w:color="auto"/>
              <w:right w:val="single" w:sz="4" w:space="0" w:color="auto"/>
            </w:tcBorders>
          </w:tcPr>
          <w:p w14:paraId="0A168BC1" w14:textId="77777777" w:rsidR="00683A61" w:rsidRPr="00714E16" w:rsidRDefault="00683A61" w:rsidP="00714E16">
            <w:pPr>
              <w:pStyle w:val="Tabletext"/>
            </w:pPr>
            <w:r w:rsidRPr="00714E16">
              <w:t>Additional funding is provided to the Mental Health and Alcohol and Other Drugs Facilities Renewal Fund to improve the quality and amenity of state-owned infrastructure that assists people with mental health, alcohol, and other drug issues. The works enable enhanced access and improved models of care through targeted improvements to ageing and poor-quality facilities, which will reduce risks for patients and staff.</w:t>
            </w:r>
          </w:p>
          <w:p w14:paraId="281AA07A" w14:textId="4608F9E8" w:rsidR="00683A61" w:rsidRPr="00B92F1E" w:rsidDel="00683A61" w:rsidRDefault="00683A61" w:rsidP="00714E16">
            <w:pPr>
              <w:pStyle w:val="Tabletext"/>
            </w:pPr>
            <w:r w:rsidRPr="00B92F1E">
              <w:t xml:space="preserve">This initiative contributes to the </w:t>
            </w:r>
            <w:r w:rsidR="00250720">
              <w:t>g</w:t>
            </w:r>
            <w:r w:rsidR="00250720" w:rsidRPr="00B92F1E">
              <w:t xml:space="preserve">overnment’s </w:t>
            </w:r>
            <w:r w:rsidRPr="00B92F1E">
              <w:t xml:space="preserve">response to the Royal Commission into Victoria’s Mental Health System final report and the </w:t>
            </w:r>
            <w:r w:rsidR="009A57D1" w:rsidRPr="00B92F1E">
              <w:t xml:space="preserve">department’s </w:t>
            </w:r>
            <w:r w:rsidRPr="00B92F1E">
              <w:t>Mental Health Community Support Services output.</w:t>
            </w:r>
          </w:p>
        </w:tc>
        <w:tc>
          <w:tcPr>
            <w:tcW w:w="1134" w:type="dxa"/>
            <w:tcBorders>
              <w:top w:val="single" w:sz="4" w:space="0" w:color="auto"/>
              <w:left w:val="single" w:sz="4" w:space="0" w:color="auto"/>
              <w:bottom w:val="single" w:sz="4" w:space="0" w:color="auto"/>
              <w:right w:val="single" w:sz="4" w:space="0" w:color="auto"/>
            </w:tcBorders>
          </w:tcPr>
          <w:p w14:paraId="208B3559" w14:textId="6C1FF92C" w:rsidR="00683A61" w:rsidRPr="00AE6427" w:rsidDel="00683A61" w:rsidRDefault="00683A61" w:rsidP="00714E16">
            <w:pPr>
              <w:pStyle w:val="Tabletext"/>
              <w:jc w:val="right"/>
            </w:pPr>
            <w:r w:rsidRPr="00B92F1E">
              <w:t>10.000</w:t>
            </w:r>
          </w:p>
        </w:tc>
      </w:tr>
      <w:tr w:rsidR="006214A1" w:rsidRPr="00B03CA8" w14:paraId="04EBE2AD" w14:textId="77777777" w:rsidTr="00F91AB2">
        <w:tc>
          <w:tcPr>
            <w:tcW w:w="2444" w:type="dxa"/>
            <w:tcBorders>
              <w:top w:val="single" w:sz="4" w:space="0" w:color="auto"/>
              <w:left w:val="single" w:sz="4" w:space="0" w:color="auto"/>
              <w:bottom w:val="single" w:sz="4" w:space="0" w:color="auto"/>
              <w:right w:val="single" w:sz="4" w:space="0" w:color="auto"/>
            </w:tcBorders>
          </w:tcPr>
          <w:p w14:paraId="476D9FF6" w14:textId="21A6FAFB" w:rsidR="00683A61" w:rsidRPr="00B92F1E" w:rsidDel="00683A61" w:rsidRDefault="00683A61" w:rsidP="00714E16">
            <w:pPr>
              <w:pStyle w:val="Tabletext"/>
            </w:pPr>
            <w:r w:rsidRPr="00B92F1E">
              <w:t>Mental health and alcohol and other drugs residential rehabilitation facility – Mildura</w:t>
            </w:r>
          </w:p>
        </w:tc>
        <w:tc>
          <w:tcPr>
            <w:tcW w:w="5773" w:type="dxa"/>
            <w:tcBorders>
              <w:top w:val="single" w:sz="4" w:space="0" w:color="auto"/>
              <w:left w:val="single" w:sz="4" w:space="0" w:color="auto"/>
              <w:bottom w:val="single" w:sz="4" w:space="0" w:color="auto"/>
              <w:right w:val="single" w:sz="4" w:space="0" w:color="auto"/>
            </w:tcBorders>
          </w:tcPr>
          <w:p w14:paraId="1DF73B8A" w14:textId="77777777" w:rsidR="00683A61" w:rsidRPr="00714E16" w:rsidRDefault="00683A61" w:rsidP="00714E16">
            <w:pPr>
              <w:pStyle w:val="Tabletext"/>
            </w:pPr>
            <w:r w:rsidRPr="00714E16">
              <w:t>Funding is provided to construct a 30-bed alcohol and other drugs residential rehabilitation facility including a withdrawal unit in Mildura servicing the Loddon Mallee region. This will reduce wait times and improve treatment outcomes for clients.</w:t>
            </w:r>
          </w:p>
          <w:p w14:paraId="539E73E9" w14:textId="01E66339" w:rsidR="00683A61" w:rsidRPr="00B92F1E" w:rsidDel="00683A61" w:rsidRDefault="00683A61" w:rsidP="00714E16">
            <w:pPr>
              <w:pStyle w:val="Tabletext"/>
            </w:pPr>
            <w:r w:rsidRPr="00B92F1E">
              <w:t xml:space="preserve">This initiative contributes to the </w:t>
            </w:r>
            <w:r w:rsidR="00FB3F73" w:rsidRPr="00B92F1E">
              <w:t xml:space="preserve">department’s </w:t>
            </w:r>
            <w:r w:rsidRPr="00B92F1E">
              <w:t>Drug Treatment and Rehabilitation output.</w:t>
            </w:r>
          </w:p>
        </w:tc>
        <w:tc>
          <w:tcPr>
            <w:tcW w:w="1134" w:type="dxa"/>
            <w:tcBorders>
              <w:top w:val="single" w:sz="4" w:space="0" w:color="auto"/>
              <w:left w:val="single" w:sz="4" w:space="0" w:color="auto"/>
              <w:bottom w:val="single" w:sz="4" w:space="0" w:color="auto"/>
              <w:right w:val="single" w:sz="4" w:space="0" w:color="auto"/>
            </w:tcBorders>
          </w:tcPr>
          <w:p w14:paraId="00D19FCB" w14:textId="7DDDDC43" w:rsidR="00683A61" w:rsidRPr="00AE6427" w:rsidDel="00683A61" w:rsidRDefault="00683A61" w:rsidP="00714E16">
            <w:pPr>
              <w:pStyle w:val="Tabletext"/>
              <w:jc w:val="right"/>
            </w:pPr>
            <w:r w:rsidRPr="00B92F1E">
              <w:t>36.000</w:t>
            </w:r>
          </w:p>
        </w:tc>
      </w:tr>
      <w:tr w:rsidR="006214A1" w:rsidRPr="00B03CA8" w14:paraId="011AC7C6" w14:textId="77777777" w:rsidTr="00F91AB2">
        <w:tc>
          <w:tcPr>
            <w:tcW w:w="2444" w:type="dxa"/>
            <w:tcBorders>
              <w:top w:val="single" w:sz="4" w:space="0" w:color="auto"/>
              <w:left w:val="single" w:sz="4" w:space="0" w:color="auto"/>
              <w:bottom w:val="single" w:sz="4" w:space="0" w:color="auto"/>
              <w:right w:val="single" w:sz="4" w:space="0" w:color="auto"/>
            </w:tcBorders>
          </w:tcPr>
          <w:p w14:paraId="08A6F802" w14:textId="4357F438" w:rsidR="00683A61" w:rsidRPr="00B92F1E" w:rsidDel="00683A61" w:rsidRDefault="00683A61" w:rsidP="00714E16">
            <w:pPr>
              <w:pStyle w:val="Tabletext"/>
            </w:pPr>
            <w:r w:rsidRPr="00B92F1E">
              <w:t>Redevelopment of Thomas Embling Hospital – Stage 2</w:t>
            </w:r>
          </w:p>
        </w:tc>
        <w:tc>
          <w:tcPr>
            <w:tcW w:w="5773" w:type="dxa"/>
            <w:tcBorders>
              <w:top w:val="single" w:sz="4" w:space="0" w:color="auto"/>
              <w:left w:val="single" w:sz="4" w:space="0" w:color="auto"/>
              <w:bottom w:val="single" w:sz="4" w:space="0" w:color="auto"/>
              <w:right w:val="single" w:sz="4" w:space="0" w:color="auto"/>
            </w:tcBorders>
          </w:tcPr>
          <w:p w14:paraId="2040E82E" w14:textId="71DD507B" w:rsidR="00683A61" w:rsidRPr="00714E16" w:rsidRDefault="57BCE453" w:rsidP="00714E16">
            <w:pPr>
              <w:pStyle w:val="Tabletext"/>
            </w:pPr>
            <w:r w:rsidRPr="00714E16">
              <w:t xml:space="preserve">Funding is provided to deliver Stage 2 of the </w:t>
            </w:r>
            <w:r w:rsidR="00250720">
              <w:t>r</w:t>
            </w:r>
            <w:r w:rsidR="00250720" w:rsidRPr="00AE6427">
              <w:rPr>
                <w:szCs w:val="20"/>
              </w:rPr>
              <w:t>edevelopment</w:t>
            </w:r>
            <w:r w:rsidR="00250720" w:rsidRPr="00714E16">
              <w:t xml:space="preserve"> </w:t>
            </w:r>
            <w:r w:rsidRPr="00714E16">
              <w:t>of Thomas Embling Hospital</w:t>
            </w:r>
            <w:r w:rsidR="00250720">
              <w:t>. This</w:t>
            </w:r>
            <w:r w:rsidRPr="00714E16">
              <w:t xml:space="preserve"> will deliver important supporting infrastructure, including a new gatehouse and sally port, and bed refurbishments for patients.</w:t>
            </w:r>
          </w:p>
          <w:p w14:paraId="0885247F" w14:textId="7D5D75A6" w:rsidR="00683A61" w:rsidRPr="00B92F1E" w:rsidDel="00683A61" w:rsidRDefault="00683A61" w:rsidP="00714E16">
            <w:pPr>
              <w:pStyle w:val="Tabletext"/>
            </w:pPr>
            <w:r w:rsidRPr="00B92F1E">
              <w:t xml:space="preserve">This initiative contributes to the </w:t>
            </w:r>
            <w:r w:rsidR="00FB3F73" w:rsidRPr="00B92F1E">
              <w:t>g</w:t>
            </w:r>
            <w:r w:rsidRPr="00B92F1E">
              <w:t xml:space="preserve">overnment’s response to the Royal Commission into Victoria’s Mental Health System final report and the </w:t>
            </w:r>
            <w:r w:rsidR="00FB3F73" w:rsidRPr="00B92F1E">
              <w:t xml:space="preserve">department’s </w:t>
            </w:r>
            <w:r w:rsidRPr="00B92F1E">
              <w:t>Mental Health Clinical Care output.</w:t>
            </w:r>
          </w:p>
        </w:tc>
        <w:tc>
          <w:tcPr>
            <w:tcW w:w="1134" w:type="dxa"/>
            <w:tcBorders>
              <w:top w:val="single" w:sz="4" w:space="0" w:color="auto"/>
              <w:left w:val="single" w:sz="4" w:space="0" w:color="auto"/>
              <w:bottom w:val="single" w:sz="4" w:space="0" w:color="auto"/>
              <w:right w:val="single" w:sz="4" w:space="0" w:color="auto"/>
            </w:tcBorders>
          </w:tcPr>
          <w:p w14:paraId="76D5BF5A" w14:textId="31D4EE08" w:rsidR="00683A61" w:rsidRPr="00AE6427" w:rsidDel="00683A61" w:rsidRDefault="00683A61" w:rsidP="00714E16">
            <w:pPr>
              <w:pStyle w:val="Tabletext"/>
              <w:jc w:val="right"/>
            </w:pPr>
            <w:r w:rsidRPr="00B92F1E">
              <w:t>123.897</w:t>
            </w:r>
          </w:p>
        </w:tc>
      </w:tr>
      <w:tr w:rsidR="006214A1" w:rsidRPr="00B03CA8" w14:paraId="135B5305" w14:textId="77777777" w:rsidTr="00F91AB2">
        <w:tc>
          <w:tcPr>
            <w:tcW w:w="2444" w:type="dxa"/>
            <w:tcBorders>
              <w:top w:val="single" w:sz="4" w:space="0" w:color="auto"/>
              <w:left w:val="single" w:sz="4" w:space="0" w:color="auto"/>
              <w:bottom w:val="single" w:sz="4" w:space="0" w:color="auto"/>
              <w:right w:val="single" w:sz="4" w:space="0" w:color="auto"/>
            </w:tcBorders>
          </w:tcPr>
          <w:p w14:paraId="05D2BAF2" w14:textId="50BC6ED0" w:rsidR="00683A61" w:rsidRPr="00B92F1E" w:rsidDel="00683A61" w:rsidRDefault="00683A61" w:rsidP="00714E16">
            <w:pPr>
              <w:pStyle w:val="Tabletext"/>
            </w:pPr>
            <w:r w:rsidRPr="00B92F1E">
              <w:t>Victorian Collaborative Centre for Mental Health and Wellbeing</w:t>
            </w:r>
          </w:p>
        </w:tc>
        <w:tc>
          <w:tcPr>
            <w:tcW w:w="5773" w:type="dxa"/>
            <w:tcBorders>
              <w:top w:val="single" w:sz="4" w:space="0" w:color="auto"/>
              <w:left w:val="single" w:sz="4" w:space="0" w:color="auto"/>
              <w:bottom w:val="single" w:sz="4" w:space="0" w:color="auto"/>
              <w:right w:val="single" w:sz="4" w:space="0" w:color="auto"/>
            </w:tcBorders>
          </w:tcPr>
          <w:p w14:paraId="67F40D75" w14:textId="77777777" w:rsidR="00683A61" w:rsidRPr="00714E16" w:rsidRDefault="00683A61" w:rsidP="00714E16">
            <w:pPr>
              <w:pStyle w:val="Tabletext"/>
            </w:pPr>
            <w:r w:rsidRPr="00714E16">
              <w:t>Funding is provided to progress service and capital planning to establish the Victorian Collaborative Centre for Mental Health and Wellbeing.</w:t>
            </w:r>
          </w:p>
          <w:p w14:paraId="005A8799" w14:textId="0F50322E" w:rsidR="00683A61" w:rsidRPr="00B92F1E" w:rsidDel="00683A61" w:rsidRDefault="00683A61" w:rsidP="00714E16">
            <w:pPr>
              <w:pStyle w:val="Tabletext"/>
            </w:pPr>
            <w:r w:rsidRPr="00B92F1E">
              <w:t xml:space="preserve">This initiative contributes to the Government’s response to the Royal Commission into Victoria’s Mental Health System interim and final reports and the </w:t>
            </w:r>
            <w:r w:rsidR="00FB3F73" w:rsidRPr="00B92F1E">
              <w:t xml:space="preserve">department’s </w:t>
            </w:r>
            <w:r w:rsidRPr="00B92F1E">
              <w:t>Mental Health Community Support Services output.</w:t>
            </w:r>
          </w:p>
        </w:tc>
        <w:tc>
          <w:tcPr>
            <w:tcW w:w="1134" w:type="dxa"/>
            <w:tcBorders>
              <w:top w:val="single" w:sz="4" w:space="0" w:color="auto"/>
              <w:left w:val="single" w:sz="4" w:space="0" w:color="auto"/>
              <w:bottom w:val="single" w:sz="4" w:space="0" w:color="auto"/>
              <w:right w:val="single" w:sz="4" w:space="0" w:color="auto"/>
            </w:tcBorders>
          </w:tcPr>
          <w:p w14:paraId="2C10961B" w14:textId="7A22AB64" w:rsidR="00683A61" w:rsidRPr="00AE6427" w:rsidDel="00683A61" w:rsidRDefault="00683A61" w:rsidP="00714E16">
            <w:pPr>
              <w:pStyle w:val="Tabletext"/>
              <w:jc w:val="right"/>
            </w:pPr>
            <w:r w:rsidRPr="00B92F1E">
              <w:t>5.000</w:t>
            </w:r>
          </w:p>
        </w:tc>
      </w:tr>
    </w:tbl>
    <w:p w14:paraId="2135820D" w14:textId="02BFAE08" w:rsidR="000B27B9" w:rsidRDefault="000B27B9" w:rsidP="000B27B9">
      <w:pPr>
        <w:pStyle w:val="Heading2"/>
        <w:spacing w:after="440" w:line="440" w:lineRule="atLeast"/>
      </w:pPr>
      <w:bookmarkStart w:id="122" w:name="_Toc418694930"/>
      <w:bookmarkStart w:id="123" w:name="_Toc6215578"/>
      <w:bookmarkStart w:id="124" w:name="_Toc10199651"/>
      <w:bookmarkStart w:id="125" w:name="_Toc52892551"/>
      <w:bookmarkStart w:id="126" w:name="_Toc100263270"/>
      <w:bookmarkStart w:id="127" w:name="_Toc127191918"/>
      <w:bookmarkEnd w:id="107"/>
      <w:bookmarkEnd w:id="119"/>
      <w:r>
        <w:lastRenderedPageBreak/>
        <w:t>National programs</w:t>
      </w:r>
      <w:bookmarkEnd w:id="122"/>
      <w:bookmarkEnd w:id="123"/>
      <w:bookmarkEnd w:id="124"/>
      <w:bookmarkEnd w:id="125"/>
      <w:bookmarkEnd w:id="126"/>
      <w:bookmarkEnd w:id="127"/>
    </w:p>
    <w:p w14:paraId="1CCAE885" w14:textId="549E7B63" w:rsidR="000B27B9" w:rsidRDefault="000B27B9" w:rsidP="009375E0">
      <w:pPr>
        <w:pStyle w:val="Heading3"/>
        <w:spacing w:before="240"/>
      </w:pPr>
      <w:bookmarkStart w:id="128" w:name="_Toc418694932"/>
      <w:bookmarkStart w:id="129" w:name="_Toc6215580"/>
      <w:bookmarkStart w:id="130" w:name="_Toc10199653"/>
      <w:bookmarkStart w:id="131" w:name="_Toc52892552"/>
      <w:bookmarkStart w:id="132" w:name="_Toc100263271"/>
      <w:bookmarkStart w:id="133" w:name="_Toc127191919"/>
      <w:r>
        <w:t>Transition Care Program</w:t>
      </w:r>
      <w:bookmarkEnd w:id="128"/>
      <w:bookmarkEnd w:id="129"/>
      <w:bookmarkEnd w:id="130"/>
      <w:bookmarkEnd w:id="131"/>
      <w:bookmarkEnd w:id="132"/>
      <w:bookmarkEnd w:id="133"/>
    </w:p>
    <w:p w14:paraId="2F46E7D8" w14:textId="34D4A432" w:rsidR="000B27B9" w:rsidRDefault="000B27B9" w:rsidP="00B92CD4">
      <w:pPr>
        <w:pStyle w:val="Body"/>
      </w:pPr>
      <w:r>
        <w:t xml:space="preserve">The Transition Care Program is jointly funded by the Commonwealth, </w:t>
      </w:r>
      <w:r w:rsidR="18DB1CAC">
        <w:t>s</w:t>
      </w:r>
      <w:r w:rsidR="00FE36AA">
        <w:t>tate</w:t>
      </w:r>
      <w:r>
        <w:t xml:space="preserve"> and </w:t>
      </w:r>
      <w:r w:rsidR="648D78E3">
        <w:t>t</w:t>
      </w:r>
      <w:r w:rsidR="18DB1CAC">
        <w:t>erritory</w:t>
      </w:r>
      <w:r>
        <w:t xml:space="preserve"> governments through joint per diem contributions. The flexible care places used in the program are legislated by the </w:t>
      </w:r>
      <w:r w:rsidRPr="003A6919">
        <w:rPr>
          <w:i/>
        </w:rPr>
        <w:t>Aged Care Act 1997</w:t>
      </w:r>
      <w:r>
        <w:t xml:space="preserve"> and the Aged Care Principles made under th</w:t>
      </w:r>
      <w:r w:rsidR="00B70458">
        <w:t>at</w:t>
      </w:r>
      <w:r>
        <w:t xml:space="preserve"> Act. The </w:t>
      </w:r>
      <w:r w:rsidRPr="003A6919">
        <w:rPr>
          <w:i/>
        </w:rPr>
        <w:t xml:space="preserve">Transition Care Program </w:t>
      </w:r>
      <w:r w:rsidR="00250720">
        <w:rPr>
          <w:i/>
        </w:rPr>
        <w:t>g</w:t>
      </w:r>
      <w:r w:rsidRPr="003A6919">
        <w:rPr>
          <w:i/>
        </w:rPr>
        <w:t>uidelines</w:t>
      </w:r>
      <w:r>
        <w:t xml:space="preserve"> </w:t>
      </w:r>
      <w:r w:rsidRPr="614CCFA5">
        <w:rPr>
          <w:i/>
          <w:iCs/>
        </w:rPr>
        <w:t>20</w:t>
      </w:r>
      <w:r w:rsidR="00670A79" w:rsidRPr="614CCFA5">
        <w:rPr>
          <w:i/>
          <w:iCs/>
        </w:rPr>
        <w:t>22</w:t>
      </w:r>
      <w:r>
        <w:t xml:space="preserve"> govern the program.</w:t>
      </w:r>
    </w:p>
    <w:p w14:paraId="4E3925C8" w14:textId="3F7E824D" w:rsidR="000B27B9" w:rsidRDefault="000B27B9" w:rsidP="00B92CD4">
      <w:pPr>
        <w:pStyle w:val="Body"/>
      </w:pPr>
      <w:r>
        <w:t xml:space="preserve">Commonwealth Government subsidies are provided directly to health services by Services </w:t>
      </w:r>
      <w:r w:rsidR="000C1AC8">
        <w:t>Australia</w:t>
      </w:r>
      <w:r>
        <w:t xml:space="preserve"> (Medicare)</w:t>
      </w:r>
      <w:r w:rsidR="00250720">
        <w:t>.</w:t>
      </w:r>
      <w:r>
        <w:t xml:space="preserve"> </w:t>
      </w:r>
      <w:r w:rsidR="00250720">
        <w:t xml:space="preserve">These </w:t>
      </w:r>
      <w:r>
        <w:t>are paid on a monthly advance and acquittal basis for occupied places. Health services are required to submit a monthly claim form directly to Medicare for payment.</w:t>
      </w:r>
    </w:p>
    <w:p w14:paraId="016B3B1C" w14:textId="530B1443" w:rsidR="000B27B9" w:rsidRDefault="000B27B9" w:rsidP="00B92CD4">
      <w:pPr>
        <w:pStyle w:val="Body"/>
      </w:pPr>
      <w:r>
        <w:t>Commonwealth Government subsidies are paid for up to 12 weeks (with an option for a single extension of up to six</w:t>
      </w:r>
      <w:r w:rsidR="00BD0DB0">
        <w:t xml:space="preserve"> </w:t>
      </w:r>
      <w:r>
        <w:t>weeks where appropriate and with prior approval from the Aged Care Assessment Service (ACAS)) for each client, up to the maximum number of approved Transition Care Program places at each health service.</w:t>
      </w:r>
    </w:p>
    <w:p w14:paraId="09C73F4C" w14:textId="5E42A6F5" w:rsidR="000B27B9" w:rsidRDefault="000B27B9" w:rsidP="00B92CD4">
      <w:pPr>
        <w:pStyle w:val="Body"/>
      </w:pPr>
      <w:r>
        <w:t xml:space="preserve">The department no longer provides financial support to health services that support clients beyond their maximum permitted stay on the program (that is, 18 weeks where a </w:t>
      </w:r>
      <w:r w:rsidR="007F4B26">
        <w:t>six-week</w:t>
      </w:r>
      <w:r>
        <w:t xml:space="preserve"> extension has been approved by ACAS). </w:t>
      </w:r>
      <w:r w:rsidR="00250720">
        <w:t>A</w:t>
      </w:r>
      <w:r>
        <w:t xml:space="preserve">ny potential discharge challenges </w:t>
      </w:r>
      <w:r w:rsidR="00250720">
        <w:t xml:space="preserve">should be </w:t>
      </w:r>
      <w:r>
        <w:t>made known prior to this time</w:t>
      </w:r>
      <w:r w:rsidR="00250720">
        <w:t>.</w:t>
      </w:r>
      <w:r>
        <w:t xml:space="preserve"> </w:t>
      </w:r>
      <w:r w:rsidR="00250720">
        <w:t xml:space="preserve">These should be </w:t>
      </w:r>
      <w:r>
        <w:t>worked through to achieve a safe discharge for the client.</w:t>
      </w:r>
    </w:p>
    <w:p w14:paraId="3BD3FAD6" w14:textId="3153D320" w:rsidR="000B27B9" w:rsidRDefault="000B27B9" w:rsidP="00B92CD4">
      <w:pPr>
        <w:pStyle w:val="Body"/>
      </w:pPr>
      <w:r>
        <w:t xml:space="preserve">Daily care fees for Transition Care Program recipients are determined by the Commonwealth under the </w:t>
      </w:r>
      <w:r w:rsidRPr="00F91AB2">
        <w:rPr>
          <w:i/>
        </w:rPr>
        <w:t>Aged Care Act</w:t>
      </w:r>
      <w:r w:rsidR="295652F3" w:rsidRPr="00D6527A">
        <w:rPr>
          <w:i/>
        </w:rPr>
        <w:t xml:space="preserve"> 1997</w:t>
      </w:r>
      <w:r>
        <w:t>. Maximum care fee charges must not exceed 85</w:t>
      </w:r>
      <w:r w:rsidR="00887E93">
        <w:t>%</w:t>
      </w:r>
      <w:r>
        <w:t xml:space="preserve"> of the basic single age pension for care delivered in a bed-based setting and 17.5</w:t>
      </w:r>
      <w:r w:rsidR="00887E93">
        <w:t>%</w:t>
      </w:r>
      <w:r>
        <w:t xml:space="preserve"> of the basic single age pension for care delivered in a home-based setting. Such fees are adjusted twice yearly (March and September) in line with the consumer price index, which also affects the age pension payment.</w:t>
      </w:r>
    </w:p>
    <w:p w14:paraId="4E4AB9DF" w14:textId="6B1C093C" w:rsidR="000B27B9" w:rsidRDefault="000B27B9" w:rsidP="00B92CD4">
      <w:pPr>
        <w:pStyle w:val="Body"/>
      </w:pPr>
      <w:r>
        <w:t xml:space="preserve">The </w:t>
      </w:r>
      <w:r w:rsidR="00250720">
        <w:t>state</w:t>
      </w:r>
      <w:r>
        <w:t>-funded component of the Transition Care Program is subject to recall for under</w:t>
      </w:r>
      <w:r w:rsidR="00250720">
        <w:t>-</w:t>
      </w:r>
      <w:r>
        <w:t>performance</w:t>
      </w:r>
      <w:r w:rsidR="00250720">
        <w:t>,</w:t>
      </w:r>
      <w:r>
        <w:t xml:space="preserve"> as outlined in the recall policy detailed in these guidelines.</w:t>
      </w:r>
    </w:p>
    <w:p w14:paraId="23C9852B" w14:textId="37B3F0C4" w:rsidR="000B27B9" w:rsidRDefault="000B27B9" w:rsidP="00B92CD4">
      <w:pPr>
        <w:pStyle w:val="Body"/>
      </w:pPr>
      <w:r>
        <w:t xml:space="preserve">The Commonwealth Government continues to implement its aged care reforms. All Transition Care Program referrals are received via the My Aged Care provider portal. </w:t>
      </w:r>
      <w:r w:rsidR="00250720">
        <w:t>P</w:t>
      </w:r>
      <w:r>
        <w:t xml:space="preserve">rogram staff </w:t>
      </w:r>
      <w:r w:rsidR="00250720">
        <w:t xml:space="preserve">must </w:t>
      </w:r>
      <w:r>
        <w:t>ensure that clients have current approvals to avoid loss of the Commonwealth subsidy component for episodes of care. Approvals can be verified with ACAS or online with Medicare.</w:t>
      </w:r>
    </w:p>
    <w:p w14:paraId="16DAE81C" w14:textId="59FCF6B5" w:rsidR="005C5A23" w:rsidRDefault="00591CE8" w:rsidP="005C5A23">
      <w:pPr>
        <w:pStyle w:val="Heading3"/>
        <w:spacing w:before="240"/>
      </w:pPr>
      <w:bookmarkStart w:id="134" w:name="_Toc100263272"/>
      <w:bookmarkStart w:id="135" w:name="_Toc127191920"/>
      <w:r w:rsidRPr="00591CE8">
        <w:t>National Bowel Cancer Screening Program</w:t>
      </w:r>
      <w:bookmarkEnd w:id="134"/>
      <w:bookmarkEnd w:id="135"/>
    </w:p>
    <w:p w14:paraId="4787D51C" w14:textId="615887EB" w:rsidR="002D58D7" w:rsidRPr="00AA2842" w:rsidRDefault="002D58D7" w:rsidP="00F91AB2">
      <w:pPr>
        <w:pStyle w:val="Body"/>
      </w:pPr>
      <w:r w:rsidRPr="00AE6427">
        <w:t xml:space="preserve">Victorian public hospitals providing colonoscopy are allocated a separate </w:t>
      </w:r>
      <w:r w:rsidR="00993802" w:rsidRPr="00A83A84">
        <w:t>National B</w:t>
      </w:r>
      <w:r w:rsidR="00CB63C1" w:rsidRPr="00A83A84">
        <w:t>owel Cancer Screeni</w:t>
      </w:r>
      <w:r w:rsidR="00C97C5F" w:rsidRPr="00AA2842">
        <w:t>n</w:t>
      </w:r>
      <w:r w:rsidR="00CB63C1" w:rsidRPr="00AA2842">
        <w:t>g Program (</w:t>
      </w:r>
      <w:r w:rsidRPr="00AA2842">
        <w:t>NBCSP</w:t>
      </w:r>
      <w:r w:rsidR="00CB63C1" w:rsidRPr="00AA2842">
        <w:t>)</w:t>
      </w:r>
      <w:r w:rsidRPr="00AA2842">
        <w:t xml:space="preserve"> </w:t>
      </w:r>
      <w:bookmarkStart w:id="136" w:name="_Hlk90384182"/>
      <w:r w:rsidRPr="00AA2842">
        <w:t>NWAU</w:t>
      </w:r>
      <w:bookmarkEnd w:id="136"/>
      <w:r w:rsidRPr="00AA2842">
        <w:t xml:space="preserve"> target. This funding is provided in addition to the funding provide</w:t>
      </w:r>
      <w:r w:rsidRPr="006214A1">
        <w:t>d for other activity and is paid according to actual activity. An NWAU target is aligned with prior</w:t>
      </w:r>
      <w:r w:rsidR="006B4DBF">
        <w:rPr>
          <w:rFonts w:cs="Arial"/>
          <w:szCs w:val="21"/>
        </w:rPr>
        <w:t>-</w:t>
      </w:r>
      <w:r w:rsidRPr="00AE6427">
        <w:t>year activity and growth resulting from the NBCSP. A prior</w:t>
      </w:r>
      <w:r w:rsidR="00250720">
        <w:rPr>
          <w:rFonts w:cs="Arial"/>
          <w:szCs w:val="21"/>
        </w:rPr>
        <w:t>-</w:t>
      </w:r>
      <w:r w:rsidRPr="00AE6427">
        <w:t>year adjustment process will reconcile NBCSP activity with targets. Variation in activity again</w:t>
      </w:r>
      <w:r w:rsidRPr="00A83A84">
        <w:t xml:space="preserve">st the NBSCP NWAU target will be recalled or paid at the full NWAU rate. </w:t>
      </w:r>
    </w:p>
    <w:p w14:paraId="41077195" w14:textId="77777777" w:rsidR="002D58D7" w:rsidRPr="00F91AB2" w:rsidRDefault="002D58D7" w:rsidP="00F91AB2">
      <w:pPr>
        <w:pStyle w:val="Body"/>
      </w:pPr>
      <w:r w:rsidRPr="00AA2842">
        <w:t>To be admitted for a colonoscopy under the NBCSP, with or without gastroscopy, a patient must have been referred for the procedure due to a positive faecal occult blood test as a res</w:t>
      </w:r>
      <w:r w:rsidRPr="006214A1">
        <w:t>ult of participating in the NBCSP. Other patients admitted for a procedure to investigate a positive faecal occult blood test, for surveillance or for follow-up colonoscopies, are not eligible for admission under the NBCSP funding arrangement. Patients adm</w:t>
      </w:r>
      <w:r w:rsidRPr="00F91AB2">
        <w:t>itted for an NBCSP colonoscopy may elect to be public or private according to the usual election procedure. NWAU for the episode will be calculated accordingly.</w:t>
      </w:r>
    </w:p>
    <w:p w14:paraId="559D35DF" w14:textId="1C632906" w:rsidR="002D58D7" w:rsidRPr="00AA2842" w:rsidRDefault="002D58D7" w:rsidP="00F91AB2">
      <w:pPr>
        <w:pStyle w:val="Body"/>
      </w:pPr>
      <w:r w:rsidRPr="00F91AB2">
        <w:t xml:space="preserve">NBCSP participants must be coded under funding arrangement Code 8 and will be funded under the NWAU funding model. It is expected that most episodes will be grouped to Australian Refined </w:t>
      </w:r>
      <w:r w:rsidRPr="00F91AB2">
        <w:lastRenderedPageBreak/>
        <w:t>Diagnosis</w:t>
      </w:r>
      <w:r w:rsidR="00240DAF">
        <w:t>-</w:t>
      </w:r>
      <w:r w:rsidRPr="00AE6427">
        <w:t>Related Groups</w:t>
      </w:r>
      <w:r w:rsidRPr="00A83A84" w:rsidDel="00587D16">
        <w:t xml:space="preserve"> </w:t>
      </w:r>
      <w:r w:rsidRPr="00A83A84">
        <w:t>G48B colonoscopy, same-day or G46B complex endoscopy, same-day. A small number of episodes may group to other diagnosis-related groups whe</w:t>
      </w:r>
      <w:r w:rsidRPr="00AA2842">
        <w:t>re the patient has required an overnight stay or other circumstances have arisen.</w:t>
      </w:r>
    </w:p>
    <w:p w14:paraId="0B289690" w14:textId="63DD6937" w:rsidR="002D58D7" w:rsidRPr="00F91AB2" w:rsidRDefault="002D58D7" w:rsidP="00F91AB2">
      <w:pPr>
        <w:pStyle w:val="Body"/>
      </w:pPr>
      <w:r w:rsidRPr="006214A1">
        <w:t>NBCSP activity will be paid against the health service’s NBCSP NWAU target based on actual throughput. Reconciliation for under, or over, activity will be adjusted at the end</w:t>
      </w:r>
      <w:r w:rsidRPr="00F91AB2">
        <w:t xml:space="preserve"> of the financial year.</w:t>
      </w:r>
    </w:p>
    <w:p w14:paraId="4CDEB537" w14:textId="62C28C6F" w:rsidR="005C5A23" w:rsidRPr="00F91AB2" w:rsidRDefault="007C4344" w:rsidP="00F91AB2">
      <w:pPr>
        <w:pStyle w:val="Body"/>
      </w:pPr>
      <w:r w:rsidRPr="00F91AB2">
        <w:t>The department may ask hospitals to confirm episodes with unusual diagnosis-related groups to ensure correct coding or that the patient was a participant in the NBCSP</w:t>
      </w:r>
      <w:r w:rsidR="005C5A23" w:rsidRPr="00F91AB2">
        <w:t>.</w:t>
      </w:r>
    </w:p>
    <w:p w14:paraId="05067E58" w14:textId="005630D8" w:rsidR="000B27B9" w:rsidRDefault="000B27B9" w:rsidP="000B27B9">
      <w:pPr>
        <w:pStyle w:val="Heading2"/>
        <w:spacing w:after="440" w:line="440" w:lineRule="atLeast"/>
      </w:pPr>
      <w:bookmarkStart w:id="137" w:name="_Toc52892553"/>
      <w:bookmarkStart w:id="138" w:name="_Toc100263273"/>
      <w:bookmarkStart w:id="139" w:name="_Toc127191921"/>
      <w:r>
        <w:lastRenderedPageBreak/>
        <w:t xml:space="preserve">Pricing and </w:t>
      </w:r>
      <w:r w:rsidR="00C46A54">
        <w:t>F</w:t>
      </w:r>
      <w:r>
        <w:t>unding</w:t>
      </w:r>
      <w:bookmarkEnd w:id="137"/>
      <w:bookmarkEnd w:id="138"/>
      <w:bookmarkEnd w:id="139"/>
    </w:p>
    <w:p w14:paraId="6529A087" w14:textId="2D0989F2" w:rsidR="000B27B9" w:rsidRDefault="000B27B9" w:rsidP="009375E0">
      <w:pPr>
        <w:pStyle w:val="Heading3"/>
        <w:spacing w:before="240"/>
      </w:pPr>
      <w:bookmarkStart w:id="140" w:name="_Ref14203904"/>
      <w:bookmarkStart w:id="141" w:name="_Ref14203909"/>
      <w:bookmarkStart w:id="142" w:name="_Ref14203940"/>
      <w:bookmarkStart w:id="143" w:name="_Toc52892554"/>
      <w:bookmarkStart w:id="144" w:name="_Toc100263274"/>
      <w:bookmarkStart w:id="145" w:name="_Toc127191922"/>
      <w:r>
        <w:t xml:space="preserve">Pricing and </w:t>
      </w:r>
      <w:r w:rsidR="00212BC7">
        <w:t>F</w:t>
      </w:r>
      <w:r>
        <w:t xml:space="preserve">unding </w:t>
      </w:r>
      <w:r w:rsidR="00212BC7">
        <w:t>F</w:t>
      </w:r>
      <w:r>
        <w:t>ramework</w:t>
      </w:r>
      <w:bookmarkEnd w:id="140"/>
      <w:bookmarkEnd w:id="141"/>
      <w:bookmarkEnd w:id="142"/>
      <w:bookmarkEnd w:id="143"/>
      <w:bookmarkEnd w:id="144"/>
      <w:bookmarkEnd w:id="145"/>
    </w:p>
    <w:p w14:paraId="656C67A7" w14:textId="33F5414D" w:rsidR="00C04ECB" w:rsidRDefault="00C04ECB" w:rsidP="00B92CD4">
      <w:pPr>
        <w:pStyle w:val="Body"/>
      </w:pPr>
      <w:r w:rsidRPr="00DD1707">
        <w:t xml:space="preserve">Refer to the </w:t>
      </w:r>
      <w:hyperlink r:id="rId27" w:history="1">
        <w:r>
          <w:rPr>
            <w:rStyle w:val="Hyperlink"/>
          </w:rPr>
          <w:t>P</w:t>
        </w:r>
        <w:r w:rsidRPr="00E55A62">
          <w:rPr>
            <w:rStyle w:val="Hyperlink"/>
          </w:rPr>
          <w:t xml:space="preserve">ricing </w:t>
        </w:r>
        <w:r>
          <w:rPr>
            <w:rStyle w:val="Hyperlink"/>
          </w:rPr>
          <w:t xml:space="preserve">and funding </w:t>
        </w:r>
        <w:r w:rsidRPr="00E55A62">
          <w:rPr>
            <w:rStyle w:val="Hyperlink"/>
          </w:rPr>
          <w:t>framework</w:t>
        </w:r>
      </w:hyperlink>
      <w:r w:rsidRPr="00B21B31">
        <w:t xml:space="preserve"> &lt;</w:t>
      </w:r>
      <w:r w:rsidR="000A1BBC" w:rsidRPr="000A1BBC">
        <w:t>https://www.health.vic.gov.au/funding-performance-accountability/pricing-and-funding-framework</w:t>
      </w:r>
      <w:r w:rsidRPr="00DD1707">
        <w:t>&gt;.</w:t>
      </w:r>
    </w:p>
    <w:p w14:paraId="68F68864" w14:textId="62347B70" w:rsidR="000B27B9" w:rsidRDefault="000B27B9" w:rsidP="009375E0">
      <w:pPr>
        <w:pStyle w:val="Heading3"/>
        <w:spacing w:before="240"/>
      </w:pPr>
      <w:bookmarkStart w:id="146" w:name="_Toc52892555"/>
      <w:bookmarkStart w:id="147" w:name="_Toc100263275"/>
      <w:bookmarkStart w:id="148" w:name="_Toc127191923"/>
      <w:r>
        <w:t xml:space="preserve">Commonwealth </w:t>
      </w:r>
      <w:r w:rsidR="00C46A54">
        <w:t>F</w:t>
      </w:r>
      <w:r>
        <w:t>unding</w:t>
      </w:r>
      <w:bookmarkEnd w:id="146"/>
      <w:bookmarkEnd w:id="147"/>
      <w:bookmarkEnd w:id="148"/>
    </w:p>
    <w:p w14:paraId="54DB52B2" w14:textId="04B0A4AE" w:rsidR="000B27B9" w:rsidRDefault="000B27B9" w:rsidP="00C46A54">
      <w:pPr>
        <w:pStyle w:val="Heading4"/>
      </w:pPr>
      <w:r>
        <w:t>National Health Reform Agreement</w:t>
      </w:r>
    </w:p>
    <w:p w14:paraId="286BAF44" w14:textId="4CC7ECE2" w:rsidR="00467FA5" w:rsidRPr="00C016CA" w:rsidRDefault="00467FA5" w:rsidP="00467FA5">
      <w:r w:rsidRPr="00C016CA">
        <w:t xml:space="preserve">The National Health Reform Agreement (NHRA) was signed by all first ministers in 2011. The NHRA sets out the shared intention of the Commonwealth, </w:t>
      </w:r>
      <w:r w:rsidR="00250720" w:rsidRPr="00C016CA">
        <w:t xml:space="preserve">state and territory </w:t>
      </w:r>
      <w:r w:rsidRPr="00C016CA">
        <w:t>governments to improve health outcomes for all Australians, and the sustainability of the Australian health system in particular, through sustainable funding arrangements for public hospitals. </w:t>
      </w:r>
    </w:p>
    <w:p w14:paraId="462F98D2" w14:textId="77777777" w:rsidR="00467FA5" w:rsidRPr="00C016CA" w:rsidRDefault="00467FA5" w:rsidP="00467FA5">
      <w:r w:rsidRPr="00C016CA">
        <w:t>Since 2013–14, the Commonwealth Government has determined growth as calculated by the national funding model and provided funding contributions to Victorian hospitals through the terms of the NHRA. </w:t>
      </w:r>
    </w:p>
    <w:p w14:paraId="5433B4E7" w14:textId="2CD76C00" w:rsidR="00250720" w:rsidRDefault="00467FA5" w:rsidP="00467FA5">
      <w:r w:rsidRPr="00C016CA">
        <w:t>The NHRA outlines system-wide objectives and roles and responsibilities for</w:t>
      </w:r>
      <w:r w:rsidR="00250720">
        <w:t>:</w:t>
      </w:r>
    </w:p>
    <w:p w14:paraId="4947EE40" w14:textId="5F5703EE" w:rsidR="00250720" w:rsidRPr="00250720" w:rsidRDefault="00467FA5" w:rsidP="00AE6427">
      <w:pPr>
        <w:pStyle w:val="Bullet1"/>
      </w:pPr>
      <w:r w:rsidRPr="00250720">
        <w:t>sustainability of funding for public hospital services</w:t>
      </w:r>
    </w:p>
    <w:p w14:paraId="75EDC0A9" w14:textId="283EA9B0" w:rsidR="00250720" w:rsidRPr="00250720" w:rsidRDefault="00467FA5" w:rsidP="00AE6427">
      <w:pPr>
        <w:pStyle w:val="Bullet1"/>
      </w:pPr>
      <w:r w:rsidRPr="00250720">
        <w:t>transparency and performance</w:t>
      </w:r>
    </w:p>
    <w:p w14:paraId="44E1FC30" w14:textId="3BE6C057" w:rsidR="00250720" w:rsidRPr="00250720" w:rsidRDefault="00467FA5" w:rsidP="00AE6427">
      <w:pPr>
        <w:pStyle w:val="Bullet1"/>
      </w:pPr>
      <w:r w:rsidRPr="00250720">
        <w:t>local governance of Local Hospital Networks and Primary Health Networks</w:t>
      </w:r>
    </w:p>
    <w:p w14:paraId="0B1392B4" w14:textId="77777777" w:rsidR="00250720" w:rsidRPr="00250720" w:rsidRDefault="00467FA5" w:rsidP="00AE6427">
      <w:pPr>
        <w:pStyle w:val="Bullet1"/>
      </w:pPr>
      <w:r w:rsidRPr="00250720">
        <w:t xml:space="preserve">the interfaces between the health, disability, and aged care systems. </w:t>
      </w:r>
    </w:p>
    <w:p w14:paraId="2B069751" w14:textId="74A22287" w:rsidR="00467FA5" w:rsidRPr="00C016CA" w:rsidRDefault="00467FA5" w:rsidP="00F91AB2">
      <w:pPr>
        <w:pStyle w:val="Bodyafterbullets"/>
      </w:pPr>
      <w:r w:rsidRPr="00C016CA">
        <w:t xml:space="preserve">Health services are required to ensure </w:t>
      </w:r>
      <w:r w:rsidRPr="00250720">
        <w:t>their</w:t>
      </w:r>
      <w:r w:rsidRPr="00C016CA">
        <w:t xml:space="preserve"> operations comply with the business rules and requirements within the NHRA. </w:t>
      </w:r>
    </w:p>
    <w:p w14:paraId="36E7CEE6" w14:textId="61744814" w:rsidR="00467FA5" w:rsidRPr="00C016CA" w:rsidRDefault="00467FA5" w:rsidP="00F91AB2">
      <w:pPr>
        <w:pStyle w:val="Body"/>
      </w:pPr>
      <w:r w:rsidRPr="00C016CA">
        <w:t>The Addendum to the National Health Reform Agreement (2017 Addendum) was in effect from 1 July 2017 to 30 June 2020. The 2017 Addendum maintained the Commonwealth contribution rate to funding growth at 45</w:t>
      </w:r>
      <w:r w:rsidR="00887E93">
        <w:t>%</w:t>
      </w:r>
      <w:r w:rsidRPr="00C016CA">
        <w:t xml:space="preserve"> and introduced a 6.5</w:t>
      </w:r>
      <w:r w:rsidR="00887E93">
        <w:t>%</w:t>
      </w:r>
      <w:r w:rsidRPr="00C016CA">
        <w:t xml:space="preserve"> funding cap on Commonwealth funding. The 2017 Addendum also introduced reforms to decrease avoidable demand for public hospital services, including: </w:t>
      </w:r>
    </w:p>
    <w:p w14:paraId="75F92A8A" w14:textId="4410C676" w:rsidR="00467FA5" w:rsidRPr="00250720" w:rsidRDefault="00467FA5" w:rsidP="002B10A2">
      <w:pPr>
        <w:pStyle w:val="Bullet1"/>
      </w:pPr>
      <w:r w:rsidRPr="00250720">
        <w:t>incorporating quality and safety into hospital pricing and funding for sentinel events, hospital</w:t>
      </w:r>
      <w:r w:rsidR="00B34795">
        <w:t>-</w:t>
      </w:r>
      <w:r w:rsidRPr="00250720">
        <w:t>acquired complications and avoidable readmissions </w:t>
      </w:r>
    </w:p>
    <w:p w14:paraId="72E1D9EE" w14:textId="77777777" w:rsidR="00467FA5" w:rsidRPr="00250720" w:rsidRDefault="00467FA5" w:rsidP="002B10A2">
      <w:pPr>
        <w:pStyle w:val="Bullet1"/>
      </w:pPr>
      <w:r w:rsidRPr="00250720">
        <w:t>bilateral agreements on coordinated care for patients with chronic and complex disease and </w:t>
      </w:r>
    </w:p>
    <w:p w14:paraId="5D726B95" w14:textId="77777777" w:rsidR="00467FA5" w:rsidRPr="00250720" w:rsidRDefault="00467FA5" w:rsidP="002B10A2">
      <w:pPr>
        <w:pStyle w:val="Bullet1"/>
      </w:pPr>
      <w:r w:rsidRPr="00250720">
        <w:t>Health Care Homes and reforms to primary care to reduce potentially avoidable hospital admissions. </w:t>
      </w:r>
    </w:p>
    <w:p w14:paraId="0996112B" w14:textId="48FE5FB1" w:rsidR="00467FA5" w:rsidRPr="00C016CA" w:rsidRDefault="00467FA5" w:rsidP="002B10A2">
      <w:pPr>
        <w:pStyle w:val="Bodyafterbullets"/>
      </w:pPr>
      <w:r w:rsidRPr="00C016CA">
        <w:t>The most recent Addendum to the National Health Reform Agreement 2020–2025 is in effect from 1 July 2020 to 30 June 2025. This addendum updates and revises the 2011 NHRA and maintains the reforms and changes introduced in the 2017 Addendum. The addendum continues the 45</w:t>
      </w:r>
      <w:r w:rsidR="00887E93">
        <w:t>%</w:t>
      </w:r>
      <w:r w:rsidRPr="00C016CA">
        <w:t xml:space="preserve"> Commonwealth contribution rate to hospital services funding growth and the 6.5</w:t>
      </w:r>
      <w:r w:rsidR="00887E93">
        <w:t>%</w:t>
      </w:r>
      <w:r w:rsidRPr="00C016CA">
        <w:t xml:space="preserve"> funding cap. </w:t>
      </w:r>
    </w:p>
    <w:p w14:paraId="5D1D5086" w14:textId="77777777" w:rsidR="00467FA5" w:rsidRPr="00C016CA" w:rsidRDefault="00467FA5" w:rsidP="002B10A2">
      <w:pPr>
        <w:pStyle w:val="Body"/>
      </w:pPr>
      <w:r w:rsidRPr="00C016CA">
        <w:t xml:space="preserve">To guide further reform of the health system the addendum outlines shared action between the Commonwealth, State and Territory </w:t>
      </w:r>
      <w:r w:rsidRPr="00250720">
        <w:t>governments</w:t>
      </w:r>
      <w:r w:rsidRPr="00C016CA">
        <w:t xml:space="preserve"> on four strategic priorities, comprising: </w:t>
      </w:r>
    </w:p>
    <w:p w14:paraId="48A6FD78" w14:textId="0C16406D" w:rsidR="00467FA5" w:rsidRPr="00250720" w:rsidRDefault="004245C1" w:rsidP="002B10A2">
      <w:pPr>
        <w:pStyle w:val="Bullet1"/>
      </w:pPr>
      <w:r>
        <w:t>i</w:t>
      </w:r>
      <w:r w:rsidRPr="00250720">
        <w:t xml:space="preserve">mproving </w:t>
      </w:r>
      <w:r w:rsidR="00467FA5" w:rsidRPr="00250720">
        <w:t>efficiency and ensuring financial sustainability</w:t>
      </w:r>
    </w:p>
    <w:p w14:paraId="4956C7CC" w14:textId="71B24CA7" w:rsidR="00467FA5" w:rsidRPr="00250720" w:rsidRDefault="004245C1" w:rsidP="002B10A2">
      <w:pPr>
        <w:pStyle w:val="Bullet1"/>
      </w:pPr>
      <w:r>
        <w:t>d</w:t>
      </w:r>
      <w:r w:rsidRPr="00250720">
        <w:t xml:space="preserve">elivering </w:t>
      </w:r>
      <w:r w:rsidR="00467FA5" w:rsidRPr="00250720">
        <w:t>safe, high-quality care in the right place at the right time, including long-term reforms in nationally cohesive health technology assessment, paying for value and outcomes, and joint planning and funding at a local level</w:t>
      </w:r>
    </w:p>
    <w:p w14:paraId="213BC9D5" w14:textId="6ACEA1B5" w:rsidR="00467FA5" w:rsidRPr="00250720" w:rsidRDefault="004245C1" w:rsidP="002B10A2">
      <w:pPr>
        <w:pStyle w:val="Bullet1"/>
      </w:pPr>
      <w:r>
        <w:lastRenderedPageBreak/>
        <w:t>p</w:t>
      </w:r>
      <w:r w:rsidRPr="00250720">
        <w:t xml:space="preserve">rioritising </w:t>
      </w:r>
      <w:r w:rsidR="00467FA5" w:rsidRPr="00250720">
        <w:t>prevention and helping people manage their health across their lifetime, including long-term reforms in empowering people through health literacy, and prevention and wellbeing</w:t>
      </w:r>
    </w:p>
    <w:p w14:paraId="0DBAB95D" w14:textId="141E8A3A" w:rsidR="00467FA5" w:rsidRPr="00250720" w:rsidRDefault="004245C1" w:rsidP="002B10A2">
      <w:pPr>
        <w:pStyle w:val="Bullet1"/>
      </w:pPr>
      <w:r>
        <w:t>d</w:t>
      </w:r>
      <w:r w:rsidRPr="00250720">
        <w:t xml:space="preserve">riving </w:t>
      </w:r>
      <w:r w:rsidR="00467FA5" w:rsidRPr="00250720">
        <w:t>best practice and performance using data and research, including long-term reform in enhanced health data. </w:t>
      </w:r>
    </w:p>
    <w:p w14:paraId="4F65D51D" w14:textId="23C84C18" w:rsidR="00467FA5" w:rsidRDefault="00467FA5" w:rsidP="002B10A2">
      <w:pPr>
        <w:pStyle w:val="Bodyafterbullets"/>
      </w:pPr>
      <w:r w:rsidRPr="00C016CA">
        <w:t xml:space="preserve">The NHRA and the </w:t>
      </w:r>
      <w:r w:rsidRPr="00C016CA">
        <w:rPr>
          <w:i/>
          <w:iCs/>
        </w:rPr>
        <w:t xml:space="preserve">National Health Reform Act 2011 </w:t>
      </w:r>
      <w:r w:rsidRPr="002B10A2">
        <w:t>(Cth)</w:t>
      </w:r>
      <w:r w:rsidRPr="00C016CA">
        <w:t xml:space="preserve"> also </w:t>
      </w:r>
      <w:r w:rsidRPr="00250720">
        <w:t>details</w:t>
      </w:r>
      <w:r w:rsidRPr="00C016CA">
        <w:t xml:space="preserve"> the functions, roles and responsibilities of the national bodies who support the operation of the agreement. The national bodies are the: Independent </w:t>
      </w:r>
      <w:r w:rsidR="0013611D" w:rsidRPr="00C016CA">
        <w:t>H</w:t>
      </w:r>
      <w:r w:rsidR="0013611D">
        <w:t xml:space="preserve">ealth </w:t>
      </w:r>
      <w:r w:rsidR="006604E8">
        <w:t xml:space="preserve">and Aged Care </w:t>
      </w:r>
      <w:r w:rsidRPr="00C016CA">
        <w:t>Pricing Authority (IH</w:t>
      </w:r>
      <w:r w:rsidR="006604E8">
        <w:t>AC</w:t>
      </w:r>
      <w:r w:rsidRPr="00C016CA">
        <w:t>PA), Administrator of the National Health Funding Pool, Australian Commission on Safety and Quality in Health Care (ACSQHC), and Australian Institute of Health and Welfare (AIHW). </w:t>
      </w:r>
    </w:p>
    <w:p w14:paraId="385BB3D5" w14:textId="4CCBD945" w:rsidR="000B27B9" w:rsidRPr="006925D5" w:rsidRDefault="000B27B9" w:rsidP="000B27B9">
      <w:pPr>
        <w:pStyle w:val="Heading4"/>
      </w:pPr>
      <w:r w:rsidRPr="006925D5">
        <w:t xml:space="preserve">Commonwealth </w:t>
      </w:r>
      <w:r w:rsidR="00C46A54">
        <w:t>I</w:t>
      </w:r>
      <w:r w:rsidRPr="006925D5">
        <w:t xml:space="preserve">nvestment in </w:t>
      </w:r>
      <w:r w:rsidR="00C46A54">
        <w:t>P</w:t>
      </w:r>
      <w:r w:rsidRPr="006925D5">
        <w:t xml:space="preserve">ublic </w:t>
      </w:r>
      <w:r w:rsidR="00C46A54">
        <w:t>D</w:t>
      </w:r>
      <w:r w:rsidRPr="006925D5">
        <w:t xml:space="preserve">ental </w:t>
      </w:r>
      <w:r w:rsidR="00F93802">
        <w:t>S</w:t>
      </w:r>
      <w:r w:rsidRPr="006925D5">
        <w:t>ervices</w:t>
      </w:r>
    </w:p>
    <w:p w14:paraId="310EBE6F" w14:textId="4BAFC271" w:rsidR="000B27B9" w:rsidRDefault="0055246C" w:rsidP="00B92CD4">
      <w:pPr>
        <w:pStyle w:val="Body"/>
      </w:pPr>
      <w:r>
        <w:t>A</w:t>
      </w:r>
      <w:r w:rsidR="10705FEE">
        <w:t xml:space="preserve"> </w:t>
      </w:r>
      <w:r w:rsidR="00163497">
        <w:t>12-month</w:t>
      </w:r>
      <w:r w:rsidR="10705FEE" w:rsidDel="00507C96">
        <w:t xml:space="preserve"> </w:t>
      </w:r>
      <w:r w:rsidR="00507C96">
        <w:t xml:space="preserve">extension of the </w:t>
      </w:r>
      <w:r w:rsidR="10705FEE" w:rsidRPr="00C34638">
        <w:rPr>
          <w:i/>
          <w:iCs/>
        </w:rPr>
        <w:t>Federation Funding Agreement – Schedule on Public Dental Services for Adults</w:t>
      </w:r>
      <w:r w:rsidR="10705FEE">
        <w:t xml:space="preserve"> to June </w:t>
      </w:r>
      <w:r w:rsidR="00507C96">
        <w:t>2023</w:t>
      </w:r>
      <w:r w:rsidR="001E663D">
        <w:t xml:space="preserve"> </w:t>
      </w:r>
      <w:r w:rsidR="0054011D">
        <w:t xml:space="preserve">was announced </w:t>
      </w:r>
      <w:r w:rsidR="001E663D">
        <w:t>in the 2022</w:t>
      </w:r>
      <w:r w:rsidR="004245C1">
        <w:t>–</w:t>
      </w:r>
      <w:r w:rsidR="001E663D">
        <w:t>23 Commonwealth Budget</w:t>
      </w:r>
      <w:r w:rsidR="00F451EE">
        <w:t>,</w:t>
      </w:r>
      <w:r w:rsidR="10705FEE">
        <w:t xml:space="preserve"> </w:t>
      </w:r>
      <w:r w:rsidR="0093576C" w:rsidRPr="0093576C">
        <w:t>indicating funding of up to $26.9 million for Victoria in 2022</w:t>
      </w:r>
      <w:r w:rsidR="004245C1">
        <w:t>–</w:t>
      </w:r>
      <w:r w:rsidR="0093576C" w:rsidRPr="0093576C">
        <w:t>23. A formal offer to extend the Agreement is yet to be received, however it is anticipated that the Agreement will be rolled over under the same terms and conditions</w:t>
      </w:r>
      <w:r w:rsidR="0054011D">
        <w:t xml:space="preserve">. </w:t>
      </w:r>
      <w:r w:rsidR="10705FEE">
        <w:t xml:space="preserve">The funding </w:t>
      </w:r>
      <w:r w:rsidR="00A736AB">
        <w:t xml:space="preserve">announced </w:t>
      </w:r>
      <w:r w:rsidR="10705FEE">
        <w:t>maintain</w:t>
      </w:r>
      <w:r w:rsidR="008323E2">
        <w:t>s</w:t>
      </w:r>
      <w:r w:rsidR="10705FEE">
        <w:t xml:space="preserve"> the 30</w:t>
      </w:r>
      <w:r w:rsidR="00887E93">
        <w:t>%</w:t>
      </w:r>
      <w:r w:rsidR="10705FEE">
        <w:t xml:space="preserve"> reduction on previous Commonwealth investment.</w:t>
      </w:r>
    </w:p>
    <w:p w14:paraId="1FC7BC01" w14:textId="2F439074" w:rsidR="006A7B86" w:rsidRPr="002C4AB5" w:rsidRDefault="000B27B9" w:rsidP="000A51EB">
      <w:pPr>
        <w:pStyle w:val="Body"/>
      </w:pPr>
      <w:r>
        <w:t xml:space="preserve">Public dental providers have access to the Commonwealth’s Child Dental Benefits Schedule, a means-tested scheme (Family Tax Benefit A) </w:t>
      </w:r>
      <w:r w:rsidR="00C6762F">
        <w:t xml:space="preserve">for children </w:t>
      </w:r>
      <w:r w:rsidR="00192EBF">
        <w:t>up to 17 years</w:t>
      </w:r>
      <w:r w:rsidR="004855D4">
        <w:t>,</w:t>
      </w:r>
      <w:r w:rsidR="00192EBF">
        <w:t xml:space="preserve"> </w:t>
      </w:r>
      <w:r w:rsidR="004855D4" w:rsidRPr="004855D4">
        <w:t>covering preventive and basic dental treatment</w:t>
      </w:r>
      <w:r w:rsidR="004855D4">
        <w:t>.</w:t>
      </w:r>
      <w:r w:rsidR="000D276B" w:rsidRPr="000D276B">
        <w:t xml:space="preserve"> </w:t>
      </w:r>
      <w:r w:rsidR="000D276B" w:rsidRPr="000D276B">
        <w:rPr>
          <w:rStyle w:val="normaltextrun"/>
        </w:rPr>
        <w:t xml:space="preserve">Eligibility was extended to include children under the age of two years in the </w:t>
      </w:r>
      <w:r w:rsidR="00CC5199">
        <w:t>2021</w:t>
      </w:r>
      <w:r w:rsidR="004245C1">
        <w:t>–</w:t>
      </w:r>
      <w:r w:rsidR="00CC5199">
        <w:t>22</w:t>
      </w:r>
      <w:r w:rsidR="002E7EEF" w:rsidRPr="00110B89">
        <w:rPr>
          <w:lang w:val="en-US"/>
        </w:rPr>
        <w:t xml:space="preserve"> </w:t>
      </w:r>
      <w:r w:rsidR="000D276B" w:rsidRPr="000D276B">
        <w:rPr>
          <w:rStyle w:val="normaltextrun"/>
        </w:rPr>
        <w:t xml:space="preserve">Commonwealth </w:t>
      </w:r>
      <w:r w:rsidR="00E00BD6">
        <w:rPr>
          <w:rStyle w:val="normaltextrun"/>
        </w:rPr>
        <w:t>B</w:t>
      </w:r>
      <w:r w:rsidR="000D276B" w:rsidRPr="000D276B">
        <w:rPr>
          <w:rStyle w:val="normaltextrun"/>
        </w:rPr>
        <w:t>udget</w:t>
      </w:r>
      <w:r w:rsidRPr="008C77CA">
        <w:t xml:space="preserve">. </w:t>
      </w:r>
      <w:r w:rsidR="007A673C" w:rsidRPr="007A673C">
        <w:t>Eligible children have access to a benefit cap of $1,0</w:t>
      </w:r>
      <w:r w:rsidR="00CC5199">
        <w:t>26</w:t>
      </w:r>
      <w:r w:rsidR="007A673C" w:rsidRPr="007A673C">
        <w:t xml:space="preserve"> over a two</w:t>
      </w:r>
      <w:r w:rsidR="00E00BD6">
        <w:t xml:space="preserve"> </w:t>
      </w:r>
      <w:r w:rsidR="007A673C" w:rsidRPr="007A673C">
        <w:t>calendar</w:t>
      </w:r>
      <w:r w:rsidR="00E00BD6">
        <w:t xml:space="preserve"> </w:t>
      </w:r>
      <w:r w:rsidR="007A673C" w:rsidRPr="007A673C">
        <w:t>year period.</w:t>
      </w:r>
      <w:r w:rsidR="007E7FFE">
        <w:t xml:space="preserve"> </w:t>
      </w:r>
      <w:r w:rsidR="007A673C" w:rsidRPr="007A673C">
        <w:t>Public sector</w:t>
      </w:r>
      <w:r w:rsidR="007E7FFE">
        <w:t xml:space="preserve"> </w:t>
      </w:r>
      <w:r w:rsidR="007A673C" w:rsidRPr="007A673C">
        <w:t>access to the Child</w:t>
      </w:r>
      <w:r w:rsidR="007E7FFE">
        <w:t xml:space="preserve"> </w:t>
      </w:r>
      <w:r w:rsidR="007A673C" w:rsidRPr="007A673C">
        <w:t>Dental</w:t>
      </w:r>
      <w:r w:rsidR="007E7FFE">
        <w:t xml:space="preserve"> </w:t>
      </w:r>
      <w:r w:rsidR="007A673C" w:rsidRPr="007A673C">
        <w:t>Benefits Schedule</w:t>
      </w:r>
      <w:r w:rsidR="007E7FFE">
        <w:t xml:space="preserve"> </w:t>
      </w:r>
      <w:r w:rsidR="007A673C" w:rsidRPr="007A673C">
        <w:t>is</w:t>
      </w:r>
      <w:r w:rsidR="007E7FFE">
        <w:t xml:space="preserve"> </w:t>
      </w:r>
      <w:r w:rsidR="007A673C" w:rsidRPr="007A673C">
        <w:t>available</w:t>
      </w:r>
      <w:r w:rsidR="007E7FFE">
        <w:t xml:space="preserve"> </w:t>
      </w:r>
      <w:r w:rsidR="007A673C" w:rsidRPr="007A673C">
        <w:t>to</w:t>
      </w:r>
      <w:r w:rsidR="007E7FFE">
        <w:t xml:space="preserve"> </w:t>
      </w:r>
      <w:r w:rsidR="007A673C" w:rsidRPr="007A673C">
        <w:t xml:space="preserve">31 December </w:t>
      </w:r>
      <w:r w:rsidR="007A673C" w:rsidRPr="00EC0A2F">
        <w:t>2022</w:t>
      </w:r>
      <w:r w:rsidR="007A673C" w:rsidRPr="007A673C">
        <w:t>,</w:t>
      </w:r>
      <w:r w:rsidR="007E7FFE">
        <w:t xml:space="preserve"> </w:t>
      </w:r>
      <w:r w:rsidR="007A673C" w:rsidRPr="007A673C">
        <w:t>a</w:t>
      </w:r>
      <w:r w:rsidR="007E7FFE">
        <w:t xml:space="preserve">s </w:t>
      </w:r>
      <w:r w:rsidR="007A673C" w:rsidRPr="007A673C">
        <w:t>announced in the 2019</w:t>
      </w:r>
      <w:r w:rsidR="004245C1">
        <w:t>–</w:t>
      </w:r>
      <w:r w:rsidR="007A673C" w:rsidRPr="007A673C">
        <w:t>20</w:t>
      </w:r>
      <w:r w:rsidR="007E7FFE">
        <w:t xml:space="preserve"> </w:t>
      </w:r>
      <w:r w:rsidR="007A673C" w:rsidRPr="007A673C">
        <w:t>Commonwealth</w:t>
      </w:r>
      <w:r w:rsidR="007E7FFE">
        <w:t xml:space="preserve"> </w:t>
      </w:r>
      <w:r w:rsidR="00E00BD6">
        <w:t>B</w:t>
      </w:r>
      <w:r w:rsidR="007A673C" w:rsidRPr="007A673C">
        <w:t>udget.</w:t>
      </w:r>
      <w:r w:rsidR="007E7FFE">
        <w:t xml:space="preserve"> </w:t>
      </w:r>
    </w:p>
    <w:p w14:paraId="7A6420F5" w14:textId="618393C1" w:rsidR="000B27B9" w:rsidRPr="00602A01" w:rsidRDefault="000B27B9" w:rsidP="009375E0">
      <w:pPr>
        <w:pStyle w:val="Heading3"/>
        <w:spacing w:before="240"/>
        <w:rPr>
          <w:rFonts w:eastAsia="Arial" w:cs="Arial"/>
          <w:szCs w:val="32"/>
        </w:rPr>
      </w:pPr>
      <w:bookmarkStart w:id="149" w:name="_Toc52892556"/>
      <w:bookmarkStart w:id="150" w:name="_Toc100263276"/>
      <w:bookmarkStart w:id="151" w:name="_Toc127191924"/>
      <w:r w:rsidRPr="00602A01">
        <w:t xml:space="preserve">Funding </w:t>
      </w:r>
      <w:r w:rsidR="00C46A54">
        <w:t>R</w:t>
      </w:r>
      <w:r w:rsidRPr="00602A01">
        <w:t xml:space="preserve">eforms </w:t>
      </w:r>
      <w:bookmarkEnd w:id="149"/>
      <w:r w:rsidR="002E7EEF" w:rsidRPr="0042257E">
        <w:t>2022</w:t>
      </w:r>
      <w:r w:rsidR="004245C1">
        <w:t>–</w:t>
      </w:r>
      <w:r w:rsidR="002E7EEF" w:rsidRPr="0042257E">
        <w:t>23</w:t>
      </w:r>
      <w:bookmarkEnd w:id="150"/>
      <w:bookmarkEnd w:id="151"/>
    </w:p>
    <w:p w14:paraId="6E515362" w14:textId="77777777" w:rsidR="000B27B9" w:rsidRPr="00602A01" w:rsidRDefault="000B27B9" w:rsidP="00B92CD4">
      <w:pPr>
        <w:pStyle w:val="Body"/>
      </w:pPr>
      <w:r w:rsidRPr="00602A01">
        <w:t>The department continues to refine and develop hospital funding models to ensure the investment made is delivering the best value to all Victorians. Funding models must remain contemporary if Victoria is to continue to deliver better value through high-quality care, delivered in the most effective settings using the most efficient model of care.</w:t>
      </w:r>
    </w:p>
    <w:p w14:paraId="2B41585F" w14:textId="096C2120" w:rsidR="00632342" w:rsidRPr="00602A01" w:rsidRDefault="368059AD" w:rsidP="00632342">
      <w:pPr>
        <w:pStyle w:val="Body"/>
      </w:pPr>
      <w:r w:rsidRPr="007F03EF">
        <w:t xml:space="preserve">In </w:t>
      </w:r>
      <w:r w:rsidR="002E7EEF" w:rsidRPr="007F03EF">
        <w:t>202</w:t>
      </w:r>
      <w:r w:rsidR="000963E5" w:rsidRPr="007F03EF">
        <w:t>1</w:t>
      </w:r>
      <w:r w:rsidR="004245C1">
        <w:t>–</w:t>
      </w:r>
      <w:r w:rsidR="000963E5" w:rsidRPr="007F03EF">
        <w:t>22</w:t>
      </w:r>
      <w:r w:rsidR="6806AB5B" w:rsidRPr="007F03EF">
        <w:t>,</w:t>
      </w:r>
      <w:r w:rsidRPr="007F03EF">
        <w:t xml:space="preserve"> the department </w:t>
      </w:r>
      <w:r w:rsidR="7E71BF0A" w:rsidRPr="007F03EF">
        <w:t>commenced alignment with the National Funding Model</w:t>
      </w:r>
      <w:r w:rsidRPr="007F03EF">
        <w:t xml:space="preserve"> and in 2022</w:t>
      </w:r>
      <w:r w:rsidR="002209C1">
        <w:t>–</w:t>
      </w:r>
      <w:r w:rsidRPr="007F03EF">
        <w:t>23 will continue to develop innovative approaches</w:t>
      </w:r>
      <w:r>
        <w:t>.</w:t>
      </w:r>
      <w:r w:rsidR="203602CB">
        <w:t xml:space="preserve"> </w:t>
      </w:r>
      <w:r w:rsidR="1EEE24BF">
        <w:t>These funding reforms will improve system outcomes by:</w:t>
      </w:r>
    </w:p>
    <w:p w14:paraId="04E80510" w14:textId="77777777" w:rsidR="00632342" w:rsidRPr="00602A01" w:rsidRDefault="00632342" w:rsidP="00E05C4E">
      <w:pPr>
        <w:pStyle w:val="Bullet1"/>
      </w:pPr>
      <w:r>
        <w:t>encouraging accountability for both health service providers and government</w:t>
      </w:r>
    </w:p>
    <w:p w14:paraId="5416F467" w14:textId="4124F0F7" w:rsidR="00632342" w:rsidRPr="00602A01" w:rsidRDefault="00632342" w:rsidP="00E05C4E">
      <w:pPr>
        <w:pStyle w:val="Bullet1"/>
      </w:pPr>
      <w:r>
        <w:t>remaining simple and transparent</w:t>
      </w:r>
    </w:p>
    <w:p w14:paraId="0FAAF919" w14:textId="77777777" w:rsidR="00632342" w:rsidRPr="00602A01" w:rsidRDefault="00632342" w:rsidP="00E05C4E">
      <w:pPr>
        <w:pStyle w:val="Bullet1"/>
      </w:pPr>
      <w:r>
        <w:t>supporting efficient and sustainable health service operations.</w:t>
      </w:r>
    </w:p>
    <w:p w14:paraId="40F8C486" w14:textId="3983E585" w:rsidR="000B27B9" w:rsidRPr="00602A01" w:rsidRDefault="00632342" w:rsidP="00B52718">
      <w:pPr>
        <w:pStyle w:val="Bodyafterbullets"/>
      </w:pPr>
      <w:r w:rsidRPr="00602A01">
        <w:t xml:space="preserve">These reforms will not </w:t>
      </w:r>
      <w:r w:rsidR="00EB2259">
        <w:t xml:space="preserve">negatively </w:t>
      </w:r>
      <w:r w:rsidRPr="00602A01">
        <w:t>affect patient access or care and</w:t>
      </w:r>
      <w:r w:rsidR="002209C1">
        <w:t xml:space="preserve"> are</w:t>
      </w:r>
      <w:r w:rsidRPr="00602A01">
        <w:t xml:space="preserve"> </w:t>
      </w:r>
      <w:r w:rsidR="00EB2259">
        <w:t>intended to</w:t>
      </w:r>
      <w:r w:rsidRPr="00602A01">
        <w:t xml:space="preserve"> ensure patients receive appropriate care in a timely way, in the most appropriate setting, </w:t>
      </w:r>
      <w:r>
        <w:t xml:space="preserve">and </w:t>
      </w:r>
      <w:r w:rsidRPr="00602A01">
        <w:t>by the right providers</w:t>
      </w:r>
      <w:r w:rsidR="00B52718">
        <w:t>.</w:t>
      </w:r>
    </w:p>
    <w:p w14:paraId="22980E24" w14:textId="64B38A28" w:rsidR="000B27B9" w:rsidRPr="00602A01" w:rsidRDefault="000B27B9" w:rsidP="00B92CD4">
      <w:pPr>
        <w:pStyle w:val="Body"/>
      </w:pPr>
      <w:r>
        <w:t>In line with the Victorian</w:t>
      </w:r>
      <w:r w:rsidRPr="00602A01">
        <w:rPr>
          <w:i/>
          <w:iCs/>
        </w:rPr>
        <w:t xml:space="preserve"> </w:t>
      </w:r>
      <w:r w:rsidRPr="464658B4">
        <w:rPr>
          <w:i/>
        </w:rPr>
        <w:t xml:space="preserve">Pricing and funding </w:t>
      </w:r>
      <w:r w:rsidR="0171864E" w:rsidRPr="00391AFC">
        <w:rPr>
          <w:i/>
          <w:iCs/>
        </w:rPr>
        <w:t>pol</w:t>
      </w:r>
      <w:r w:rsidR="0171864E" w:rsidRPr="464658B4">
        <w:rPr>
          <w:i/>
          <w:iCs/>
        </w:rPr>
        <w:t xml:space="preserve">icy </w:t>
      </w:r>
      <w:r w:rsidRPr="464658B4">
        <w:rPr>
          <w:i/>
        </w:rPr>
        <w:t>framework</w:t>
      </w:r>
      <w:r w:rsidRPr="00602A01">
        <w:t xml:space="preserve">, Victoria will maintain a </w:t>
      </w:r>
      <w:r w:rsidR="002209C1">
        <w:t>s</w:t>
      </w:r>
      <w:r w:rsidR="002209C1" w:rsidRPr="00602A01">
        <w:t>tate</w:t>
      </w:r>
      <w:r w:rsidRPr="00602A01">
        <w:t>-based funding system that adopts and adapts elements of the national approach where it is suitable in the Victorian context.</w:t>
      </w:r>
    </w:p>
    <w:p w14:paraId="4A0E1A5C" w14:textId="0E65B353" w:rsidR="00632342" w:rsidRPr="00602A01" w:rsidRDefault="00632342" w:rsidP="00632342">
      <w:pPr>
        <w:pStyle w:val="Heading4"/>
      </w:pPr>
      <w:bookmarkStart w:id="152" w:name="_Toc77588902"/>
      <w:r>
        <w:t xml:space="preserve">Victoria’s </w:t>
      </w:r>
      <w:r w:rsidR="00C46A54">
        <w:t>T</w:t>
      </w:r>
      <w:r>
        <w:t xml:space="preserve">ransition to the National Weighted Activity Unit </w:t>
      </w:r>
      <w:bookmarkEnd w:id="152"/>
    </w:p>
    <w:p w14:paraId="5BB642F6" w14:textId="0CA1D939" w:rsidR="00632342" w:rsidRDefault="1EEE24BF" w:rsidP="00632342">
      <w:pPr>
        <w:pStyle w:val="Body"/>
      </w:pPr>
      <w:r>
        <w:t>In 2021–22, the National Weighted Activity Unit</w:t>
      </w:r>
      <w:r w:rsidR="008F1386">
        <w:t xml:space="preserve"> </w:t>
      </w:r>
      <w:r>
        <w:t xml:space="preserve">(NWAU) was adopted as part of the National Funding Model Reform project, replacing local funding models (WIES, SWIES, WASE, NAESGs) for acute admitted care, subacute care, emergency care and non-admitted care. </w:t>
      </w:r>
      <w:r w:rsidR="220140F9">
        <w:t>A</w:t>
      </w:r>
      <w:r>
        <w:t xml:space="preserve"> major benefit of this </w:t>
      </w:r>
      <w:r w:rsidR="0839BABC">
        <w:t>approach</w:t>
      </w:r>
      <w:r>
        <w:t xml:space="preserve"> is </w:t>
      </w:r>
      <w:r w:rsidR="2B0FD3E0">
        <w:t>to support</w:t>
      </w:r>
      <w:r>
        <w:t xml:space="preserve"> flexibility</w:t>
      </w:r>
      <w:r w:rsidR="6778B40E">
        <w:t xml:space="preserve"> in delivery of services</w:t>
      </w:r>
      <w:r>
        <w:t xml:space="preserve">, where all activity is counted and funded </w:t>
      </w:r>
      <w:r w:rsidR="2036D5CA">
        <w:t>as</w:t>
      </w:r>
      <w:r>
        <w:t xml:space="preserve"> a common unit. Other benefits include:</w:t>
      </w:r>
    </w:p>
    <w:p w14:paraId="7A33AE81" w14:textId="7C6CAD7A" w:rsidR="00632342" w:rsidRDefault="00632342" w:rsidP="00E05C4E">
      <w:pPr>
        <w:pStyle w:val="Bullet1"/>
      </w:pPr>
      <w:r>
        <w:lastRenderedPageBreak/>
        <w:t>alignment with national reform initiatives, in</w:t>
      </w:r>
      <w:r w:rsidR="004D1C8A">
        <w:t>c</w:t>
      </w:r>
      <w:r>
        <w:t xml:space="preserve">luding </w:t>
      </w:r>
      <w:r w:rsidR="008E88E0">
        <w:t xml:space="preserve">progressive alignment </w:t>
      </w:r>
      <w:r w:rsidR="74171C71">
        <w:t>with national</w:t>
      </w:r>
      <w:r w:rsidR="6AA14755">
        <w:t xml:space="preserve"> </w:t>
      </w:r>
      <w:r>
        <w:t>safety and quality initiatives, as foreshadowed in the National Health Reform Agreement</w:t>
      </w:r>
    </w:p>
    <w:p w14:paraId="2FE2EC93" w14:textId="35C01286" w:rsidR="00632342" w:rsidRDefault="00632342" w:rsidP="00E05C4E">
      <w:pPr>
        <w:pStyle w:val="Bullet1"/>
      </w:pPr>
      <w:r>
        <w:t>comparability of funding across service streams signalling equity of funding regardless of service setting, and to enhance decision making on substitution of services where clinically warranted</w:t>
      </w:r>
    </w:p>
    <w:p w14:paraId="57E2D877" w14:textId="590A4975" w:rsidR="00632342" w:rsidRDefault="1EEE24BF" w:rsidP="00166B85">
      <w:pPr>
        <w:pStyle w:val="Bodyafterbullets"/>
      </w:pPr>
      <w:r>
        <w:t xml:space="preserve">The </w:t>
      </w:r>
      <w:r w:rsidR="18D0C1C8">
        <w:t>Victorian implementation of the NWAU</w:t>
      </w:r>
      <w:r>
        <w:t xml:space="preserve"> recognises that activity-based funding may not always be practicable and that some services will need to be funded on a block-grant basis. Under current arrangements, small rural health services and teaching, non-admitted mental health training, and research outputs will continue to be funded through block grants.</w:t>
      </w:r>
    </w:p>
    <w:p w14:paraId="27F50B7A" w14:textId="3280DE45" w:rsidR="003A61F3" w:rsidRDefault="00632342">
      <w:pPr>
        <w:pStyle w:val="Body"/>
      </w:pPr>
      <w:r>
        <w:t>Further information</w:t>
      </w:r>
      <w:r w:rsidR="00875C8B">
        <w:t xml:space="preserve"> </w:t>
      </w:r>
      <w:r w:rsidR="007307E4">
        <w:t>concerning NWAU price weights can be found in the respective service stream sections in this document.</w:t>
      </w:r>
    </w:p>
    <w:p w14:paraId="701B8F80" w14:textId="067FD9D1" w:rsidR="000B27B9" w:rsidRDefault="000B27B9" w:rsidP="003F73EF">
      <w:pPr>
        <w:pStyle w:val="Heading4"/>
      </w:pPr>
      <w:r>
        <w:t xml:space="preserve">Mental </w:t>
      </w:r>
      <w:r w:rsidR="00C46A54">
        <w:t>H</w:t>
      </w:r>
      <w:r>
        <w:t>ealth</w:t>
      </w:r>
      <w:r w:rsidR="002464A2">
        <w:t xml:space="preserve"> and </w:t>
      </w:r>
      <w:r w:rsidR="00C46A54">
        <w:t>W</w:t>
      </w:r>
      <w:r w:rsidR="002464A2">
        <w:t>ellbeing</w:t>
      </w:r>
    </w:p>
    <w:p w14:paraId="6C5D199C" w14:textId="14DBC274" w:rsidR="000B27B9" w:rsidRPr="007F03EF" w:rsidRDefault="000B27B9" w:rsidP="00382CFB">
      <w:pPr>
        <w:pStyle w:val="Body"/>
      </w:pPr>
      <w:r w:rsidRPr="00B800B2">
        <w:rPr>
          <w:rFonts w:eastAsia="Calibri" w:cs="Arial"/>
        </w:rPr>
        <w:t xml:space="preserve">The department will </w:t>
      </w:r>
      <w:r>
        <w:rPr>
          <w:rFonts w:eastAsia="Calibri" w:cs="Arial"/>
        </w:rPr>
        <w:t xml:space="preserve">continue to </w:t>
      </w:r>
      <w:r w:rsidRPr="00B800B2">
        <w:rPr>
          <w:rFonts w:eastAsia="Calibri" w:cs="Arial"/>
        </w:rPr>
        <w:t xml:space="preserve">fund acute admitted mental health care on an input basis in </w:t>
      </w:r>
      <w:r w:rsidR="002E7EEF" w:rsidRPr="007F03EF">
        <w:t>2022</w:t>
      </w:r>
      <w:r w:rsidR="002209C1">
        <w:t>–</w:t>
      </w:r>
      <w:r w:rsidR="002E7EEF" w:rsidRPr="007F03EF">
        <w:t>23</w:t>
      </w:r>
      <w:r w:rsidRPr="007F03EF">
        <w:rPr>
          <w:rFonts w:eastAsia="Calibri" w:cs="Arial"/>
        </w:rPr>
        <w:t xml:space="preserve">. Health services will be funded based on their capacity to provide inpatient mental health care, according to the number of bed days available. </w:t>
      </w:r>
    </w:p>
    <w:p w14:paraId="50701AF5" w14:textId="4DBF9742" w:rsidR="000B27B9" w:rsidRPr="007F03EF" w:rsidRDefault="000B27B9" w:rsidP="00382CFB">
      <w:pPr>
        <w:pStyle w:val="Body"/>
      </w:pPr>
      <w:r w:rsidRPr="007F03EF">
        <w:rPr>
          <w:rFonts w:eastAsia="Calibri" w:cs="Arial"/>
        </w:rPr>
        <w:t>Further review of the funding model for acute mental health admitted care across all patient types will be considered in the future. As the Victorian Cost Data Collection is essential to further understanding of the costs of mental healthcare and the funding models which are most sensitive to those costs, health services should continue to contribute to mental health costing processes within the collection.</w:t>
      </w:r>
    </w:p>
    <w:p w14:paraId="77C6F7FA" w14:textId="4A1AA4E1" w:rsidR="000B27B9" w:rsidRPr="007F03EF" w:rsidRDefault="000B27B9" w:rsidP="00382CFB">
      <w:pPr>
        <w:pStyle w:val="Body"/>
      </w:pPr>
      <w:r w:rsidRPr="007F03EF">
        <w:rPr>
          <w:rFonts w:eastAsia="Calibri" w:cs="Arial"/>
        </w:rPr>
        <w:t xml:space="preserve">Admitted extended care and non-admitted acute mental healthcare (such as ambulatory, </w:t>
      </w:r>
      <w:r w:rsidR="002D4932" w:rsidRPr="007F03EF">
        <w:rPr>
          <w:rFonts w:eastAsia="Calibri" w:cs="Arial"/>
        </w:rPr>
        <w:t>subacute,</w:t>
      </w:r>
      <w:r w:rsidRPr="007F03EF">
        <w:rPr>
          <w:rFonts w:eastAsia="Calibri" w:cs="Arial"/>
        </w:rPr>
        <w:t xml:space="preserve"> and residential aged mental health services) will also continue to be funded in </w:t>
      </w:r>
      <w:r w:rsidR="002E7EEF" w:rsidRPr="007F03EF">
        <w:t>2022</w:t>
      </w:r>
      <w:r w:rsidR="00E82BCE">
        <w:t>–</w:t>
      </w:r>
      <w:r w:rsidR="002E7EEF" w:rsidRPr="007F03EF">
        <w:t>23</w:t>
      </w:r>
      <w:r w:rsidRPr="007F03EF">
        <w:rPr>
          <w:rFonts w:eastAsia="Calibri" w:cs="Arial"/>
        </w:rPr>
        <w:t xml:space="preserve"> via a mixture of input (per day or service hour) and block grants.</w:t>
      </w:r>
    </w:p>
    <w:p w14:paraId="5122F140" w14:textId="7B3426C6" w:rsidR="00210B38" w:rsidRPr="007F03EF" w:rsidRDefault="000F7A15" w:rsidP="00553F96">
      <w:pPr>
        <w:pStyle w:val="Body"/>
      </w:pPr>
      <w:r w:rsidRPr="007F03EF">
        <w:rPr>
          <w:rFonts w:eastAsia="Calibri" w:cs="Arial"/>
        </w:rPr>
        <w:t>F</w:t>
      </w:r>
      <w:r w:rsidR="00001319" w:rsidRPr="007F03EF">
        <w:t xml:space="preserve">unding will be provided to support health services to improve their mental health information management capability and processes, ahead of the future implementation of activity-based funding. Funding services on the basis of the activity they deliver, and the characteristics of the consumers they support, will require a greater level of capability in mental health data management and quality control. </w:t>
      </w:r>
    </w:p>
    <w:p w14:paraId="36862793" w14:textId="773A345E" w:rsidR="00001319" w:rsidRPr="00AA2842" w:rsidRDefault="00001319" w:rsidP="00166B85">
      <w:pPr>
        <w:pStyle w:val="Body"/>
      </w:pPr>
      <w:r w:rsidRPr="00AE6427">
        <w:t>The funding of intensive community mental health packages since 2018</w:t>
      </w:r>
      <w:r w:rsidR="00675978">
        <w:t>–</w:t>
      </w:r>
      <w:r w:rsidRPr="00AE6427">
        <w:t>19 has foreshadowed the features of activity-based funding, which will allocate resources for adult community mental</w:t>
      </w:r>
      <w:r w:rsidRPr="00A83A84">
        <w:t xml:space="preserve"> h</w:t>
      </w:r>
      <w:r w:rsidRPr="00AA2842">
        <w:t xml:space="preserve">ealth services based on the severity and complexity of consumers’ needs, and the associated volume and intensity of service responses required to meet these needs. </w:t>
      </w:r>
      <w:r w:rsidR="3DF4BF09" w:rsidRPr="00AA2842">
        <w:t>The Royal Commission into Victoria’s Mental Health System</w:t>
      </w:r>
      <w:r w:rsidR="00830AE6" w:rsidRPr="006214A1">
        <w:t xml:space="preserve"> has recommended </w:t>
      </w:r>
      <w:r w:rsidR="00ED41FF" w:rsidRPr="006214A1">
        <w:t>trialling</w:t>
      </w:r>
      <w:r w:rsidR="3DF4BF09" w:rsidRPr="00F91AB2">
        <w:t xml:space="preserve"> and</w:t>
      </w:r>
      <w:r w:rsidR="00830AE6" w:rsidRPr="00F91AB2">
        <w:t xml:space="preserve"> then implementing an activity-based funding </w:t>
      </w:r>
      <w:r w:rsidR="00543D79" w:rsidRPr="00F91AB2">
        <w:t>model</w:t>
      </w:r>
      <w:r w:rsidR="00830AE6" w:rsidRPr="00F91AB2">
        <w:t xml:space="preserve"> </w:t>
      </w:r>
      <w:r w:rsidR="3DF4BF09" w:rsidRPr="00F91AB2">
        <w:t>for</w:t>
      </w:r>
      <w:r w:rsidR="00830AE6" w:rsidRPr="00F91AB2">
        <w:t xml:space="preserve"> both bed-based and community-based mental health and </w:t>
      </w:r>
      <w:r w:rsidR="00543D79" w:rsidRPr="00166B85">
        <w:t>wellbeing</w:t>
      </w:r>
      <w:r w:rsidR="00830AE6" w:rsidRPr="00166B85">
        <w:t xml:space="preserve"> services</w:t>
      </w:r>
      <w:r w:rsidR="00543D79" w:rsidRPr="00166B85">
        <w:t xml:space="preserve">. </w:t>
      </w:r>
      <w:r w:rsidRPr="00AE6427">
        <w:t>The future activity-based funding model will be linked to developments in performance monitoring and clinical guidelines outlining e</w:t>
      </w:r>
      <w:r w:rsidRPr="00A83A84">
        <w:t>xpected levels and types of service responses for consumers of varying levels of need for treatment and care.</w:t>
      </w:r>
    </w:p>
    <w:p w14:paraId="53A8FD1B" w14:textId="2ACC2D9B" w:rsidR="00001319" w:rsidRPr="00F91AB2" w:rsidRDefault="00001319" w:rsidP="00166B85">
      <w:pPr>
        <w:pStyle w:val="Body"/>
      </w:pPr>
      <w:r w:rsidRPr="00AA2842">
        <w:t>An initial care classification for ambulatory mental health consumers, based on a modified version of the Australian Mental Health Care Classifica</w:t>
      </w:r>
      <w:r w:rsidRPr="006214A1">
        <w:t>tion, has been developed. This classification will be used to shadow fund community mental health services according to an activity-based funding model in 2022–23.</w:t>
      </w:r>
    </w:p>
    <w:p w14:paraId="303D2F9E" w14:textId="46E4A4E8" w:rsidR="007E4F36" w:rsidRPr="000F3F7F" w:rsidRDefault="007E4F36" w:rsidP="00166B85">
      <w:pPr>
        <w:pStyle w:val="Body"/>
      </w:pPr>
      <w:r w:rsidRPr="00F91AB2">
        <w:t xml:space="preserve">Funding for MHCSS activities is output-based. Statewide targets are set out in </w:t>
      </w:r>
      <w:r w:rsidRPr="00F91AB2">
        <w:rPr>
          <w:i/>
        </w:rPr>
        <w:t>Victorian State Budget Paper No. 3</w:t>
      </w:r>
      <w:r w:rsidRPr="00AE6427">
        <w:t xml:space="preserve"> targets for MHCSS activities are listed in the Funding and Service Agreement and these represent the minimum deliverables expected for the funding provided. </w:t>
      </w:r>
      <w:r w:rsidR="00F25180" w:rsidRPr="00A83A84">
        <w:t xml:space="preserve">Refer to </w:t>
      </w:r>
      <w:r w:rsidR="00F25180" w:rsidRPr="00166B85">
        <w:rPr>
          <w:i/>
        </w:rPr>
        <w:t xml:space="preserve">Policy </w:t>
      </w:r>
      <w:r w:rsidR="00F25180" w:rsidRPr="0084620A">
        <w:rPr>
          <w:szCs w:val="21"/>
        </w:rPr>
        <w:t>Guide</w:t>
      </w:r>
      <w:r w:rsidR="00E82BCE" w:rsidRPr="00166B85">
        <w:rPr>
          <w:i/>
        </w:rPr>
        <w:t xml:space="preserve"> </w:t>
      </w:r>
      <w:r w:rsidR="002E7EEF" w:rsidRPr="00166B85">
        <w:rPr>
          <w:i/>
        </w:rPr>
        <w:t>2022</w:t>
      </w:r>
      <w:r w:rsidR="00E82BCE" w:rsidRPr="00AE6427">
        <w:rPr>
          <w:i/>
          <w:iCs/>
        </w:rPr>
        <w:t>–</w:t>
      </w:r>
      <w:r w:rsidR="002E7EEF" w:rsidRPr="00166B85">
        <w:rPr>
          <w:i/>
        </w:rPr>
        <w:t>23</w:t>
      </w:r>
      <w:r w:rsidR="002E7EEF" w:rsidRPr="00AE6427">
        <w:rPr>
          <w:lang w:val="en-US"/>
        </w:rPr>
        <w:t xml:space="preserve"> </w:t>
      </w:r>
      <w:r w:rsidR="00F25180" w:rsidRPr="00A83A84">
        <w:t xml:space="preserve">section 17.9 </w:t>
      </w:r>
      <w:r w:rsidR="00E82BCE">
        <w:t>‘</w:t>
      </w:r>
      <w:r w:rsidR="00F25180" w:rsidRPr="00AE6427">
        <w:t xml:space="preserve">Mental health and </w:t>
      </w:r>
      <w:r w:rsidR="00F25180" w:rsidRPr="00A83A84">
        <w:t xml:space="preserve">wellbeing </w:t>
      </w:r>
      <w:r w:rsidR="00F25180" w:rsidRPr="0084620A">
        <w:t>services</w:t>
      </w:r>
      <w:r w:rsidR="00E82BCE">
        <w:t>’</w:t>
      </w:r>
      <w:r w:rsidR="00F25180" w:rsidRPr="00AE6427">
        <w:t xml:space="preserve"> </w:t>
      </w:r>
      <w:r w:rsidRPr="00A83A84">
        <w:t>for more information.</w:t>
      </w:r>
    </w:p>
    <w:p w14:paraId="7E1C7F1B" w14:textId="1B3D8F96" w:rsidR="007E4F36" w:rsidRPr="00AA2842" w:rsidRDefault="007E4F36" w:rsidP="00D11252">
      <w:pPr>
        <w:pStyle w:val="Body"/>
      </w:pPr>
      <w:bookmarkStart w:id="153" w:name="_Toc37934626"/>
      <w:bookmarkEnd w:id="153"/>
      <w:r w:rsidRPr="00AA2842">
        <w:t>It is expected that health services maintain and report mental health non-admitted patient-level costing data (or aggregate where patient-level cannot be obtained) to the VCDC.</w:t>
      </w:r>
    </w:p>
    <w:p w14:paraId="647EF3E0" w14:textId="4D3EB476" w:rsidR="00BD76FF" w:rsidRPr="00AE6427" w:rsidRDefault="00BD76FF" w:rsidP="00D11252">
      <w:pPr>
        <w:pStyle w:val="Body"/>
      </w:pPr>
      <w:r w:rsidRPr="00AA2842">
        <w:lastRenderedPageBreak/>
        <w:t xml:space="preserve">All existing community service hour grants will be retained in </w:t>
      </w:r>
      <w:r w:rsidR="002E7EEF" w:rsidRPr="00AA2842">
        <w:t>2022</w:t>
      </w:r>
      <w:r w:rsidR="00E82BCE">
        <w:t>–</w:t>
      </w:r>
      <w:r w:rsidR="002E7EEF" w:rsidRPr="00AE6427">
        <w:t>23</w:t>
      </w:r>
      <w:r w:rsidRPr="00A83A84">
        <w:t xml:space="preserve"> and rationalised </w:t>
      </w:r>
      <w:r w:rsidR="00E82BCE" w:rsidRPr="00A83A84">
        <w:t>for</w:t>
      </w:r>
      <w:r w:rsidR="00E82BCE" w:rsidRPr="000F3F7F">
        <w:t xml:space="preserve"> </w:t>
      </w:r>
      <w:r w:rsidRPr="00AA2842">
        <w:t>2023</w:t>
      </w:r>
      <w:r w:rsidR="00E82BCE">
        <w:t>–</w:t>
      </w:r>
      <w:r w:rsidRPr="00AE6427">
        <w:t>2</w:t>
      </w:r>
      <w:r w:rsidRPr="00A83A84">
        <w:t>4</w:t>
      </w:r>
      <w:r w:rsidRPr="0084620A">
        <w:t>.</w:t>
      </w:r>
    </w:p>
    <w:p w14:paraId="414C1DA8" w14:textId="77777777" w:rsidR="00923989" w:rsidRPr="00AA2842" w:rsidRDefault="00923989" w:rsidP="00D11252">
      <w:pPr>
        <w:pStyle w:val="Body"/>
      </w:pPr>
      <w:r w:rsidRPr="00A83A84">
        <w:t>Targets for the number of service hours to be provided are set per health service. They are calculated on the hours of service provided per clinician and adjusted for historical and pro</w:t>
      </w:r>
      <w:r w:rsidRPr="00AA2842">
        <w:t>jected service levels. The funding rate per service hour has been used in setting ambulatory targets.</w:t>
      </w:r>
    </w:p>
    <w:p w14:paraId="411A7C4A" w14:textId="205BA5CC" w:rsidR="000B27B9" w:rsidRPr="00200E05" w:rsidRDefault="000B27B9" w:rsidP="00382CFB">
      <w:pPr>
        <w:pStyle w:val="Body"/>
      </w:pPr>
      <w:r w:rsidRPr="00B800B2">
        <w:rPr>
          <w:rFonts w:eastAsia="Calibri" w:cs="Arial"/>
        </w:rPr>
        <w:t xml:space="preserve">Further information on the </w:t>
      </w:r>
      <w:r w:rsidRPr="004D1C8A">
        <w:rPr>
          <w:rFonts w:eastAsia="Calibri" w:cs="Arial"/>
          <w:color w:val="000000" w:themeColor="text1"/>
        </w:rPr>
        <w:t>202</w:t>
      </w:r>
      <w:r w:rsidR="00EC3711" w:rsidRPr="004D1C8A">
        <w:rPr>
          <w:rFonts w:eastAsia="Calibri" w:cs="Arial"/>
          <w:color w:val="000000" w:themeColor="text1"/>
        </w:rPr>
        <w:t>2</w:t>
      </w:r>
      <w:r w:rsidR="00E82BCE">
        <w:rPr>
          <w:rFonts w:eastAsia="Calibri" w:cs="Arial"/>
          <w:color w:val="000000" w:themeColor="text1"/>
        </w:rPr>
        <w:t>–</w:t>
      </w:r>
      <w:r w:rsidR="00EC3711" w:rsidRPr="004D1C8A">
        <w:rPr>
          <w:rFonts w:eastAsia="Calibri" w:cs="Arial"/>
          <w:color w:val="000000" w:themeColor="text1"/>
        </w:rPr>
        <w:t>23</w:t>
      </w:r>
      <w:r w:rsidRPr="004D1C8A">
        <w:rPr>
          <w:rFonts w:eastAsia="Calibri" w:cs="Arial"/>
          <w:color w:val="000000" w:themeColor="text1"/>
        </w:rPr>
        <w:t xml:space="preserve"> prices </w:t>
      </w:r>
      <w:r w:rsidRPr="00B800B2">
        <w:rPr>
          <w:rFonts w:eastAsia="Calibri" w:cs="Arial"/>
        </w:rPr>
        <w:t xml:space="preserve">is available in section </w:t>
      </w:r>
      <w:r w:rsidR="00734320">
        <w:rPr>
          <w:rFonts w:eastAsia="Calibri" w:cs="Arial"/>
        </w:rPr>
        <w:fldChar w:fldCharType="begin"/>
      </w:r>
      <w:r w:rsidR="00734320">
        <w:rPr>
          <w:rFonts w:eastAsia="Calibri" w:cs="Arial"/>
        </w:rPr>
        <w:instrText xml:space="preserve"> REF _Ref88483663 \r \h </w:instrText>
      </w:r>
      <w:r w:rsidR="00734320">
        <w:rPr>
          <w:rFonts w:eastAsia="Calibri" w:cs="Arial"/>
        </w:rPr>
      </w:r>
      <w:r w:rsidR="00734320">
        <w:rPr>
          <w:rFonts w:eastAsia="Calibri" w:cs="Arial"/>
        </w:rPr>
        <w:fldChar w:fldCharType="separate"/>
      </w:r>
      <w:r w:rsidR="006D0756">
        <w:rPr>
          <w:rFonts w:eastAsia="Calibri" w:cs="Arial"/>
        </w:rPr>
        <w:t>1.21</w:t>
      </w:r>
      <w:r w:rsidR="00734320">
        <w:rPr>
          <w:rFonts w:eastAsia="Calibri" w:cs="Arial"/>
        </w:rPr>
        <w:fldChar w:fldCharType="end"/>
      </w:r>
      <w:r w:rsidRPr="00B800B2">
        <w:rPr>
          <w:rFonts w:eastAsia="Calibri" w:cs="Arial"/>
        </w:rPr>
        <w:t xml:space="preserve"> ‘</w:t>
      </w:r>
      <w:r w:rsidR="00DA113D">
        <w:rPr>
          <w:rFonts w:eastAsia="Calibri" w:cs="Arial"/>
        </w:rPr>
        <w:fldChar w:fldCharType="begin"/>
      </w:r>
      <w:r w:rsidR="00DA113D">
        <w:rPr>
          <w:rFonts w:eastAsia="Calibri" w:cs="Arial"/>
        </w:rPr>
        <w:instrText xml:space="preserve"> REF _Ref70960640 \h </w:instrText>
      </w:r>
      <w:r w:rsidR="00DA113D">
        <w:rPr>
          <w:rFonts w:eastAsia="Calibri" w:cs="Arial"/>
        </w:rPr>
      </w:r>
      <w:r w:rsidR="00DA113D">
        <w:rPr>
          <w:rFonts w:eastAsia="Calibri" w:cs="Arial"/>
        </w:rPr>
        <w:fldChar w:fldCharType="separate"/>
      </w:r>
      <w:r w:rsidR="006D0756">
        <w:t>Price Tables</w:t>
      </w:r>
      <w:r w:rsidR="00DA113D">
        <w:rPr>
          <w:rFonts w:eastAsia="Calibri" w:cs="Arial"/>
        </w:rPr>
        <w:fldChar w:fldCharType="end"/>
      </w:r>
      <w:r w:rsidRPr="00B800B2">
        <w:rPr>
          <w:rFonts w:eastAsia="Calibri" w:cs="Arial"/>
        </w:rPr>
        <w:t>’.</w:t>
      </w:r>
    </w:p>
    <w:p w14:paraId="3F7B5D49" w14:textId="67700EDF" w:rsidR="000B27B9" w:rsidRDefault="000B27B9" w:rsidP="000B27B9">
      <w:pPr>
        <w:pStyle w:val="Heading4"/>
      </w:pPr>
      <w:r>
        <w:t xml:space="preserve">Subcutaneous </w:t>
      </w:r>
      <w:r w:rsidR="00C46A54">
        <w:t>I</w:t>
      </w:r>
      <w:r>
        <w:t xml:space="preserve">mmunoglobulin </w:t>
      </w:r>
      <w:r w:rsidR="00C46A54">
        <w:t>T</w:t>
      </w:r>
      <w:r>
        <w:t>herapy</w:t>
      </w:r>
    </w:p>
    <w:p w14:paraId="7AB6978D" w14:textId="3FCA433A" w:rsidR="000B27B9" w:rsidRPr="006E6900" w:rsidRDefault="000B27B9" w:rsidP="00B92CD4">
      <w:pPr>
        <w:pStyle w:val="Body"/>
        <w:rPr>
          <w:lang w:eastAsia="en-AU"/>
        </w:rPr>
      </w:pPr>
      <w:r w:rsidRPr="140AE1A0">
        <w:rPr>
          <w:rFonts w:cs="Calibri"/>
          <w:lang w:eastAsia="en-AU"/>
        </w:rPr>
        <w:t xml:space="preserve">The National Blood Authority has made immunoglobulin products </w:t>
      </w:r>
      <w:r w:rsidR="000462CF">
        <w:rPr>
          <w:rFonts w:cs="Calibri"/>
          <w:lang w:eastAsia="en-AU"/>
        </w:rPr>
        <w:t xml:space="preserve">available </w:t>
      </w:r>
      <w:r w:rsidRPr="140AE1A0">
        <w:rPr>
          <w:rFonts w:cs="Calibri"/>
          <w:lang w:eastAsia="en-AU"/>
        </w:rPr>
        <w:t>since 1 September 2013, which can be administered by the patient at home to treat:</w:t>
      </w:r>
    </w:p>
    <w:p w14:paraId="49E0FADA" w14:textId="77777777" w:rsidR="000B27B9" w:rsidRPr="001F0C2A" w:rsidRDefault="000B27B9" w:rsidP="00E05C4E">
      <w:pPr>
        <w:pStyle w:val="Bullet1"/>
      </w:pPr>
      <w:r>
        <w:t>primary immunodeficiency with antibody deficiency</w:t>
      </w:r>
    </w:p>
    <w:p w14:paraId="57045622" w14:textId="77777777" w:rsidR="000B27B9" w:rsidRPr="001F0C2A" w:rsidRDefault="000B27B9" w:rsidP="00E05C4E">
      <w:pPr>
        <w:pStyle w:val="Bullet1"/>
      </w:pPr>
      <w:r>
        <w:t>specific antibody deficiency</w:t>
      </w:r>
    </w:p>
    <w:p w14:paraId="5C69477E" w14:textId="77777777" w:rsidR="000B27B9" w:rsidRPr="001F0C2A" w:rsidRDefault="000B27B9" w:rsidP="00E05C4E">
      <w:pPr>
        <w:pStyle w:val="Bullet1"/>
      </w:pPr>
      <w:r>
        <w:t>acquired hypogammaglobulinaemia secondary to haematological malignancy</w:t>
      </w:r>
    </w:p>
    <w:p w14:paraId="4DE89140" w14:textId="0328E6A6" w:rsidR="000B27B9" w:rsidRPr="001F0C2A" w:rsidRDefault="000B27B9" w:rsidP="00E05C4E">
      <w:pPr>
        <w:pStyle w:val="Bullet1"/>
      </w:pPr>
      <w:r>
        <w:t>secondary hypogammaglobulinaemia (including iatrogenic immunodeficiency)</w:t>
      </w:r>
      <w:r w:rsidR="000462CF">
        <w:t xml:space="preserve"> and</w:t>
      </w:r>
    </w:p>
    <w:p w14:paraId="6E193457" w14:textId="77777777" w:rsidR="000B27B9" w:rsidRPr="001F0C2A" w:rsidRDefault="000B27B9" w:rsidP="00E05C4E">
      <w:pPr>
        <w:pStyle w:val="Bullet1"/>
      </w:pPr>
      <w:r>
        <w:t>chronic inflammatory demyelinating polyneuropathy.</w:t>
      </w:r>
    </w:p>
    <w:p w14:paraId="57F9E39E" w14:textId="4EECAADC" w:rsidR="000B27B9" w:rsidRDefault="000B27B9" w:rsidP="00A54B51">
      <w:pPr>
        <w:pStyle w:val="Bodyafterbullets"/>
      </w:pPr>
      <w:r w:rsidRPr="00191234">
        <w:t>There are about 2,200 patients who are currently treated with intravenous immunoglobulin</w:t>
      </w:r>
      <w:r w:rsidRPr="6E17F018">
        <w:t>.</w:t>
      </w:r>
      <w:r>
        <w:t xml:space="preserve"> </w:t>
      </w:r>
      <w:r w:rsidRPr="00191234">
        <w:t>Approximately 30</w:t>
      </w:r>
      <w:r w:rsidR="00887E93">
        <w:t>%</w:t>
      </w:r>
      <w:r w:rsidRPr="00191234">
        <w:t xml:space="preserve"> of these patients could be treated with subcutaneous immunoglobulin therapy.</w:t>
      </w:r>
    </w:p>
    <w:p w14:paraId="289E0189" w14:textId="76F44E7C" w:rsidR="000B27B9" w:rsidRPr="00A54E8E" w:rsidRDefault="000B27B9" w:rsidP="00F027FB">
      <w:pPr>
        <w:pStyle w:val="Body"/>
      </w:pPr>
      <w:r w:rsidRPr="007F03EF">
        <w:t xml:space="preserve">The department will provide hospitals with </w:t>
      </w:r>
      <w:r w:rsidRPr="00E82BCE">
        <w:t>quarterly</w:t>
      </w:r>
      <w:r w:rsidRPr="007F03EF">
        <w:t xml:space="preserve"> funding for each patient being treated with subcutaneous immunoglobulin at home in </w:t>
      </w:r>
      <w:r w:rsidR="002E7EEF" w:rsidRPr="007F03EF">
        <w:t>2022</w:t>
      </w:r>
      <w:r w:rsidR="00E82BCE">
        <w:t>–</w:t>
      </w:r>
      <w:r w:rsidR="002E7EEF" w:rsidRPr="007F03EF">
        <w:t>23</w:t>
      </w:r>
      <w:r w:rsidRPr="007F03EF">
        <w:t xml:space="preserve">. More information can be found on the </w:t>
      </w:r>
      <w:hyperlink r:id="rId28">
        <w:r w:rsidRPr="007F03EF">
          <w:rPr>
            <w:rStyle w:val="Hyperlink"/>
          </w:rPr>
          <w:t>Subcutaneous Immunoglobulin (SCIg) access program webpage</w:t>
        </w:r>
      </w:hyperlink>
      <w:r w:rsidRPr="0225801C">
        <w:t xml:space="preserve"> &lt;</w:t>
      </w:r>
      <w:r w:rsidR="00FF3797" w:rsidRPr="00FF3797">
        <w:t>https://www.health.vic.gov.au/patient-care/subcutaneous-immunoglobulin-scig-access-program</w:t>
      </w:r>
      <w:r w:rsidR="00362928">
        <w:t>&gt;</w:t>
      </w:r>
      <w:r w:rsidRPr="0225801C">
        <w:t>.</w:t>
      </w:r>
    </w:p>
    <w:p w14:paraId="50ADB624" w14:textId="40D1BBEA" w:rsidR="000B27B9" w:rsidRPr="00B2525E" w:rsidRDefault="000B27B9" w:rsidP="000B27B9">
      <w:pPr>
        <w:pStyle w:val="Heading4"/>
      </w:pPr>
      <w:r w:rsidRPr="00B2525E">
        <w:t xml:space="preserve">Dental </w:t>
      </w:r>
      <w:r w:rsidR="00C46A54">
        <w:t>P</w:t>
      </w:r>
      <w:r w:rsidRPr="00B2525E">
        <w:t>ricing</w:t>
      </w:r>
    </w:p>
    <w:p w14:paraId="18F7412A" w14:textId="2F6AF83E" w:rsidR="005743DF" w:rsidRDefault="000B27B9" w:rsidP="00B92CD4">
      <w:pPr>
        <w:pStyle w:val="Body"/>
      </w:pPr>
      <w:r>
        <w:t xml:space="preserve">The Victorian Auditor-General's report </w:t>
      </w:r>
      <w:r w:rsidRPr="00087A13">
        <w:rPr>
          <w:i/>
          <w:iCs/>
        </w:rPr>
        <w:t xml:space="preserve">Access to </w:t>
      </w:r>
      <w:r w:rsidR="00A41644">
        <w:rPr>
          <w:i/>
          <w:iCs/>
        </w:rPr>
        <w:t>P</w:t>
      </w:r>
      <w:r w:rsidRPr="00087A13">
        <w:rPr>
          <w:i/>
          <w:iCs/>
        </w:rPr>
        <w:t xml:space="preserve">ublic </w:t>
      </w:r>
      <w:r w:rsidR="00A41644">
        <w:rPr>
          <w:i/>
          <w:iCs/>
        </w:rPr>
        <w:t>D</w:t>
      </w:r>
      <w:r w:rsidRPr="00087A13">
        <w:rPr>
          <w:i/>
          <w:iCs/>
        </w:rPr>
        <w:t xml:space="preserve">ental </w:t>
      </w:r>
      <w:r w:rsidR="00A41644">
        <w:rPr>
          <w:i/>
          <w:iCs/>
        </w:rPr>
        <w:t>S</w:t>
      </w:r>
      <w:r w:rsidRPr="00087A13">
        <w:rPr>
          <w:i/>
          <w:iCs/>
        </w:rPr>
        <w:t>ervices</w:t>
      </w:r>
      <w:r w:rsidR="00E82BCE" w:rsidRPr="00087A13">
        <w:rPr>
          <w:i/>
          <w:iCs/>
        </w:rPr>
        <w:t xml:space="preserve"> </w:t>
      </w:r>
      <w:r w:rsidRPr="00087A13">
        <w:rPr>
          <w:i/>
          <w:iCs/>
        </w:rPr>
        <w:t>in Victoria</w:t>
      </w:r>
      <w:r>
        <w:t xml:space="preserve"> made recommendations in relation to pricing, funding, performance management and other parameters for </w:t>
      </w:r>
      <w:r w:rsidR="00E82BCE">
        <w:t>s</w:t>
      </w:r>
      <w:r>
        <w:t>tate</w:t>
      </w:r>
      <w:r w:rsidR="00E82BCE">
        <w:t xml:space="preserve"> </w:t>
      </w:r>
      <w:r>
        <w:t>government</w:t>
      </w:r>
      <w:r w:rsidRPr="72936969">
        <w:t>-</w:t>
      </w:r>
      <w:r>
        <w:t>funded services.</w:t>
      </w:r>
    </w:p>
    <w:p w14:paraId="58B3403C" w14:textId="35C235B2" w:rsidR="00B9549C" w:rsidRDefault="00C35EBD" w:rsidP="00B92CD4">
      <w:pPr>
        <w:pStyle w:val="Body"/>
      </w:pPr>
      <w:r>
        <w:t xml:space="preserve">The department commenced implementation of new pricing and funding arrangements for public dental services </w:t>
      </w:r>
      <w:r w:rsidR="007D409B">
        <w:t>from 1 July 2021</w:t>
      </w:r>
      <w:r w:rsidR="00B03780">
        <w:t>.</w:t>
      </w:r>
      <w:r w:rsidR="00ED5604">
        <w:t xml:space="preserve"> </w:t>
      </w:r>
      <w:r w:rsidR="00C767BD">
        <w:t xml:space="preserve">The </w:t>
      </w:r>
      <w:r w:rsidR="007204D2">
        <w:t xml:space="preserve">key component of the new funding model </w:t>
      </w:r>
      <w:r w:rsidR="00644CC8">
        <w:t>(Stage 1</w:t>
      </w:r>
      <w:r w:rsidR="004547FE">
        <w:t xml:space="preserve"> over </w:t>
      </w:r>
      <w:r w:rsidR="006A7FD5">
        <w:t>two</w:t>
      </w:r>
      <w:r w:rsidR="004547FE">
        <w:t xml:space="preserve"> years) </w:t>
      </w:r>
      <w:r w:rsidR="007204D2">
        <w:t xml:space="preserve">has been </w:t>
      </w:r>
      <w:r w:rsidR="00782432">
        <w:t xml:space="preserve">the introduction of </w:t>
      </w:r>
      <w:r w:rsidR="00465FEE">
        <w:t xml:space="preserve">a </w:t>
      </w:r>
      <w:r w:rsidR="00185DAF">
        <w:t>consistent</w:t>
      </w:r>
      <w:r w:rsidR="005F622E">
        <w:t xml:space="preserve"> Dental Weighted Activity Unit</w:t>
      </w:r>
      <w:r w:rsidR="008F1386">
        <w:t xml:space="preserve"> </w:t>
      </w:r>
      <w:r w:rsidR="005F622E">
        <w:t>(DWAU) price</w:t>
      </w:r>
      <w:r w:rsidR="60C84B8E">
        <w:t xml:space="preserve"> </w:t>
      </w:r>
      <w:r w:rsidR="00E62286">
        <w:t xml:space="preserve">for all public dental services </w:t>
      </w:r>
      <w:r w:rsidR="318BF7AF">
        <w:t>from 1 July 2021</w:t>
      </w:r>
      <w:r w:rsidR="419C5FF3">
        <w:t>.</w:t>
      </w:r>
      <w:r w:rsidR="000B27B9">
        <w:t xml:space="preserve"> </w:t>
      </w:r>
      <w:r w:rsidR="00225AB4">
        <w:t xml:space="preserve">Stage 1 </w:t>
      </w:r>
      <w:r w:rsidR="004460FC">
        <w:t xml:space="preserve">will also include </w:t>
      </w:r>
      <w:r w:rsidR="00EC110A">
        <w:t>further work to align</w:t>
      </w:r>
      <w:r w:rsidR="008A129D">
        <w:t xml:space="preserve"> clinical placement </w:t>
      </w:r>
      <w:r w:rsidR="001D76E8">
        <w:t>grants</w:t>
      </w:r>
      <w:r w:rsidR="008A129D">
        <w:t xml:space="preserve"> with </w:t>
      </w:r>
      <w:r w:rsidR="00CF2F47">
        <w:t>the broader department</w:t>
      </w:r>
      <w:r w:rsidR="001D76E8">
        <w:t xml:space="preserve"> approach to clinical placements funding</w:t>
      </w:r>
      <w:r w:rsidR="00C31BA3">
        <w:t xml:space="preserve"> and </w:t>
      </w:r>
      <w:r w:rsidR="00372287">
        <w:t>a review of language services funding.</w:t>
      </w:r>
    </w:p>
    <w:p w14:paraId="6D6B5DD2" w14:textId="571DC1BF" w:rsidR="00B9549C" w:rsidRDefault="00B9549C" w:rsidP="0062066F">
      <w:pPr>
        <w:pStyle w:val="Heading4"/>
      </w:pPr>
      <w:r>
        <w:t xml:space="preserve">Community Health </w:t>
      </w:r>
      <w:r w:rsidR="00C46A54">
        <w:t>P</w:t>
      </w:r>
      <w:r w:rsidR="0062066F">
        <w:t>ricing</w:t>
      </w:r>
    </w:p>
    <w:p w14:paraId="6A0BFB2E" w14:textId="2456F274" w:rsidR="0062066F" w:rsidRDefault="008F144E" w:rsidP="0062066F">
      <w:pPr>
        <w:pStyle w:val="Body"/>
      </w:pPr>
      <w:r w:rsidRPr="008F144E">
        <w:t>The V</w:t>
      </w:r>
      <w:r>
        <w:t xml:space="preserve">ictorian </w:t>
      </w:r>
      <w:r w:rsidRPr="008F144E">
        <w:t>A</w:t>
      </w:r>
      <w:r>
        <w:t>uditor-</w:t>
      </w:r>
      <w:r w:rsidRPr="008F144E">
        <w:t>G</w:t>
      </w:r>
      <w:r>
        <w:t xml:space="preserve">eneral's report </w:t>
      </w:r>
      <w:r w:rsidRPr="00654088">
        <w:rPr>
          <w:rStyle w:val="Emphasis"/>
        </w:rPr>
        <w:t>Community Health Program</w:t>
      </w:r>
      <w:r w:rsidRPr="008F144E">
        <w:t xml:space="preserve"> recommended the development of a more sophisticated funding model </w:t>
      </w:r>
      <w:r w:rsidR="00FD2F5E">
        <w:t xml:space="preserve">to allow flexibility for services to adapt to changing community and client needs. </w:t>
      </w:r>
      <w:r w:rsidRPr="008F144E">
        <w:t xml:space="preserve"> </w:t>
      </w:r>
    </w:p>
    <w:p w14:paraId="5C18D822" w14:textId="3F2DC04D" w:rsidR="00775157" w:rsidRPr="0062066F" w:rsidRDefault="00775157" w:rsidP="00654088">
      <w:r>
        <w:t xml:space="preserve">The </w:t>
      </w:r>
      <w:r w:rsidRPr="00852ED4">
        <w:t>Community Health Funding Model Review</w:t>
      </w:r>
      <w:r w:rsidR="008F1386" w:rsidRPr="00852ED4">
        <w:t xml:space="preserve"> </w:t>
      </w:r>
      <w:r w:rsidRPr="00852ED4">
        <w:t>commenced in 2019</w:t>
      </w:r>
      <w:r w:rsidR="00167198" w:rsidRPr="00852ED4">
        <w:t>–</w:t>
      </w:r>
      <w:r w:rsidRPr="00852ED4">
        <w:t xml:space="preserve">20 and </w:t>
      </w:r>
      <w:r w:rsidR="00894186" w:rsidRPr="00852ED4">
        <w:t>a final report was delivered in June 2021</w:t>
      </w:r>
      <w:r w:rsidR="008540D5" w:rsidRPr="00852ED4">
        <w:t>. The</w:t>
      </w:r>
      <w:r w:rsidR="008540D5">
        <w:t xml:space="preserve"> department will work </w:t>
      </w:r>
      <w:r w:rsidR="008F1386">
        <w:t xml:space="preserve">with community health services </w:t>
      </w:r>
      <w:r w:rsidR="00D12DD1">
        <w:t xml:space="preserve">to </w:t>
      </w:r>
      <w:r w:rsidR="005D62C4">
        <w:t>implement the recommendations, includ</w:t>
      </w:r>
      <w:r w:rsidR="00A236E9">
        <w:t xml:space="preserve">ing the </w:t>
      </w:r>
      <w:r w:rsidR="007E2E99">
        <w:t>develop</w:t>
      </w:r>
      <w:r w:rsidR="00A236E9">
        <w:t>ment</w:t>
      </w:r>
      <w:r w:rsidR="001B12BC">
        <w:t xml:space="preserve"> of</w:t>
      </w:r>
      <w:r w:rsidR="00FE592E">
        <w:t xml:space="preserve"> a new </w:t>
      </w:r>
      <w:r w:rsidR="007E2E99">
        <w:t xml:space="preserve">pricing model, weightings that reflect complexity and associated </w:t>
      </w:r>
      <w:r w:rsidR="00701483">
        <w:t>requirements for care coordination</w:t>
      </w:r>
      <w:r w:rsidR="00492CE8">
        <w:t xml:space="preserve">. </w:t>
      </w:r>
      <w:r w:rsidR="00A70A3E" w:rsidRPr="00A70A3E">
        <w:t xml:space="preserve">In turn, </w:t>
      </w:r>
      <w:r w:rsidR="005F1D1A">
        <w:t xml:space="preserve">community health </w:t>
      </w:r>
      <w:r w:rsidR="00A70A3E" w:rsidRPr="00A70A3E">
        <w:t xml:space="preserve">services will have greater flexibility to deliver </w:t>
      </w:r>
      <w:r w:rsidR="001C182D">
        <w:t>optimal</w:t>
      </w:r>
      <w:r w:rsidR="00A70A3E" w:rsidRPr="00A70A3E">
        <w:t xml:space="preserve"> care </w:t>
      </w:r>
      <w:r w:rsidR="001C182D">
        <w:t>to</w:t>
      </w:r>
      <w:r w:rsidR="00A70A3E" w:rsidRPr="00A70A3E">
        <w:t xml:space="preserve"> </w:t>
      </w:r>
      <w:r w:rsidR="001C182D">
        <w:t>people</w:t>
      </w:r>
      <w:r w:rsidR="00A70A3E" w:rsidRPr="00A70A3E">
        <w:t xml:space="preserve"> with chronic and complex </w:t>
      </w:r>
      <w:r w:rsidR="001C182D">
        <w:t>needs</w:t>
      </w:r>
      <w:r w:rsidR="00A70A3E" w:rsidRPr="00A70A3E">
        <w:t>.</w:t>
      </w:r>
    </w:p>
    <w:p w14:paraId="1C606DBD" w14:textId="6BD8AA7A" w:rsidR="000B27B9" w:rsidRPr="00B2525E" w:rsidRDefault="00E82BCE" w:rsidP="000B27B9">
      <w:pPr>
        <w:pStyle w:val="Heading4"/>
      </w:pPr>
      <w:r>
        <w:t>High-</w:t>
      </w:r>
      <w:r w:rsidR="00C46A54">
        <w:t>C</w:t>
      </w:r>
      <w:r w:rsidR="368059AD">
        <w:t xml:space="preserve">ost, </w:t>
      </w:r>
      <w:r w:rsidR="00C46A54">
        <w:t>L</w:t>
      </w:r>
      <w:r>
        <w:t>ow-</w:t>
      </w:r>
      <w:r w:rsidR="00C46A54">
        <w:t>V</w:t>
      </w:r>
      <w:r w:rsidR="368059AD">
        <w:t xml:space="preserve">olume </w:t>
      </w:r>
      <w:r w:rsidR="00C46A54">
        <w:t>C</w:t>
      </w:r>
      <w:r w:rsidR="368059AD">
        <w:t>ross-</w:t>
      </w:r>
      <w:r w:rsidR="00C46A54">
        <w:t>B</w:t>
      </w:r>
      <w:r w:rsidR="368059AD">
        <w:t xml:space="preserve">order </w:t>
      </w:r>
      <w:r w:rsidR="00C46A54">
        <w:t>P</w:t>
      </w:r>
      <w:r w:rsidR="368059AD">
        <w:t>atients</w:t>
      </w:r>
    </w:p>
    <w:p w14:paraId="3A5E9F5D" w14:textId="08FAD14D" w:rsidR="000B27B9" w:rsidRDefault="000B27B9" w:rsidP="00B92CD4">
      <w:pPr>
        <w:pStyle w:val="Body"/>
      </w:pPr>
      <w:r>
        <w:t xml:space="preserve">The </w:t>
      </w:r>
      <w:r w:rsidR="00DF2799">
        <w:t>d</w:t>
      </w:r>
      <w:r>
        <w:t xml:space="preserve">epartment allocates funding according to the expected activity levels. Normally, the </w:t>
      </w:r>
      <w:r w:rsidR="00DF2799">
        <w:t>d</w:t>
      </w:r>
      <w:r>
        <w:t xml:space="preserve">epartment estimates its expected revenue for a relevant financial year (Commonwealth, </w:t>
      </w:r>
      <w:r w:rsidR="00E82BCE">
        <w:t>state</w:t>
      </w:r>
      <w:r>
        <w:t xml:space="preserve">, net </w:t>
      </w:r>
      <w:r>
        <w:lastRenderedPageBreak/>
        <w:t>cross-border funding) and also sets aside funding for known commitments to be incurred during the financial year.</w:t>
      </w:r>
    </w:p>
    <w:p w14:paraId="5B1472FF" w14:textId="77777777" w:rsidR="000B27B9" w:rsidRDefault="000B27B9" w:rsidP="00B92CD4">
      <w:pPr>
        <w:pStyle w:val="Body"/>
      </w:pPr>
      <w:r w:rsidRPr="00112A8E">
        <w:t xml:space="preserve">In general, funded organisations are cash-flowed during the financial year according to their funding allocations. </w:t>
      </w:r>
      <w:r>
        <w:t>Funded organisations are expected to manage their resident and non-resident demand based on the funding provided.</w:t>
      </w:r>
    </w:p>
    <w:p w14:paraId="3A8C9407" w14:textId="6DBE0362" w:rsidR="000B27B9" w:rsidRDefault="000B27B9" w:rsidP="00B92CD4">
      <w:pPr>
        <w:pStyle w:val="Body"/>
      </w:pPr>
      <w:r w:rsidRPr="00112A8E">
        <w:t>Where required, adjustments to this funding for over- and under-activity are made in the following financial year accordin</w:t>
      </w:r>
      <w:r>
        <w:t>g to the policies set out in the prior</w:t>
      </w:r>
      <w:r w:rsidR="006B4DBF">
        <w:t>-</w:t>
      </w:r>
      <w:r>
        <w:t>year adjustment section of the</w:t>
      </w:r>
      <w:r w:rsidR="00973F55">
        <w:t>se</w:t>
      </w:r>
      <w:r>
        <w:t xml:space="preserve"> </w:t>
      </w:r>
      <w:r w:rsidRPr="001974FE">
        <w:t>guidelines</w:t>
      </w:r>
      <w:r>
        <w:t>. The prior</w:t>
      </w:r>
      <w:r w:rsidR="006B4DBF">
        <w:t>-</w:t>
      </w:r>
      <w:r>
        <w:t xml:space="preserve">year adjustment policy does not make adjustments for changes </w:t>
      </w:r>
      <w:r w:rsidRPr="001C45DE">
        <w:t>for annual variations in this cohort</w:t>
      </w:r>
      <w:r>
        <w:t>.</w:t>
      </w:r>
    </w:p>
    <w:p w14:paraId="3E179FE4" w14:textId="1C35ED73" w:rsidR="000B27B9" w:rsidRDefault="000B27B9" w:rsidP="00B92CD4">
      <w:pPr>
        <w:pStyle w:val="Body"/>
      </w:pPr>
      <w:r>
        <w:t xml:space="preserve">In accordance with Clause A91 of the National Health Reform Agreement, cross-border agreements are developed between jurisdictions that experience significant cross-border flows. The </w:t>
      </w:r>
      <w:r w:rsidR="00DF2799">
        <w:t>d</w:t>
      </w:r>
      <w:r>
        <w:t xml:space="preserve">epartment negotiates agreements with all other states and territories (jurisdictions), based on a standard agreement. These agreements form the basis of the flow of funds between Victoria and other jurisdictions for residents treated from those respective </w:t>
      </w:r>
      <w:r w:rsidR="008F1386">
        <w:t>states and territories</w:t>
      </w:r>
      <w:r>
        <w:t>. Annual reconciliations of cross-border flows occur to determine the liability of each jurisdiction. This revenue/liability is then factored into the available revenue available for redistribution as part of the modelled budget each year.</w:t>
      </w:r>
    </w:p>
    <w:p w14:paraId="2B5DD561" w14:textId="4E7A4169" w:rsidR="000B27B9" w:rsidRDefault="000B27B9" w:rsidP="00B92CD4">
      <w:pPr>
        <w:pStyle w:val="Body"/>
      </w:pPr>
      <w:r>
        <w:t>Under these agreements, a</w:t>
      </w:r>
      <w:r w:rsidRPr="001C45DE">
        <w:t xml:space="preserve">ll financial transactions </w:t>
      </w:r>
      <w:r>
        <w:t xml:space="preserve">are to be transacted by the relevant health departments and not through interagency transfers (for example, hospital to hospital or </w:t>
      </w:r>
      <w:r w:rsidR="0055462A">
        <w:t xml:space="preserve">state </w:t>
      </w:r>
      <w:r>
        <w:t>health department to hospital).</w:t>
      </w:r>
    </w:p>
    <w:p w14:paraId="49CFC520" w14:textId="632326B7" w:rsidR="000B27B9" w:rsidRPr="00A420BD" w:rsidRDefault="000B27B9" w:rsidP="00B92CD4">
      <w:pPr>
        <w:pStyle w:val="Body"/>
      </w:pPr>
      <w:r>
        <w:t>Under the cross-border agreements, there is an exemption for high</w:t>
      </w:r>
      <w:r w:rsidR="00EB743C">
        <w:t>-</w:t>
      </w:r>
      <w:r>
        <w:t xml:space="preserve">cost procedures. </w:t>
      </w:r>
      <w:r w:rsidRPr="00A420BD">
        <w:t>A high</w:t>
      </w:r>
      <w:r w:rsidR="00EB743C">
        <w:t>-</w:t>
      </w:r>
      <w:r w:rsidRPr="00A420BD">
        <w:t xml:space="preserve">cost procedure is </w:t>
      </w:r>
      <w:r>
        <w:t xml:space="preserve">defined as </w:t>
      </w:r>
      <w:r w:rsidRPr="00A420BD">
        <w:t>a procedure that is not reasonably funded by the existing classification system and cost weights and are agreed to at a jurisdictional level prospectively on a case</w:t>
      </w:r>
      <w:r>
        <w:t>-</w:t>
      </w:r>
      <w:r w:rsidRPr="00A420BD">
        <w:t>by</w:t>
      </w:r>
      <w:r>
        <w:t>-</w:t>
      </w:r>
      <w:r w:rsidRPr="00A420BD">
        <w:t>case basis. For the avoidance of doubt, this definition excludes experimental procedures.</w:t>
      </w:r>
    </w:p>
    <w:p w14:paraId="42CA4321" w14:textId="169FBA1B" w:rsidR="000B27B9" w:rsidRPr="00A420BD" w:rsidRDefault="000B27B9" w:rsidP="00B92CD4">
      <w:pPr>
        <w:pStyle w:val="Body"/>
      </w:pPr>
      <w:r w:rsidRPr="00A420BD">
        <w:t>Admitted acute high</w:t>
      </w:r>
      <w:r w:rsidR="00EB743C">
        <w:t>-</w:t>
      </w:r>
      <w:r w:rsidRPr="00A420BD">
        <w:t>cost procedures (</w:t>
      </w:r>
      <w:r>
        <w:t>for example,</w:t>
      </w:r>
      <w:r w:rsidRPr="00A420BD">
        <w:t xml:space="preserve"> those funded by </w:t>
      </w:r>
      <w:r w:rsidR="00081A9E">
        <w:t>NWAU</w:t>
      </w:r>
      <w:r w:rsidRPr="00A420BD">
        <w:t>) are defined by procedures that:</w:t>
      </w:r>
    </w:p>
    <w:p w14:paraId="647E0F0B" w14:textId="77777777" w:rsidR="000B27B9" w:rsidRPr="00A420BD" w:rsidRDefault="000B27B9" w:rsidP="00E05C4E">
      <w:pPr>
        <w:pStyle w:val="Bullet1"/>
      </w:pPr>
      <w:r>
        <w:t>are provided at limited sites nationally</w:t>
      </w:r>
    </w:p>
    <w:p w14:paraId="531412D4" w14:textId="77777777" w:rsidR="000B27B9" w:rsidRPr="00A420BD" w:rsidRDefault="000B27B9" w:rsidP="00E05C4E">
      <w:pPr>
        <w:pStyle w:val="Bullet1"/>
      </w:pPr>
      <w:r>
        <w:t>have low volume (&lt; 200 separations nationally)</w:t>
      </w:r>
    </w:p>
    <w:p w14:paraId="44233631" w14:textId="7089E776" w:rsidR="000B27B9" w:rsidRPr="00A420BD" w:rsidRDefault="000B27B9" w:rsidP="00E05C4E">
      <w:pPr>
        <w:pStyle w:val="Bullet1"/>
      </w:pPr>
      <w:r>
        <w:t xml:space="preserve">cost significantly more (&gt; $20,000) than the funding provided based on the relevant year’s </w:t>
      </w:r>
      <w:hyperlink r:id="rId29">
        <w:r w:rsidRPr="4DDFA079">
          <w:rPr>
            <w:rStyle w:val="Hyperlink"/>
          </w:rPr>
          <w:t>National Efficient Price Determination</w:t>
        </w:r>
      </w:hyperlink>
      <w:r>
        <w:t xml:space="preserve"> &lt;</w:t>
      </w:r>
      <w:r w:rsidR="005F7369" w:rsidRPr="005F7369">
        <w:t>https://www.ihacpa.gov.au/pricing/national-efficient-price-determination</w:t>
      </w:r>
      <w:r>
        <w:t>&gt;.</w:t>
      </w:r>
    </w:p>
    <w:p w14:paraId="15E2D437" w14:textId="5E918747" w:rsidR="000B27B9" w:rsidRDefault="000B27B9" w:rsidP="00B92CD4">
      <w:pPr>
        <w:pStyle w:val="Bodyafterbullets"/>
      </w:pPr>
      <w:r>
        <w:t xml:space="preserve">Prior to the procedure, hospitals </w:t>
      </w:r>
      <w:r w:rsidRPr="006F35AF">
        <w:t xml:space="preserve">may seek </w:t>
      </w:r>
      <w:r>
        <w:t xml:space="preserve">this exemption (in limited circumstances) </w:t>
      </w:r>
      <w:r w:rsidRPr="006F35AF">
        <w:t>from the department for those services classified as high</w:t>
      </w:r>
      <w:r w:rsidR="00EB743C">
        <w:t>-</w:t>
      </w:r>
      <w:r w:rsidRPr="006F35AF">
        <w:t>cost procedures and</w:t>
      </w:r>
      <w:r>
        <w:t xml:space="preserve"> that will be</w:t>
      </w:r>
      <w:r w:rsidRPr="006F35AF">
        <w:t xml:space="preserve"> provided to patients who reside in </w:t>
      </w:r>
      <w:r w:rsidR="0055462A" w:rsidRPr="006F35AF">
        <w:t xml:space="preserve">another </w:t>
      </w:r>
      <w:r w:rsidR="0055462A">
        <w:t>s</w:t>
      </w:r>
      <w:r w:rsidR="0055462A" w:rsidRPr="006F35AF">
        <w:t xml:space="preserve">tate or </w:t>
      </w:r>
      <w:r w:rsidR="0055462A">
        <w:t>t</w:t>
      </w:r>
      <w:r w:rsidR="0055462A" w:rsidRPr="006F35AF">
        <w:t>erritory</w:t>
      </w:r>
      <w:r w:rsidRPr="006F35AF">
        <w:t>. Subject to meeting the definition of a high</w:t>
      </w:r>
      <w:r w:rsidR="00EB743C">
        <w:t>-</w:t>
      </w:r>
      <w:r w:rsidRPr="006F35AF">
        <w:t>cost procedure and complying with the agre</w:t>
      </w:r>
      <w:r>
        <w:t xml:space="preserve">ed criteria and process, </w:t>
      </w:r>
      <w:r w:rsidRPr="006F35AF">
        <w:t xml:space="preserve">hospitals may be paid a supplementary payment by the </w:t>
      </w:r>
      <w:r w:rsidR="00DF2799">
        <w:t>d</w:t>
      </w:r>
      <w:r w:rsidRPr="006F35AF">
        <w:t>epartment through the prior</w:t>
      </w:r>
      <w:r w:rsidR="006B4DBF">
        <w:t>-</w:t>
      </w:r>
      <w:r w:rsidRPr="006F35AF">
        <w:t xml:space="preserve">year adjustment process to meet the difference between the </w:t>
      </w:r>
      <w:r w:rsidR="00DF2799">
        <w:t>d</w:t>
      </w:r>
      <w:r w:rsidRPr="006F35AF">
        <w:t>epartment’s funding allocation and the actual cost of the procedure paid by the resident’s jurisdiction.</w:t>
      </w:r>
    </w:p>
    <w:p w14:paraId="39F3F05D" w14:textId="6D46141B" w:rsidR="000B27B9" w:rsidRDefault="000B27B9" w:rsidP="00B92CD4">
      <w:pPr>
        <w:pStyle w:val="Body"/>
      </w:pPr>
      <w:r>
        <w:t xml:space="preserve">Hospitals should advise the </w:t>
      </w:r>
      <w:r w:rsidR="00DF2799">
        <w:t>d</w:t>
      </w:r>
      <w:r>
        <w:t>epartment in advance (wherever possible) and care to non-resident patients should not be subject to or impacted by financial arrangements and should be based on standard clinical protocols.</w:t>
      </w:r>
    </w:p>
    <w:p w14:paraId="5E58E3F8" w14:textId="1AC41808" w:rsidR="000B27B9" w:rsidRDefault="000B27B9" w:rsidP="00B92CD4">
      <w:pPr>
        <w:pStyle w:val="Body"/>
      </w:pPr>
      <w:r>
        <w:t>H</w:t>
      </w:r>
      <w:r w:rsidRPr="006F35AF">
        <w:t xml:space="preserve">ospitals may not seek an exemption for Nationally Funded Centre (NFC) procedures as the funding for these procedures are already shared by jurisdictions and set annually by the </w:t>
      </w:r>
      <w:r w:rsidR="007C1B44">
        <w:t>Health Chief Executives Forum</w:t>
      </w:r>
      <w:r w:rsidRPr="006F35AF">
        <w:t>.</w:t>
      </w:r>
    </w:p>
    <w:p w14:paraId="296C6852" w14:textId="66086D26" w:rsidR="007D64B5" w:rsidRDefault="007D64B5" w:rsidP="007D64B5">
      <w:pPr>
        <w:pStyle w:val="Heading2"/>
        <w:spacing w:after="440" w:line="440" w:lineRule="atLeast"/>
      </w:pPr>
      <w:bookmarkStart w:id="154" w:name="_Toc100263277"/>
      <w:bookmarkStart w:id="155" w:name="_Toc127191925"/>
      <w:bookmarkStart w:id="156" w:name="_Hlk77685410"/>
      <w:bookmarkStart w:id="157" w:name="_Toc52892559"/>
      <w:r>
        <w:lastRenderedPageBreak/>
        <w:t xml:space="preserve">National </w:t>
      </w:r>
      <w:r w:rsidR="00C46A54">
        <w:t>F</w:t>
      </w:r>
      <w:r>
        <w:t xml:space="preserve">unding </w:t>
      </w:r>
      <w:r w:rsidR="00C46A54">
        <w:t>A</w:t>
      </w:r>
      <w:r>
        <w:t>rrangements</w:t>
      </w:r>
      <w:bookmarkEnd w:id="154"/>
      <w:bookmarkEnd w:id="155"/>
    </w:p>
    <w:p w14:paraId="3EEACABC" w14:textId="58E483A0" w:rsidR="007D64B5" w:rsidRPr="0025494B" w:rsidRDefault="007D64B5" w:rsidP="007D64B5">
      <w:pPr>
        <w:pStyle w:val="Body"/>
      </w:pPr>
      <w:r w:rsidRPr="0025494B">
        <w:t xml:space="preserve">The </w:t>
      </w:r>
      <w:r>
        <w:t>National Health Reform Agreement</w:t>
      </w:r>
      <w:r w:rsidRPr="0025494B">
        <w:t xml:space="preserve"> establish</w:t>
      </w:r>
      <w:r>
        <w:t xml:space="preserve">es </w:t>
      </w:r>
      <w:r w:rsidRPr="0025494B">
        <w:t xml:space="preserve">a framework for funding public hospital services under a national approach to </w:t>
      </w:r>
      <w:r>
        <w:t>activity-based funding</w:t>
      </w:r>
      <w:r w:rsidR="00557E4B">
        <w:t xml:space="preserve"> (ABF)</w:t>
      </w:r>
      <w:r w:rsidRPr="0025494B">
        <w:t>.</w:t>
      </w:r>
    </w:p>
    <w:p w14:paraId="7F2CCAC8" w14:textId="77777777" w:rsidR="00F41B07" w:rsidRDefault="007D64B5" w:rsidP="007D64B5">
      <w:pPr>
        <w:pStyle w:val="Body"/>
      </w:pPr>
      <w:r w:rsidRPr="0025494B">
        <w:t xml:space="preserve">The goal of the national approach is to provide a national platform for accurately and visibly allocating funding to Australian hospitals based on activity performed. </w:t>
      </w:r>
    </w:p>
    <w:p w14:paraId="760412A5" w14:textId="2F47F1E6" w:rsidR="00BF78E4" w:rsidRDefault="00BF78E4" w:rsidP="00BF78E4">
      <w:pPr>
        <w:pStyle w:val="Body"/>
      </w:pPr>
      <w:r>
        <w:t xml:space="preserve">In </w:t>
      </w:r>
      <w:r w:rsidR="002E7EEF" w:rsidRPr="001725DF">
        <w:t>2022</w:t>
      </w:r>
      <w:r w:rsidR="0055462A">
        <w:t>–</w:t>
      </w:r>
      <w:r w:rsidR="002E7EEF" w:rsidRPr="001725DF">
        <w:t>23</w:t>
      </w:r>
      <w:r w:rsidR="0055462A">
        <w:t>,</w:t>
      </w:r>
      <w:r w:rsidR="002E7EEF" w:rsidRPr="00110B89">
        <w:rPr>
          <w:lang w:val="en-US"/>
        </w:rPr>
        <w:t xml:space="preserve"> </w:t>
      </w:r>
      <w:r>
        <w:t xml:space="preserve">the in-scope public hospital services that will be funded </w:t>
      </w:r>
      <w:r w:rsidR="00AB0998">
        <w:t xml:space="preserve">by the Commonwealth </w:t>
      </w:r>
      <w:r>
        <w:t xml:space="preserve">through </w:t>
      </w:r>
      <w:r w:rsidR="007622F0">
        <w:t>activity</w:t>
      </w:r>
      <w:r w:rsidR="00D9542F">
        <w:t>-</w:t>
      </w:r>
      <w:r w:rsidR="007622F0">
        <w:t xml:space="preserve">based funding under </w:t>
      </w:r>
      <w:r>
        <w:t xml:space="preserve">the </w:t>
      </w:r>
      <w:r w:rsidRPr="00BF78E4">
        <w:rPr>
          <w:iCs/>
        </w:rPr>
        <w:t>National Health Reform Agreement</w:t>
      </w:r>
      <w:r>
        <w:t xml:space="preserve"> are:</w:t>
      </w:r>
    </w:p>
    <w:p w14:paraId="154C3995" w14:textId="77777777" w:rsidR="00BF78E4" w:rsidRPr="00715B2B" w:rsidRDefault="00BF78E4" w:rsidP="00E05C4E">
      <w:pPr>
        <w:pStyle w:val="Bullet1"/>
      </w:pPr>
      <w:r>
        <w:t>all acute admitted patient services, including HITH</w:t>
      </w:r>
    </w:p>
    <w:p w14:paraId="2849C380" w14:textId="77777777" w:rsidR="00BF78E4" w:rsidRPr="00715B2B" w:rsidRDefault="00BF78E4" w:rsidP="00E05C4E">
      <w:pPr>
        <w:pStyle w:val="Bullet1"/>
      </w:pPr>
      <w:r>
        <w:t>all emergency department services</w:t>
      </w:r>
    </w:p>
    <w:p w14:paraId="30DDCC15" w14:textId="77777777" w:rsidR="00BF78E4" w:rsidRPr="00715B2B" w:rsidRDefault="00BF78E4" w:rsidP="00E05C4E">
      <w:pPr>
        <w:pStyle w:val="Bullet1"/>
      </w:pPr>
      <w:r>
        <w:t>all admitted subacute services</w:t>
      </w:r>
    </w:p>
    <w:p w14:paraId="47EB1F84" w14:textId="77777777" w:rsidR="00BF78E4" w:rsidRPr="00715B2B" w:rsidRDefault="00BF78E4" w:rsidP="00E05C4E">
      <w:pPr>
        <w:pStyle w:val="Bullet1"/>
      </w:pPr>
      <w:r>
        <w:t>all admitted mental health services</w:t>
      </w:r>
    </w:p>
    <w:p w14:paraId="638ABE5E" w14:textId="2224D549" w:rsidR="007D64B5" w:rsidRPr="0060001F" w:rsidRDefault="00BF78E4" w:rsidP="00E05C4E">
      <w:pPr>
        <w:pStyle w:val="Bullet1"/>
      </w:pPr>
      <w:r>
        <w:t>non-admitted acute and non-admitted subacute patient services</w:t>
      </w:r>
      <w:r w:rsidR="007D64B5">
        <w:t>.</w:t>
      </w:r>
    </w:p>
    <w:p w14:paraId="705F9315" w14:textId="77777777" w:rsidR="00BF78E4" w:rsidRDefault="00BF78E4" w:rsidP="00BF78E4">
      <w:pPr>
        <w:pStyle w:val="Bodyafterbullets"/>
      </w:pPr>
      <w:r>
        <w:t>The national model recognises that activity-based funding may not always be practicable and that some services will need to be funded on a block-grant basis. Under current arrangements, small rural health services and teaching, non-admitted mental health training and research outputs will continue to be funded nationally through block grants.</w:t>
      </w:r>
    </w:p>
    <w:p w14:paraId="4BF824CA" w14:textId="12867496" w:rsidR="007D64B5" w:rsidRDefault="03ACD1AD" w:rsidP="007D64B5">
      <w:pPr>
        <w:pStyle w:val="Heading3"/>
        <w:spacing w:before="240"/>
      </w:pPr>
      <w:bookmarkStart w:id="158" w:name="_Toc100263278"/>
      <w:bookmarkStart w:id="159" w:name="_Toc127191926"/>
      <w:r w:rsidRPr="0055462A">
        <w:t>P</w:t>
      </w:r>
      <w:r w:rsidR="528E3CFC" w:rsidRPr="0055462A">
        <w:t xml:space="preserve">ricing </w:t>
      </w:r>
      <w:r w:rsidR="00CF179A">
        <w:t>F</w:t>
      </w:r>
      <w:r w:rsidR="0055462A" w:rsidRPr="0055462A">
        <w:t xml:space="preserve">ramework </w:t>
      </w:r>
      <w:r w:rsidR="528E3CFC" w:rsidRPr="0055462A">
        <w:t xml:space="preserve">for Australian </w:t>
      </w:r>
      <w:bookmarkEnd w:id="158"/>
      <w:r w:rsidR="00CF179A">
        <w:t>P</w:t>
      </w:r>
      <w:r w:rsidR="0055462A" w:rsidRPr="0055462A">
        <w:t xml:space="preserve">ublic </w:t>
      </w:r>
      <w:r w:rsidR="00CF179A">
        <w:t>H</w:t>
      </w:r>
      <w:r w:rsidR="0055462A" w:rsidRPr="0055462A">
        <w:t>ospita</w:t>
      </w:r>
      <w:r w:rsidR="0055462A" w:rsidRPr="00AE6427">
        <w:t>ls</w:t>
      </w:r>
      <w:bookmarkEnd w:id="159"/>
    </w:p>
    <w:p w14:paraId="5CDB8015" w14:textId="013FA102" w:rsidR="00557E4B" w:rsidRDefault="4C7A8A74" w:rsidP="001748BC">
      <w:pPr>
        <w:pStyle w:val="Body"/>
      </w:pPr>
      <w:r>
        <w:t xml:space="preserve">The </w:t>
      </w:r>
      <w:r w:rsidRPr="00287747">
        <w:rPr>
          <w:i/>
        </w:rPr>
        <w:t xml:space="preserve">Pricing </w:t>
      </w:r>
      <w:r w:rsidR="0055462A">
        <w:rPr>
          <w:i/>
          <w:iCs/>
        </w:rPr>
        <w:t>f</w:t>
      </w:r>
      <w:r w:rsidR="0055462A" w:rsidRPr="00AE6427">
        <w:rPr>
          <w:i/>
          <w:iCs/>
        </w:rPr>
        <w:t>ramework</w:t>
      </w:r>
      <w:r w:rsidR="0055462A" w:rsidRPr="00287747">
        <w:rPr>
          <w:i/>
        </w:rPr>
        <w:t xml:space="preserve"> </w:t>
      </w:r>
      <w:r w:rsidRPr="00287747">
        <w:rPr>
          <w:i/>
        </w:rPr>
        <w:t xml:space="preserve">for Australian </w:t>
      </w:r>
      <w:r w:rsidR="0055462A">
        <w:rPr>
          <w:i/>
          <w:iCs/>
        </w:rPr>
        <w:t>p</w:t>
      </w:r>
      <w:r w:rsidR="0055462A" w:rsidRPr="00AE6427">
        <w:rPr>
          <w:i/>
          <w:iCs/>
        </w:rPr>
        <w:t xml:space="preserve">ublic </w:t>
      </w:r>
      <w:r w:rsidR="0055462A">
        <w:rPr>
          <w:i/>
          <w:iCs/>
        </w:rPr>
        <w:t>h</w:t>
      </w:r>
      <w:r w:rsidR="0055462A" w:rsidRPr="00AE6427">
        <w:rPr>
          <w:i/>
          <w:iCs/>
        </w:rPr>
        <w:t xml:space="preserve">ospital </w:t>
      </w:r>
      <w:r w:rsidR="0055462A">
        <w:rPr>
          <w:i/>
          <w:iCs/>
        </w:rPr>
        <w:t>s</w:t>
      </w:r>
      <w:r w:rsidR="0055462A" w:rsidRPr="00AE6427">
        <w:rPr>
          <w:i/>
          <w:iCs/>
        </w:rPr>
        <w:t>ervices</w:t>
      </w:r>
      <w:r w:rsidR="0055462A">
        <w:t xml:space="preserve"> </w:t>
      </w:r>
      <w:r>
        <w:t xml:space="preserve">(updated annually) outlines the principles, scope and methodology adopted by the Independent </w:t>
      </w:r>
      <w:r w:rsidR="0013611D">
        <w:t xml:space="preserve">Health </w:t>
      </w:r>
      <w:r w:rsidR="005F7369">
        <w:t xml:space="preserve">and Aged Care </w:t>
      </w:r>
      <w:r>
        <w:t>Pricing Authority (IH</w:t>
      </w:r>
      <w:r w:rsidR="005F7369">
        <w:t>AC</w:t>
      </w:r>
      <w:r>
        <w:t xml:space="preserve">PA) to determine funding of in-scope public hospital services under the National Health Reform Agreement. The Framework articulates both </w:t>
      </w:r>
      <w:r w:rsidR="00977FCB">
        <w:t>A</w:t>
      </w:r>
      <w:r w:rsidR="00557E4B">
        <w:t xml:space="preserve">BF </w:t>
      </w:r>
      <w:r w:rsidR="7F397520">
        <w:t xml:space="preserve">and block funding approaches. The key difference between the two approaches is that the </w:t>
      </w:r>
      <w:r w:rsidR="00557E4B">
        <w:t>ABF</w:t>
      </w:r>
      <w:r w:rsidR="008F1386">
        <w:t xml:space="preserve"> </w:t>
      </w:r>
      <w:r w:rsidR="7F397520">
        <w:t>model calculates an efficient price per episode of care, while the block</w:t>
      </w:r>
      <w:r w:rsidR="00D9542F">
        <w:t>-</w:t>
      </w:r>
      <w:r w:rsidR="7F397520">
        <w:t xml:space="preserve">funded model calculates an efficient cost for the hospital (see sections </w:t>
      </w:r>
      <w:r w:rsidR="003119E1">
        <w:fldChar w:fldCharType="begin"/>
      </w:r>
      <w:r w:rsidR="003119E1">
        <w:instrText xml:space="preserve"> REF _Ref111436568 \r \h </w:instrText>
      </w:r>
      <w:r w:rsidR="003119E1">
        <w:fldChar w:fldCharType="separate"/>
      </w:r>
      <w:r w:rsidR="006D0756">
        <w:t>1.6.1.3</w:t>
      </w:r>
      <w:r w:rsidR="003119E1">
        <w:fldChar w:fldCharType="end"/>
      </w:r>
      <w:r w:rsidR="003119E1">
        <w:t xml:space="preserve"> </w:t>
      </w:r>
      <w:r w:rsidR="00870A91">
        <w:t>‘</w:t>
      </w:r>
      <w:r w:rsidR="003119E1">
        <w:fldChar w:fldCharType="begin"/>
      </w:r>
      <w:r w:rsidR="003119E1">
        <w:instrText xml:space="preserve"> REF _Ref111436568 \h </w:instrText>
      </w:r>
      <w:r w:rsidR="003119E1">
        <w:fldChar w:fldCharType="separate"/>
      </w:r>
      <w:r w:rsidR="006D0756">
        <w:t>Activity-Based Funding</w:t>
      </w:r>
      <w:r w:rsidR="003119E1">
        <w:fldChar w:fldCharType="end"/>
      </w:r>
      <w:r w:rsidR="00870A91">
        <w:t xml:space="preserve">’ </w:t>
      </w:r>
      <w:r w:rsidR="7F397520">
        <w:t>and</w:t>
      </w:r>
      <w:r w:rsidR="00E205DE">
        <w:t xml:space="preserve"> </w:t>
      </w:r>
      <w:r w:rsidR="00E205DE">
        <w:fldChar w:fldCharType="begin"/>
      </w:r>
      <w:r w:rsidR="00E205DE">
        <w:instrText xml:space="preserve"> REF _Ref111436628 \r \h </w:instrText>
      </w:r>
      <w:r w:rsidR="00E205DE">
        <w:fldChar w:fldCharType="separate"/>
      </w:r>
      <w:r w:rsidR="006D0756">
        <w:t>1.6.1.4</w:t>
      </w:r>
      <w:r w:rsidR="00E205DE">
        <w:fldChar w:fldCharType="end"/>
      </w:r>
      <w:r w:rsidR="00E205DE">
        <w:t xml:space="preserve"> ‘</w:t>
      </w:r>
      <w:r w:rsidR="00E205DE">
        <w:fldChar w:fldCharType="begin"/>
      </w:r>
      <w:r w:rsidR="00E205DE">
        <w:instrText xml:space="preserve"> REF _Ref111436628 \h </w:instrText>
      </w:r>
      <w:r w:rsidR="00E205DE">
        <w:fldChar w:fldCharType="separate"/>
      </w:r>
      <w:r w:rsidR="006D0756">
        <w:t>National Efficient Cost (block funding)</w:t>
      </w:r>
      <w:r w:rsidR="00E205DE">
        <w:fldChar w:fldCharType="end"/>
      </w:r>
      <w:r w:rsidR="7F397520">
        <w:t>).</w:t>
      </w:r>
    </w:p>
    <w:p w14:paraId="79F6BF6A" w14:textId="1A9013AC" w:rsidR="009B5A5D" w:rsidRDefault="009B5A5D" w:rsidP="009B5A5D">
      <w:pPr>
        <w:pStyle w:val="Heading4"/>
      </w:pPr>
      <w:r>
        <w:t xml:space="preserve">National </w:t>
      </w:r>
      <w:r w:rsidR="00CF179A">
        <w:t>E</w:t>
      </w:r>
      <w:r w:rsidR="0055462A">
        <w:t xml:space="preserve">fficient </w:t>
      </w:r>
      <w:r w:rsidR="00CF179A">
        <w:t>P</w:t>
      </w:r>
      <w:r w:rsidR="0055462A">
        <w:t xml:space="preserve">rice and </w:t>
      </w:r>
      <w:r w:rsidR="00CF179A">
        <w:t>N</w:t>
      </w:r>
      <w:r w:rsidR="0055462A">
        <w:t xml:space="preserve">ational </w:t>
      </w:r>
      <w:r w:rsidR="00CF179A">
        <w:t>E</w:t>
      </w:r>
      <w:r w:rsidR="0055462A">
        <w:t xml:space="preserve">fficient </w:t>
      </w:r>
      <w:r w:rsidR="00CF179A">
        <w:t>C</w:t>
      </w:r>
      <w:r w:rsidR="0055462A">
        <w:t>ost</w:t>
      </w:r>
    </w:p>
    <w:p w14:paraId="0A1A3BF9" w14:textId="42A3E8EE" w:rsidR="009B5A5D" w:rsidRDefault="009B5A5D" w:rsidP="009B5A5D">
      <w:pPr>
        <w:pStyle w:val="Body"/>
      </w:pPr>
      <w:r>
        <w:t>The National Efficient Price</w:t>
      </w:r>
      <w:r w:rsidR="00AD763B">
        <w:t xml:space="preserve"> </w:t>
      </w:r>
      <w:r>
        <w:t xml:space="preserve">(NEP) is used to calculate Commonwealth payments for public hospital services that are funded on an activity basis. The NEP has two key purposes: </w:t>
      </w:r>
    </w:p>
    <w:p w14:paraId="2B7B79AE" w14:textId="1E5A5FDA" w:rsidR="009B5A5D" w:rsidRDefault="00AD763B" w:rsidP="00E05C4E">
      <w:pPr>
        <w:pStyle w:val="Bullet1"/>
      </w:pPr>
      <w:r>
        <w:t xml:space="preserve">It </w:t>
      </w:r>
      <w:r w:rsidR="009B5A5D">
        <w:t xml:space="preserve">comprises a major determinant of the level of Commonwealth government funding </w:t>
      </w:r>
      <w:r w:rsidR="6B340502">
        <w:t>for</w:t>
      </w:r>
      <w:r w:rsidR="009B5A5D">
        <w:t xml:space="preserve"> public hospital services</w:t>
      </w:r>
      <w:r>
        <w:t>.</w:t>
      </w:r>
    </w:p>
    <w:p w14:paraId="3AF7C0DB" w14:textId="0C1BEA37" w:rsidR="009B5A5D" w:rsidRDefault="00AD763B" w:rsidP="00E05C4E">
      <w:pPr>
        <w:pStyle w:val="Bullet1"/>
      </w:pPr>
      <w:r>
        <w:t xml:space="preserve">It </w:t>
      </w:r>
      <w:r w:rsidR="009B5A5D">
        <w:t xml:space="preserve">provides a benchmark for the efficient cost of providing public hospital services. </w:t>
      </w:r>
    </w:p>
    <w:p w14:paraId="632C86E6" w14:textId="09380833" w:rsidR="009B5A5D" w:rsidRDefault="009B5A5D" w:rsidP="009B5A5D">
      <w:pPr>
        <w:pStyle w:val="Bodyafterbullets"/>
      </w:pPr>
      <w:r>
        <w:t>The IH</w:t>
      </w:r>
      <w:r w:rsidR="001841EE">
        <w:t>AC</w:t>
      </w:r>
      <w:r>
        <w:t xml:space="preserve">PA determines the NEP for </w:t>
      </w:r>
      <w:r w:rsidR="00AD763B">
        <w:t xml:space="preserve">a </w:t>
      </w:r>
      <w:r>
        <w:t xml:space="preserve">NWAU and has responsibility for setting the NEP based on the National Hospital Cost Data Collection (NHCDC). </w:t>
      </w:r>
    </w:p>
    <w:p w14:paraId="10E0AC1E" w14:textId="3582B052" w:rsidR="00115126" w:rsidRDefault="009B5A5D" w:rsidP="009B5A5D">
      <w:pPr>
        <w:pStyle w:val="Body"/>
      </w:pPr>
      <w:r>
        <w:t xml:space="preserve">The </w:t>
      </w:r>
      <w:r w:rsidR="00426367">
        <w:t>N</w:t>
      </w:r>
      <w:r w:rsidR="00AD763B">
        <w:t xml:space="preserve">ational </w:t>
      </w:r>
      <w:r w:rsidR="00426367">
        <w:t>E</w:t>
      </w:r>
      <w:r w:rsidR="00AD763B">
        <w:t xml:space="preserve">fficient </w:t>
      </w:r>
      <w:r w:rsidR="00426367">
        <w:t>C</w:t>
      </w:r>
      <w:r w:rsidR="00AD763B">
        <w:t xml:space="preserve">ost </w:t>
      </w:r>
      <w:r>
        <w:t>(NEC) is used to calculate Commonwealth Government payments for services that are funded on a block</w:t>
      </w:r>
      <w:r w:rsidR="00C646C5">
        <w:t>-</w:t>
      </w:r>
      <w:r>
        <w:t>grant basis</w:t>
      </w:r>
      <w:r w:rsidR="001748BC" w:rsidRPr="001748BC">
        <w:t>.</w:t>
      </w:r>
    </w:p>
    <w:p w14:paraId="350FFA6B" w14:textId="40B7E24B" w:rsidR="009B5A5D" w:rsidRDefault="009B5A5D" w:rsidP="009B5A5D">
      <w:pPr>
        <w:pStyle w:val="Heading4"/>
      </w:pPr>
      <w:r w:rsidRPr="4ABC10B0">
        <w:t>National Weighted Activity Unit</w:t>
      </w:r>
    </w:p>
    <w:p w14:paraId="25D8E7BF" w14:textId="7FA17868" w:rsidR="000A5053" w:rsidRPr="007F03EF" w:rsidRDefault="000A5053" w:rsidP="000A5053">
      <w:pPr>
        <w:pStyle w:val="Body"/>
      </w:pPr>
      <w:r w:rsidRPr="00557E4B">
        <w:t xml:space="preserve">Activity under the national model is measured in terms of the NWAU, which is a measure of health service activity expressed as a common unit against which a price is paid. It provides a way of comparing and valuing public hospital services whether they are admissions, emergency department presentations or outpatient episodes, and is </w:t>
      </w:r>
      <w:r w:rsidRPr="007F03EF">
        <w:t xml:space="preserve">weighted for clinical complexity. </w:t>
      </w:r>
    </w:p>
    <w:p w14:paraId="0D3F5B50" w14:textId="709526CA" w:rsidR="000A5053" w:rsidRDefault="3A260B33" w:rsidP="000A5053">
      <w:pPr>
        <w:pStyle w:val="Body"/>
      </w:pPr>
      <w:r>
        <w:t xml:space="preserve">In </w:t>
      </w:r>
      <w:r w:rsidR="18DFC80F">
        <w:t>2022</w:t>
      </w:r>
      <w:r w:rsidR="00AD763B">
        <w:t>–</w:t>
      </w:r>
      <w:r w:rsidR="18DFC80F">
        <w:t>23</w:t>
      </w:r>
      <w:r w:rsidR="00AD763B">
        <w:t>,</w:t>
      </w:r>
      <w:r w:rsidR="18DFC80F" w:rsidRPr="3808635B">
        <w:rPr>
          <w:lang w:val="en-US"/>
        </w:rPr>
        <w:t xml:space="preserve"> </w:t>
      </w:r>
      <w:r>
        <w:t>the national activity unit will be known as NWAU(2</w:t>
      </w:r>
      <w:r w:rsidR="2D33F413">
        <w:t>2</w:t>
      </w:r>
      <w:r>
        <w:t xml:space="preserve">). </w:t>
      </w:r>
    </w:p>
    <w:p w14:paraId="06984AD2" w14:textId="618AF4F5" w:rsidR="001D0D79" w:rsidRDefault="001D0D79" w:rsidP="001D0D79">
      <w:pPr>
        <w:pStyle w:val="Heading4"/>
      </w:pPr>
      <w:bookmarkStart w:id="160" w:name="_Ref111436568"/>
      <w:r>
        <w:lastRenderedPageBreak/>
        <w:t>Activity-</w:t>
      </w:r>
      <w:r w:rsidR="00CF179A">
        <w:t>B</w:t>
      </w:r>
      <w:r w:rsidR="00AD763B">
        <w:t xml:space="preserve">ased </w:t>
      </w:r>
      <w:r w:rsidR="00CF179A">
        <w:t>F</w:t>
      </w:r>
      <w:r w:rsidR="00AD763B">
        <w:t>unding</w:t>
      </w:r>
      <w:bookmarkEnd w:id="160"/>
    </w:p>
    <w:p w14:paraId="67C65D97" w14:textId="5B3D2D0B" w:rsidR="001D0D79" w:rsidRDefault="5C0DB767" w:rsidP="001D0D79">
      <w:pPr>
        <w:pStyle w:val="Body"/>
      </w:pPr>
      <w:r>
        <w:t>The national funding model uses a number of classification systems to express the relative cost weights in terms of NWAUs for each ‘group’ of activity-based funding services. The national classification systems used to group patients for each activity-based funding service are:</w:t>
      </w:r>
    </w:p>
    <w:p w14:paraId="40014558" w14:textId="77777777" w:rsidR="001D0D79" w:rsidRPr="00715B2B" w:rsidRDefault="001D0D79" w:rsidP="00E05C4E">
      <w:pPr>
        <w:pStyle w:val="Bullet1"/>
      </w:pPr>
      <w:r>
        <w:t>admitted patient services: AR-DRG Version 10.0</w:t>
      </w:r>
    </w:p>
    <w:p w14:paraId="0BCE127F" w14:textId="28E5EAEE" w:rsidR="001D0D79" w:rsidRPr="00715B2B" w:rsidRDefault="001D0D79" w:rsidP="00E05C4E">
      <w:pPr>
        <w:pStyle w:val="Bullet1"/>
      </w:pPr>
      <w:r>
        <w:t xml:space="preserve">emergency department services: </w:t>
      </w:r>
      <w:r w:rsidR="327DBC6A">
        <w:t>Australian Emergency Care Classification version 1.0</w:t>
      </w:r>
      <w:r>
        <w:t xml:space="preserve"> (for recognised emergency departments at levels 3B–6) and Urgency Disposition Groups Version 1.3 (for recognised emergency departments at levels 1–3A)</w:t>
      </w:r>
    </w:p>
    <w:p w14:paraId="7BA83739" w14:textId="7A860F07" w:rsidR="001D0D79" w:rsidRPr="00715B2B" w:rsidRDefault="001D0D79" w:rsidP="00E05C4E">
      <w:pPr>
        <w:pStyle w:val="Bullet1"/>
      </w:pPr>
      <w:r>
        <w:t xml:space="preserve">non-admitted patient services: </w:t>
      </w:r>
      <w:r w:rsidRPr="0084258A">
        <w:t xml:space="preserve">Tier 2 Non Admitted Services Version </w:t>
      </w:r>
      <w:r w:rsidR="36AB1EF5">
        <w:t>7</w:t>
      </w:r>
      <w:r w:rsidRPr="0084258A">
        <w:t>.0</w:t>
      </w:r>
    </w:p>
    <w:p w14:paraId="74ABB348" w14:textId="66EBD903" w:rsidR="001D0D79" w:rsidRPr="00715B2B" w:rsidRDefault="001D0D79" w:rsidP="00E05C4E">
      <w:pPr>
        <w:pStyle w:val="Bullet1"/>
      </w:pPr>
      <w:r>
        <w:t>admitted subacute patient services: Australian National Subacute and Non-Acute Patient Classification (AN-SNAP) Version 4.0.</w:t>
      </w:r>
    </w:p>
    <w:p w14:paraId="1BF3D3B6" w14:textId="2A554E4D" w:rsidR="001D0D79" w:rsidRPr="00AA268B" w:rsidRDefault="001D0D79" w:rsidP="001D0D79">
      <w:pPr>
        <w:pStyle w:val="Bodyafterbullets"/>
      </w:pPr>
      <w:r w:rsidRPr="007F03EF">
        <w:t xml:space="preserve">The technical specifications of the national activity-based funding model are referred to in the </w:t>
      </w:r>
      <w:r w:rsidRPr="005F7012">
        <w:t>IH</w:t>
      </w:r>
      <w:r w:rsidR="004611CC">
        <w:t>AC</w:t>
      </w:r>
      <w:r w:rsidRPr="005F7012">
        <w:t xml:space="preserve">PA’s </w:t>
      </w:r>
      <w:hyperlink r:id="rId30" w:history="1">
        <w:r w:rsidRPr="00AE6427">
          <w:rPr>
            <w:rStyle w:val="Hyperlink"/>
            <w:i/>
            <w:iCs/>
          </w:rPr>
          <w:t xml:space="preserve">National </w:t>
        </w:r>
        <w:r w:rsidR="00AD763B" w:rsidRPr="00AE6427">
          <w:rPr>
            <w:rStyle w:val="Hyperlink"/>
            <w:i/>
            <w:iCs/>
          </w:rPr>
          <w:t>pricing model technical specifications</w:t>
        </w:r>
        <w:r w:rsidRPr="00AE6427">
          <w:rPr>
            <w:rStyle w:val="Hyperlink"/>
            <w:i/>
            <w:iCs/>
          </w:rPr>
          <w:t xml:space="preserve"> 202</w:t>
        </w:r>
        <w:r w:rsidR="007571DB" w:rsidRPr="00AE6427">
          <w:rPr>
            <w:rStyle w:val="Hyperlink"/>
            <w:i/>
            <w:iCs/>
          </w:rPr>
          <w:t>2</w:t>
        </w:r>
        <w:r w:rsidR="00AD763B" w:rsidRPr="00AE6427">
          <w:rPr>
            <w:rStyle w:val="Hyperlink"/>
            <w:i/>
            <w:iCs/>
          </w:rPr>
          <w:t>–</w:t>
        </w:r>
        <w:r w:rsidR="007571DB" w:rsidRPr="00AE6427">
          <w:rPr>
            <w:rStyle w:val="Hyperlink"/>
            <w:i/>
            <w:iCs/>
          </w:rPr>
          <w:t>23</w:t>
        </w:r>
      </w:hyperlink>
      <w:r w:rsidRPr="007F03EF">
        <w:t xml:space="preserve"> &lt;</w:t>
      </w:r>
      <w:r w:rsidR="00760F34" w:rsidRPr="00760F34">
        <w:t>https://www.ihacpa.gov.au/resources/national-pricing-model-technical-specifications-2022-23</w:t>
      </w:r>
      <w:r>
        <w:t>&gt;.</w:t>
      </w:r>
    </w:p>
    <w:p w14:paraId="740DBC17" w14:textId="6F49545F" w:rsidR="001D0D79" w:rsidRDefault="00494FEA" w:rsidP="001D0D79">
      <w:pPr>
        <w:pStyle w:val="Heading4"/>
      </w:pPr>
      <w:bookmarkStart w:id="161" w:name="_Ref111436628"/>
      <w:r>
        <w:t xml:space="preserve">National </w:t>
      </w:r>
      <w:r w:rsidR="00FB3154">
        <w:t>E</w:t>
      </w:r>
      <w:r w:rsidR="00AD763B">
        <w:t xml:space="preserve">fficient </w:t>
      </w:r>
      <w:r w:rsidR="00FB3154">
        <w:t>C</w:t>
      </w:r>
      <w:r w:rsidR="00AD763B">
        <w:t>ost (block</w:t>
      </w:r>
      <w:r w:rsidR="00D9542F">
        <w:t xml:space="preserve"> </w:t>
      </w:r>
      <w:r w:rsidR="00AD763B">
        <w:t>funding)</w:t>
      </w:r>
      <w:bookmarkEnd w:id="161"/>
    </w:p>
    <w:p w14:paraId="3425CCAB" w14:textId="78CEEED0" w:rsidR="00786035" w:rsidRDefault="001D0D79" w:rsidP="001D0D79">
      <w:pPr>
        <w:pStyle w:val="Body"/>
      </w:pPr>
      <w:r>
        <w:t>The Victorian Government provides advice to the IH</w:t>
      </w:r>
      <w:r w:rsidR="004611CC">
        <w:t>AC</w:t>
      </w:r>
      <w:r>
        <w:t xml:space="preserve">PA about which services meet the criteria to be block-funded. Services funded through the small rural health services model in 2019–20 will continue to be block-funded. Those receiving output funding through the </w:t>
      </w:r>
      <w:r w:rsidR="00ED41FF">
        <w:t>case mix</w:t>
      </w:r>
      <w:r>
        <w:t xml:space="preserve"> model will be subject to activity-based funding and will therefore be paid via the National Health Funding Pool (see section </w:t>
      </w:r>
      <w:r>
        <w:fldChar w:fldCharType="begin"/>
      </w:r>
      <w:r>
        <w:instrText xml:space="preserve"> REF _Ref77679727 \w \h </w:instrText>
      </w:r>
      <w:r>
        <w:fldChar w:fldCharType="separate"/>
      </w:r>
      <w:r w:rsidR="006D0756">
        <w:t>1.6.1.5</w:t>
      </w:r>
      <w:r>
        <w:fldChar w:fldCharType="end"/>
      </w:r>
      <w:r>
        <w:t xml:space="preserve"> </w:t>
      </w:r>
      <w:r w:rsidR="00AD763B">
        <w:t>‘</w:t>
      </w:r>
      <w:r>
        <w:fldChar w:fldCharType="begin"/>
      </w:r>
      <w:r>
        <w:instrText xml:space="preserve"> REF _Ref77679727 \h </w:instrText>
      </w:r>
      <w:r>
        <w:fldChar w:fldCharType="separate"/>
      </w:r>
      <w:r w:rsidR="006D0756">
        <w:t>Payment Flows Under the National Funding Approach</w:t>
      </w:r>
      <w:r>
        <w:fldChar w:fldCharType="end"/>
      </w:r>
      <w:r w:rsidR="00AD763B">
        <w:t>’</w:t>
      </w:r>
      <w:r>
        <w:t xml:space="preserve">). </w:t>
      </w:r>
    </w:p>
    <w:p w14:paraId="4DF5A96D" w14:textId="39371FDA" w:rsidR="001D0D79" w:rsidRDefault="001D0D79" w:rsidP="001D0D79">
      <w:pPr>
        <w:pStyle w:val="Body"/>
      </w:pPr>
      <w:r>
        <w:t xml:space="preserve">The government also provides </w:t>
      </w:r>
      <w:r w:rsidR="00A145AC">
        <w:t xml:space="preserve">block funding estimates </w:t>
      </w:r>
      <w:r>
        <w:t>to the IH</w:t>
      </w:r>
      <w:r w:rsidR="004611CC">
        <w:t>AC</w:t>
      </w:r>
      <w:r>
        <w:t xml:space="preserve">PA for </w:t>
      </w:r>
      <w:r w:rsidR="00B03398">
        <w:t>publication</w:t>
      </w:r>
      <w:r>
        <w:t xml:space="preserve"> in </w:t>
      </w:r>
      <w:r w:rsidR="00B03398">
        <w:t xml:space="preserve">the </w:t>
      </w:r>
      <w:r w:rsidR="00426367">
        <w:t>N</w:t>
      </w:r>
      <w:r w:rsidR="008F1386">
        <w:t xml:space="preserve">ational </w:t>
      </w:r>
      <w:r w:rsidR="00426367">
        <w:t>E</w:t>
      </w:r>
      <w:r w:rsidR="008F1386">
        <w:t xml:space="preserve">fficient </w:t>
      </w:r>
      <w:r w:rsidR="00426367">
        <w:t>C</w:t>
      </w:r>
      <w:r w:rsidR="008F1386">
        <w:t xml:space="preserve">ost </w:t>
      </w:r>
      <w:r>
        <w:t>determination.</w:t>
      </w:r>
      <w:r w:rsidR="00B03398">
        <w:t xml:space="preserve"> Block</w:t>
      </w:r>
      <w:r w:rsidR="00D9542F">
        <w:t>-</w:t>
      </w:r>
      <w:r w:rsidR="00B03398">
        <w:t>funded services include:</w:t>
      </w:r>
    </w:p>
    <w:p w14:paraId="59BE1E9D" w14:textId="0CC551E1" w:rsidR="001E594D" w:rsidRDefault="00AD763B" w:rsidP="001472D4">
      <w:pPr>
        <w:pStyle w:val="Bullet1"/>
      </w:pPr>
      <w:r>
        <w:t>small rural health services</w:t>
      </w:r>
    </w:p>
    <w:p w14:paraId="7412771C" w14:textId="08E2E9FA" w:rsidR="00B03398" w:rsidRDefault="00AD763B" w:rsidP="001472D4">
      <w:pPr>
        <w:pStyle w:val="Bullet1"/>
      </w:pPr>
      <w:r>
        <w:t>teaching, training and research</w:t>
      </w:r>
    </w:p>
    <w:p w14:paraId="663F5B0D" w14:textId="44C9F325" w:rsidR="00DB79B0" w:rsidRPr="00DB79B0" w:rsidRDefault="00AD763B" w:rsidP="001472D4">
      <w:pPr>
        <w:pStyle w:val="Bullet1"/>
      </w:pPr>
      <w:r>
        <w:t>non-admitted mental health services, including child and adolescent mental health services</w:t>
      </w:r>
    </w:p>
    <w:p w14:paraId="12E013D6" w14:textId="1281ACBC" w:rsidR="00613DA0" w:rsidRPr="007F03EF" w:rsidRDefault="00AD763B" w:rsidP="001472D4">
      <w:pPr>
        <w:pStyle w:val="Bullet1"/>
      </w:pPr>
      <w:r w:rsidRPr="007F03EF">
        <w:t>non-admitted home ventilation services</w:t>
      </w:r>
    </w:p>
    <w:p w14:paraId="2E2E03C2" w14:textId="4344A3EA" w:rsidR="00E76458" w:rsidRPr="007F03EF" w:rsidRDefault="00AD763B" w:rsidP="00AE6427">
      <w:pPr>
        <w:pStyle w:val="Bullet1"/>
      </w:pPr>
      <w:r w:rsidRPr="007F03EF">
        <w:t>high cost, highly specialised therapies.</w:t>
      </w:r>
    </w:p>
    <w:p w14:paraId="6471AA2A" w14:textId="7B09F83E" w:rsidR="001D0D79" w:rsidRPr="007F03EF" w:rsidRDefault="001D0D79" w:rsidP="001472D4">
      <w:pPr>
        <w:pStyle w:val="Bodyafterbullets"/>
      </w:pPr>
      <w:r w:rsidRPr="007F03EF">
        <w:t>The IH</w:t>
      </w:r>
      <w:r w:rsidR="004611CC">
        <w:t>AC</w:t>
      </w:r>
      <w:r w:rsidRPr="007F03EF">
        <w:t xml:space="preserve">PA has applied these criteria in </w:t>
      </w:r>
      <w:r w:rsidRPr="00AD763B">
        <w:t>developing</w:t>
      </w:r>
      <w:r w:rsidRPr="007F03EF">
        <w:t xml:space="preserve"> the national costing model and the </w:t>
      </w:r>
      <w:r w:rsidR="00426367">
        <w:t>N</w:t>
      </w:r>
      <w:r w:rsidRPr="007F03EF">
        <w:t xml:space="preserve">ational </w:t>
      </w:r>
      <w:r w:rsidR="00426367">
        <w:t>E</w:t>
      </w:r>
      <w:r w:rsidRPr="007F03EF">
        <w:t xml:space="preserve">fficient </w:t>
      </w:r>
      <w:r w:rsidR="00426367">
        <w:t>C</w:t>
      </w:r>
      <w:r w:rsidRPr="007F03EF">
        <w:t>ost determination for 202</w:t>
      </w:r>
      <w:r w:rsidR="00852B4F" w:rsidRPr="007F03EF">
        <w:t>2</w:t>
      </w:r>
      <w:r w:rsidR="00AD763B">
        <w:t>–</w:t>
      </w:r>
      <w:r w:rsidR="00852B4F" w:rsidRPr="007F03EF">
        <w:t>23</w:t>
      </w:r>
      <w:r w:rsidRPr="007F03EF">
        <w:t xml:space="preserve"> that applies to block-funded services.</w:t>
      </w:r>
    </w:p>
    <w:p w14:paraId="7799F8DA" w14:textId="3CAB5377" w:rsidR="001D0D79" w:rsidRDefault="001D0D79" w:rsidP="001D0D79">
      <w:pPr>
        <w:pStyle w:val="Body"/>
      </w:pPr>
      <w:r w:rsidRPr="007F03EF">
        <w:t>In 202</w:t>
      </w:r>
      <w:r w:rsidR="00852B4F" w:rsidRPr="007F03EF">
        <w:t>2</w:t>
      </w:r>
      <w:r w:rsidR="00AD763B">
        <w:t>–</w:t>
      </w:r>
      <w:r w:rsidR="00852B4F" w:rsidRPr="007F03EF">
        <w:t>23</w:t>
      </w:r>
      <w:r w:rsidRPr="007F03EF">
        <w:t xml:space="preserve"> the IH</w:t>
      </w:r>
      <w:r w:rsidR="004611CC">
        <w:t>AC</w:t>
      </w:r>
      <w:r w:rsidRPr="007F03EF">
        <w:t>PA has determined the efficient cost of a small rural hospital to be the sum</w:t>
      </w:r>
      <w:r>
        <w:t xml:space="preserve"> of the fixed cost component and the variable cost component. </w:t>
      </w:r>
    </w:p>
    <w:p w14:paraId="5D1F7CAA" w14:textId="656E1035" w:rsidR="001D0D79" w:rsidRDefault="5C0DB767" w:rsidP="001D0D79">
      <w:pPr>
        <w:pStyle w:val="Body"/>
      </w:pPr>
      <w:r>
        <w:t xml:space="preserve">Read more about the pricing framework for Australian public hospitals and the categorisation of small rural health services </w:t>
      </w:r>
      <w:r w:rsidR="000D142C">
        <w:t xml:space="preserve">in the report </w:t>
      </w:r>
      <w:r w:rsidR="000D142C" w:rsidRPr="001472D4">
        <w:rPr>
          <w:i/>
        </w:rPr>
        <w:t xml:space="preserve">National </w:t>
      </w:r>
      <w:r w:rsidR="00426367">
        <w:rPr>
          <w:i/>
        </w:rPr>
        <w:t>E</w:t>
      </w:r>
      <w:r w:rsidR="00846BE9" w:rsidRPr="00AE6427">
        <w:rPr>
          <w:i/>
          <w:iCs/>
        </w:rPr>
        <w:t xml:space="preserve">fficient </w:t>
      </w:r>
      <w:r w:rsidR="00426367">
        <w:rPr>
          <w:i/>
          <w:iCs/>
        </w:rPr>
        <w:t>C</w:t>
      </w:r>
      <w:r w:rsidR="000D142C" w:rsidRPr="00AE6427">
        <w:rPr>
          <w:i/>
          <w:iCs/>
        </w:rPr>
        <w:t xml:space="preserve">ost </w:t>
      </w:r>
      <w:r w:rsidR="00C1762A">
        <w:rPr>
          <w:i/>
          <w:iCs/>
        </w:rPr>
        <w:t>D</w:t>
      </w:r>
      <w:r w:rsidR="000D142C" w:rsidRPr="00AE6427">
        <w:rPr>
          <w:i/>
          <w:iCs/>
        </w:rPr>
        <w:t>etermination</w:t>
      </w:r>
      <w:r w:rsidR="000D142C" w:rsidRPr="001472D4">
        <w:rPr>
          <w:i/>
        </w:rPr>
        <w:t xml:space="preserve"> 2022</w:t>
      </w:r>
      <w:r w:rsidR="00846BE9" w:rsidRPr="00AE6427">
        <w:rPr>
          <w:i/>
          <w:iCs/>
        </w:rPr>
        <w:t>–</w:t>
      </w:r>
      <w:r w:rsidR="000D142C" w:rsidRPr="001472D4">
        <w:rPr>
          <w:i/>
        </w:rPr>
        <w:t>23</w:t>
      </w:r>
      <w:r w:rsidR="000D142C">
        <w:t xml:space="preserve"> </w:t>
      </w:r>
      <w:r>
        <w:t>at</w:t>
      </w:r>
      <w:r w:rsidR="004B6611">
        <w:t xml:space="preserve"> </w:t>
      </w:r>
      <w:hyperlink r:id="rId31" w:history="1">
        <w:r w:rsidR="00F87B38">
          <w:rPr>
            <w:rStyle w:val="Hyperlink"/>
          </w:rPr>
          <w:t>IHACPA’s website</w:t>
        </w:r>
      </w:hyperlink>
      <w:r>
        <w:t xml:space="preserve"> &lt;</w:t>
      </w:r>
      <w:r w:rsidR="00F87B38" w:rsidRPr="00F87B38">
        <w:t xml:space="preserve"> https://www.ihacpa.gov.au/resources/national-efficient-price-determination-2022-23</w:t>
      </w:r>
      <w:r>
        <w:t>&gt;.</w:t>
      </w:r>
    </w:p>
    <w:p w14:paraId="1B83ADF1" w14:textId="4832D2F3" w:rsidR="001748BC" w:rsidRPr="003F2312" w:rsidRDefault="001748BC" w:rsidP="00977FCB">
      <w:pPr>
        <w:pStyle w:val="Heading4"/>
      </w:pPr>
      <w:bookmarkStart w:id="162" w:name="_Ref77679727"/>
      <w:r>
        <w:t xml:space="preserve">Payment </w:t>
      </w:r>
      <w:r w:rsidR="00FB3154">
        <w:t>F</w:t>
      </w:r>
      <w:r>
        <w:t xml:space="preserve">lows </w:t>
      </w:r>
      <w:r w:rsidR="00FB3154">
        <w:t>U</w:t>
      </w:r>
      <w:r>
        <w:t xml:space="preserve">nder the </w:t>
      </w:r>
      <w:r w:rsidR="00FB3154">
        <w:t>N</w:t>
      </w:r>
      <w:r>
        <w:t xml:space="preserve">ational </w:t>
      </w:r>
      <w:r w:rsidR="00FB3154">
        <w:t>F</w:t>
      </w:r>
      <w:r>
        <w:t xml:space="preserve">unding </w:t>
      </w:r>
      <w:r w:rsidR="00FB3154">
        <w:t>A</w:t>
      </w:r>
      <w:r>
        <w:t>pproach</w:t>
      </w:r>
      <w:bookmarkEnd w:id="162"/>
    </w:p>
    <w:p w14:paraId="15B32471" w14:textId="3CB05F29" w:rsidR="001748BC" w:rsidRPr="004B3FD8" w:rsidRDefault="75D0E64A" w:rsidP="001748BC">
      <w:pPr>
        <w:pStyle w:val="Body"/>
      </w:pPr>
      <w:r>
        <w:t xml:space="preserve">Commonwealth activity-based funding flow to health services through </w:t>
      </w:r>
      <w:r w:rsidR="2E7EC630">
        <w:t xml:space="preserve">Victoria’s State Pool Account </w:t>
      </w:r>
      <w:r>
        <w:t xml:space="preserve">managed by the </w:t>
      </w:r>
      <w:r w:rsidR="2E7EC630">
        <w:t>A</w:t>
      </w:r>
      <w:r>
        <w:t>dministrator</w:t>
      </w:r>
      <w:r w:rsidR="2E7EC630">
        <w:t xml:space="preserve"> of the National Health Funding Pool</w:t>
      </w:r>
      <w:r>
        <w:t xml:space="preserve">. The </w:t>
      </w:r>
      <w:r w:rsidR="2E7EC630">
        <w:t>A</w:t>
      </w:r>
      <w:r>
        <w:t xml:space="preserve">dministrator (established as an independent statutory office holder) oversees both the Commonwealth and state and territory funding of the public hospital </w:t>
      </w:r>
      <w:r w:rsidR="0BBD7537">
        <w:t xml:space="preserve">services in-scope of the NHRA </w:t>
      </w:r>
      <w:r>
        <w:t>and publicly report</w:t>
      </w:r>
      <w:r w:rsidR="0BBD7537">
        <w:t>s</w:t>
      </w:r>
      <w:r>
        <w:t xml:space="preserve"> on fund</w:t>
      </w:r>
      <w:r w:rsidR="0BBD7537">
        <w:t>ing</w:t>
      </w:r>
      <w:r>
        <w:t xml:space="preserve"> provided to each health service, and </w:t>
      </w:r>
      <w:r w:rsidR="752A619A">
        <w:t>for which services</w:t>
      </w:r>
      <w:r>
        <w:t>.</w:t>
      </w:r>
    </w:p>
    <w:p w14:paraId="23AB8983" w14:textId="4BC68B87" w:rsidR="001748BC" w:rsidRDefault="75D0E64A" w:rsidP="001748BC">
      <w:pPr>
        <w:pStyle w:val="Body"/>
      </w:pPr>
      <w:r>
        <w:t xml:space="preserve">As system manager, the Victorian Government instructs when payments are to be made out of the pool in accordance with the activity levels agreed between the </w:t>
      </w:r>
      <w:r w:rsidR="00846BE9">
        <w:t xml:space="preserve">state </w:t>
      </w:r>
      <w:r>
        <w:t xml:space="preserve">and each health service in their Statement </w:t>
      </w:r>
      <w:r w:rsidR="009B1C8E">
        <w:t>o</w:t>
      </w:r>
      <w:r>
        <w:t xml:space="preserve">f Priorities. The Victorian Government will continue to manage </w:t>
      </w:r>
      <w:r w:rsidR="7515A5BB">
        <w:t xml:space="preserve">National Health Reform </w:t>
      </w:r>
      <w:r w:rsidR="7515A5BB">
        <w:lastRenderedPageBreak/>
        <w:t xml:space="preserve">block funding for </w:t>
      </w:r>
      <w:r w:rsidR="67F343EB">
        <w:t>block</w:t>
      </w:r>
      <w:r w:rsidR="00846BE9">
        <w:t>-</w:t>
      </w:r>
      <w:r w:rsidR="67F343EB">
        <w:t>funded services and hospitals, including small rural services</w:t>
      </w:r>
      <w:r>
        <w:t xml:space="preserve">. Block-funded payments will be paid to health services by the department through the </w:t>
      </w:r>
      <w:r w:rsidR="006B4DBF">
        <w:t>State-</w:t>
      </w:r>
      <w:r w:rsidR="67F343EB">
        <w:t>M</w:t>
      </w:r>
      <w:r>
        <w:t xml:space="preserve">anaged </w:t>
      </w:r>
      <w:r w:rsidR="67F343EB">
        <w:t>F</w:t>
      </w:r>
      <w:r>
        <w:t xml:space="preserve">und (see </w:t>
      </w:r>
      <w:r w:rsidR="001748BC">
        <w:fldChar w:fldCharType="begin"/>
      </w:r>
      <w:r w:rsidR="001748BC">
        <w:instrText xml:space="preserve"> REF _Ref87969879 \h </w:instrText>
      </w:r>
      <w:r w:rsidR="001748BC">
        <w:fldChar w:fldCharType="separate"/>
      </w:r>
      <w:r w:rsidR="006D0756">
        <w:t xml:space="preserve">Figure </w:t>
      </w:r>
      <w:r w:rsidR="006D0756">
        <w:rPr>
          <w:noProof/>
        </w:rPr>
        <w:t>1</w:t>
      </w:r>
      <w:r w:rsidR="001748BC">
        <w:fldChar w:fldCharType="end"/>
      </w:r>
      <w:r>
        <w:t>).</w:t>
      </w:r>
    </w:p>
    <w:p w14:paraId="06C72F20" w14:textId="5CAC3F78" w:rsidR="001748BC" w:rsidRDefault="00CE4388" w:rsidP="001472D4">
      <w:pPr>
        <w:pStyle w:val="Figurecaption"/>
      </w:pPr>
      <w:bookmarkStart w:id="163" w:name="_Ref87969879"/>
      <w:r>
        <w:t xml:space="preserve">Figure </w:t>
      </w:r>
      <w:r>
        <w:fldChar w:fldCharType="begin"/>
      </w:r>
      <w:r>
        <w:instrText>SEQ Figure \* ARABIC</w:instrText>
      </w:r>
      <w:r>
        <w:fldChar w:fldCharType="separate"/>
      </w:r>
      <w:r w:rsidR="006D0756">
        <w:rPr>
          <w:noProof/>
        </w:rPr>
        <w:t>1</w:t>
      </w:r>
      <w:r>
        <w:fldChar w:fldCharType="end"/>
      </w:r>
      <w:bookmarkEnd w:id="163"/>
      <w:r>
        <w:t xml:space="preserve">: </w:t>
      </w:r>
      <w:r w:rsidRPr="00846BE9">
        <w:t>Payment</w:t>
      </w:r>
      <w:r w:rsidRPr="000244B9">
        <w:t xml:space="preserve"> flows under national activity</w:t>
      </w:r>
      <w:r>
        <w:t>-</w:t>
      </w:r>
      <w:r w:rsidRPr="000244B9">
        <w:t>based funding</w:t>
      </w:r>
      <w:r>
        <w:t xml:space="preserve"> </w:t>
      </w:r>
    </w:p>
    <w:p w14:paraId="20E0993D" w14:textId="1ABCFE2B" w:rsidR="00860197" w:rsidRPr="00860197" w:rsidRDefault="00ED1A24" w:rsidP="00CE4388">
      <w:pPr>
        <w:pStyle w:val="Body"/>
        <w:spacing w:before="40"/>
      </w:pPr>
      <w:r>
        <w:rPr>
          <w:noProof/>
        </w:rPr>
        <w:drawing>
          <wp:inline distT="0" distB="0" distL="0" distR="0" wp14:anchorId="5F6F6D91" wp14:editId="1C6F68C2">
            <wp:extent cx="5731510" cy="3039437"/>
            <wp:effectExtent l="0" t="0" r="2540" b="8890"/>
            <wp:docPr id="208" name="Picture 2" descr="This figure depicts the process described in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This figure depicts the process described in this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3039437"/>
                    </a:xfrm>
                    <a:prstGeom prst="rect">
                      <a:avLst/>
                    </a:prstGeom>
                    <a:noFill/>
                  </pic:spPr>
                </pic:pic>
              </a:graphicData>
            </a:graphic>
          </wp:inline>
        </w:drawing>
      </w:r>
    </w:p>
    <w:p w14:paraId="2F90909D" w14:textId="77777777" w:rsidR="00977FCB" w:rsidRDefault="00977FCB" w:rsidP="00C447AC">
      <w:pPr>
        <w:pStyle w:val="Bodyaftertablefigure"/>
      </w:pPr>
      <w:r>
        <w:t xml:space="preserve">Read </w:t>
      </w:r>
      <w:r w:rsidRPr="00922F2C">
        <w:t>more</w:t>
      </w:r>
      <w:r>
        <w:t xml:space="preserve"> about: </w:t>
      </w:r>
    </w:p>
    <w:p w14:paraId="5808AD20" w14:textId="0F029618" w:rsidR="00977FCB" w:rsidRDefault="00846BE9" w:rsidP="00E05C4E">
      <w:pPr>
        <w:pStyle w:val="Bullet1"/>
      </w:pPr>
      <w:r>
        <w:t>t</w:t>
      </w:r>
      <w:r w:rsidR="00977FCB">
        <w:t xml:space="preserve">he </w:t>
      </w:r>
      <w:hyperlink r:id="rId33">
        <w:r w:rsidRPr="00C447AC">
          <w:rPr>
            <w:rStyle w:val="Hyperlink"/>
            <w:i/>
          </w:rPr>
          <w:t xml:space="preserve">Pricing Framework for Australian </w:t>
        </w:r>
        <w:r>
          <w:rPr>
            <w:rStyle w:val="Hyperlink"/>
            <w:rFonts w:eastAsia="Arial" w:cs="Arial"/>
            <w:i/>
            <w:iCs/>
          </w:rPr>
          <w:t>p</w:t>
        </w:r>
        <w:r w:rsidRPr="00AE6427">
          <w:rPr>
            <w:rStyle w:val="Hyperlink"/>
            <w:rFonts w:eastAsia="Arial" w:cs="Arial"/>
            <w:i/>
            <w:iCs/>
          </w:rPr>
          <w:t xml:space="preserve">ublic </w:t>
        </w:r>
        <w:r>
          <w:rPr>
            <w:rStyle w:val="Hyperlink"/>
            <w:rFonts w:eastAsia="Arial" w:cs="Arial"/>
            <w:i/>
            <w:iCs/>
          </w:rPr>
          <w:t>h</w:t>
        </w:r>
        <w:r w:rsidRPr="00AE6427">
          <w:rPr>
            <w:rStyle w:val="Hyperlink"/>
            <w:rFonts w:eastAsia="Arial" w:cs="Arial"/>
            <w:i/>
            <w:iCs/>
          </w:rPr>
          <w:t xml:space="preserve">ospital </w:t>
        </w:r>
        <w:r>
          <w:rPr>
            <w:rStyle w:val="Hyperlink"/>
            <w:rFonts w:eastAsia="Arial" w:cs="Arial"/>
            <w:i/>
            <w:iCs/>
          </w:rPr>
          <w:t>s</w:t>
        </w:r>
        <w:r w:rsidRPr="00AE6427">
          <w:rPr>
            <w:rStyle w:val="Hyperlink"/>
            <w:rFonts w:eastAsia="Arial" w:cs="Arial"/>
            <w:i/>
            <w:iCs/>
          </w:rPr>
          <w:t>ervices</w:t>
        </w:r>
      </w:hyperlink>
      <w:r>
        <w:t xml:space="preserve"> </w:t>
      </w:r>
      <w:r w:rsidR="00977FCB">
        <w:t>&lt;</w:t>
      </w:r>
      <w:r w:rsidR="00AA15E6" w:rsidRPr="00AA15E6">
        <w:t>https://www.ihacpa.gov.au/resources/pricing-framework-australian-public-hospital-services-2022-23</w:t>
      </w:r>
      <w:r w:rsidR="00977FCB">
        <w:t>&gt;</w:t>
      </w:r>
    </w:p>
    <w:p w14:paraId="5FE69983" w14:textId="5256265D" w:rsidR="00977FCB" w:rsidRDefault="00846BE9" w:rsidP="00E05C4E">
      <w:pPr>
        <w:pStyle w:val="Bullet1"/>
      </w:pPr>
      <w:r>
        <w:t>t</w:t>
      </w:r>
      <w:r w:rsidR="00977FCB">
        <w:t xml:space="preserve">he </w:t>
      </w:r>
      <w:hyperlink r:id="rId34">
        <w:r w:rsidR="00C71497">
          <w:rPr>
            <w:rStyle w:val="Hyperlink"/>
            <w:rFonts w:cs="Arial"/>
            <w:i/>
            <w:iCs/>
          </w:rPr>
          <w:t>National Efficient Price Determination</w:t>
        </w:r>
      </w:hyperlink>
      <w:r>
        <w:t xml:space="preserve"> </w:t>
      </w:r>
      <w:r w:rsidR="00977FCB">
        <w:t>&lt;</w:t>
      </w:r>
      <w:r w:rsidR="00950CFC" w:rsidRPr="00950CFC">
        <w:t>https://www.ihacpa.gov.au/pricing/national-efficient-price-determination</w:t>
      </w:r>
      <w:r w:rsidR="00977FCB">
        <w:t>&gt;</w:t>
      </w:r>
    </w:p>
    <w:p w14:paraId="2C9C1E38" w14:textId="102FC616" w:rsidR="00977FCB" w:rsidRDefault="00977FCB" w:rsidP="00E05C4E">
      <w:pPr>
        <w:pStyle w:val="Bullet1"/>
      </w:pPr>
      <w:r>
        <w:t xml:space="preserve">the </w:t>
      </w:r>
      <w:hyperlink r:id="rId35">
        <w:r w:rsidR="00C71497">
          <w:rPr>
            <w:rStyle w:val="Hyperlink"/>
            <w:rFonts w:cs="Arial"/>
            <w:i/>
            <w:iCs/>
          </w:rPr>
          <w:t>National Efficient Cost Determination</w:t>
        </w:r>
      </w:hyperlink>
      <w:r>
        <w:t xml:space="preserve"> &lt;</w:t>
      </w:r>
      <w:r w:rsidR="00B93E05" w:rsidRPr="00B93E05">
        <w:t>https://www.ihacpa.gov.au/health-care/pricing/national-efficient-cost-determination</w:t>
      </w:r>
      <w:r>
        <w:t>&gt;</w:t>
      </w:r>
    </w:p>
    <w:p w14:paraId="7C4005D5" w14:textId="07AD7148" w:rsidR="00977FCB" w:rsidRPr="007F03EF" w:rsidRDefault="00D36400" w:rsidP="00E05C4E">
      <w:pPr>
        <w:pStyle w:val="Bullet1"/>
      </w:pPr>
      <w:hyperlink r:id="rId36">
        <w:r w:rsidR="00977FCB" w:rsidRPr="00C447AC">
          <w:rPr>
            <w:rStyle w:val="Hyperlink"/>
            <w:i/>
          </w:rPr>
          <w:t xml:space="preserve">National </w:t>
        </w:r>
        <w:r w:rsidR="00846BE9" w:rsidRPr="00AE6427">
          <w:rPr>
            <w:rStyle w:val="Hyperlink"/>
            <w:i/>
            <w:iCs/>
          </w:rPr>
          <w:t>pricing model technical specification</w:t>
        </w:r>
        <w:r w:rsidR="00977FCB" w:rsidRPr="00AE6427">
          <w:rPr>
            <w:rStyle w:val="Hyperlink"/>
            <w:i/>
            <w:iCs/>
          </w:rPr>
          <w:t>s</w:t>
        </w:r>
        <w:r w:rsidR="00977FCB" w:rsidRPr="00C447AC">
          <w:rPr>
            <w:rStyle w:val="Hyperlink"/>
            <w:i/>
          </w:rPr>
          <w:t xml:space="preserve"> 202</w:t>
        </w:r>
        <w:r w:rsidR="000130C5" w:rsidRPr="00C447AC">
          <w:rPr>
            <w:rStyle w:val="Hyperlink"/>
            <w:i/>
          </w:rPr>
          <w:t>2</w:t>
        </w:r>
        <w:r w:rsidR="00846BE9" w:rsidRPr="00AE6427">
          <w:rPr>
            <w:rStyle w:val="Hyperlink"/>
            <w:i/>
            <w:iCs/>
          </w:rPr>
          <w:t>–</w:t>
        </w:r>
        <w:r w:rsidR="000130C5" w:rsidRPr="00C447AC">
          <w:rPr>
            <w:rStyle w:val="Hyperlink"/>
            <w:i/>
          </w:rPr>
          <w:t>23</w:t>
        </w:r>
      </w:hyperlink>
      <w:r w:rsidR="00977FCB" w:rsidRPr="007F03EF">
        <w:t xml:space="preserve"> </w:t>
      </w:r>
      <w:r w:rsidR="006C6DB4">
        <w:t>&lt;</w:t>
      </w:r>
      <w:r w:rsidR="006C6DB4" w:rsidRPr="006C6DB4">
        <w:t>https://www.ihacpa.gov.au/resources/national-pricing-model-technical-specifications-2022-23</w:t>
      </w:r>
      <w:r w:rsidR="006C6DB4">
        <w:t>&gt;.</w:t>
      </w:r>
    </w:p>
    <w:p w14:paraId="7831CC11" w14:textId="481651C9" w:rsidR="00A1506E" w:rsidRPr="007F03EF" w:rsidRDefault="00A1506E" w:rsidP="00A1506E">
      <w:pPr>
        <w:pStyle w:val="Heading3"/>
        <w:spacing w:before="240"/>
      </w:pPr>
      <w:bookmarkStart w:id="164" w:name="_Toc100263279"/>
      <w:bookmarkStart w:id="165" w:name="_Toc127191927"/>
      <w:r w:rsidRPr="007F03EF">
        <w:t xml:space="preserve">Victorian </w:t>
      </w:r>
      <w:r w:rsidR="00FB3154">
        <w:t>A</w:t>
      </w:r>
      <w:r w:rsidR="3D356DF9" w:rsidRPr="007F03EF">
        <w:t xml:space="preserve">lignment with the </w:t>
      </w:r>
      <w:r w:rsidR="00FB3154">
        <w:t>N</w:t>
      </w:r>
      <w:r w:rsidRPr="007F03EF">
        <w:t xml:space="preserve">ational </w:t>
      </w:r>
      <w:r w:rsidR="00FB3154">
        <w:t>F</w:t>
      </w:r>
      <w:r w:rsidR="79009CA3" w:rsidRPr="007F03EF">
        <w:t>unding</w:t>
      </w:r>
      <w:r w:rsidR="543E54B4" w:rsidRPr="007F03EF">
        <w:t xml:space="preserve"> </w:t>
      </w:r>
      <w:r w:rsidR="00FB3154">
        <w:t>M</w:t>
      </w:r>
      <w:r w:rsidRPr="007F03EF">
        <w:t>odel</w:t>
      </w:r>
      <w:bookmarkEnd w:id="164"/>
      <w:bookmarkEnd w:id="165"/>
    </w:p>
    <w:p w14:paraId="53A5AD73" w14:textId="5EEF0371" w:rsidR="003F2312" w:rsidRPr="007F03EF" w:rsidRDefault="003F1920" w:rsidP="003F2312">
      <w:pPr>
        <w:pStyle w:val="Heading4"/>
      </w:pPr>
      <w:r w:rsidRPr="007F03EF">
        <w:t xml:space="preserve">NWAU </w:t>
      </w:r>
      <w:r w:rsidR="00FB3154">
        <w:t>M</w:t>
      </w:r>
      <w:r w:rsidR="00D014B5" w:rsidRPr="007F03EF">
        <w:t>odel</w:t>
      </w:r>
    </w:p>
    <w:p w14:paraId="15FBECBF" w14:textId="22B7B04E" w:rsidR="003F2312" w:rsidRPr="006A1665" w:rsidRDefault="30FF8971" w:rsidP="139BB5A8">
      <w:pPr>
        <w:pStyle w:val="Bodyafterbullets"/>
        <w:rPr>
          <w:szCs w:val="21"/>
        </w:rPr>
      </w:pPr>
      <w:r w:rsidRPr="007F03EF">
        <w:t>In 202</w:t>
      </w:r>
      <w:r w:rsidR="00DB322E" w:rsidRPr="007F03EF">
        <w:t>2</w:t>
      </w:r>
      <w:r w:rsidR="00D014B5">
        <w:t>–</w:t>
      </w:r>
      <w:r w:rsidR="00DB322E" w:rsidRPr="007F03EF">
        <w:t>23</w:t>
      </w:r>
      <w:r w:rsidRPr="007F03EF">
        <w:t xml:space="preserve">, the </w:t>
      </w:r>
      <w:r w:rsidR="00D014B5">
        <w:t>NWAU</w:t>
      </w:r>
      <w:r w:rsidRPr="007F03EF">
        <w:t xml:space="preserve"> </w:t>
      </w:r>
      <w:r w:rsidR="4F0DD4FB" w:rsidRPr="007F03EF">
        <w:t xml:space="preserve">developed </w:t>
      </w:r>
      <w:r w:rsidRPr="007F03EF">
        <w:t xml:space="preserve">as part of the National Funding Model </w:t>
      </w:r>
      <w:r w:rsidR="194291B4" w:rsidRPr="007F03EF">
        <w:t xml:space="preserve">will </w:t>
      </w:r>
      <w:r w:rsidR="00703626" w:rsidRPr="007F03EF">
        <w:t xml:space="preserve">continue to </w:t>
      </w:r>
      <w:r w:rsidR="194291B4" w:rsidRPr="007F03EF">
        <w:t xml:space="preserve">be used as the mechanism to determine </w:t>
      </w:r>
      <w:r w:rsidR="00D554F4" w:rsidRPr="007F03EF">
        <w:t xml:space="preserve">growth </w:t>
      </w:r>
      <w:r w:rsidR="194291B4" w:rsidRPr="007F03EF">
        <w:t xml:space="preserve">funding </w:t>
      </w:r>
      <w:r w:rsidRPr="007F03EF">
        <w:t>for acute</w:t>
      </w:r>
      <w:r>
        <w:t xml:space="preserve"> admitted care, subacute care, emergency care and non-admitted care</w:t>
      </w:r>
      <w:r w:rsidR="7A0EA40E">
        <w:t xml:space="preserve"> activity</w:t>
      </w:r>
      <w:r w:rsidR="39E7DD22">
        <w:t>.</w:t>
      </w:r>
      <w:r w:rsidR="0E18C831">
        <w:t xml:space="preserve"> </w:t>
      </w:r>
    </w:p>
    <w:p w14:paraId="39F0F0BA" w14:textId="173EE0AC" w:rsidR="00D90ED3" w:rsidRPr="004A53BD" w:rsidRDefault="00D90ED3" w:rsidP="003F1920">
      <w:pPr>
        <w:pStyle w:val="Body"/>
        <w:rPr>
          <w:rFonts w:eastAsia="Arial" w:cs="Arial"/>
          <w:color w:val="000000" w:themeColor="text1"/>
        </w:rPr>
      </w:pPr>
      <w:r w:rsidRPr="31C35848">
        <w:rPr>
          <w:rFonts w:eastAsia="Arial" w:cs="Arial"/>
          <w:color w:val="000000" w:themeColor="text1"/>
        </w:rPr>
        <w:t xml:space="preserve">Mental </w:t>
      </w:r>
      <w:r w:rsidR="00D014B5">
        <w:rPr>
          <w:rFonts w:eastAsia="Arial" w:cs="Arial"/>
          <w:color w:val="000000" w:themeColor="text1"/>
        </w:rPr>
        <w:t>h</w:t>
      </w:r>
      <w:r w:rsidR="00D014B5" w:rsidRPr="31C35848">
        <w:rPr>
          <w:rFonts w:eastAsia="Arial" w:cs="Arial"/>
          <w:color w:val="000000" w:themeColor="text1"/>
        </w:rPr>
        <w:t>ealth</w:t>
      </w:r>
      <w:r w:rsidR="0348F88B" w:rsidRPr="10DD428D">
        <w:rPr>
          <w:rFonts w:eastAsia="Arial" w:cs="Arial"/>
          <w:color w:val="000000" w:themeColor="text1"/>
        </w:rPr>
        <w:t>,</w:t>
      </w:r>
      <w:r w:rsidRPr="31C35848">
        <w:rPr>
          <w:rFonts w:eastAsia="Arial" w:cs="Arial"/>
          <w:color w:val="000000" w:themeColor="text1"/>
        </w:rPr>
        <w:t xml:space="preserve"> </w:t>
      </w:r>
      <w:r w:rsidR="3A030C4F" w:rsidRPr="0F71FB16">
        <w:rPr>
          <w:rFonts w:eastAsia="Arial" w:cs="Arial"/>
          <w:color w:val="000000" w:themeColor="text1"/>
        </w:rPr>
        <w:t xml:space="preserve">non-admitted palliative care </w:t>
      </w:r>
      <w:r w:rsidR="21BEA85C" w:rsidRPr="10DD428D">
        <w:rPr>
          <w:rFonts w:eastAsia="Arial" w:cs="Arial"/>
          <w:color w:val="000000" w:themeColor="text1"/>
        </w:rPr>
        <w:t xml:space="preserve">and </w:t>
      </w:r>
      <w:r w:rsidR="00D014B5" w:rsidRPr="10DD428D">
        <w:rPr>
          <w:rFonts w:eastAsia="Arial" w:cs="Arial"/>
          <w:color w:val="000000" w:themeColor="text1"/>
        </w:rPr>
        <w:t xml:space="preserve">small rural health service </w:t>
      </w:r>
      <w:r w:rsidR="21BEA85C" w:rsidRPr="10DD428D">
        <w:rPr>
          <w:rFonts w:eastAsia="Arial" w:cs="Arial"/>
          <w:color w:val="000000" w:themeColor="text1"/>
        </w:rPr>
        <w:t xml:space="preserve">funding </w:t>
      </w:r>
      <w:r w:rsidR="00E4601B">
        <w:rPr>
          <w:rFonts w:eastAsia="Arial" w:cs="Arial"/>
          <w:color w:val="000000" w:themeColor="text1"/>
        </w:rPr>
        <w:t xml:space="preserve">have </w:t>
      </w:r>
      <w:r w:rsidRPr="004A53BD">
        <w:rPr>
          <w:rFonts w:eastAsia="Arial" w:cs="Arial"/>
          <w:color w:val="000000" w:themeColor="text1"/>
        </w:rPr>
        <w:t xml:space="preserve">not </w:t>
      </w:r>
      <w:r w:rsidR="00E4601B">
        <w:rPr>
          <w:rFonts w:eastAsia="Arial" w:cs="Arial"/>
          <w:color w:val="000000" w:themeColor="text1"/>
        </w:rPr>
        <w:t xml:space="preserve">yet </w:t>
      </w:r>
      <w:r w:rsidRPr="004A53BD">
        <w:rPr>
          <w:rFonts w:eastAsia="Arial" w:cs="Arial"/>
          <w:color w:val="000000" w:themeColor="text1"/>
        </w:rPr>
        <w:t>transition</w:t>
      </w:r>
      <w:r w:rsidR="00E4601B">
        <w:rPr>
          <w:rFonts w:eastAsia="Arial" w:cs="Arial"/>
          <w:color w:val="000000" w:themeColor="text1"/>
        </w:rPr>
        <w:t>ed</w:t>
      </w:r>
      <w:r w:rsidRPr="004A53BD">
        <w:rPr>
          <w:rFonts w:eastAsia="Arial" w:cs="Arial"/>
          <w:color w:val="000000" w:themeColor="text1"/>
        </w:rPr>
        <w:t xml:space="preserve"> to the </w:t>
      </w:r>
      <w:r w:rsidR="2EBC64B2" w:rsidRPr="0F71FB16">
        <w:rPr>
          <w:rFonts w:eastAsia="Arial" w:cs="Arial"/>
          <w:color w:val="000000" w:themeColor="text1"/>
        </w:rPr>
        <w:t>NWAU model</w:t>
      </w:r>
      <w:r w:rsidRPr="004A53BD">
        <w:rPr>
          <w:rFonts w:eastAsia="Arial" w:cs="Arial"/>
          <w:color w:val="000000" w:themeColor="text1"/>
        </w:rPr>
        <w:t>; however, relevant activity will be counted in NWAU</w:t>
      </w:r>
      <w:r w:rsidR="0010260A">
        <w:rPr>
          <w:rFonts w:eastAsia="Arial" w:cs="Arial"/>
          <w:color w:val="000000" w:themeColor="text1"/>
        </w:rPr>
        <w:t>.</w:t>
      </w:r>
    </w:p>
    <w:p w14:paraId="60F60F82" w14:textId="52522295" w:rsidR="003F1920" w:rsidRPr="003A2A05" w:rsidRDefault="003F1920" w:rsidP="003F1920">
      <w:pPr>
        <w:pStyle w:val="Body"/>
        <w:rPr>
          <w:szCs w:val="21"/>
        </w:rPr>
      </w:pPr>
      <w:r w:rsidRPr="000D055B">
        <w:rPr>
          <w:szCs w:val="21"/>
        </w:rPr>
        <w:t>NWAU</w:t>
      </w:r>
      <w:r w:rsidRPr="001C47E4">
        <w:rPr>
          <w:szCs w:val="21"/>
        </w:rPr>
        <w:t xml:space="preserve"> targets</w:t>
      </w:r>
      <w:r w:rsidRPr="00A86CC2">
        <w:rPr>
          <w:szCs w:val="21"/>
        </w:rPr>
        <w:t xml:space="preserve"> will be included in health services’ </w:t>
      </w:r>
      <w:r w:rsidRPr="00EA4CCF">
        <w:rPr>
          <w:szCs w:val="21"/>
        </w:rPr>
        <w:t>S</w:t>
      </w:r>
      <w:r w:rsidRPr="00F33207">
        <w:rPr>
          <w:szCs w:val="21"/>
        </w:rPr>
        <w:t xml:space="preserve">tatement of </w:t>
      </w:r>
      <w:r w:rsidRPr="009E0D18">
        <w:rPr>
          <w:szCs w:val="21"/>
        </w:rPr>
        <w:t>P</w:t>
      </w:r>
      <w:r w:rsidRPr="006A1665">
        <w:rPr>
          <w:szCs w:val="21"/>
        </w:rPr>
        <w:t>riorities (Part C</w:t>
      </w:r>
      <w:r w:rsidR="008C57D6" w:rsidRPr="006A1665">
        <w:rPr>
          <w:szCs w:val="21"/>
        </w:rPr>
        <w:t>) and align with the NWAU targets reported to the National Health Funding Body (Part D).</w:t>
      </w:r>
    </w:p>
    <w:p w14:paraId="78646C84" w14:textId="74EC99ED" w:rsidR="00A1506E" w:rsidRPr="007F03EF" w:rsidRDefault="63DD419F" w:rsidP="00977FCB">
      <w:pPr>
        <w:pStyle w:val="Heading4"/>
      </w:pPr>
      <w:r>
        <w:t xml:space="preserve">Victorian </w:t>
      </w:r>
      <w:r w:rsidR="00FB3154">
        <w:t>E</w:t>
      </w:r>
      <w:r w:rsidR="00D014B5">
        <w:t xml:space="preserve">fficient </w:t>
      </w:r>
      <w:r w:rsidR="00FB3154">
        <w:t>P</w:t>
      </w:r>
      <w:r w:rsidR="00D014B5">
        <w:t>rice</w:t>
      </w:r>
    </w:p>
    <w:p w14:paraId="62B19975" w14:textId="0D580C48" w:rsidR="00660E06" w:rsidRPr="007F03EF" w:rsidRDefault="513BE9AF" w:rsidP="00660E06">
      <w:pPr>
        <w:pStyle w:val="Body"/>
      </w:pPr>
      <w:r>
        <w:t xml:space="preserve">In 2021–22, </w:t>
      </w:r>
      <w:r w:rsidR="60341136">
        <w:t>Victoria adopt</w:t>
      </w:r>
      <w:r w:rsidR="71CF7558">
        <w:t>ed</w:t>
      </w:r>
      <w:r w:rsidR="60341136">
        <w:t xml:space="preserve"> a Victorian </w:t>
      </w:r>
      <w:r w:rsidR="00C447AC">
        <w:t>E</w:t>
      </w:r>
      <w:r w:rsidR="008F1386">
        <w:t xml:space="preserve">fficient </w:t>
      </w:r>
      <w:r w:rsidR="00C447AC">
        <w:t>P</w:t>
      </w:r>
      <w:r w:rsidR="008F1386">
        <w:t xml:space="preserve">rice </w:t>
      </w:r>
      <w:r w:rsidR="622F9390">
        <w:t xml:space="preserve">(VEP) </w:t>
      </w:r>
      <w:r w:rsidR="60341136">
        <w:t xml:space="preserve">for the purpose for funding NWAU growth. </w:t>
      </w:r>
      <w:r w:rsidR="71CF7558">
        <w:t>In 2022</w:t>
      </w:r>
      <w:r w:rsidR="0044334C">
        <w:t>–</w:t>
      </w:r>
      <w:r w:rsidR="71CF7558">
        <w:t>23</w:t>
      </w:r>
      <w:r w:rsidR="0044334C">
        <w:t>,</w:t>
      </w:r>
      <w:r w:rsidR="71CF7558">
        <w:t xml:space="preserve"> </w:t>
      </w:r>
      <w:r w:rsidR="0D2868BC">
        <w:t xml:space="preserve">the VEP </w:t>
      </w:r>
      <w:r w:rsidR="71CF7558">
        <w:t>is update</w:t>
      </w:r>
      <w:r w:rsidR="0D2868BC">
        <w:t>d</w:t>
      </w:r>
      <w:r w:rsidR="71CF7558">
        <w:t xml:space="preserve"> for indexation. </w:t>
      </w:r>
      <w:r w:rsidR="1AEE3914">
        <w:t xml:space="preserve">The adoption of a </w:t>
      </w:r>
      <w:r w:rsidR="7E9CEEF8">
        <w:t xml:space="preserve">VEP is more reflective of </w:t>
      </w:r>
      <w:r w:rsidR="7F10ECE7">
        <w:lastRenderedPageBreak/>
        <w:t xml:space="preserve">the funding required to deliver services </w:t>
      </w:r>
      <w:r w:rsidR="7806D65A">
        <w:t xml:space="preserve">in Victoria </w:t>
      </w:r>
      <w:r w:rsidR="7F10ECE7">
        <w:t xml:space="preserve">and the </w:t>
      </w:r>
      <w:r w:rsidR="5C7E716A">
        <w:t xml:space="preserve">continued </w:t>
      </w:r>
      <w:r w:rsidR="7F10ECE7">
        <w:t xml:space="preserve">use of specified grants alongside </w:t>
      </w:r>
      <w:r w:rsidR="43F98E39">
        <w:t>activity</w:t>
      </w:r>
      <w:r w:rsidR="00D9542F">
        <w:t>-</w:t>
      </w:r>
      <w:r w:rsidR="43F98E39">
        <w:t>based</w:t>
      </w:r>
      <w:r w:rsidR="41B31A4A">
        <w:t xml:space="preserve"> funding. </w:t>
      </w:r>
      <w:r w:rsidR="0044334C">
        <w:t>VEP</w:t>
      </w:r>
      <w:r>
        <w:t xml:space="preserve"> groups reflect the governance arrangements outlined in the </w:t>
      </w:r>
      <w:r w:rsidRPr="003D504F">
        <w:rPr>
          <w:i/>
          <w:iCs/>
        </w:rPr>
        <w:t xml:space="preserve">Health Services Act 1988 </w:t>
      </w:r>
      <w:r w:rsidRPr="00CD05FB">
        <w:t>(Vic.)</w:t>
      </w:r>
      <w:r w:rsidRPr="0044334C">
        <w:t xml:space="preserve">, </w:t>
      </w:r>
      <w:r>
        <w:t xml:space="preserve">distinguishing public health service boards as either metropolitan or regional. Specialist hospitals group with metropolitan, and all others group into the subregional, local and other price group. This structure applies to the acute admitted, emergency, subacute and non-admitted services that </w:t>
      </w:r>
      <w:r w:rsidR="473A075D">
        <w:t xml:space="preserve">have </w:t>
      </w:r>
      <w:r>
        <w:t>transition</w:t>
      </w:r>
      <w:r w:rsidR="473A075D">
        <w:t>ed</w:t>
      </w:r>
      <w:r>
        <w:t xml:space="preserve"> to NWAU</w:t>
      </w:r>
      <w:r w:rsidR="473A075D">
        <w:t>.</w:t>
      </w:r>
      <w:r>
        <w:t xml:space="preserve"> </w:t>
      </w:r>
    </w:p>
    <w:p w14:paraId="525912FE" w14:textId="6118CC6A" w:rsidR="00660E06" w:rsidRPr="007F03EF" w:rsidRDefault="00660E06" w:rsidP="00660E06">
      <w:pPr>
        <w:pStyle w:val="Body"/>
      </w:pPr>
      <w:r w:rsidRPr="007F03EF">
        <w:t xml:space="preserve">For </w:t>
      </w:r>
      <w:r w:rsidR="002E7EEF" w:rsidRPr="007F03EF">
        <w:t>2022</w:t>
      </w:r>
      <w:r w:rsidR="0044334C">
        <w:t>–</w:t>
      </w:r>
      <w:r w:rsidR="002E7EEF" w:rsidRPr="007F03EF">
        <w:t>23</w:t>
      </w:r>
      <w:r w:rsidR="0044334C">
        <w:t>,</w:t>
      </w:r>
      <w:r w:rsidR="002E7EEF" w:rsidRPr="007F03EF">
        <w:rPr>
          <w:lang w:val="en-US"/>
        </w:rPr>
        <w:t xml:space="preserve"> </w:t>
      </w:r>
      <w:r w:rsidRPr="007F03EF">
        <w:t xml:space="preserve">the </w:t>
      </w:r>
      <w:r w:rsidR="0044334C">
        <w:t>VEP</w:t>
      </w:r>
      <w:r w:rsidRPr="007F03EF">
        <w:t xml:space="preserve"> will only apply to additional funding allocations for growth </w:t>
      </w:r>
      <w:r w:rsidR="6B34AE03" w:rsidRPr="007F03EF">
        <w:t xml:space="preserve">of </w:t>
      </w:r>
      <w:r w:rsidRPr="007F03EF">
        <w:t>in-scope activities. Existing activity whose funding was determined in prior financials years will remain as is.</w:t>
      </w:r>
    </w:p>
    <w:p w14:paraId="7ECFCB44" w14:textId="59C3B360" w:rsidR="00A1506E" w:rsidRPr="007F03EF" w:rsidRDefault="00A1506E" w:rsidP="00A1506E">
      <w:pPr>
        <w:pStyle w:val="Body"/>
      </w:pPr>
      <w:r w:rsidRPr="007F03EF">
        <w:t xml:space="preserve">NWAU price groups and prices for </w:t>
      </w:r>
      <w:r w:rsidR="002E7EEF" w:rsidRPr="007F03EF">
        <w:t>2022</w:t>
      </w:r>
      <w:r w:rsidR="0044334C">
        <w:t>–</w:t>
      </w:r>
      <w:r w:rsidR="002E7EEF" w:rsidRPr="007F03EF">
        <w:t>23</w:t>
      </w:r>
      <w:r w:rsidR="002E7EEF" w:rsidRPr="007F03EF">
        <w:rPr>
          <w:lang w:val="en-US"/>
        </w:rPr>
        <w:t xml:space="preserve"> </w:t>
      </w:r>
      <w:r w:rsidRPr="007F03EF">
        <w:t>are outlined in</w:t>
      </w:r>
      <w:r w:rsidR="00660E06" w:rsidRPr="007F03EF">
        <w:t xml:space="preserve"> section</w:t>
      </w:r>
      <w:r w:rsidRPr="007F03EF">
        <w:t xml:space="preserve"> </w:t>
      </w:r>
      <w:r w:rsidR="00660E06" w:rsidRPr="007F03EF">
        <w:fldChar w:fldCharType="begin"/>
      </w:r>
      <w:r w:rsidR="00660E06" w:rsidRPr="007F03EF">
        <w:instrText xml:space="preserve"> REF _Ref77707788 \r \h </w:instrText>
      </w:r>
      <w:r w:rsidR="007F03EF">
        <w:instrText xml:space="preserve"> \* MERGEFORMAT </w:instrText>
      </w:r>
      <w:r w:rsidR="00660E06" w:rsidRPr="007F03EF">
        <w:fldChar w:fldCharType="separate"/>
      </w:r>
      <w:r w:rsidR="006D0756">
        <w:t>1.22</w:t>
      </w:r>
      <w:r w:rsidR="00660E06" w:rsidRPr="007F03EF">
        <w:fldChar w:fldCharType="end"/>
      </w:r>
      <w:r w:rsidR="00660E06" w:rsidRPr="007F03EF">
        <w:t xml:space="preserve"> </w:t>
      </w:r>
      <w:r w:rsidR="0044334C">
        <w:t>‘</w:t>
      </w:r>
      <w:r w:rsidR="00660E06" w:rsidRPr="007F03EF">
        <w:fldChar w:fldCharType="begin"/>
      </w:r>
      <w:r w:rsidR="00660E06" w:rsidRPr="007F03EF">
        <w:instrText xml:space="preserve"> REF _Ref77707841 \h </w:instrText>
      </w:r>
      <w:r w:rsidR="007F03EF">
        <w:instrText xml:space="preserve"> \* MERGEFORMAT </w:instrText>
      </w:r>
      <w:r w:rsidR="00660E06" w:rsidRPr="007F03EF">
        <w:fldChar w:fldCharType="separate"/>
      </w:r>
      <w:r w:rsidR="006D0756">
        <w:t>Price Groups for NWAU Purposes</w:t>
      </w:r>
      <w:r w:rsidR="00660E06" w:rsidRPr="007F03EF">
        <w:fldChar w:fldCharType="end"/>
      </w:r>
      <w:r w:rsidR="0044334C">
        <w:t>’</w:t>
      </w:r>
      <w:r w:rsidRPr="007F03EF">
        <w:t>.</w:t>
      </w:r>
    </w:p>
    <w:p w14:paraId="166B8F14" w14:textId="10CBFC5E" w:rsidR="00A1506E" w:rsidRPr="007F03EF" w:rsidRDefault="00A1506E" w:rsidP="003F2312">
      <w:pPr>
        <w:pStyle w:val="Heading4"/>
      </w:pPr>
      <w:r w:rsidRPr="007F03EF">
        <w:t>Activity-</w:t>
      </w:r>
      <w:r w:rsidR="00976036">
        <w:t>B</w:t>
      </w:r>
      <w:r w:rsidRPr="007F03EF">
        <w:t>ased</w:t>
      </w:r>
      <w:r w:rsidR="003F2312" w:rsidRPr="007F03EF">
        <w:t xml:space="preserve"> </w:t>
      </w:r>
      <w:r w:rsidR="00976036">
        <w:t>S</w:t>
      </w:r>
      <w:r w:rsidR="003F2312" w:rsidRPr="007F03EF">
        <w:t>ervices</w:t>
      </w:r>
    </w:p>
    <w:p w14:paraId="2AE0989C" w14:textId="3216501B" w:rsidR="009E4DA8" w:rsidRPr="007F03EF" w:rsidRDefault="4EE6A6E1" w:rsidP="009E4DA8">
      <w:pPr>
        <w:pStyle w:val="Body"/>
      </w:pPr>
      <w:r>
        <w:t xml:space="preserve">For </w:t>
      </w:r>
      <w:r w:rsidR="18DFC80F">
        <w:t>2022</w:t>
      </w:r>
      <w:r w:rsidR="0044334C">
        <w:t>–</w:t>
      </w:r>
      <w:r w:rsidR="18DFC80F">
        <w:t>23</w:t>
      </w:r>
      <w:r w:rsidR="0044334C">
        <w:t>,</w:t>
      </w:r>
      <w:r w:rsidR="18DFC80F" w:rsidRPr="3808635B">
        <w:rPr>
          <w:lang w:val="en-US"/>
        </w:rPr>
        <w:t xml:space="preserve"> </w:t>
      </w:r>
      <w:r>
        <w:t>health services’ existing funding will continue to be determined based on activity volumes and prices according to the Victorian funding models. The Commonwealth and state contributions to health services, through the national funding pool, will be based on the projected equivalent NWAUs generated by the activity levels as set by the Victorian funding models and will be cash</w:t>
      </w:r>
      <w:r w:rsidR="00D9542F">
        <w:t>-</w:t>
      </w:r>
      <w:r>
        <w:t>flowed according to a health service NWAU-specific rate.</w:t>
      </w:r>
    </w:p>
    <w:p w14:paraId="6CAC97E2" w14:textId="6E155BE6" w:rsidR="00A1506E" w:rsidRPr="007F03EF" w:rsidRDefault="009E4DA8" w:rsidP="009E4DA8">
      <w:pPr>
        <w:pStyle w:val="Body"/>
      </w:pPr>
      <w:r w:rsidRPr="007F03EF">
        <w:t xml:space="preserve">The </w:t>
      </w:r>
      <w:r w:rsidR="0044334C">
        <w:t xml:space="preserve">VEP </w:t>
      </w:r>
      <w:r w:rsidRPr="007F03EF">
        <w:t xml:space="preserve">will only apply to additional funding allocation from </w:t>
      </w:r>
      <w:r w:rsidR="002E7EEF" w:rsidRPr="007F03EF">
        <w:t>2022</w:t>
      </w:r>
      <w:r w:rsidR="0044334C">
        <w:t>–</w:t>
      </w:r>
      <w:r w:rsidR="002E7EEF" w:rsidRPr="007F03EF">
        <w:t>23</w:t>
      </w:r>
      <w:r w:rsidR="002E7EEF" w:rsidRPr="007F03EF">
        <w:rPr>
          <w:lang w:val="en-US"/>
        </w:rPr>
        <w:t xml:space="preserve"> </w:t>
      </w:r>
      <w:r w:rsidRPr="007F03EF">
        <w:t>for the relevant in-scope activities.</w:t>
      </w:r>
    </w:p>
    <w:p w14:paraId="5519D939" w14:textId="42D9AF10" w:rsidR="00A1506E" w:rsidRPr="007F03EF" w:rsidRDefault="14BE2091" w:rsidP="00A1506E">
      <w:pPr>
        <w:pStyle w:val="Heading4"/>
      </w:pPr>
      <w:r w:rsidRPr="007F03EF">
        <w:t>Block-</w:t>
      </w:r>
      <w:r w:rsidR="00976036">
        <w:t>F</w:t>
      </w:r>
      <w:r w:rsidRPr="007F03EF">
        <w:t xml:space="preserve">unded </w:t>
      </w:r>
      <w:r w:rsidR="00976036">
        <w:t>S</w:t>
      </w:r>
      <w:r w:rsidR="67BC4C54" w:rsidRPr="007F03EF">
        <w:t>ervices</w:t>
      </w:r>
    </w:p>
    <w:p w14:paraId="01BBA24A" w14:textId="1B9319DB" w:rsidR="00A1506E" w:rsidRDefault="27EA5AB6" w:rsidP="00A1506E">
      <w:pPr>
        <w:pStyle w:val="Body"/>
      </w:pPr>
      <w:r w:rsidRPr="007F03EF">
        <w:t xml:space="preserve">Not all </w:t>
      </w:r>
      <w:r w:rsidR="5E4828AE" w:rsidRPr="007F03EF">
        <w:t xml:space="preserve">service type </w:t>
      </w:r>
      <w:r w:rsidRPr="007F03EF">
        <w:t xml:space="preserve">components will transition </w:t>
      </w:r>
      <w:r w:rsidR="6F6ACD3B" w:rsidRPr="007F03EF">
        <w:t xml:space="preserve">to the </w:t>
      </w:r>
      <w:r w:rsidR="45157492" w:rsidRPr="007F03EF">
        <w:t>n</w:t>
      </w:r>
      <w:r w:rsidR="6F6ACD3B" w:rsidRPr="007F03EF">
        <w:t xml:space="preserve">ational funding </w:t>
      </w:r>
      <w:r w:rsidR="545A6352" w:rsidRPr="007F03EF">
        <w:t xml:space="preserve">model </w:t>
      </w:r>
      <w:r w:rsidRPr="007F03EF">
        <w:t>from 1 July 2021.</w:t>
      </w:r>
      <w:r w:rsidR="4CD9BF2D" w:rsidRPr="007F03EF">
        <w:t xml:space="preserve"> </w:t>
      </w:r>
      <w:r w:rsidR="4BEC8F3B" w:rsidRPr="007F03EF">
        <w:t>I</w:t>
      </w:r>
      <w:r w:rsidR="55709D71" w:rsidRPr="007F03EF">
        <w:t>n general, s</w:t>
      </w:r>
      <w:r w:rsidR="3167B647" w:rsidRPr="007F03EF">
        <w:t>pecified grants</w:t>
      </w:r>
      <w:r w:rsidR="74FCBE44" w:rsidRPr="007F03EF">
        <w:t>, including those tailored to support statewide services</w:t>
      </w:r>
      <w:r w:rsidR="6EC224B7" w:rsidRPr="007F03EF">
        <w:t>,</w:t>
      </w:r>
      <w:r w:rsidR="3167B647" w:rsidRPr="007F03EF">
        <w:t xml:space="preserve"> will </w:t>
      </w:r>
      <w:r w:rsidR="377726CD" w:rsidRPr="007F03EF">
        <w:t>continue to be block funded</w:t>
      </w:r>
      <w:r w:rsidR="2BBAF42B" w:rsidRPr="007F03EF">
        <w:t>.</w:t>
      </w:r>
      <w:r w:rsidR="377726CD" w:rsidRPr="007F03EF">
        <w:t xml:space="preserve"> </w:t>
      </w:r>
      <w:r w:rsidR="286A23DD" w:rsidRPr="007F03EF">
        <w:t xml:space="preserve">Some subacute non-admitted services will only partially transition </w:t>
      </w:r>
      <w:r w:rsidR="6ACB8415" w:rsidRPr="007F03EF">
        <w:t>to all for ongoing implementation considerations</w:t>
      </w:r>
      <w:r w:rsidR="286A23DD" w:rsidRPr="007F03EF">
        <w:t xml:space="preserve">. </w:t>
      </w:r>
      <w:r w:rsidR="3A3790C4" w:rsidRPr="007F03EF">
        <w:t xml:space="preserve">Teaching and </w:t>
      </w:r>
      <w:r w:rsidR="2B983882" w:rsidRPr="007F03EF">
        <w:t>t</w:t>
      </w:r>
      <w:r w:rsidR="3A3790C4" w:rsidRPr="007F03EF">
        <w:t xml:space="preserve">raining, </w:t>
      </w:r>
      <w:r w:rsidR="62414678" w:rsidRPr="007F03EF">
        <w:t>m</w:t>
      </w:r>
      <w:r w:rsidR="3A3790C4" w:rsidRPr="007F03EF">
        <w:t xml:space="preserve">ental </w:t>
      </w:r>
      <w:r w:rsidR="71882094" w:rsidRPr="007F03EF">
        <w:t>h</w:t>
      </w:r>
      <w:r w:rsidR="3A3790C4" w:rsidRPr="007F03EF">
        <w:t xml:space="preserve">ealth and </w:t>
      </w:r>
      <w:r w:rsidR="6D9CE5BA" w:rsidRPr="007F03EF">
        <w:t>s</w:t>
      </w:r>
      <w:r w:rsidR="3A3790C4" w:rsidRPr="007F03EF">
        <w:t xml:space="preserve">mall </w:t>
      </w:r>
      <w:r w:rsidR="6D9CE5BA" w:rsidRPr="007F03EF">
        <w:t>r</w:t>
      </w:r>
      <w:r w:rsidR="3A3790C4" w:rsidRPr="007F03EF">
        <w:t xml:space="preserve">ural </w:t>
      </w:r>
      <w:r w:rsidR="5D943CCC" w:rsidRPr="007F03EF">
        <w:t>s</w:t>
      </w:r>
      <w:r w:rsidR="3A3790C4" w:rsidRPr="007F03EF">
        <w:t xml:space="preserve">ervices will not transition to the </w:t>
      </w:r>
      <w:r w:rsidR="384226D9" w:rsidRPr="007F03EF">
        <w:t xml:space="preserve">national </w:t>
      </w:r>
      <w:r w:rsidR="7566887C" w:rsidRPr="007F03EF">
        <w:t xml:space="preserve">funding model </w:t>
      </w:r>
      <w:r w:rsidR="3A3790C4" w:rsidRPr="007F03EF">
        <w:t>at this point in time.</w:t>
      </w:r>
    </w:p>
    <w:p w14:paraId="7E71E678" w14:textId="76246DFA" w:rsidR="00A7633C" w:rsidRPr="00500C8C" w:rsidRDefault="00A7633C" w:rsidP="00A7633C">
      <w:pPr>
        <w:pStyle w:val="Heading2"/>
      </w:pPr>
      <w:bookmarkStart w:id="166" w:name="_Toc418694906"/>
      <w:bookmarkStart w:id="167" w:name="_Toc6215545"/>
      <w:bookmarkStart w:id="168" w:name="_Toc10199621"/>
      <w:bookmarkStart w:id="169" w:name="_Toc52892567"/>
      <w:bookmarkStart w:id="170" w:name="_Toc100263280"/>
      <w:bookmarkStart w:id="171" w:name="_Toc127191928"/>
      <w:r>
        <w:lastRenderedPageBreak/>
        <w:t xml:space="preserve">Pricing for </w:t>
      </w:r>
      <w:r w:rsidR="00976036">
        <w:t>Q</w:t>
      </w:r>
      <w:r>
        <w:t>uality</w:t>
      </w:r>
      <w:bookmarkEnd w:id="166"/>
      <w:bookmarkEnd w:id="167"/>
      <w:bookmarkEnd w:id="168"/>
      <w:bookmarkEnd w:id="169"/>
      <w:bookmarkEnd w:id="170"/>
      <w:bookmarkEnd w:id="171"/>
    </w:p>
    <w:p w14:paraId="1EDA04C0" w14:textId="77777777" w:rsidR="008F45AC" w:rsidRPr="007F03EF" w:rsidRDefault="00A7633C" w:rsidP="008F45AC">
      <w:pPr>
        <w:pStyle w:val="Body"/>
      </w:pPr>
      <w:r w:rsidRPr="00F34FFD">
        <w:rPr>
          <w:lang w:eastAsia="en-AU"/>
        </w:rPr>
        <w:t xml:space="preserve">In </w:t>
      </w:r>
      <w:r w:rsidR="008F45AC" w:rsidRPr="007F03EF">
        <w:t>2014–15 Victoria implemented a pricing for quality scheme, providing an opportunity to link funding allocations to discrete performance measures that demonstrate a health service’s success in reducing preventable harm and improving the quality of care.</w:t>
      </w:r>
    </w:p>
    <w:p w14:paraId="72A374BD" w14:textId="7E9E8613" w:rsidR="00A7633C" w:rsidRPr="007F03EF" w:rsidRDefault="008F45AC" w:rsidP="00A7633C">
      <w:pPr>
        <w:pStyle w:val="Body"/>
        <w:rPr>
          <w:lang w:val="en-US" w:eastAsia="en-AU"/>
        </w:rPr>
      </w:pPr>
      <w:r>
        <w:rPr>
          <w:lang w:eastAsia="en-AU"/>
        </w:rPr>
        <w:t xml:space="preserve">From 1 July 2017, </w:t>
      </w:r>
      <w:r w:rsidR="00190830">
        <w:rPr>
          <w:lang w:eastAsia="en-AU"/>
        </w:rPr>
        <w:t>following the</w:t>
      </w:r>
      <w:r w:rsidR="00A7633C" w:rsidRPr="00F34FFD">
        <w:rPr>
          <w:lang w:eastAsia="en-AU"/>
        </w:rPr>
        <w:t xml:space="preserve"> recommendations arising from the Independent </w:t>
      </w:r>
      <w:r w:rsidR="00A12BB1" w:rsidRPr="00F34FFD">
        <w:rPr>
          <w:lang w:eastAsia="en-AU"/>
        </w:rPr>
        <w:t>H</w:t>
      </w:r>
      <w:r w:rsidR="00A12BB1">
        <w:rPr>
          <w:lang w:eastAsia="en-AU"/>
        </w:rPr>
        <w:t>ealth</w:t>
      </w:r>
      <w:r w:rsidR="00A12BB1" w:rsidRPr="00F34FFD">
        <w:rPr>
          <w:lang w:eastAsia="en-AU"/>
        </w:rPr>
        <w:t xml:space="preserve"> </w:t>
      </w:r>
      <w:r w:rsidR="00B93E05">
        <w:rPr>
          <w:lang w:eastAsia="en-AU"/>
        </w:rPr>
        <w:t xml:space="preserve">and Aged Care </w:t>
      </w:r>
      <w:r w:rsidR="00A7633C" w:rsidRPr="00F34FFD">
        <w:rPr>
          <w:lang w:eastAsia="en-AU"/>
        </w:rPr>
        <w:t>Pricing Authority (IH</w:t>
      </w:r>
      <w:r w:rsidR="00B93E05">
        <w:rPr>
          <w:lang w:eastAsia="en-AU"/>
        </w:rPr>
        <w:t>AC</w:t>
      </w:r>
      <w:r w:rsidR="00A7633C" w:rsidRPr="00F34FFD">
        <w:rPr>
          <w:lang w:eastAsia="en-AU"/>
        </w:rPr>
        <w:t xml:space="preserve">PA) </w:t>
      </w:r>
      <w:r w:rsidR="00A7633C" w:rsidRPr="00AC7041">
        <w:rPr>
          <w:rStyle w:val="Emphasis"/>
        </w:rPr>
        <w:t xml:space="preserve">Consultation </w:t>
      </w:r>
      <w:r w:rsidR="00CB7FAD">
        <w:rPr>
          <w:rStyle w:val="Emphasis"/>
        </w:rPr>
        <w:t>p</w:t>
      </w:r>
      <w:r w:rsidR="00CB7FAD" w:rsidRPr="00AC7041">
        <w:rPr>
          <w:rStyle w:val="Emphasis"/>
        </w:rPr>
        <w:t xml:space="preserve">aper on the </w:t>
      </w:r>
      <w:r w:rsidR="00CB7FAD">
        <w:rPr>
          <w:rStyle w:val="Emphasis"/>
        </w:rPr>
        <w:t>p</w:t>
      </w:r>
      <w:r w:rsidR="00CB7FAD" w:rsidRPr="00AC7041">
        <w:rPr>
          <w:rStyle w:val="Emphasis"/>
        </w:rPr>
        <w:t xml:space="preserve">ricing </w:t>
      </w:r>
      <w:r w:rsidR="00CB7FAD">
        <w:rPr>
          <w:rStyle w:val="Emphasis"/>
        </w:rPr>
        <w:t>f</w:t>
      </w:r>
      <w:r w:rsidR="00CB7FAD" w:rsidRPr="00AC7041">
        <w:rPr>
          <w:rStyle w:val="Emphasis"/>
        </w:rPr>
        <w:t xml:space="preserve">ramework </w:t>
      </w:r>
      <w:r w:rsidR="00A7633C" w:rsidRPr="00AC7041">
        <w:rPr>
          <w:rStyle w:val="Emphasis"/>
        </w:rPr>
        <w:t xml:space="preserve">for Australian </w:t>
      </w:r>
      <w:r w:rsidR="00CB7FAD">
        <w:rPr>
          <w:rStyle w:val="Emphasis"/>
        </w:rPr>
        <w:t>p</w:t>
      </w:r>
      <w:r w:rsidR="00CB7FAD" w:rsidRPr="00AC7041">
        <w:rPr>
          <w:rStyle w:val="Emphasis"/>
        </w:rPr>
        <w:t xml:space="preserve">ublic </w:t>
      </w:r>
      <w:r w:rsidR="00CB7FAD">
        <w:rPr>
          <w:rStyle w:val="Emphasis"/>
        </w:rPr>
        <w:t>h</w:t>
      </w:r>
      <w:r w:rsidR="00CB7FAD" w:rsidRPr="00AC7041">
        <w:rPr>
          <w:rStyle w:val="Emphasis"/>
        </w:rPr>
        <w:t xml:space="preserve">ospital </w:t>
      </w:r>
      <w:r w:rsidR="00CB7FAD">
        <w:rPr>
          <w:rStyle w:val="Emphasis"/>
        </w:rPr>
        <w:t>s</w:t>
      </w:r>
      <w:r w:rsidR="00CB7FAD" w:rsidRPr="00AC7041">
        <w:rPr>
          <w:rStyle w:val="Emphasis"/>
        </w:rPr>
        <w:t xml:space="preserve">ervices </w:t>
      </w:r>
      <w:r w:rsidR="00A7633C" w:rsidRPr="00AC7041">
        <w:rPr>
          <w:rStyle w:val="Emphasis"/>
        </w:rPr>
        <w:t>201</w:t>
      </w:r>
      <w:r w:rsidR="00A7633C">
        <w:rPr>
          <w:rStyle w:val="Emphasis"/>
        </w:rPr>
        <w:t>7–</w:t>
      </w:r>
      <w:r w:rsidR="00A7633C" w:rsidRPr="00AC7041">
        <w:rPr>
          <w:rStyle w:val="Emphasis"/>
        </w:rPr>
        <w:t>18</w:t>
      </w:r>
      <w:r w:rsidR="00A7633C" w:rsidRPr="00F34FFD">
        <w:rPr>
          <w:lang w:eastAsia="en-AU"/>
        </w:rPr>
        <w:t xml:space="preserve"> (2016), the Australian Government determined that, any admitted or non-admitted episode of hospital care associated with a sentinel event would not be funded in its entirety (also known as ‘pricing for quality’). In response, Victoria introduced a new pricing mechanism for sentinel events in 2017–18, where episodes of care with an avoidable sentinel </w:t>
      </w:r>
      <w:r w:rsidR="00A7633C" w:rsidRPr="007F03EF">
        <w:rPr>
          <w:lang w:eastAsia="en-AU"/>
        </w:rPr>
        <w:t xml:space="preserve">event, as defined by the nationally agreed sentinel event categories, are not funded. </w:t>
      </w:r>
      <w:r w:rsidR="00A7633C" w:rsidRPr="007F03EF">
        <w:rPr>
          <w:lang w:val="en-US" w:eastAsia="en-AU"/>
        </w:rPr>
        <w:t xml:space="preserve">This model excludes ‘category 11 All other adverse patient safety events resulting in serious harm or </w:t>
      </w:r>
      <w:r w:rsidR="00CB7FAD" w:rsidRPr="007F03EF">
        <w:rPr>
          <w:lang w:val="en-US" w:eastAsia="en-AU"/>
        </w:rPr>
        <w:t>death</w:t>
      </w:r>
      <w:r w:rsidR="00CB7FAD">
        <w:rPr>
          <w:lang w:val="en-US" w:eastAsia="en-AU"/>
        </w:rPr>
        <w:t>’,</w:t>
      </w:r>
      <w:r w:rsidR="00CB7FAD" w:rsidRPr="007F03EF">
        <w:rPr>
          <w:lang w:val="en-US" w:eastAsia="en-AU"/>
        </w:rPr>
        <w:t xml:space="preserve"> </w:t>
      </w:r>
      <w:r w:rsidR="00A7633C" w:rsidRPr="007F03EF">
        <w:rPr>
          <w:lang w:val="en-US" w:eastAsia="en-AU"/>
        </w:rPr>
        <w:t>because this sentinel event category is only used in Victoria and not subject to the national pricing for quality.</w:t>
      </w:r>
    </w:p>
    <w:p w14:paraId="03C26D47" w14:textId="77777777" w:rsidR="00A7633C" w:rsidRPr="007F03EF" w:rsidRDefault="00A7633C" w:rsidP="00A7633C">
      <w:pPr>
        <w:pStyle w:val="Body"/>
        <w:rPr>
          <w:lang w:val="en-US" w:eastAsia="en-AU"/>
        </w:rPr>
      </w:pPr>
      <w:r w:rsidRPr="007F03EF">
        <w:rPr>
          <w:lang w:eastAsia="en-AU"/>
        </w:rPr>
        <w:t>Health services are required to report all sentinel events (see list below) to the Sentinel Event Program, which is coordinated by Safer Care Victoria. All sentinel events in categories 1–10 are analysed to determine avoidability. If an event is found to be avoidable, a health service will not receive payment for the entire episode of care.</w:t>
      </w:r>
    </w:p>
    <w:p w14:paraId="5932BB05" w14:textId="5AEF067F" w:rsidR="001E0B7F" w:rsidRDefault="001E0B7F" w:rsidP="001E0B7F">
      <w:pPr>
        <w:pStyle w:val="Body"/>
      </w:pPr>
      <w:bookmarkStart w:id="172" w:name="_Hlk260288"/>
      <w:r w:rsidRPr="007F03EF">
        <w:t xml:space="preserve">A national pricing and funding model for Hospital Acquired Conditions (HAC), developed by the </w:t>
      </w:r>
      <w:r>
        <w:t>IH</w:t>
      </w:r>
      <w:r w:rsidR="00B93E05">
        <w:t>AC</w:t>
      </w:r>
      <w:r>
        <w:t>PA</w:t>
      </w:r>
      <w:r w:rsidRPr="007F03EF">
        <w:t xml:space="preserve">, will continue in 2022-23. The national HAC model applies a risk-adjusted discount for each episode in which a HAC is present. The HAC NWAU funding discount will not apply to health services in 2022-23. </w:t>
      </w:r>
    </w:p>
    <w:p w14:paraId="0A3D8F8D" w14:textId="77777777" w:rsidR="001E0B7F" w:rsidRDefault="001E0B7F" w:rsidP="001E0B7F">
      <w:pPr>
        <w:pStyle w:val="Body"/>
      </w:pPr>
      <w:r w:rsidRPr="007F03EF">
        <w:t>The impact of the HAC national discounts will be shadow reported in 2022-23, with consideration given to implementation of a</w:t>
      </w:r>
      <w:r>
        <w:t xml:space="preserve"> funding discount.</w:t>
      </w:r>
    </w:p>
    <w:p w14:paraId="6263AEF2" w14:textId="128261DF" w:rsidR="00A7633C" w:rsidRPr="007F03EF" w:rsidRDefault="00A7633C" w:rsidP="00FE505A">
      <w:pPr>
        <w:pStyle w:val="Heading3"/>
        <w:rPr>
          <w:lang w:eastAsia="en-AU"/>
        </w:rPr>
      </w:pPr>
      <w:bookmarkStart w:id="173" w:name="_Toc100263281"/>
      <w:bookmarkStart w:id="174" w:name="_Toc127191929"/>
      <w:bookmarkEnd w:id="172"/>
      <w:r w:rsidRPr="007F03EF">
        <w:rPr>
          <w:lang w:eastAsia="en-AU"/>
        </w:rPr>
        <w:t xml:space="preserve">Sentinel </w:t>
      </w:r>
      <w:r w:rsidR="00976036">
        <w:rPr>
          <w:lang w:eastAsia="en-AU"/>
        </w:rPr>
        <w:t>E</w:t>
      </w:r>
      <w:r w:rsidRPr="007F03EF">
        <w:rPr>
          <w:lang w:eastAsia="en-AU"/>
        </w:rPr>
        <w:t xml:space="preserve">vents </w:t>
      </w:r>
      <w:r w:rsidR="00976036">
        <w:rPr>
          <w:lang w:eastAsia="en-AU"/>
        </w:rPr>
        <w:t>L</w:t>
      </w:r>
      <w:r w:rsidRPr="007F03EF">
        <w:rPr>
          <w:lang w:eastAsia="en-AU"/>
        </w:rPr>
        <w:t>ist</w:t>
      </w:r>
      <w:bookmarkEnd w:id="173"/>
      <w:bookmarkEnd w:id="174"/>
    </w:p>
    <w:p w14:paraId="253B62F7" w14:textId="1FCCF493" w:rsidR="00A7633C" w:rsidRPr="007F03EF" w:rsidRDefault="00A7633C" w:rsidP="00A7633C">
      <w:pPr>
        <w:pStyle w:val="Numberdigit"/>
      </w:pPr>
      <w:r w:rsidRPr="007F03EF">
        <w:rPr>
          <w:lang w:eastAsia="en-AU"/>
        </w:rPr>
        <w:t>Surg</w:t>
      </w:r>
      <w:r w:rsidRPr="007F03EF">
        <w:t>ery or other invasive procedure performed on the wrong site resulting in serious harm or death</w:t>
      </w:r>
      <w:r w:rsidR="00CB7FAD">
        <w:t>.</w:t>
      </w:r>
    </w:p>
    <w:p w14:paraId="72506A87" w14:textId="01F3B90D" w:rsidR="00A7633C" w:rsidRPr="007F03EF" w:rsidRDefault="00A7633C" w:rsidP="00A7633C">
      <w:pPr>
        <w:pStyle w:val="Numberdigit"/>
      </w:pPr>
      <w:r w:rsidRPr="007F03EF">
        <w:t>Surgery or other invasive procedure performed on the wrong patient resulting in serious harm or death</w:t>
      </w:r>
      <w:r w:rsidR="00CB7FAD">
        <w:t>.</w:t>
      </w:r>
    </w:p>
    <w:p w14:paraId="1213C437" w14:textId="2E4E5F2B" w:rsidR="00A7633C" w:rsidRPr="007F03EF" w:rsidRDefault="00A7633C" w:rsidP="00A7633C">
      <w:pPr>
        <w:pStyle w:val="Numberdigit"/>
      </w:pPr>
      <w:r w:rsidRPr="007F03EF">
        <w:t>Wrong surgical or other invasive procedure performed on a patient resulting in serious harm or death</w:t>
      </w:r>
      <w:r w:rsidR="00CB7FAD">
        <w:t>.</w:t>
      </w:r>
    </w:p>
    <w:p w14:paraId="1B5B3F89" w14:textId="4023D6A3" w:rsidR="00A7633C" w:rsidRPr="007F03EF" w:rsidRDefault="00A7633C" w:rsidP="00A7633C">
      <w:pPr>
        <w:pStyle w:val="Numberdigit"/>
      </w:pPr>
      <w:r w:rsidRPr="007F03EF">
        <w:t>Unintended retention of a foreign object in a patient after surgery or other invasive procedure resulting in serious harm or death</w:t>
      </w:r>
      <w:r w:rsidR="00CB7FAD">
        <w:t>.</w:t>
      </w:r>
    </w:p>
    <w:p w14:paraId="16A11E2C" w14:textId="7250D8C1" w:rsidR="00A7633C" w:rsidRPr="007F03EF" w:rsidRDefault="00A7633C" w:rsidP="00A7633C">
      <w:pPr>
        <w:pStyle w:val="Numberdigit"/>
      </w:pPr>
      <w:r w:rsidRPr="007F03EF">
        <w:t>Haemolytic blood transfusion reaction resulting from ABO incompatibility resulting in serious harm or death</w:t>
      </w:r>
      <w:r w:rsidR="00CB7FAD">
        <w:t>.</w:t>
      </w:r>
    </w:p>
    <w:p w14:paraId="3E0F48B0" w14:textId="5C499340" w:rsidR="00A7633C" w:rsidRPr="007F03EF" w:rsidRDefault="00A7633C" w:rsidP="00A7633C">
      <w:pPr>
        <w:pStyle w:val="Numberdigit"/>
      </w:pPr>
      <w:r w:rsidRPr="007F03EF">
        <w:t>Suspected suicide of a patient in an acute psychiatric unit or acute psychiatric ward</w:t>
      </w:r>
      <w:r w:rsidR="00CB7FAD">
        <w:t>.</w:t>
      </w:r>
    </w:p>
    <w:p w14:paraId="6B646572" w14:textId="483E2D2E" w:rsidR="00A7633C" w:rsidRPr="007F03EF" w:rsidRDefault="00A7633C" w:rsidP="00A7633C">
      <w:pPr>
        <w:pStyle w:val="Numberdigit"/>
      </w:pPr>
      <w:r w:rsidRPr="007F03EF">
        <w:t>Medication error resulting in serious harm or death</w:t>
      </w:r>
      <w:r w:rsidR="00CB7FAD">
        <w:t>.</w:t>
      </w:r>
    </w:p>
    <w:p w14:paraId="0594BAA2" w14:textId="1458147B" w:rsidR="00A7633C" w:rsidRPr="007F03EF" w:rsidRDefault="00A7633C" w:rsidP="00A7633C">
      <w:pPr>
        <w:pStyle w:val="Numberdigit"/>
      </w:pPr>
      <w:r w:rsidRPr="007F03EF">
        <w:t>Use of physical or mechanical restraint resulting in serious harm or death</w:t>
      </w:r>
      <w:r w:rsidR="00CB7FAD">
        <w:t>.</w:t>
      </w:r>
    </w:p>
    <w:p w14:paraId="35C881D7" w14:textId="12167333" w:rsidR="00A7633C" w:rsidRPr="007F03EF" w:rsidRDefault="00A7633C" w:rsidP="00A7633C">
      <w:pPr>
        <w:pStyle w:val="Numberdigit"/>
      </w:pPr>
      <w:r w:rsidRPr="007F03EF">
        <w:t>Discharge or release of an infant or child to an unauthorised person</w:t>
      </w:r>
      <w:r w:rsidR="00CB7FAD">
        <w:t>.</w:t>
      </w:r>
    </w:p>
    <w:p w14:paraId="6829D64A" w14:textId="4DC05A3C" w:rsidR="00A7633C" w:rsidRPr="007F03EF" w:rsidRDefault="00A7633C" w:rsidP="00A7633C">
      <w:pPr>
        <w:pStyle w:val="Numberdigit"/>
      </w:pPr>
      <w:r w:rsidRPr="007F03EF">
        <w:t>Use of an incorrectly positioned oro- or naso-gastric tube resulting in serious harm or death</w:t>
      </w:r>
      <w:r w:rsidR="00CB7FAD">
        <w:t>.</w:t>
      </w:r>
    </w:p>
    <w:p w14:paraId="280ED623" w14:textId="77777777" w:rsidR="00A7633C" w:rsidRPr="007F03EF" w:rsidRDefault="00A7633C" w:rsidP="00A7633C">
      <w:pPr>
        <w:pStyle w:val="Numberdigit"/>
      </w:pPr>
      <w:r w:rsidRPr="007F03EF">
        <w:t>All other adverse patient safety events resulting in serious harm or death (not subject to pricing for quality</w:t>
      </w:r>
      <w:r w:rsidRPr="007F03EF">
        <w:rPr>
          <w:lang w:eastAsia="en-AU"/>
        </w:rPr>
        <w:t>).</w:t>
      </w:r>
    </w:p>
    <w:p w14:paraId="5C39BCDA" w14:textId="1BFC76D0" w:rsidR="00A7633C" w:rsidRPr="007F03EF" w:rsidRDefault="00A7633C" w:rsidP="00FE505A">
      <w:pPr>
        <w:pStyle w:val="Heading3"/>
        <w:rPr>
          <w:lang w:eastAsia="en-AU"/>
        </w:rPr>
      </w:pPr>
      <w:bookmarkStart w:id="175" w:name="_Toc100263282"/>
      <w:bookmarkStart w:id="176" w:name="_Toc127191930"/>
      <w:r w:rsidRPr="007F03EF">
        <w:rPr>
          <w:lang w:eastAsia="en-AU"/>
        </w:rPr>
        <w:lastRenderedPageBreak/>
        <w:t>Hospital-</w:t>
      </w:r>
      <w:r w:rsidR="00976036">
        <w:rPr>
          <w:lang w:eastAsia="en-AU"/>
        </w:rPr>
        <w:t>A</w:t>
      </w:r>
      <w:r w:rsidRPr="007F03EF">
        <w:rPr>
          <w:lang w:eastAsia="en-AU"/>
        </w:rPr>
        <w:t xml:space="preserve">cquired </w:t>
      </w:r>
      <w:r w:rsidR="00976036">
        <w:rPr>
          <w:lang w:eastAsia="en-AU"/>
        </w:rPr>
        <w:t>C</w:t>
      </w:r>
      <w:r w:rsidRPr="007F03EF">
        <w:rPr>
          <w:lang w:eastAsia="en-AU"/>
        </w:rPr>
        <w:t>onditions</w:t>
      </w:r>
      <w:bookmarkEnd w:id="175"/>
      <w:bookmarkEnd w:id="176"/>
    </w:p>
    <w:p w14:paraId="2E0EE39E" w14:textId="4B346555" w:rsidR="00A7633C" w:rsidRPr="007F03EF" w:rsidRDefault="00A7633C" w:rsidP="00A7633C">
      <w:pPr>
        <w:pStyle w:val="Body"/>
        <w:rPr>
          <w:lang w:eastAsia="en-AU"/>
        </w:rPr>
      </w:pPr>
      <w:r w:rsidRPr="007F03EF">
        <w:rPr>
          <w:lang w:eastAsia="en-AU"/>
        </w:rPr>
        <w:t xml:space="preserve">A </w:t>
      </w:r>
      <w:r w:rsidRPr="65B81FCA">
        <w:rPr>
          <w:lang w:eastAsia="en-AU"/>
        </w:rPr>
        <w:t>hospital-</w:t>
      </w:r>
      <w:r w:rsidRPr="65A845B9">
        <w:rPr>
          <w:lang w:eastAsia="en-AU"/>
        </w:rPr>
        <w:t>acq</w:t>
      </w:r>
      <w:r w:rsidR="00DF198D">
        <w:rPr>
          <w:lang w:eastAsia="en-AU"/>
        </w:rPr>
        <w:t>uir</w:t>
      </w:r>
      <w:r w:rsidRPr="65A845B9">
        <w:rPr>
          <w:lang w:eastAsia="en-AU"/>
        </w:rPr>
        <w:t>ed condition (HAC)</w:t>
      </w:r>
      <w:r w:rsidRPr="007F03EF">
        <w:rPr>
          <w:lang w:eastAsia="en-AU"/>
        </w:rPr>
        <w:t xml:space="preserve"> refers to a complication that is acquired in hospital for which clinical risk mitigation strategies may reduce (but not necessarily eliminate) the risk of that complication occurring.</w:t>
      </w:r>
    </w:p>
    <w:p w14:paraId="0C3EF7DF" w14:textId="14145DF0" w:rsidR="00A7633C" w:rsidRPr="007F03EF" w:rsidRDefault="00A7633C" w:rsidP="00A7633C">
      <w:pPr>
        <w:pStyle w:val="Body"/>
        <w:rPr>
          <w:lang w:eastAsia="en-AU"/>
        </w:rPr>
      </w:pPr>
      <w:r w:rsidRPr="007F03EF">
        <w:rPr>
          <w:lang w:eastAsia="en-AU"/>
        </w:rPr>
        <w:t>The list of HACs was determined by a joint working group of the Australian Commission on Safety and Quality in Health Care and the IH</w:t>
      </w:r>
      <w:r w:rsidR="00B93E05">
        <w:rPr>
          <w:lang w:eastAsia="en-AU"/>
        </w:rPr>
        <w:t>AC</w:t>
      </w:r>
      <w:r w:rsidRPr="007F03EF">
        <w:rPr>
          <w:lang w:eastAsia="en-AU"/>
        </w:rPr>
        <w:t>PA.</w:t>
      </w:r>
    </w:p>
    <w:p w14:paraId="66B7E6D3" w14:textId="77777777" w:rsidR="00A7633C" w:rsidRPr="007F03EF" w:rsidRDefault="00A7633C" w:rsidP="00A7633C">
      <w:pPr>
        <w:pStyle w:val="Body"/>
        <w:rPr>
          <w:lang w:eastAsia="en-AU"/>
        </w:rPr>
      </w:pPr>
      <w:r w:rsidRPr="007F03EF">
        <w:rPr>
          <w:lang w:eastAsia="en-AU"/>
        </w:rPr>
        <w:t>The HACs are:</w:t>
      </w:r>
    </w:p>
    <w:p w14:paraId="381F0B10" w14:textId="77777777" w:rsidR="00A7633C" w:rsidRPr="007F03EF" w:rsidRDefault="00A7633C" w:rsidP="00E05C4E">
      <w:pPr>
        <w:pStyle w:val="Bullet1"/>
      </w:pPr>
      <w:r w:rsidRPr="007F03EF">
        <w:t>pressure injury</w:t>
      </w:r>
    </w:p>
    <w:p w14:paraId="19F8398F" w14:textId="77777777" w:rsidR="00A7633C" w:rsidRPr="007F03EF" w:rsidRDefault="00A7633C" w:rsidP="00E05C4E">
      <w:pPr>
        <w:pStyle w:val="Bullet1"/>
      </w:pPr>
      <w:r w:rsidRPr="007F03EF">
        <w:t>falls resulting in fracture or other intracranial injury</w:t>
      </w:r>
    </w:p>
    <w:p w14:paraId="62C4E722" w14:textId="77777777" w:rsidR="00A7633C" w:rsidRPr="007F03EF" w:rsidRDefault="00A7633C" w:rsidP="00E05C4E">
      <w:pPr>
        <w:pStyle w:val="Bullet1"/>
      </w:pPr>
      <w:r w:rsidRPr="007F03EF">
        <w:t>healthcare-associated infection</w:t>
      </w:r>
    </w:p>
    <w:p w14:paraId="36E3E86E" w14:textId="77777777" w:rsidR="00A7633C" w:rsidRPr="007F03EF" w:rsidRDefault="00A7633C" w:rsidP="00E05C4E">
      <w:pPr>
        <w:pStyle w:val="Bullet1"/>
      </w:pPr>
      <w:r w:rsidRPr="007F03EF">
        <w:t>surgical complications requiring unplanned return to theatre</w:t>
      </w:r>
    </w:p>
    <w:p w14:paraId="60589F12" w14:textId="77777777" w:rsidR="00A7633C" w:rsidRPr="007F03EF" w:rsidRDefault="00A7633C" w:rsidP="00E05C4E">
      <w:pPr>
        <w:pStyle w:val="Bullet1"/>
      </w:pPr>
      <w:r w:rsidRPr="007F03EF">
        <w:t>unplanned intensive care unit admission</w:t>
      </w:r>
    </w:p>
    <w:p w14:paraId="42DB70F2" w14:textId="77777777" w:rsidR="00A7633C" w:rsidRPr="007F03EF" w:rsidRDefault="00A7633C" w:rsidP="00E05C4E">
      <w:pPr>
        <w:pStyle w:val="Bullet1"/>
      </w:pPr>
      <w:r w:rsidRPr="007F03EF">
        <w:t>respiratory complications</w:t>
      </w:r>
    </w:p>
    <w:p w14:paraId="7788D3F8" w14:textId="77777777" w:rsidR="00A7633C" w:rsidRPr="007F03EF" w:rsidRDefault="00A7633C" w:rsidP="00E05C4E">
      <w:pPr>
        <w:pStyle w:val="Bullet1"/>
      </w:pPr>
      <w:r w:rsidRPr="007F03EF">
        <w:t>venous thromboembolism</w:t>
      </w:r>
    </w:p>
    <w:p w14:paraId="5738CC0D" w14:textId="77777777" w:rsidR="00A7633C" w:rsidRPr="007F03EF" w:rsidRDefault="00A7633C" w:rsidP="00E05C4E">
      <w:pPr>
        <w:pStyle w:val="Bullet1"/>
      </w:pPr>
      <w:r w:rsidRPr="007F03EF">
        <w:t>renal failure</w:t>
      </w:r>
    </w:p>
    <w:p w14:paraId="38F8EB69" w14:textId="77777777" w:rsidR="00A7633C" w:rsidRPr="007F03EF" w:rsidRDefault="00A7633C" w:rsidP="00E05C4E">
      <w:pPr>
        <w:pStyle w:val="Bullet1"/>
      </w:pPr>
      <w:r w:rsidRPr="007F03EF">
        <w:t>gastrointestinal bleeding</w:t>
      </w:r>
    </w:p>
    <w:p w14:paraId="406BE912" w14:textId="77777777" w:rsidR="00A7633C" w:rsidRPr="007F03EF" w:rsidRDefault="00A7633C" w:rsidP="00E05C4E">
      <w:pPr>
        <w:pStyle w:val="Bullet1"/>
      </w:pPr>
      <w:r w:rsidRPr="007F03EF">
        <w:t>medication complications</w:t>
      </w:r>
    </w:p>
    <w:p w14:paraId="06D92DC9" w14:textId="77777777" w:rsidR="00A7633C" w:rsidRPr="007F03EF" w:rsidRDefault="00A7633C" w:rsidP="00E05C4E">
      <w:pPr>
        <w:pStyle w:val="Bullet1"/>
      </w:pPr>
      <w:r w:rsidRPr="007F03EF">
        <w:t>delirium</w:t>
      </w:r>
    </w:p>
    <w:p w14:paraId="54BE2E1E" w14:textId="34204E77" w:rsidR="00A7633C" w:rsidRPr="007F03EF" w:rsidRDefault="00A7633C" w:rsidP="00E05C4E">
      <w:pPr>
        <w:pStyle w:val="Bullet1"/>
      </w:pPr>
      <w:r w:rsidRPr="007F03EF">
        <w:t>incontinence</w:t>
      </w:r>
    </w:p>
    <w:p w14:paraId="1EFC1449" w14:textId="7A9B66CC" w:rsidR="00A7633C" w:rsidRPr="007F03EF" w:rsidRDefault="00AB7312" w:rsidP="00E05C4E">
      <w:pPr>
        <w:pStyle w:val="Bullet1"/>
      </w:pPr>
      <w:r w:rsidRPr="007F03EF">
        <w:t>endocrine complications</w:t>
      </w:r>
    </w:p>
    <w:p w14:paraId="47A2F0C3" w14:textId="77777777" w:rsidR="00A7633C" w:rsidRPr="007F03EF" w:rsidRDefault="00A7633C" w:rsidP="00E05C4E">
      <w:pPr>
        <w:pStyle w:val="Bullet1"/>
      </w:pPr>
      <w:r w:rsidRPr="007F03EF">
        <w:t>cardiac complications</w:t>
      </w:r>
    </w:p>
    <w:p w14:paraId="50FB442D" w14:textId="77777777" w:rsidR="00A7633C" w:rsidRPr="007F03EF" w:rsidRDefault="00A7633C" w:rsidP="00E05C4E">
      <w:pPr>
        <w:pStyle w:val="Bullet1"/>
      </w:pPr>
      <w:r w:rsidRPr="007F03EF">
        <w:t>third- and fourth-degree perineal laceration during delivery</w:t>
      </w:r>
    </w:p>
    <w:p w14:paraId="52735C4C" w14:textId="77777777" w:rsidR="00A7633C" w:rsidRPr="007F03EF" w:rsidRDefault="00A7633C" w:rsidP="00E05C4E">
      <w:pPr>
        <w:pStyle w:val="Bullet1"/>
      </w:pPr>
      <w:r w:rsidRPr="007F03EF">
        <w:t>neonatal birth trauma.</w:t>
      </w:r>
    </w:p>
    <w:p w14:paraId="2EA8A34E" w14:textId="43C54729" w:rsidR="00A7633C" w:rsidRPr="007F03EF" w:rsidRDefault="00A7633C" w:rsidP="00A7633C">
      <w:pPr>
        <w:pStyle w:val="Bodyafterbullets"/>
        <w:rPr>
          <w:lang w:eastAsia="en-AU"/>
        </w:rPr>
      </w:pPr>
      <w:r w:rsidRPr="007F03EF">
        <w:rPr>
          <w:lang w:eastAsia="en-AU"/>
        </w:rPr>
        <w:t xml:space="preserve">More information on the HAC list, including diagnosis codes used to identify each HAC, is available at </w:t>
      </w:r>
      <w:hyperlink r:id="rId37" w:history="1">
        <w:r w:rsidRPr="007F03EF">
          <w:rPr>
            <w:rStyle w:val="Hyperlink"/>
            <w:lang w:eastAsia="en-AU"/>
          </w:rPr>
          <w:t>Hospital-acquired complications – Australian Commission on Safety and Quality in Health Care</w:t>
        </w:r>
      </w:hyperlink>
      <w:r w:rsidRPr="007F03EF">
        <w:t xml:space="preserve"> &lt;https://www.safetyandquality.gov.au/our-work/indicators/hospital-acquired-complications</w:t>
      </w:r>
      <w:r w:rsidRPr="007F03EF">
        <w:rPr>
          <w:lang w:eastAsia="en-AU"/>
        </w:rPr>
        <w:t>&gt;.</w:t>
      </w:r>
    </w:p>
    <w:p w14:paraId="168DBD0F" w14:textId="6D9FD5C1" w:rsidR="00A7633C" w:rsidRPr="007F03EF" w:rsidRDefault="00A7633C" w:rsidP="00A7633C">
      <w:pPr>
        <w:pStyle w:val="Body"/>
        <w:rPr>
          <w:lang w:eastAsia="en-AU"/>
        </w:rPr>
      </w:pPr>
      <w:r w:rsidRPr="007F03EF">
        <w:rPr>
          <w:lang w:eastAsia="en-AU"/>
        </w:rPr>
        <w:t>The funding adjustment for HACs has been risk</w:t>
      </w:r>
      <w:r w:rsidR="00CB7FAD">
        <w:rPr>
          <w:lang w:eastAsia="en-AU"/>
        </w:rPr>
        <w:t xml:space="preserve"> </w:t>
      </w:r>
      <w:r w:rsidRPr="007F03EF">
        <w:rPr>
          <w:lang w:eastAsia="en-AU"/>
        </w:rPr>
        <w:t>adjusted to take account of the increased predisposition of some patients to experiencing a HAC during their hospital stay and adjusts the reduction in funding accordingly.</w:t>
      </w:r>
    </w:p>
    <w:p w14:paraId="569A9422" w14:textId="5A27D0E2" w:rsidR="00A7633C" w:rsidRDefault="00A7633C" w:rsidP="00A7633C">
      <w:pPr>
        <w:pStyle w:val="Body"/>
        <w:rPr>
          <w:lang w:eastAsia="en-AU"/>
        </w:rPr>
      </w:pPr>
      <w:r w:rsidRPr="007F03EF">
        <w:rPr>
          <w:lang w:eastAsia="en-AU"/>
        </w:rPr>
        <w:t>More information on the risk adjustment model for HACs, including the risk factors for each HAC group, is contained in the</w:t>
      </w:r>
      <w:r w:rsidR="0076180E">
        <w:t xml:space="preserve"> </w:t>
      </w:r>
      <w:hyperlink r:id="rId38" w:history="1">
        <w:r w:rsidR="00A913CA">
          <w:rPr>
            <w:rStyle w:val="Hyperlink"/>
            <w:lang w:eastAsia="en-AU"/>
          </w:rPr>
          <w:t>National pricing model technical specifications 2022–23 – Independent Health Pricing Authority website</w:t>
        </w:r>
      </w:hyperlink>
      <w:r w:rsidR="1BEA83B3" w:rsidRPr="007F03EF">
        <w:rPr>
          <w:lang w:eastAsia="en-AU"/>
        </w:rPr>
        <w:t xml:space="preserve"> &lt;</w:t>
      </w:r>
      <w:r w:rsidR="003E760A" w:rsidRPr="003E760A">
        <w:t xml:space="preserve"> https://www.ihacpa.gov.au/resources/national-pricing-model-technical-specifications-2022-23</w:t>
      </w:r>
      <w:r w:rsidR="1BEA83B3" w:rsidRPr="007F03EF">
        <w:rPr>
          <w:lang w:eastAsia="en-AU"/>
        </w:rPr>
        <w:t>&gt;.</w:t>
      </w:r>
    </w:p>
    <w:p w14:paraId="568669A0" w14:textId="73179DCB" w:rsidR="00F208E0" w:rsidRDefault="005453CB" w:rsidP="00F208E0">
      <w:pPr>
        <w:pStyle w:val="Heading2"/>
        <w:spacing w:after="440" w:line="440" w:lineRule="atLeast"/>
      </w:pPr>
      <w:bookmarkStart w:id="177" w:name="_Toc100263283"/>
      <w:bookmarkStart w:id="178" w:name="_Toc127191931"/>
      <w:r>
        <w:lastRenderedPageBreak/>
        <w:t xml:space="preserve">Health </w:t>
      </w:r>
      <w:r w:rsidR="00976036">
        <w:t>S</w:t>
      </w:r>
      <w:r>
        <w:t xml:space="preserve">ervice </w:t>
      </w:r>
      <w:r w:rsidR="00976036">
        <w:t>R</w:t>
      </w:r>
      <w:r w:rsidR="00F208E0">
        <w:t>equirements</w:t>
      </w:r>
      <w:bookmarkEnd w:id="177"/>
      <w:bookmarkEnd w:id="178"/>
    </w:p>
    <w:p w14:paraId="492CB04A" w14:textId="637D59A8" w:rsidR="005453CB" w:rsidRDefault="005453CB" w:rsidP="005453CB">
      <w:pPr>
        <w:pStyle w:val="Heading3"/>
      </w:pPr>
      <w:bookmarkStart w:id="179" w:name="_Toc100263284"/>
      <w:bookmarkStart w:id="180" w:name="_Toc127191932"/>
      <w:r>
        <w:t xml:space="preserve">Patient </w:t>
      </w:r>
      <w:r w:rsidR="00976036">
        <w:t>C</w:t>
      </w:r>
      <w:r>
        <w:t>osting</w:t>
      </w:r>
      <w:bookmarkEnd w:id="179"/>
      <w:bookmarkEnd w:id="180"/>
    </w:p>
    <w:p w14:paraId="3335255F" w14:textId="3D6B24BD" w:rsidR="002B2701" w:rsidRDefault="002B2701" w:rsidP="002B2701">
      <w:pPr>
        <w:pStyle w:val="Body"/>
      </w:pPr>
      <w:r w:rsidRPr="00B91327">
        <w:t xml:space="preserve">It is expected that health services maintain and report </w:t>
      </w:r>
      <w:r>
        <w:t>acute (admitted and non-admitted), subacute (admitted and non-admitted), mental health (admitted and community)</w:t>
      </w:r>
      <w:r w:rsidRPr="1027C032">
        <w:t>,</w:t>
      </w:r>
      <w:r>
        <w:t xml:space="preserve"> emergency and specialist clinic</w:t>
      </w:r>
      <w:r w:rsidRPr="1027C032">
        <w:t xml:space="preserve"> </w:t>
      </w:r>
      <w:r>
        <w:t xml:space="preserve">patient-level </w:t>
      </w:r>
      <w:r w:rsidRPr="00B91327">
        <w:t xml:space="preserve">costing data </w:t>
      </w:r>
      <w:r w:rsidR="001F549C">
        <w:t>that</w:t>
      </w:r>
      <w:r w:rsidR="001F549C" w:rsidRPr="00B91327">
        <w:t xml:space="preserve"> </w:t>
      </w:r>
      <w:r w:rsidRPr="00B91327">
        <w:t xml:space="preserve">is used in the development of </w:t>
      </w:r>
      <w:r>
        <w:t>funding models. Along with reporting of all other costed data for all settings.</w:t>
      </w:r>
    </w:p>
    <w:p w14:paraId="18E77F1D" w14:textId="4652C906" w:rsidR="005453CB" w:rsidRPr="006A6767" w:rsidRDefault="005453CB" w:rsidP="005453CB">
      <w:pPr>
        <w:pStyle w:val="Body"/>
        <w:rPr>
          <w:rFonts w:cs="Arial"/>
        </w:rPr>
      </w:pPr>
      <w:r w:rsidRPr="006A6767">
        <w:rPr>
          <w:rFonts w:cs="Arial"/>
        </w:rPr>
        <w:t>Victorian public hospitals are required to report patient</w:t>
      </w:r>
      <w:r>
        <w:rPr>
          <w:rFonts w:cs="Arial"/>
        </w:rPr>
        <w:t>-</w:t>
      </w:r>
      <w:r w:rsidRPr="006A6767">
        <w:rPr>
          <w:rFonts w:cs="Arial"/>
        </w:rPr>
        <w:t xml:space="preserve">level cost information </w:t>
      </w:r>
      <w:r>
        <w:rPr>
          <w:rFonts w:cs="Arial"/>
        </w:rPr>
        <w:t xml:space="preserve">(and </w:t>
      </w:r>
      <w:r>
        <w:t xml:space="preserve">at the phase level for </w:t>
      </w:r>
      <w:r w:rsidR="001F549C">
        <w:t xml:space="preserve">palliative care and mental health </w:t>
      </w:r>
      <w:r w:rsidR="002B2701">
        <w:t>admitted and community</w:t>
      </w:r>
      <w:r>
        <w:t>)</w:t>
      </w:r>
      <w:r w:rsidRPr="006A6767">
        <w:rPr>
          <w:rFonts w:cs="Arial"/>
        </w:rPr>
        <w:t xml:space="preserve"> about the services used to deliver care across all hospital patient settings. </w:t>
      </w:r>
      <w:r w:rsidRPr="0094750E">
        <w:rPr>
          <w:rFonts w:cs="Arial"/>
        </w:rPr>
        <w:t xml:space="preserve">The department currently maintains </w:t>
      </w:r>
      <w:r>
        <w:rPr>
          <w:rFonts w:cs="Arial"/>
        </w:rPr>
        <w:t xml:space="preserve">annual </w:t>
      </w:r>
      <w:r w:rsidRPr="0094750E">
        <w:rPr>
          <w:rFonts w:cs="Arial"/>
        </w:rPr>
        <w:t>cost data collections for all patients treated</w:t>
      </w:r>
      <w:r w:rsidRPr="75F25771">
        <w:rPr>
          <w:rFonts w:cs="Arial"/>
        </w:rPr>
        <w:t>,</w:t>
      </w:r>
      <w:r w:rsidRPr="0094750E">
        <w:rPr>
          <w:rFonts w:cs="Arial"/>
        </w:rPr>
        <w:t xml:space="preserve"> covering </w:t>
      </w:r>
      <w:r w:rsidR="002B2701">
        <w:rPr>
          <w:rFonts w:cs="Arial"/>
        </w:rPr>
        <w:t>all settings</w:t>
      </w:r>
      <w:r>
        <w:rPr>
          <w:rFonts w:cs="Arial"/>
        </w:rPr>
        <w:t xml:space="preserve"> from </w:t>
      </w:r>
      <w:r w:rsidRPr="001068FD">
        <w:rPr>
          <w:rFonts w:cs="Arial"/>
        </w:rPr>
        <w:t>all metropolitan, major rural and some small rural public hospitals</w:t>
      </w:r>
      <w:r>
        <w:rPr>
          <w:rFonts w:cs="Arial"/>
        </w:rPr>
        <w:t>.</w:t>
      </w:r>
      <w:r w:rsidRPr="006A6767">
        <w:rPr>
          <w:rFonts w:cs="Arial"/>
        </w:rPr>
        <w:t xml:space="preserve"> The data collections include:</w:t>
      </w:r>
    </w:p>
    <w:p w14:paraId="04042799" w14:textId="448F9265" w:rsidR="005453CB" w:rsidRDefault="005453CB" w:rsidP="00E05C4E">
      <w:pPr>
        <w:pStyle w:val="Bullet1"/>
        <w:rPr>
          <w:rFonts w:cs="Arial"/>
        </w:rPr>
      </w:pPr>
      <w:r>
        <w:rPr>
          <w:rFonts w:cs="Arial"/>
        </w:rPr>
        <w:t>a</w:t>
      </w:r>
      <w:r w:rsidRPr="00EF5095">
        <w:rPr>
          <w:rFonts w:cs="Arial"/>
        </w:rPr>
        <w:t>dmitted including acute, subacute (</w:t>
      </w:r>
      <w:r w:rsidRPr="00F75D23">
        <w:t xml:space="preserve">geriatric evaluation and </w:t>
      </w:r>
      <w:r w:rsidR="00834B04" w:rsidRPr="00F75D23">
        <w:t>management</w:t>
      </w:r>
      <w:r w:rsidR="00834B04">
        <w:t>),</w:t>
      </w:r>
      <w:r w:rsidRPr="3A2FFF0A">
        <w:t xml:space="preserve"> </w:t>
      </w:r>
      <w:r w:rsidRPr="006A6767">
        <w:t xml:space="preserve">palliative care </w:t>
      </w:r>
      <w:r>
        <w:t xml:space="preserve">(including phase of care), </w:t>
      </w:r>
      <w:r w:rsidRPr="00EF5095">
        <w:rPr>
          <w:rFonts w:cs="Arial"/>
        </w:rPr>
        <w:t>rehabilitation</w:t>
      </w:r>
      <w:r>
        <w:rPr>
          <w:rFonts w:cs="Arial"/>
        </w:rPr>
        <w:t xml:space="preserve"> </w:t>
      </w:r>
      <w:r w:rsidR="002B2701">
        <w:rPr>
          <w:rFonts w:cs="Arial"/>
        </w:rPr>
        <w:t>(including paediatric) and mental health</w:t>
      </w:r>
    </w:p>
    <w:p w14:paraId="2E6FC491" w14:textId="77777777" w:rsidR="005453CB" w:rsidRDefault="005453CB" w:rsidP="00E05C4E">
      <w:pPr>
        <w:pStyle w:val="Bullet1"/>
      </w:pPr>
      <w:r>
        <w:t>n</w:t>
      </w:r>
      <w:r w:rsidRPr="00EF5095">
        <w:t>on-admitted contacts</w:t>
      </w:r>
      <w:r>
        <w:t xml:space="preserve"> including subacute and mental health</w:t>
      </w:r>
    </w:p>
    <w:p w14:paraId="10D4BA0F" w14:textId="77777777" w:rsidR="005453CB" w:rsidRDefault="005453CB" w:rsidP="00E05C4E">
      <w:pPr>
        <w:pStyle w:val="Bullet1"/>
      </w:pPr>
      <w:r>
        <w:t>h</w:t>
      </w:r>
      <w:r w:rsidRPr="00EF5095">
        <w:t>ome-based service delivery</w:t>
      </w:r>
    </w:p>
    <w:p w14:paraId="4BF27A96" w14:textId="77777777" w:rsidR="005453CB" w:rsidRDefault="005453CB" w:rsidP="00E05C4E">
      <w:pPr>
        <w:pStyle w:val="Bullet1"/>
      </w:pPr>
      <w:r w:rsidRPr="1D63C772">
        <w:t>emergency activity including all emergency department presentations and urgent care centre activities</w:t>
      </w:r>
    </w:p>
    <w:p w14:paraId="30559B9E" w14:textId="77777777" w:rsidR="005453CB" w:rsidRDefault="005453CB" w:rsidP="00E05C4E">
      <w:pPr>
        <w:pStyle w:val="Bullet1"/>
      </w:pPr>
      <w:r>
        <w:t>mental health community activity including subacute residential services (</w:t>
      </w:r>
      <w:r w:rsidRPr="00A27551">
        <w:t>prevention and recovery care, community care units</w:t>
      </w:r>
      <w:r>
        <w:t>, aged persons residential) and consultation liaison services</w:t>
      </w:r>
    </w:p>
    <w:p w14:paraId="5F3FCF0B" w14:textId="77777777" w:rsidR="005453CB" w:rsidRDefault="005453CB" w:rsidP="00E05C4E">
      <w:pPr>
        <w:pStyle w:val="Bullet1"/>
      </w:pPr>
      <w:r>
        <w:t>radiotherapy</w:t>
      </w:r>
    </w:p>
    <w:p w14:paraId="2DF6C040" w14:textId="77777777" w:rsidR="005453CB" w:rsidRDefault="005453CB" w:rsidP="00E05C4E">
      <w:pPr>
        <w:pStyle w:val="Bullet1"/>
      </w:pPr>
      <w:r>
        <w:t>community health services</w:t>
      </w:r>
    </w:p>
    <w:p w14:paraId="6E3A1643" w14:textId="52F00E52" w:rsidR="002B2701" w:rsidRPr="00EF5095" w:rsidRDefault="002B2701" w:rsidP="002B2701">
      <w:pPr>
        <w:pStyle w:val="Bullet1"/>
      </w:pPr>
      <w:r>
        <w:t xml:space="preserve">specialty programs such as the Victorian Perinatal Autopsy Service, </w:t>
      </w:r>
      <w:r w:rsidR="001F549C">
        <w:t>statewide</w:t>
      </w:r>
      <w:r>
        <w:t xml:space="preserve"> services and other diagnostic and therapeutic services and other specified programs</w:t>
      </w:r>
    </w:p>
    <w:p w14:paraId="08129EA2" w14:textId="34C58571" w:rsidR="5DFAA848" w:rsidRDefault="61CA17C0" w:rsidP="5DFAA848">
      <w:pPr>
        <w:pStyle w:val="Bullet1"/>
      </w:pPr>
      <w:r>
        <w:t>an</w:t>
      </w:r>
      <w:r w:rsidR="7894A6CE">
        <w:t>y other programs or settings where patients have received treatment.</w:t>
      </w:r>
    </w:p>
    <w:p w14:paraId="4574FF53" w14:textId="5E6253A0" w:rsidR="005453CB" w:rsidRDefault="002B2701" w:rsidP="005453CB">
      <w:pPr>
        <w:pStyle w:val="Bodyafterbullets"/>
      </w:pPr>
      <w:r w:rsidRPr="1D63C772">
        <w:t>Health services’ cost method is to allocate actual expenditure</w:t>
      </w:r>
      <w:r>
        <w:t xml:space="preserve"> (regardless of funding source)</w:t>
      </w:r>
      <w:r w:rsidR="005453CB" w:rsidRPr="1D63C772">
        <w:t xml:space="preserve"> to patients’ actual interactions and events (including allocation of hospital overhead expenses)</w:t>
      </w:r>
      <w:r w:rsidR="001F549C">
        <w:t>,</w:t>
      </w:r>
      <w:r w:rsidR="005453CB" w:rsidRPr="1D63C772">
        <w:t xml:space="preserve"> known as patient-level costing. This approach is more direct and sophisticated because it uses service volumes (for example, actual tests and minutes in theatre) and minimises assumptions, thereby achieving more accurate cost allocations at the individual patient level.</w:t>
      </w:r>
    </w:p>
    <w:p w14:paraId="3473FE13" w14:textId="77777777" w:rsidR="005453CB" w:rsidRPr="006A6767" w:rsidRDefault="005453CB" w:rsidP="005C1A18">
      <w:pPr>
        <w:pStyle w:val="Body"/>
      </w:pPr>
      <w:r w:rsidRPr="006A6767">
        <w:t xml:space="preserve">By contrast, cost modelling </w:t>
      </w:r>
      <w:r>
        <w:t xml:space="preserve">is a top-down allocation method where expenses are </w:t>
      </w:r>
      <w:r w:rsidRPr="006A6767">
        <w:t>allocate</w:t>
      </w:r>
      <w:r>
        <w:t xml:space="preserve">d based on averages and apportionments attributing the </w:t>
      </w:r>
      <w:r w:rsidRPr="006A6767">
        <w:t>same costs to all patient episodes</w:t>
      </w:r>
      <w:r>
        <w:t xml:space="preserve">. This method of patient costing is not </w:t>
      </w:r>
      <w:r w:rsidRPr="006D7B2D">
        <w:t>recommended</w:t>
      </w:r>
      <w:r>
        <w:t xml:space="preserve"> because it </w:t>
      </w:r>
      <w:r w:rsidRPr="006A6767">
        <w:t>achiev</w:t>
      </w:r>
      <w:r>
        <w:t>es</w:t>
      </w:r>
      <w:r w:rsidRPr="006A6767">
        <w:t xml:space="preserve"> a less accurate cost allocation. </w:t>
      </w:r>
      <w:r>
        <w:t xml:space="preserve">However, </w:t>
      </w:r>
      <w:r w:rsidRPr="006A6767">
        <w:t>hospitals cost-model to some extent</w:t>
      </w:r>
      <w:r>
        <w:t xml:space="preserve"> </w:t>
      </w:r>
      <w:r w:rsidRPr="00D40A00">
        <w:t>when there is an absence of patient service volumes</w:t>
      </w:r>
      <w:r w:rsidRPr="006A6767">
        <w:t>, but hospitals can differ widely in the extent to which they model.</w:t>
      </w:r>
    </w:p>
    <w:p w14:paraId="60E70075" w14:textId="13103159" w:rsidR="005453CB" w:rsidRDefault="005453CB" w:rsidP="005453CB">
      <w:pPr>
        <w:pStyle w:val="Body"/>
        <w:rPr>
          <w:rFonts w:cs="Arial"/>
        </w:rPr>
      </w:pPr>
      <w:r w:rsidRPr="1D63C772">
        <w:rPr>
          <w:rFonts w:cs="Arial"/>
        </w:rPr>
        <w:t>In Victoria, actual expenditure (direct and indirect/overhead) is allocated</w:t>
      </w:r>
      <w:r w:rsidRPr="7894A6CE">
        <w:rPr>
          <w:rFonts w:cs="Arial"/>
        </w:rPr>
        <w:t xml:space="preserve"> </w:t>
      </w:r>
      <w:r w:rsidR="0E1DF52D" w:rsidRPr="2536E843">
        <w:rPr>
          <w:rFonts w:cs="Arial"/>
        </w:rPr>
        <w:t>including</w:t>
      </w:r>
      <w:r w:rsidR="16790412" w:rsidRPr="2536E843">
        <w:rPr>
          <w:rFonts w:cs="Arial"/>
        </w:rPr>
        <w:t xml:space="preserve"> </w:t>
      </w:r>
      <w:r w:rsidRPr="1D63C772">
        <w:rPr>
          <w:rFonts w:cs="Arial"/>
        </w:rPr>
        <w:t>capital and depreciation costs</w:t>
      </w:r>
      <w:r w:rsidR="0E1DF52D" w:rsidRPr="2536E843">
        <w:rPr>
          <w:rFonts w:cs="Arial"/>
        </w:rPr>
        <w:t>,</w:t>
      </w:r>
      <w:r w:rsidRPr="1D63C772">
        <w:rPr>
          <w:rFonts w:cs="Arial"/>
        </w:rPr>
        <w:t xml:space="preserve"> </w:t>
      </w:r>
      <w:r w:rsidRPr="7894A6CE">
        <w:rPr>
          <w:rFonts w:cs="Arial"/>
        </w:rPr>
        <w:t>however</w:t>
      </w:r>
      <w:r w:rsidR="0E1DF52D" w:rsidRPr="2536E843">
        <w:rPr>
          <w:rFonts w:cs="Arial"/>
        </w:rPr>
        <w:t xml:space="preserve"> these</w:t>
      </w:r>
      <w:r w:rsidRPr="7894A6CE">
        <w:rPr>
          <w:rFonts w:cs="Arial"/>
        </w:rPr>
        <w:t xml:space="preserve"> are excluded from the total cost of patient </w:t>
      </w:r>
      <w:r w:rsidRPr="1D63C772">
        <w:rPr>
          <w:rFonts w:cs="Arial"/>
        </w:rPr>
        <w:t>and all allocated costs must reconcile with the general ledger</w:t>
      </w:r>
      <w:r w:rsidR="002B2701">
        <w:rPr>
          <w:rFonts w:cs="Arial"/>
        </w:rPr>
        <w:t xml:space="preserve"> and annual financial statements</w:t>
      </w:r>
      <w:r w:rsidR="002B2701" w:rsidRPr="1D63C772">
        <w:rPr>
          <w:rFonts w:cs="Arial"/>
        </w:rPr>
        <w:t xml:space="preserve">. Costs are reported by service areas (cost centres as found in the </w:t>
      </w:r>
      <w:r w:rsidR="002B2701">
        <w:rPr>
          <w:rFonts w:cs="Arial"/>
        </w:rPr>
        <w:t xml:space="preserve">standard </w:t>
      </w:r>
      <w:r w:rsidR="002B2701" w:rsidRPr="1D63C772">
        <w:rPr>
          <w:rFonts w:cs="Arial"/>
        </w:rPr>
        <w:t>chart of accounts) and by account types such as salary and wages (by professions), medical supplies or drugs</w:t>
      </w:r>
      <w:r w:rsidR="006D7B2D">
        <w:rPr>
          <w:rFonts w:cs="Arial"/>
        </w:rPr>
        <w:t>,</w:t>
      </w:r>
      <w:r w:rsidR="002B2701" w:rsidRPr="1D63C772">
        <w:rPr>
          <w:rFonts w:cs="Arial"/>
        </w:rPr>
        <w:t xml:space="preserve"> </w:t>
      </w:r>
      <w:r w:rsidR="006D7B2D">
        <w:rPr>
          <w:rFonts w:cs="Arial"/>
        </w:rPr>
        <w:t>et cetera</w:t>
      </w:r>
      <w:r w:rsidR="002B2701" w:rsidRPr="1D63C772">
        <w:rPr>
          <w:rFonts w:cs="Arial"/>
        </w:rPr>
        <w:t xml:space="preserve">. For ease of analysis these are mapped into generic </w:t>
      </w:r>
      <w:r w:rsidR="002B2701">
        <w:rPr>
          <w:rFonts w:cs="Arial"/>
        </w:rPr>
        <w:t>resource categories</w:t>
      </w:r>
      <w:r w:rsidR="006D7B2D">
        <w:rPr>
          <w:rFonts w:cs="Arial"/>
        </w:rPr>
        <w:t>,</w:t>
      </w:r>
      <w:r w:rsidRPr="1D63C772">
        <w:rPr>
          <w:rFonts w:cs="Arial"/>
        </w:rPr>
        <w:t xml:space="preserve"> such as nursing, medical, theatre and pathology.</w:t>
      </w:r>
    </w:p>
    <w:p w14:paraId="19097561" w14:textId="18A01A36" w:rsidR="005453CB" w:rsidRDefault="005453CB" w:rsidP="005453CB">
      <w:pPr>
        <w:pStyle w:val="Body"/>
      </w:pPr>
      <w:r>
        <w:t xml:space="preserve">Health services must adhere to the specifications, business rules and costing guidance outlined in the documentation found within the data collections list of reports for the </w:t>
      </w:r>
      <w:hyperlink r:id="rId39">
        <w:r w:rsidRPr="1D63C772">
          <w:rPr>
            <w:rStyle w:val="Hyperlink"/>
            <w:rFonts w:cs="Arial"/>
          </w:rPr>
          <w:t>Victorian Cost Data Collection</w:t>
        </w:r>
      </w:hyperlink>
      <w:r>
        <w:t xml:space="preserve"> &lt;https://</w:t>
      </w:r>
      <w:r w:rsidR="006C4AEC" w:rsidRPr="006C4AEC">
        <w:t>www</w:t>
      </w:r>
      <w:r>
        <w:t>.health.vic.gov.au/data-reporting/</w:t>
      </w:r>
      <w:r w:rsidR="006C4AEC" w:rsidRPr="006C4AEC">
        <w:t>victorian-cost-data-collection-vcdc</w:t>
      </w:r>
      <w:r>
        <w:t xml:space="preserve">&gt;. The VCDC document is guided by the </w:t>
      </w:r>
      <w:r w:rsidRPr="1D63C772">
        <w:rPr>
          <w:i/>
          <w:iCs/>
        </w:rPr>
        <w:t xml:space="preserve">Australian </w:t>
      </w:r>
      <w:r w:rsidR="006D7B2D" w:rsidRPr="1D63C772">
        <w:rPr>
          <w:i/>
          <w:iCs/>
        </w:rPr>
        <w:t>hospital patient costing standards</w:t>
      </w:r>
      <w:r w:rsidR="006D7B2D">
        <w:t xml:space="preserve"> </w:t>
      </w:r>
      <w:r>
        <w:t>(version 4.</w:t>
      </w:r>
      <w:r w:rsidR="002B2701">
        <w:t xml:space="preserve">1 or the </w:t>
      </w:r>
      <w:r w:rsidR="002B2701">
        <w:lastRenderedPageBreak/>
        <w:t>most recent version available).</w:t>
      </w:r>
      <w:r>
        <w:t xml:space="preserve"> </w:t>
      </w:r>
      <w:r w:rsidRPr="00CE4986">
        <w:t xml:space="preserve">VCDC data is then submitted to the National Health Cost Data Collection (NHCDC) via the Independent </w:t>
      </w:r>
      <w:r w:rsidR="003E3829" w:rsidRPr="00CE4986">
        <w:t>H</w:t>
      </w:r>
      <w:r w:rsidR="003E3829">
        <w:t>ealth</w:t>
      </w:r>
      <w:r w:rsidR="003E3829" w:rsidRPr="00CE4986">
        <w:t xml:space="preserve"> </w:t>
      </w:r>
      <w:r w:rsidR="003E760A">
        <w:t xml:space="preserve">and Aged Care </w:t>
      </w:r>
      <w:r w:rsidRPr="00CE4986">
        <w:t>Pricing Authority (IH</w:t>
      </w:r>
      <w:r w:rsidR="003E760A">
        <w:t>AC</w:t>
      </w:r>
      <w:r w:rsidRPr="00CE4986">
        <w:t>PA</w:t>
      </w:r>
      <w:r>
        <w:t>).</w:t>
      </w:r>
    </w:p>
    <w:p w14:paraId="1AE8BACB" w14:textId="77777777" w:rsidR="005453CB" w:rsidRDefault="005453CB" w:rsidP="005453CB">
      <w:pPr>
        <w:pStyle w:val="Body"/>
      </w:pPr>
      <w:r w:rsidRPr="00E33BCF">
        <w:t xml:space="preserve">To ensure the integrity and assurance of quality data </w:t>
      </w:r>
      <w:r>
        <w:t xml:space="preserve">and as part of good hospital management practice health services </w:t>
      </w:r>
      <w:r w:rsidRPr="006A6767">
        <w:t>are expected to</w:t>
      </w:r>
      <w:r>
        <w:t>:</w:t>
      </w:r>
    </w:p>
    <w:p w14:paraId="6D52CC32" w14:textId="77777777" w:rsidR="005453CB" w:rsidRPr="00661392" w:rsidRDefault="005453CB" w:rsidP="00E05C4E">
      <w:pPr>
        <w:pStyle w:val="Bullet1"/>
      </w:pPr>
      <w:r>
        <w:t>maintain activity and costing systems</w:t>
      </w:r>
    </w:p>
    <w:p w14:paraId="1C707AD3" w14:textId="77777777" w:rsidR="005453CB" w:rsidRPr="00661392" w:rsidRDefault="005453CB" w:rsidP="00E05C4E">
      <w:pPr>
        <w:pStyle w:val="Bullet1"/>
      </w:pPr>
      <w:r>
        <w:t>review allocation methodologies</w:t>
      </w:r>
    </w:p>
    <w:p w14:paraId="2224B06B" w14:textId="77777777" w:rsidR="005453CB" w:rsidRPr="00661392" w:rsidRDefault="005453CB" w:rsidP="00E05C4E">
      <w:pPr>
        <w:pStyle w:val="Bullet1"/>
      </w:pPr>
      <w:r>
        <w:t>reconcile financial and non-financial information to source systems</w:t>
      </w:r>
    </w:p>
    <w:p w14:paraId="5632FDA6" w14:textId="393A858C" w:rsidR="005453CB" w:rsidRDefault="005453CB" w:rsidP="00E05C4E">
      <w:pPr>
        <w:pStyle w:val="Bullet1"/>
      </w:pPr>
      <w:r>
        <w:t>identify and review fluctuations in cost results.</w:t>
      </w:r>
    </w:p>
    <w:p w14:paraId="53091215" w14:textId="580505C9" w:rsidR="005453CB" w:rsidRDefault="005453CB" w:rsidP="005453CB">
      <w:pPr>
        <w:pStyle w:val="Heading3"/>
      </w:pPr>
      <w:bookmarkStart w:id="181" w:name="_Ref77709814"/>
      <w:bookmarkStart w:id="182" w:name="_Toc100263285"/>
      <w:bookmarkStart w:id="183" w:name="_Toc127191933"/>
      <w:r>
        <w:t xml:space="preserve">Activity </w:t>
      </w:r>
      <w:r w:rsidR="00976036">
        <w:t>R</w:t>
      </w:r>
      <w:r>
        <w:t>eporting</w:t>
      </w:r>
      <w:bookmarkEnd w:id="181"/>
      <w:bookmarkEnd w:id="182"/>
      <w:bookmarkEnd w:id="183"/>
    </w:p>
    <w:p w14:paraId="470A1D53" w14:textId="7BAEE5FD" w:rsidR="005A3F8F" w:rsidRDefault="005A3F8F" w:rsidP="005A3F8F">
      <w:pPr>
        <w:pStyle w:val="Body"/>
      </w:pPr>
      <w:r>
        <w:t xml:space="preserve">It is a condition of funding that health services collect and report </w:t>
      </w:r>
      <w:r w:rsidR="009229F8">
        <w:t xml:space="preserve">activity data that </w:t>
      </w:r>
      <w:r w:rsidR="233173CD">
        <w:t>spans</w:t>
      </w:r>
      <w:r w:rsidR="009229F8">
        <w:t xml:space="preserve"> a range of healthcare settings in accordance with the department’s</w:t>
      </w:r>
      <w:r>
        <w:t xml:space="preserve"> health data collection</w:t>
      </w:r>
      <w:r w:rsidR="009229F8">
        <w:t xml:space="preserve"> specifications. These include, but are not limited to the </w:t>
      </w:r>
      <w:r w:rsidR="009229F8" w:rsidRPr="00F67ACE">
        <w:t xml:space="preserve">Victorian Admitted Episodes Dataset </w:t>
      </w:r>
      <w:r w:rsidR="009229F8">
        <w:t xml:space="preserve">(VAED), the Victorian Emergency Minimum Dataset (VEMD), the Elective Surgery Information System (ESIS), the Victorian Integrated Non-Admitted Health (VINAH) </w:t>
      </w:r>
      <w:r w:rsidR="30CE1E02">
        <w:t>minimum dataset</w:t>
      </w:r>
      <w:r w:rsidR="009229F8">
        <w:t>, and the Agency Information Management System (AIMS)</w:t>
      </w:r>
      <w:r w:rsidR="0033682C">
        <w:t>.</w:t>
      </w:r>
    </w:p>
    <w:p w14:paraId="73ECC998" w14:textId="4179EF81" w:rsidR="009229F8" w:rsidRDefault="0033682C" w:rsidP="009229F8">
      <w:pPr>
        <w:pStyle w:val="Body"/>
      </w:pPr>
      <w:r>
        <w:t>Specifications for these datasets are</w:t>
      </w:r>
      <w:r w:rsidR="009229F8" w:rsidRPr="008B043B">
        <w:t xml:space="preserve"> </w:t>
      </w:r>
      <w:r w:rsidR="009229F8">
        <w:t xml:space="preserve">at the </w:t>
      </w:r>
      <w:hyperlink r:id="rId40" w:history="1">
        <w:r w:rsidR="009229F8" w:rsidRPr="007C40A4">
          <w:rPr>
            <w:rStyle w:val="Hyperlink"/>
          </w:rPr>
          <w:t>Health data standards and systems webpage</w:t>
        </w:r>
      </w:hyperlink>
      <w:r w:rsidR="009229F8">
        <w:t xml:space="preserve"> </w:t>
      </w:r>
      <w:r w:rsidR="009229F8" w:rsidRPr="008B043B">
        <w:t>&lt;</w:t>
      </w:r>
      <w:r w:rsidR="003D5EDC" w:rsidRPr="003D5EDC">
        <w:t>https://www.health.vic.gov.au/data-reporting/health-data-standards-and-systems</w:t>
      </w:r>
      <w:r w:rsidR="009229F8" w:rsidRPr="008B043B">
        <w:t>&gt;.</w:t>
      </w:r>
    </w:p>
    <w:p w14:paraId="23595C0B" w14:textId="69552AE6" w:rsidR="005A3F8F" w:rsidRDefault="00066C4A" w:rsidP="005A3F8F">
      <w:pPr>
        <w:pStyle w:val="Heading4"/>
      </w:pPr>
      <w:r>
        <w:t xml:space="preserve">Admission </w:t>
      </w:r>
      <w:r w:rsidR="00976036">
        <w:t>P</w:t>
      </w:r>
      <w:r>
        <w:t>olicy</w:t>
      </w:r>
    </w:p>
    <w:p w14:paraId="362CDFB3" w14:textId="7FBA096D" w:rsidR="005A3F8F" w:rsidRDefault="479ACDE2" w:rsidP="005A3F8F">
      <w:pPr>
        <w:pStyle w:val="Body"/>
      </w:pPr>
      <w:r>
        <w:t>The</w:t>
      </w:r>
      <w:r w:rsidR="005A3F8F">
        <w:t xml:space="preserve"> </w:t>
      </w:r>
      <w:r w:rsidR="4110981C">
        <w:t>admission policy</w:t>
      </w:r>
      <w:r w:rsidR="005A3F8F">
        <w:t xml:space="preserve"> applies to acute, subacute and mental health admissions.</w:t>
      </w:r>
    </w:p>
    <w:p w14:paraId="728EA2DD" w14:textId="27B48165" w:rsidR="005A3F8F" w:rsidRPr="0091695C" w:rsidRDefault="005A3F8F" w:rsidP="00207AB6">
      <w:pPr>
        <w:pStyle w:val="Body"/>
      </w:pPr>
      <w:r w:rsidRPr="0091695C">
        <w:t xml:space="preserve">A distinction is drawn between admitted and non-admitted patients throughout the classification, coding and funding systems. </w:t>
      </w:r>
      <w:r w:rsidR="5C3EA818" w:rsidRPr="2536E843">
        <w:rPr>
          <w:rFonts w:eastAsia="Arial" w:cs="Arial"/>
          <w:color w:val="000000" w:themeColor="text1"/>
        </w:rPr>
        <w:t xml:space="preserve">An admitted patient is a patient who undergoes a hospital’s formal admission process to receive treatment and/or care. </w:t>
      </w:r>
      <w:r w:rsidRPr="0091695C">
        <w:t xml:space="preserve">Generally, admitted </w:t>
      </w:r>
      <w:r w:rsidRPr="00834B04">
        <w:t>patients</w:t>
      </w:r>
      <w:r w:rsidRPr="0091695C">
        <w:t xml:space="preserve"> are treated in wards and non-admitted patients in specialist clinics. Care provided in an emergency department is not considered part of admitted care. </w:t>
      </w:r>
    </w:p>
    <w:p w14:paraId="036CAFDC" w14:textId="19FB0640" w:rsidR="005054BD" w:rsidRDefault="005A3F8F" w:rsidP="00207AB6">
      <w:pPr>
        <w:pStyle w:val="Body"/>
        <w:rPr>
          <w:rFonts w:ascii="Calibri" w:hAnsi="Calibri"/>
          <w:b/>
          <w:sz w:val="22"/>
          <w:szCs w:val="22"/>
        </w:rPr>
      </w:pPr>
      <w:r w:rsidRPr="006B2BCF">
        <w:t xml:space="preserve">The </w:t>
      </w:r>
      <w:r w:rsidRPr="0020684A">
        <w:rPr>
          <w:i/>
          <w:iCs/>
        </w:rPr>
        <w:t>Victorian Admitted Episodes Dataset: Criteria for Reporting</w:t>
      </w:r>
      <w:r w:rsidR="007C2B6C" w:rsidRPr="006B2BCF">
        <w:t xml:space="preserve"> </w:t>
      </w:r>
      <w:r w:rsidR="00834B04">
        <w:t xml:space="preserve">document </w:t>
      </w:r>
      <w:r w:rsidRPr="006B2BCF">
        <w:t>provides guidelines to enable health services to distinguish between admitted and non-admitted patient episodes for the purpose of data reporting.</w:t>
      </w:r>
      <w:r>
        <w:t xml:space="preserve"> </w:t>
      </w:r>
      <w:r w:rsidR="631E7DDF">
        <w:t>T</w:t>
      </w:r>
      <w:r>
        <w:t>o</w:t>
      </w:r>
      <w:r w:rsidRPr="0091695C">
        <w:t xml:space="preserve"> be reported to the VAED</w:t>
      </w:r>
      <w:r w:rsidR="007C2B6C">
        <w:t>,</w:t>
      </w:r>
      <w:r w:rsidRPr="0091695C">
        <w:t xml:space="preserve"> patients must meet one of the </w:t>
      </w:r>
      <w:r>
        <w:t>admission c</w:t>
      </w:r>
      <w:r w:rsidRPr="0091695C">
        <w:t xml:space="preserve">riteria outlined in the </w:t>
      </w:r>
      <w:r w:rsidR="51CE2346">
        <w:t>document</w:t>
      </w:r>
      <w:r>
        <w:t>.</w:t>
      </w:r>
      <w:r w:rsidRPr="0091695C">
        <w:t xml:space="preserve"> Patients not meeting one of these criteria are non-admitted patients</w:t>
      </w:r>
      <w:r>
        <w:t>.</w:t>
      </w:r>
      <w:r w:rsidRPr="0091695C">
        <w:t xml:space="preserve"> </w:t>
      </w:r>
      <w:r>
        <w:t>N</w:t>
      </w:r>
      <w:r w:rsidRPr="0091695C">
        <w:t xml:space="preserve">o data for these encounters </w:t>
      </w:r>
      <w:r>
        <w:t>is</w:t>
      </w:r>
      <w:r w:rsidRPr="0091695C">
        <w:t xml:space="preserve"> to be reported to the VAED. </w:t>
      </w:r>
      <w:r w:rsidR="005054BD">
        <w:t xml:space="preserve">The criteria </w:t>
      </w:r>
      <w:r w:rsidR="00834B04">
        <w:t xml:space="preserve">apply </w:t>
      </w:r>
      <w:r w:rsidR="005054BD">
        <w:t xml:space="preserve">to public hospitals, and private health service establishments (private hospitals and day procedure centres) registered under the </w:t>
      </w:r>
      <w:r w:rsidR="005054BD" w:rsidRPr="00C41370">
        <w:rPr>
          <w:i/>
          <w:iCs/>
        </w:rPr>
        <w:t>Health Services Act 1988</w:t>
      </w:r>
      <w:r w:rsidR="005054BD" w:rsidRPr="00C41370">
        <w:t xml:space="preserve">. The reporting requirement for private health service establishments is set out in the </w:t>
      </w:r>
      <w:r w:rsidR="005054BD" w:rsidRPr="0063519C">
        <w:t>Health Services (Health Service Establishments) Regulations 2013.</w:t>
      </w:r>
    </w:p>
    <w:p w14:paraId="6F9B545C" w14:textId="7DE60213" w:rsidR="005A3F8F" w:rsidRDefault="00834B04" w:rsidP="005054BD">
      <w:pPr>
        <w:pStyle w:val="Body"/>
      </w:pPr>
      <w:r>
        <w:t xml:space="preserve">Access the </w:t>
      </w:r>
      <w:r w:rsidR="007C2B6C" w:rsidRPr="00AE6427">
        <w:rPr>
          <w:i/>
          <w:iCs/>
        </w:rPr>
        <w:t>VAED</w:t>
      </w:r>
      <w:r w:rsidRPr="00AE6427">
        <w:rPr>
          <w:i/>
          <w:iCs/>
        </w:rPr>
        <w:t xml:space="preserve"> c</w:t>
      </w:r>
      <w:r w:rsidR="007C2B6C" w:rsidRPr="00AE6427">
        <w:rPr>
          <w:i/>
          <w:iCs/>
        </w:rPr>
        <w:t>riteria</w:t>
      </w:r>
      <w:r w:rsidR="5A7573F8" w:rsidRPr="0063519C">
        <w:rPr>
          <w:i/>
        </w:rPr>
        <w:t xml:space="preserve"> for reporting</w:t>
      </w:r>
      <w:r w:rsidR="5A7573F8">
        <w:t xml:space="preserve"> document</w:t>
      </w:r>
      <w:r w:rsidR="005A3F8F">
        <w:t xml:space="preserve"> </w:t>
      </w:r>
      <w:r w:rsidR="5A7573F8">
        <w:t>and</w:t>
      </w:r>
      <w:r w:rsidR="005A3F8F">
        <w:t xml:space="preserve"> accompanying procedure code lists from the </w:t>
      </w:r>
      <w:hyperlink r:id="rId41">
        <w:r w:rsidR="005A3F8F" w:rsidRPr="492A581B">
          <w:rPr>
            <w:rStyle w:val="Hyperlink"/>
          </w:rPr>
          <w:t>Health data standards and systems webpage</w:t>
        </w:r>
      </w:hyperlink>
      <w:r w:rsidR="005A3F8F">
        <w:t xml:space="preserve"> </w:t>
      </w:r>
      <w:r w:rsidR="005A3F8F" w:rsidRPr="008B043B">
        <w:t>&lt;</w:t>
      </w:r>
      <w:r w:rsidR="005A3F8F" w:rsidRPr="00030DBB">
        <w:t>https://</w:t>
      </w:r>
      <w:r w:rsidR="00D45508" w:rsidRPr="00D45508">
        <w:t>www</w:t>
      </w:r>
      <w:r w:rsidR="005A3F8F" w:rsidRPr="00030DBB">
        <w:t>.health.vic.gov.au/data-reporting/health-data-standards-</w:t>
      </w:r>
      <w:r w:rsidR="00D45508" w:rsidRPr="00D45508">
        <w:t>and-</w:t>
      </w:r>
      <w:r w:rsidR="005A3F8F" w:rsidRPr="00030DBB">
        <w:t>systems</w:t>
      </w:r>
      <w:r w:rsidR="005A3F8F" w:rsidRPr="008B043B">
        <w:t>&gt;</w:t>
      </w:r>
      <w:r w:rsidR="005A3F8F">
        <w:t>.</w:t>
      </w:r>
    </w:p>
    <w:p w14:paraId="35004A8E" w14:textId="19EF0D8A" w:rsidR="005A3F8F" w:rsidRPr="0091695C" w:rsidRDefault="005A3F8F" w:rsidP="005A3F8F">
      <w:pPr>
        <w:pStyle w:val="Body"/>
      </w:pPr>
      <w:r w:rsidRPr="0091695C">
        <w:t>Admissions are formal admissions, or statistical (when the care type may change). Admission practices must ensure that an eligible person’s priority for receiving health services is not determined by:</w:t>
      </w:r>
    </w:p>
    <w:p w14:paraId="6738EA3F" w14:textId="77777777" w:rsidR="005A3F8F" w:rsidRPr="0091695C" w:rsidRDefault="005A3F8F" w:rsidP="00E05C4E">
      <w:pPr>
        <w:pStyle w:val="Bullet1"/>
      </w:pPr>
      <w:r>
        <w:t>whether the person has health insurance</w:t>
      </w:r>
    </w:p>
    <w:p w14:paraId="0D7F69BA" w14:textId="77777777" w:rsidR="005A3F8F" w:rsidRPr="0091695C" w:rsidRDefault="005A3F8F" w:rsidP="00E05C4E">
      <w:pPr>
        <w:pStyle w:val="Bullet1"/>
      </w:pPr>
      <w:r>
        <w:t>the person’s financial status or place of residence</w:t>
      </w:r>
    </w:p>
    <w:p w14:paraId="6C07BB31" w14:textId="77777777" w:rsidR="005A3F8F" w:rsidRPr="0091695C" w:rsidRDefault="005A3F8F" w:rsidP="00E05C4E">
      <w:pPr>
        <w:pStyle w:val="Bullet1"/>
      </w:pPr>
      <w:r>
        <w:t>whether the person intends to elect or elects to be treated as a public or private patient</w:t>
      </w:r>
    </w:p>
    <w:p w14:paraId="7FA53099" w14:textId="7BEA876A" w:rsidR="005A3F8F" w:rsidRDefault="005A3F8F" w:rsidP="00E05C4E">
      <w:pPr>
        <w:pStyle w:val="Bullet1"/>
      </w:pPr>
      <w:r>
        <w:t xml:space="preserve">a person’s status as a Medicare-ineligible asylum seeker (refer to </w:t>
      </w:r>
      <w:hyperlink r:id="rId42" w:history="1">
        <w:r w:rsidRPr="00380FC5">
          <w:rPr>
            <w:rStyle w:val="Hyperlink"/>
          </w:rPr>
          <w:t xml:space="preserve">Hospital </w:t>
        </w:r>
        <w:r w:rsidR="00291887" w:rsidRPr="00380FC5">
          <w:rPr>
            <w:rStyle w:val="Hyperlink"/>
          </w:rPr>
          <w:t>Access for People Seeking Asylum - Policy</w:t>
        </w:r>
      </w:hyperlink>
      <w:r w:rsidR="00486798">
        <w:t>: &lt;</w:t>
      </w:r>
      <w:r w:rsidR="00824CDA" w:rsidRPr="00824CDA">
        <w:t>https://www.health.vic.gov.au/publications/hospital-access-for-people-seeking-asylum</w:t>
      </w:r>
      <w:r w:rsidR="00486798">
        <w:t>&gt;</w:t>
      </w:r>
      <w:r>
        <w:t>.</w:t>
      </w:r>
    </w:p>
    <w:p w14:paraId="7F4649B3" w14:textId="77777777" w:rsidR="005A3F8F" w:rsidRPr="001F14E6" w:rsidRDefault="005A3F8F" w:rsidP="005A3F8F">
      <w:pPr>
        <w:pStyle w:val="Bodyafterbullets"/>
        <w:keepNext/>
      </w:pPr>
      <w:r w:rsidRPr="001F14E6">
        <w:lastRenderedPageBreak/>
        <w:t>As part of their admission practices, health services will:</w:t>
      </w:r>
    </w:p>
    <w:p w14:paraId="46865C6D" w14:textId="12F2DF73" w:rsidR="005A3F8F" w:rsidRPr="00752D08" w:rsidRDefault="005A3F8F" w:rsidP="00E05C4E">
      <w:pPr>
        <w:pStyle w:val="Bullet1"/>
      </w:pPr>
      <w:r>
        <w:t>ensure that an eligible person, at the time of admission or as soon as practical thereafter, elects or confirms in writing whether they wish to be treated as a public or private patient and that this election process conforms to the</w:t>
      </w:r>
      <w:r w:rsidRPr="4DDFA079">
        <w:rPr>
          <w:i/>
          <w:iCs/>
        </w:rPr>
        <w:t xml:space="preserve"> National </w:t>
      </w:r>
      <w:r w:rsidR="007C2B6C" w:rsidRPr="4DDFA079">
        <w:rPr>
          <w:i/>
          <w:iCs/>
        </w:rPr>
        <w:t>standards for public hospitals admitted patient election processes</w:t>
      </w:r>
    </w:p>
    <w:p w14:paraId="2B9499F1" w14:textId="77777777" w:rsidR="005A3F8F" w:rsidRPr="00752D08" w:rsidRDefault="005A3F8F" w:rsidP="00E05C4E">
      <w:pPr>
        <w:pStyle w:val="Bullet1"/>
      </w:pPr>
      <w:r>
        <w:t>ensure that any ineligible person is appropriately identified as such in the VAED</w:t>
      </w:r>
    </w:p>
    <w:p w14:paraId="7EE26BF1" w14:textId="083C9FA4" w:rsidR="005A3F8F" w:rsidRPr="007F03EF" w:rsidRDefault="005A3F8F" w:rsidP="00E05C4E">
      <w:pPr>
        <w:pStyle w:val="Bullet1"/>
      </w:pPr>
      <w:r>
        <w:t xml:space="preserve">report admitted Medicare-ineligible asylum seekers to the VAED with the account </w:t>
      </w:r>
      <w:r w:rsidRPr="007F03EF">
        <w:t xml:space="preserve">class code MF – Ineligible Asylum Seeker </w:t>
      </w:r>
    </w:p>
    <w:p w14:paraId="4F5401FF" w14:textId="77777777" w:rsidR="005A3F8F" w:rsidRPr="007F03EF" w:rsidRDefault="005A3F8F" w:rsidP="00E05C4E">
      <w:pPr>
        <w:pStyle w:val="Bullet1"/>
      </w:pPr>
      <w:r w:rsidRPr="007F03EF">
        <w:t>make every effort to verify the place of residence of interstate patients</w:t>
      </w:r>
    </w:p>
    <w:p w14:paraId="64DD80CE" w14:textId="7690C9FA" w:rsidR="005A3F8F" w:rsidRPr="007F03EF" w:rsidRDefault="005A3F8F" w:rsidP="00E05C4E">
      <w:pPr>
        <w:pStyle w:val="Bullet1"/>
      </w:pPr>
      <w:r w:rsidRPr="007F03EF">
        <w:t>ensure that all patients admitted to hospital are asked whether they are of Aboriginal or Torres Strait Islander background</w:t>
      </w:r>
      <w:r w:rsidR="008D5220">
        <w:t>.</w:t>
      </w:r>
      <w:r w:rsidRPr="007F03EF">
        <w:t xml:space="preserve"> (Identifying Indigenous status is a mandatory data item to be reported by hospitals to the VAED; Aboriginal and Torres Strait Islander patients identified on the VAED will be funded at the nominated </w:t>
      </w:r>
      <w:r w:rsidR="4D33E992" w:rsidRPr="007F03EF">
        <w:t xml:space="preserve">NWAU </w:t>
      </w:r>
      <w:r w:rsidRPr="007F03EF">
        <w:t xml:space="preserve">payment for </w:t>
      </w:r>
      <w:r w:rsidR="002E7EEF" w:rsidRPr="007F03EF">
        <w:t>2022</w:t>
      </w:r>
      <w:r w:rsidR="008D5220">
        <w:t>–</w:t>
      </w:r>
      <w:r w:rsidR="002E7EEF" w:rsidRPr="007F03EF">
        <w:t>23</w:t>
      </w:r>
      <w:r w:rsidR="008D5220">
        <w:t>.</w:t>
      </w:r>
      <w:r w:rsidRPr="007F03EF">
        <w:t>)</w:t>
      </w:r>
    </w:p>
    <w:p w14:paraId="20A351A1" w14:textId="30D258FE" w:rsidR="005A3F8F" w:rsidRDefault="0033682C" w:rsidP="005A3F8F">
      <w:pPr>
        <w:pStyle w:val="Heading4"/>
      </w:pPr>
      <w:bookmarkStart w:id="184" w:name="_Toc77588919"/>
      <w:r>
        <w:t xml:space="preserve">Admitted </w:t>
      </w:r>
      <w:r w:rsidR="00976036">
        <w:t>E</w:t>
      </w:r>
      <w:r>
        <w:t xml:space="preserve">pisodes and </w:t>
      </w:r>
      <w:r w:rsidR="00976036">
        <w:t>C</w:t>
      </w:r>
      <w:r w:rsidR="005A3F8F">
        <w:t xml:space="preserve">are </w:t>
      </w:r>
      <w:r w:rsidR="00976036">
        <w:t>T</w:t>
      </w:r>
      <w:r w:rsidR="005A3F8F">
        <w:t>ype</w:t>
      </w:r>
      <w:bookmarkEnd w:id="184"/>
    </w:p>
    <w:p w14:paraId="289DBBAA" w14:textId="77777777" w:rsidR="0033682C" w:rsidRPr="008B043B" w:rsidRDefault="0033682C" w:rsidP="0033682C">
      <w:pPr>
        <w:pStyle w:val="Body"/>
      </w:pPr>
      <w:r w:rsidRPr="008B043B">
        <w:t>Each time a patient is admitted and discharged from hospital during the year, it is counted as an episode of care. Episodes can also be called admissions or separations. A single patient may have a number of separations during the year.</w:t>
      </w:r>
      <w:r>
        <w:t xml:space="preserve"> </w:t>
      </w:r>
      <w:r w:rsidRPr="008B043B">
        <w:t xml:space="preserve">Separations can also occur when admitted patients are transferred to another hospital, change the type of care </w:t>
      </w:r>
      <w:r w:rsidRPr="001F7CEF">
        <w:t>required (see below) or</w:t>
      </w:r>
      <w:r w:rsidRPr="008B043B">
        <w:t xml:space="preserve"> die in hospital.</w:t>
      </w:r>
    </w:p>
    <w:p w14:paraId="347F4B74" w14:textId="75DF7ABA" w:rsidR="005A3F8F" w:rsidRDefault="005A3F8F" w:rsidP="005453CB">
      <w:pPr>
        <w:pStyle w:val="Body"/>
      </w:pPr>
      <w:r>
        <w:t xml:space="preserve">Care type refers to the nature of the clinical service provided to an admitted patient during an episode of admitted patient care, or the type of service provided by the hospital. </w:t>
      </w:r>
    </w:p>
    <w:p w14:paraId="127E834D" w14:textId="77777777" w:rsidR="005A3F8F" w:rsidRDefault="005A3F8F" w:rsidP="005453CB">
      <w:pPr>
        <w:pStyle w:val="Body"/>
      </w:pPr>
      <w:r>
        <w:t xml:space="preserve">The care type selected must reflect the primary clinical purpose or treatment goal of the care provided. Only one care type can be assigned at a time. Where there is more than one focus of care, the care type that best describes the primary clinical purpose or treatment goal should be assigned. </w:t>
      </w:r>
    </w:p>
    <w:p w14:paraId="1A7FD281" w14:textId="6F59D8BA" w:rsidR="005A3F8F" w:rsidRDefault="005A3F8F" w:rsidP="005453CB">
      <w:pPr>
        <w:pStyle w:val="Body"/>
      </w:pPr>
      <w:r>
        <w:t xml:space="preserve">Details of the national care type definitions are outlined below. The National Minimum Dataset definitions can be found at the </w:t>
      </w:r>
      <w:hyperlink r:id="rId43" w:history="1">
        <w:r>
          <w:rPr>
            <w:rStyle w:val="Hyperlink"/>
          </w:rPr>
          <w:t>metadata online registry (METeOR)</w:t>
        </w:r>
      </w:hyperlink>
      <w:r>
        <w:t xml:space="preserve"> &lt;</w:t>
      </w:r>
      <w:r w:rsidRPr="00DE37A8">
        <w:t>https://meteor.aihw.gov.au</w:t>
      </w:r>
      <w:r>
        <w:t>&gt;.</w:t>
      </w:r>
    </w:p>
    <w:p w14:paraId="01492097" w14:textId="64DC5513" w:rsidR="00A531D9" w:rsidRDefault="00A531D9" w:rsidP="005453CB">
      <w:pPr>
        <w:pStyle w:val="Body"/>
      </w:pPr>
      <w:r>
        <w:t xml:space="preserve">Care type code references within this document related to the Care Type data element specification in the VAED manual, available at the </w:t>
      </w:r>
      <w:hyperlink r:id="rId44" w:history="1">
        <w:r w:rsidRPr="007C40A4">
          <w:rPr>
            <w:rStyle w:val="Hyperlink"/>
          </w:rPr>
          <w:t>Health data standards and systems webpage</w:t>
        </w:r>
      </w:hyperlink>
      <w:r>
        <w:t xml:space="preserve"> </w:t>
      </w:r>
      <w:r w:rsidRPr="008B043B">
        <w:t>&lt;</w:t>
      </w:r>
      <w:r w:rsidRPr="00030DBB">
        <w:t>https://</w:t>
      </w:r>
      <w:r w:rsidR="00824CDA" w:rsidRPr="00D45508">
        <w:t>www</w:t>
      </w:r>
      <w:r w:rsidRPr="00030DBB">
        <w:t>.health.vic.gov.au/data-reporting/health-data-standards-</w:t>
      </w:r>
      <w:r w:rsidR="00824CDA" w:rsidRPr="00D45508">
        <w:t>and-</w:t>
      </w:r>
      <w:r w:rsidRPr="00030DBB">
        <w:t>systems</w:t>
      </w:r>
      <w:r w:rsidRPr="008B043B">
        <w:t>&gt;</w:t>
      </w:r>
      <w:r>
        <w:t>.</w:t>
      </w:r>
    </w:p>
    <w:p w14:paraId="49C2D1D4" w14:textId="77777777" w:rsidR="00CA5BB9" w:rsidRPr="0084004D" w:rsidRDefault="00CA5BB9" w:rsidP="0084004D">
      <w:pPr>
        <w:pStyle w:val="Heading4nonumber"/>
      </w:pPr>
      <w:r w:rsidRPr="0084004D">
        <w:t xml:space="preserve">Acute </w:t>
      </w:r>
    </w:p>
    <w:p w14:paraId="51F891FF" w14:textId="77777777" w:rsidR="00CA5BB9" w:rsidRDefault="00CA5BB9" w:rsidP="00CA5BB9">
      <w:pPr>
        <w:pStyle w:val="Body"/>
      </w:pPr>
      <w:r>
        <w:t>Acute care is care in which the primary clinical purpose or treatment goal is to:</w:t>
      </w:r>
    </w:p>
    <w:p w14:paraId="4805D7A0" w14:textId="77777777" w:rsidR="00CA5BB9" w:rsidRDefault="00CA5BB9" w:rsidP="00E05C4E">
      <w:pPr>
        <w:pStyle w:val="Bullet1"/>
      </w:pPr>
      <w:r>
        <w:t>manage labour (obstetric)</w:t>
      </w:r>
    </w:p>
    <w:p w14:paraId="232DF5DC" w14:textId="77777777" w:rsidR="00CA5BB9" w:rsidRDefault="00CA5BB9" w:rsidP="00E05C4E">
      <w:pPr>
        <w:pStyle w:val="Bullet1"/>
      </w:pPr>
      <w:r>
        <w:t>cure illness or provide definitive treatment of injury</w:t>
      </w:r>
    </w:p>
    <w:p w14:paraId="353DBF81" w14:textId="77777777" w:rsidR="00CA5BB9" w:rsidRDefault="00CA5BB9" w:rsidP="00E05C4E">
      <w:pPr>
        <w:pStyle w:val="Bullet1"/>
      </w:pPr>
      <w:r>
        <w:t>perform surgery</w:t>
      </w:r>
    </w:p>
    <w:p w14:paraId="1CE895C0" w14:textId="77777777" w:rsidR="00CA5BB9" w:rsidRDefault="00CA5BB9" w:rsidP="00E05C4E">
      <w:pPr>
        <w:pStyle w:val="Bullet1"/>
      </w:pPr>
      <w:r>
        <w:t>relieve symptoms of illness or injury (excluding palliative care)</w:t>
      </w:r>
    </w:p>
    <w:p w14:paraId="21C5B115" w14:textId="77777777" w:rsidR="00CA5BB9" w:rsidRDefault="00CA5BB9" w:rsidP="00E05C4E">
      <w:pPr>
        <w:pStyle w:val="Bullet1"/>
      </w:pPr>
      <w:r>
        <w:t>reduce severity of an illness or injury</w:t>
      </w:r>
    </w:p>
    <w:p w14:paraId="38272D4C" w14:textId="77777777" w:rsidR="00CA5BB9" w:rsidRDefault="00CA5BB9" w:rsidP="00E05C4E">
      <w:pPr>
        <w:pStyle w:val="Bullet1"/>
      </w:pPr>
      <w:r>
        <w:t>protect against exacerbation and/or complication of an illness and/or injury which could threaten life or normal function</w:t>
      </w:r>
    </w:p>
    <w:p w14:paraId="52019F10" w14:textId="77777777" w:rsidR="00CA5BB9" w:rsidRDefault="00CA5BB9" w:rsidP="00E05C4E">
      <w:pPr>
        <w:pStyle w:val="Bullet1"/>
      </w:pPr>
      <w:r>
        <w:t>perform diagnostic or therapeutic procedures.</w:t>
      </w:r>
    </w:p>
    <w:p w14:paraId="23401C94" w14:textId="77777777" w:rsidR="00CA5BB9" w:rsidRDefault="00CA5BB9" w:rsidP="005A1FF8">
      <w:pPr>
        <w:pStyle w:val="Bodyafterbullets"/>
      </w:pPr>
      <w:r>
        <w:t>Acute care excludes care which meets the definition of mental health care</w:t>
      </w:r>
      <w:r w:rsidRPr="003A6919">
        <w:t>.</w:t>
      </w:r>
    </w:p>
    <w:p w14:paraId="6D952597" w14:textId="77777777" w:rsidR="00CA5BB9" w:rsidRPr="0084004D" w:rsidRDefault="00CA5BB9" w:rsidP="0084004D">
      <w:pPr>
        <w:pStyle w:val="Heading4nonumber"/>
      </w:pPr>
      <w:r w:rsidRPr="0084004D">
        <w:lastRenderedPageBreak/>
        <w:t>Rehabilitation</w:t>
      </w:r>
    </w:p>
    <w:p w14:paraId="0DD00B2B" w14:textId="77777777" w:rsidR="00CA5BB9" w:rsidRDefault="00CA5BB9" w:rsidP="00CA5BB9">
      <w:pPr>
        <w:pStyle w:val="Body"/>
      </w:pPr>
      <w:r w:rsidRPr="003A6919">
        <w:t>Rehabilitation care is care in which the primary clinical purpose or treatment goal is improvement in the functioning of a patient with impairment, activity limitation or participation restriction due to a health condition. The patient will be capable of actively participating in rehabilitation.</w:t>
      </w:r>
    </w:p>
    <w:p w14:paraId="01492719" w14:textId="77777777" w:rsidR="00CA5BB9" w:rsidRDefault="00CA5BB9" w:rsidP="00CA5BB9">
      <w:pPr>
        <w:pStyle w:val="Body"/>
      </w:pPr>
      <w:r>
        <w:t>Rehabilitation care is always:</w:t>
      </w:r>
    </w:p>
    <w:p w14:paraId="6E6D9F94" w14:textId="77777777" w:rsidR="00CA5BB9" w:rsidRDefault="00CA5BB9" w:rsidP="00E05C4E">
      <w:pPr>
        <w:pStyle w:val="Bullet1"/>
      </w:pPr>
      <w:r>
        <w:t>managed by a clinician with special expertise in rehabilitation</w:t>
      </w:r>
    </w:p>
    <w:p w14:paraId="7E8FE520" w14:textId="77777777" w:rsidR="00CA5BB9" w:rsidRDefault="00CA5BB9" w:rsidP="00E05C4E">
      <w:pPr>
        <w:pStyle w:val="Bullet1"/>
      </w:pPr>
      <w:r>
        <w:t>evidenced by an individualised multidisciplinary management plan that is documented in the patient’s medical record, including negotiated goals within specified timeframes and documented assessment of functional ability.</w:t>
      </w:r>
    </w:p>
    <w:p w14:paraId="71560BCF" w14:textId="325042C7" w:rsidR="00CA5BB9" w:rsidRPr="0084004D" w:rsidRDefault="00CA5BB9" w:rsidP="0084004D">
      <w:pPr>
        <w:pStyle w:val="Heading4nonumber"/>
      </w:pPr>
      <w:r w:rsidRPr="0084004D">
        <w:t xml:space="preserve">Geriatric </w:t>
      </w:r>
      <w:r w:rsidR="00976036" w:rsidRPr="0084004D">
        <w:t>E</w:t>
      </w:r>
      <w:r w:rsidRPr="0084004D">
        <w:t xml:space="preserve">valuation and </w:t>
      </w:r>
      <w:r w:rsidR="00976036" w:rsidRPr="0084004D">
        <w:t>M</w:t>
      </w:r>
      <w:r w:rsidRPr="0084004D">
        <w:t>anagement (GEM)</w:t>
      </w:r>
    </w:p>
    <w:p w14:paraId="0D1008E7" w14:textId="77777777" w:rsidR="00CA5BB9" w:rsidRPr="004F2C54" w:rsidRDefault="00CA5BB9" w:rsidP="00CA5BB9">
      <w:pPr>
        <w:pStyle w:val="Body"/>
      </w:pPr>
      <w:r>
        <w:t>GEM</w:t>
      </w:r>
      <w:r w:rsidRPr="003A6919">
        <w:t xml:space="preserve"> is care in which the primary clinical purpose or treatment goal is improving the functioning of a patient with multidimensional needs associated with medical conditions related to ageing such as falls, incontinence, reduced mobility, delirium and depression. The patient may have complex psychosocial problems and is usually (but not always) an older patient.</w:t>
      </w:r>
    </w:p>
    <w:p w14:paraId="3B322D68" w14:textId="77777777" w:rsidR="00CA5BB9" w:rsidRDefault="00CA5BB9" w:rsidP="00CA5BB9">
      <w:pPr>
        <w:pStyle w:val="Body"/>
      </w:pPr>
      <w:r>
        <w:t>GEM is always:</w:t>
      </w:r>
    </w:p>
    <w:p w14:paraId="0F04BE0F" w14:textId="77777777" w:rsidR="00CA5BB9" w:rsidRDefault="00CA5BB9" w:rsidP="00E05C4E">
      <w:pPr>
        <w:pStyle w:val="Bullet1"/>
      </w:pPr>
      <w:r>
        <w:t>managed by a clinician with special expertise in GEM</w:t>
      </w:r>
    </w:p>
    <w:p w14:paraId="43FBFFAB" w14:textId="77777777" w:rsidR="00CA5BB9" w:rsidRPr="008E15A3" w:rsidRDefault="00CA5BB9" w:rsidP="00E05C4E">
      <w:pPr>
        <w:pStyle w:val="Bullet1"/>
      </w:pPr>
      <w:r>
        <w:t>evidenced by an individualised multidisciplinary management plan that is documented in the patient’s medical record, which includes negotiated goals within indicative timeframes and documented assessment of functional ability.</w:t>
      </w:r>
    </w:p>
    <w:p w14:paraId="358C2222" w14:textId="4AB0A7E0" w:rsidR="00CA5BB9" w:rsidRPr="0084004D" w:rsidRDefault="00CA5BB9" w:rsidP="0084004D">
      <w:pPr>
        <w:pStyle w:val="Heading4nonumber"/>
      </w:pPr>
      <w:r w:rsidRPr="0084004D">
        <w:t xml:space="preserve">Palliative </w:t>
      </w:r>
      <w:r w:rsidR="00976036" w:rsidRPr="0084004D">
        <w:t>C</w:t>
      </w:r>
      <w:r w:rsidRPr="0084004D">
        <w:t>are</w:t>
      </w:r>
    </w:p>
    <w:p w14:paraId="5C06321D" w14:textId="77777777" w:rsidR="00CA5BB9" w:rsidRDefault="00CA5BB9" w:rsidP="00CA5BB9">
      <w:pPr>
        <w:pStyle w:val="Body"/>
      </w:pPr>
      <w:r>
        <w:t>Palliative care is care that improves the quality of life for patients and their families facing the problems associated with life-threatening or life-limiting illness through the prevention and relief of suffering by means of early identification, assessment and treatment of pain and other problems/symptoms – physical, psychosocial and spiritual (World Health Organization).</w:t>
      </w:r>
    </w:p>
    <w:p w14:paraId="74BD727A" w14:textId="77777777" w:rsidR="00CA5BB9" w:rsidRDefault="00CA5BB9" w:rsidP="00CA5BB9">
      <w:pPr>
        <w:pStyle w:val="Body"/>
      </w:pPr>
      <w:r>
        <w:t>Palliative care:</w:t>
      </w:r>
    </w:p>
    <w:p w14:paraId="22DD9A66" w14:textId="77777777" w:rsidR="00CA5BB9" w:rsidRDefault="00CA5BB9" w:rsidP="00E05C4E">
      <w:pPr>
        <w:pStyle w:val="Bullet1"/>
      </w:pPr>
      <w:r>
        <w:t>is always managed or informed by a clinician with specialist qualifications in palliative care</w:t>
      </w:r>
    </w:p>
    <w:p w14:paraId="2A78FA12" w14:textId="77777777" w:rsidR="00CA5BB9" w:rsidRDefault="00CA5BB9" w:rsidP="00E05C4E">
      <w:pPr>
        <w:pStyle w:val="Bullet1"/>
      </w:pPr>
      <w:r>
        <w:t>is always evidenced by an individualised multidisciplinary assessment and management plan that is documented in the patient’s medical record; it covers the physical, psychological, emotional, social and spiritual needs of the patient and their negotiated goals</w:t>
      </w:r>
    </w:p>
    <w:p w14:paraId="7E1E5529" w14:textId="77777777" w:rsidR="00CA5BB9" w:rsidRDefault="00CA5BB9" w:rsidP="00E05C4E">
      <w:pPr>
        <w:pStyle w:val="Bullet1"/>
      </w:pPr>
      <w:r>
        <w:t>offers a support system to help patients live as actively as possible until death</w:t>
      </w:r>
    </w:p>
    <w:p w14:paraId="6CB5F0D1" w14:textId="77777777" w:rsidR="00CA5BB9" w:rsidRDefault="00CA5BB9" w:rsidP="00E05C4E">
      <w:pPr>
        <w:pStyle w:val="Bullet1"/>
      </w:pPr>
      <w:r>
        <w:t>is applicable early in the course of a patient’s illness, in conjunction with other therapies that are intended to prolong life such as chemotherapy or radiation therapy</w:t>
      </w:r>
    </w:p>
    <w:p w14:paraId="1AE4638F" w14:textId="77777777" w:rsidR="00CA5BB9" w:rsidRDefault="00CA5BB9" w:rsidP="00E05C4E">
      <w:pPr>
        <w:pStyle w:val="Bullet1"/>
      </w:pPr>
      <w:r>
        <w:t>should be responsive to the needs, preferences and values of the person, their family and carers.</w:t>
      </w:r>
    </w:p>
    <w:p w14:paraId="46CC3280" w14:textId="419F1A9F" w:rsidR="00CA5BB9" w:rsidRDefault="00CA5BB9" w:rsidP="00CA5BB9">
      <w:pPr>
        <w:pStyle w:val="Bodyafterbullets"/>
      </w:pPr>
      <w:r w:rsidRPr="00EB706B">
        <w:t xml:space="preserve">The </w:t>
      </w:r>
      <w:r w:rsidRPr="001D6BD3">
        <w:rPr>
          <w:i/>
        </w:rPr>
        <w:t>National Palliative Care Standards</w:t>
      </w:r>
      <w:r w:rsidR="008D5220" w:rsidRPr="00EB706B">
        <w:t xml:space="preserve"> </w:t>
      </w:r>
      <w:r>
        <w:t>(5</w:t>
      </w:r>
      <w:r w:rsidRPr="001D6BD3">
        <w:t>th</w:t>
      </w:r>
      <w:r>
        <w:t xml:space="preserve"> edition) 2018 </w:t>
      </w:r>
      <w:r w:rsidRPr="00EB706B">
        <w:t>define</w:t>
      </w:r>
      <w:r w:rsidR="008D5220">
        <w:t>s</w:t>
      </w:r>
      <w:r w:rsidRPr="00EB706B">
        <w:t xml:space="preserve"> the patient, their carer and family as the </w:t>
      </w:r>
      <w:r>
        <w:t xml:space="preserve">one </w:t>
      </w:r>
      <w:r w:rsidRPr="00EB706B">
        <w:t xml:space="preserve">unit of care. The needs of carers and families should be addressed in </w:t>
      </w:r>
      <w:r>
        <w:t xml:space="preserve">each palliative care </w:t>
      </w:r>
      <w:r w:rsidRPr="00EB706B">
        <w:t>patient’s management plan.</w:t>
      </w:r>
      <w:r>
        <w:t xml:space="preserve"> The plan must outline the negotiated goals of care evidenced by a collaborative approach with the patient and/or their family or carer.</w:t>
      </w:r>
    </w:p>
    <w:p w14:paraId="6205FC32" w14:textId="77777777" w:rsidR="00976036" w:rsidRDefault="5319ED55" w:rsidP="00976036">
      <w:pPr>
        <w:pStyle w:val="Body"/>
      </w:pPr>
      <w:r>
        <w:t>When planning for discharge</w:t>
      </w:r>
      <w:r w:rsidR="008D5220">
        <w:t>,</w:t>
      </w:r>
      <w:r>
        <w:t xml:space="preserve"> health services have a responsibility to provide aids and equipment for up to 30 days at no cost to the patient (excluding a refundable deposit if applicable). This includes domiciliary oxygen and continence aids required by patients for recuperation and safe and effective discharge to prevent unnecessary continued hospitalisation or readmission. Health services may charge the patient fees for these aids and equipment after the expiry of the 30-day post-discharge period. Alternatively, patients may choose to make their own arrangements.</w:t>
      </w:r>
    </w:p>
    <w:p w14:paraId="17B03042" w14:textId="73B89D54" w:rsidR="00EA1BC6" w:rsidRDefault="5B0B722B" w:rsidP="00976036">
      <w:pPr>
        <w:pStyle w:val="Body"/>
      </w:pPr>
      <w:r w:rsidRPr="003D1465">
        <w:lastRenderedPageBreak/>
        <w:t>For more information about fees and charges for providing aids, equipment and domiciliary oxygen</w:t>
      </w:r>
      <w:r w:rsidR="00834B04">
        <w:t>,</w:t>
      </w:r>
      <w:r w:rsidRPr="003D1465">
        <w:t xml:space="preserve"> </w:t>
      </w:r>
      <w:r w:rsidR="00834B04">
        <w:t>refer to</w:t>
      </w:r>
      <w:r w:rsidR="00834B04" w:rsidRPr="003D1465">
        <w:t xml:space="preserve"> </w:t>
      </w:r>
      <w:r w:rsidRPr="003D1465">
        <w:t>the</w:t>
      </w:r>
      <w:r w:rsidRPr="0F71FB16">
        <w:t xml:space="preserve"> </w:t>
      </w:r>
      <w:hyperlink r:id="rId45" w:history="1">
        <w:r w:rsidRPr="00591163">
          <w:rPr>
            <w:rStyle w:val="Hyperlink"/>
            <w:rFonts w:eastAsia="Arial" w:cs="Arial"/>
            <w:i/>
            <w:szCs w:val="21"/>
          </w:rPr>
          <w:t>Patient fees and charges for public health services</w:t>
        </w:r>
      </w:hyperlink>
      <w:r w:rsidRPr="0F71FB16">
        <w:t xml:space="preserve"> </w:t>
      </w:r>
      <w:r w:rsidRPr="003D1465">
        <w:t>&lt;https://</w:t>
      </w:r>
      <w:r w:rsidR="003D1465" w:rsidRPr="003D1465">
        <w:t>www</w:t>
      </w:r>
      <w:r w:rsidRPr="003D1465">
        <w:t>.health.vic.gov.au/hospitals-and-health-services/patient-fees-</w:t>
      </w:r>
      <w:r w:rsidR="003D1465" w:rsidRPr="003D1465">
        <w:t>and-</w:t>
      </w:r>
      <w:r w:rsidRPr="003D1465">
        <w:t>charges</w:t>
      </w:r>
      <w:r w:rsidR="003D1465" w:rsidRPr="003D1465">
        <w:t>-for-public-health-services</w:t>
      </w:r>
      <w:r w:rsidRPr="003D1465">
        <w:t>&gt;.</w:t>
      </w:r>
    </w:p>
    <w:p w14:paraId="22BA3244" w14:textId="604D7D59" w:rsidR="00CA5BB9" w:rsidRPr="0084004D" w:rsidRDefault="00CA5BB9" w:rsidP="0084004D">
      <w:pPr>
        <w:pStyle w:val="Heading4nonumber"/>
      </w:pPr>
      <w:r w:rsidRPr="0084004D">
        <w:t xml:space="preserve">Maintenance </w:t>
      </w:r>
      <w:r w:rsidR="00976036" w:rsidRPr="0084004D">
        <w:t>C</w:t>
      </w:r>
      <w:r w:rsidRPr="0084004D">
        <w:t>are</w:t>
      </w:r>
    </w:p>
    <w:p w14:paraId="5C272568" w14:textId="77777777" w:rsidR="00CA5BB9" w:rsidRPr="004F2C54" w:rsidRDefault="00CA5BB9" w:rsidP="00CA5BB9">
      <w:pPr>
        <w:pStyle w:val="Body"/>
      </w:pPr>
      <w:r w:rsidRPr="003A6919">
        <w:t>Maintenance care is care in which the primary clinical purpose or treatment goal is supporting a patient with impairment, activity limitation or participation restriction due to a health condition. Following assessment or treatment, the patient does not require further complex assessment or stabilisation.</w:t>
      </w:r>
    </w:p>
    <w:p w14:paraId="2AC0D87D" w14:textId="752FF692" w:rsidR="005A3F8F" w:rsidRPr="002B74E5" w:rsidRDefault="00CA5BB9" w:rsidP="005453CB">
      <w:pPr>
        <w:pStyle w:val="Body"/>
        <w:rPr>
          <w:rFonts w:ascii="Helv" w:hAnsi="Helv" w:cs="Helv"/>
          <w:color w:val="000000"/>
        </w:rPr>
      </w:pPr>
      <w:r>
        <w:t>It is not intended that maintenance care substitutes for other forms of non-acute care and should emphasise a restorative approach to care after treatment.</w:t>
      </w:r>
    </w:p>
    <w:p w14:paraId="433DFCEA" w14:textId="2AC209BB" w:rsidR="005A3F8F" w:rsidRDefault="005A3F8F" w:rsidP="005A3F8F">
      <w:pPr>
        <w:pStyle w:val="Heading4"/>
      </w:pPr>
      <w:r>
        <w:t xml:space="preserve">Care </w:t>
      </w:r>
      <w:r w:rsidR="00976036">
        <w:t>T</w:t>
      </w:r>
      <w:r>
        <w:t xml:space="preserve">ype </w:t>
      </w:r>
      <w:r w:rsidR="00976036">
        <w:t>A</w:t>
      </w:r>
      <w:r>
        <w:t xml:space="preserve">ssignment and </w:t>
      </w:r>
      <w:r w:rsidR="00976036">
        <w:t>C</w:t>
      </w:r>
      <w:r>
        <w:t>hanges</w:t>
      </w:r>
    </w:p>
    <w:p w14:paraId="3C1C7E1E" w14:textId="77777777" w:rsidR="005A3F8F" w:rsidRDefault="005A3F8F" w:rsidP="005453CB">
      <w:pPr>
        <w:pStyle w:val="Body"/>
      </w:pPr>
      <w:r>
        <w:t>The care type is assigned by the clinician responsible for managing the care based on clinical judgements as to the primary clinical purpose of the care provided and, for subacute care types, the specialised expertise of the clinician who will be responsible for managing the care.</w:t>
      </w:r>
    </w:p>
    <w:p w14:paraId="2C1F07F6" w14:textId="77777777" w:rsidR="005A3F8F" w:rsidRDefault="005A3F8F" w:rsidP="005453CB">
      <w:pPr>
        <w:pStyle w:val="Body"/>
      </w:pPr>
      <w:r>
        <w:t>The clinician determining the appropriate care type to be assigned must ensure that clear documentation of the care type is recorded in the patient’s medical record. This clinician must also ensure that the staff member responsible for updating the patient administration system is informed of the care type decision.</w:t>
      </w:r>
    </w:p>
    <w:p w14:paraId="3D8131A6" w14:textId="77777777" w:rsidR="005A3F8F" w:rsidRDefault="005A3F8F" w:rsidP="005453CB">
      <w:pPr>
        <w:pStyle w:val="Body"/>
      </w:pPr>
      <w:r>
        <w:t>A care type change occurs when there is a change in the primary clinical purpose or treatment goal of the care provided to the patient. When the intensity of treatment or resource utilisation changes but the primary clinical purpose or treatment goal does not change, a care type change is not warranted.</w:t>
      </w:r>
    </w:p>
    <w:p w14:paraId="205A7982" w14:textId="77777777" w:rsidR="005A3F8F" w:rsidRDefault="005A3F8F" w:rsidP="005453CB">
      <w:pPr>
        <w:pStyle w:val="Body"/>
      </w:pPr>
      <w:r>
        <w:t>A change in care type is assigned by the clinician who is taking over responsibility for managing the patient’s care at the time of transfer, with clear evidence of this acceptance of the referral. Responsibility for the decision to change care type ultimately rests with the senior medical officer but may be delegated to other senior members of the clinical team. It is essential that any change in care type is supported by documentation reflecting the change in purpose and goal of care. Care type changes must be reported in accordance with the VAED business rules.</w:t>
      </w:r>
    </w:p>
    <w:p w14:paraId="49F43FA6" w14:textId="77777777" w:rsidR="005A3F8F" w:rsidRDefault="005A3F8F" w:rsidP="005453CB">
      <w:pPr>
        <w:pStyle w:val="Body"/>
      </w:pPr>
      <w:r>
        <w:t>For subacute activity to be recognised, there must be evidence of the care type change (including the date of handover, if applicable) and the multidisciplinary management plan clearly documented in the patient’s medical record within seven days of admission. The plan should outline the negotiated goals of care evidenced by a collaborative approach with the patient and/or their family. At the time of a subacute care type assignment, a multidisciplinary management plan may not be in place, but the intention to prepare one should be known by the clinician assigning the care type.</w:t>
      </w:r>
    </w:p>
    <w:p w14:paraId="3A3AB1D3" w14:textId="77777777" w:rsidR="005A3F8F" w:rsidRDefault="005A3F8F" w:rsidP="005453CB">
      <w:pPr>
        <w:pStyle w:val="Body"/>
      </w:pPr>
      <w:r>
        <w:t>The care type should not be retrospectively changed unless it is:</w:t>
      </w:r>
    </w:p>
    <w:p w14:paraId="78C4C26B" w14:textId="77777777" w:rsidR="005A3F8F" w:rsidRPr="005F49EC" w:rsidRDefault="005A3F8F" w:rsidP="00E05C4E">
      <w:pPr>
        <w:pStyle w:val="Bullet1"/>
      </w:pPr>
      <w:r>
        <w:t>to correct a data recording error</w:t>
      </w:r>
    </w:p>
    <w:p w14:paraId="2F6369C0" w14:textId="77777777" w:rsidR="005A3F8F" w:rsidRPr="008B555D" w:rsidRDefault="005A3F8F" w:rsidP="00E05C4E">
      <w:pPr>
        <w:pStyle w:val="Bullet1"/>
      </w:pPr>
      <w:r>
        <w:t>clearly documented in the patient’s medical record and approved by the hospital’s director of clinical services or delegated officer.</w:t>
      </w:r>
    </w:p>
    <w:p w14:paraId="1C5DE60B" w14:textId="38A8479A" w:rsidR="000B27B9" w:rsidRDefault="000B27B9" w:rsidP="000B27B9">
      <w:pPr>
        <w:pStyle w:val="Heading2"/>
        <w:spacing w:after="440" w:line="440" w:lineRule="atLeast"/>
      </w:pPr>
      <w:bookmarkStart w:id="185" w:name="_Toc110949972"/>
      <w:bookmarkStart w:id="186" w:name="_Toc110949973"/>
      <w:bookmarkStart w:id="187" w:name="_Toc100263286"/>
      <w:bookmarkStart w:id="188" w:name="_Toc127191934"/>
      <w:bookmarkEnd w:id="156"/>
      <w:bookmarkEnd w:id="185"/>
      <w:bookmarkEnd w:id="186"/>
      <w:r w:rsidRPr="0026034E">
        <w:lastRenderedPageBreak/>
        <w:t>A</w:t>
      </w:r>
      <w:r w:rsidR="00B80A2A">
        <w:t xml:space="preserve">cute </w:t>
      </w:r>
      <w:r w:rsidR="00976036">
        <w:t>A</w:t>
      </w:r>
      <w:r w:rsidR="002650CA">
        <w:t xml:space="preserve">dmitted </w:t>
      </w:r>
      <w:r w:rsidR="00976036">
        <w:t>S</w:t>
      </w:r>
      <w:r w:rsidRPr="0026034E">
        <w:t>ervic</w:t>
      </w:r>
      <w:bookmarkEnd w:id="64"/>
      <w:bookmarkEnd w:id="65"/>
      <w:bookmarkEnd w:id="66"/>
      <w:bookmarkEnd w:id="157"/>
      <w:r>
        <w:t>es</w:t>
      </w:r>
      <w:bookmarkEnd w:id="187"/>
      <w:bookmarkEnd w:id="188"/>
    </w:p>
    <w:p w14:paraId="09B97F2D" w14:textId="323B984F" w:rsidR="005453CB" w:rsidRPr="00D36446" w:rsidRDefault="00D36446">
      <w:pPr>
        <w:pStyle w:val="Body"/>
      </w:pPr>
      <w:r>
        <w:t xml:space="preserve">Acute admitted care is care provided to patients who have undergone a formal admission process, where the clinical intent or treatment goal is the provision of </w:t>
      </w:r>
      <w:r w:rsidR="008D5220">
        <w:t xml:space="preserve">acute </w:t>
      </w:r>
      <w:r>
        <w:t>care (</w:t>
      </w:r>
      <w:r w:rsidR="00A7633C">
        <w:t xml:space="preserve">see section </w:t>
      </w:r>
      <w:r w:rsidR="00A7633C">
        <w:fldChar w:fldCharType="begin"/>
      </w:r>
      <w:r w:rsidR="00A7633C">
        <w:instrText xml:space="preserve"> REF _Ref77709814 \r \h </w:instrText>
      </w:r>
      <w:r w:rsidR="00A7633C">
        <w:fldChar w:fldCharType="separate"/>
      </w:r>
      <w:r w:rsidR="006D0756">
        <w:t>1.8.2</w:t>
      </w:r>
      <w:r w:rsidR="00A7633C">
        <w:fldChar w:fldCharType="end"/>
      </w:r>
      <w:r w:rsidR="00A7633C">
        <w:t xml:space="preserve"> </w:t>
      </w:r>
      <w:r w:rsidR="008D5220">
        <w:t>‘</w:t>
      </w:r>
      <w:r w:rsidR="00A7633C">
        <w:fldChar w:fldCharType="begin"/>
      </w:r>
      <w:r w:rsidR="00A7633C">
        <w:instrText xml:space="preserve"> REF _Ref77709814 \h </w:instrText>
      </w:r>
      <w:r w:rsidR="00A7633C">
        <w:fldChar w:fldCharType="separate"/>
      </w:r>
      <w:r w:rsidR="006D0756">
        <w:t>Activity Reporting</w:t>
      </w:r>
      <w:r w:rsidR="00A7633C">
        <w:fldChar w:fldCharType="end"/>
      </w:r>
      <w:r w:rsidR="008D5220">
        <w:t>’</w:t>
      </w:r>
      <w:r>
        <w:t xml:space="preserve">). </w:t>
      </w:r>
    </w:p>
    <w:p w14:paraId="539AF180" w14:textId="5D229A43" w:rsidR="009C244F" w:rsidRDefault="000D02B0" w:rsidP="00155961">
      <w:pPr>
        <w:pStyle w:val="Heading3"/>
      </w:pPr>
      <w:bookmarkStart w:id="189" w:name="_Toc8759364"/>
      <w:bookmarkStart w:id="190" w:name="_Toc8919098"/>
      <w:bookmarkStart w:id="191" w:name="_Toc8930615"/>
      <w:bookmarkStart w:id="192" w:name="_Toc8931001"/>
      <w:bookmarkStart w:id="193" w:name="_Toc8931345"/>
      <w:bookmarkStart w:id="194" w:name="_Toc8931726"/>
      <w:bookmarkStart w:id="195" w:name="_Toc9441674"/>
      <w:bookmarkStart w:id="196" w:name="_Toc484461849"/>
      <w:bookmarkStart w:id="197" w:name="_Toc484461854"/>
      <w:bookmarkStart w:id="198" w:name="_Toc100263287"/>
      <w:bookmarkStart w:id="199" w:name="_Toc127191935"/>
      <w:bookmarkStart w:id="200" w:name="_Toc418694904"/>
      <w:bookmarkStart w:id="201" w:name="_Toc6215544"/>
      <w:bookmarkStart w:id="202" w:name="_Toc10199620"/>
      <w:bookmarkStart w:id="203" w:name="_Toc52892566"/>
      <w:bookmarkEnd w:id="189"/>
      <w:bookmarkEnd w:id="190"/>
      <w:bookmarkEnd w:id="191"/>
      <w:bookmarkEnd w:id="192"/>
      <w:bookmarkEnd w:id="193"/>
      <w:bookmarkEnd w:id="194"/>
      <w:bookmarkEnd w:id="195"/>
      <w:bookmarkEnd w:id="196"/>
      <w:bookmarkEnd w:id="197"/>
      <w:r>
        <w:t>E</w:t>
      </w:r>
      <w:r w:rsidR="009C244F">
        <w:t>ligibility</w:t>
      </w:r>
      <w:bookmarkEnd w:id="198"/>
      <w:bookmarkEnd w:id="199"/>
    </w:p>
    <w:p w14:paraId="0F1E554F" w14:textId="621F4BC3" w:rsidR="005453CB" w:rsidRPr="00014A03" w:rsidRDefault="005453CB" w:rsidP="005453CB">
      <w:pPr>
        <w:pStyle w:val="Body"/>
      </w:pPr>
      <w:r w:rsidRPr="00974DAC">
        <w:t xml:space="preserve">Eligible facilities in scope for </w:t>
      </w:r>
      <w:r w:rsidR="00834B04">
        <w:t>activity-based funding</w:t>
      </w:r>
      <w:r w:rsidR="00834B04" w:rsidRPr="00974DAC">
        <w:t xml:space="preserve"> </w:t>
      </w:r>
      <w:r w:rsidRPr="00974DAC">
        <w:t>in the acute admitted care stream are all current health services that report to the VAED, except those health services listed at Appendix A of the IH</w:t>
      </w:r>
      <w:r w:rsidR="003E760A">
        <w:t>AC</w:t>
      </w:r>
      <w:r w:rsidRPr="00974DAC">
        <w:t xml:space="preserve">PA’s National Efficient Cost determination. Refer to the  </w:t>
      </w:r>
      <w:hyperlink r:id="rId46" w:history="1">
        <w:r w:rsidR="00C1762A">
          <w:rPr>
            <w:rStyle w:val="Hyperlink"/>
            <w:i/>
            <w:iCs/>
          </w:rPr>
          <w:t>National Efficient Cost Determination</w:t>
        </w:r>
      </w:hyperlink>
      <w:r w:rsidR="00DA4826">
        <w:t xml:space="preserve"> </w:t>
      </w:r>
      <w:r w:rsidR="00120741">
        <w:t>&lt;</w:t>
      </w:r>
      <w:r w:rsidR="00A61CEF" w:rsidRPr="00A61CEF">
        <w:t xml:space="preserve"> https://www.ihacpa.gov.au/health-care/pricing/national-efficient-cost-determination</w:t>
      </w:r>
      <w:r w:rsidR="00120741">
        <w:t>&gt;</w:t>
      </w:r>
      <w:r>
        <w:t>.</w:t>
      </w:r>
      <w:r w:rsidRPr="00974DAC">
        <w:t> </w:t>
      </w:r>
    </w:p>
    <w:p w14:paraId="56F5D0E3" w14:textId="77777777" w:rsidR="005453CB" w:rsidRPr="008B043B" w:rsidRDefault="005453CB" w:rsidP="005453CB">
      <w:pPr>
        <w:pStyle w:val="Body"/>
      </w:pPr>
      <w:r w:rsidRPr="00D823F7">
        <w:t>All epi</w:t>
      </w:r>
      <w:r w:rsidRPr="002A2ED4">
        <w:t>sodes in VAED with the</w:t>
      </w:r>
      <w:r w:rsidRPr="003A58C1">
        <w:t xml:space="preserve"> </w:t>
      </w:r>
      <w:r w:rsidRPr="00637360">
        <w:t>care type ‘4 – Other care (Acute), including qualified newborns’</w:t>
      </w:r>
      <w:r w:rsidRPr="008F261E">
        <w:t xml:space="preserve"> are </w:t>
      </w:r>
      <w:r>
        <w:t>NWAU</w:t>
      </w:r>
      <w:r w:rsidRPr="008F261E">
        <w:t xml:space="preserve"> fundable, except for:</w:t>
      </w:r>
    </w:p>
    <w:p w14:paraId="2F5B8456" w14:textId="77777777" w:rsidR="005453CB" w:rsidRPr="00974DAC" w:rsidRDefault="005453CB" w:rsidP="00E05C4E">
      <w:pPr>
        <w:pStyle w:val="Bullet1"/>
      </w:pPr>
      <w:r w:rsidRPr="00974DAC">
        <w:t>private hospital separations</w:t>
      </w:r>
    </w:p>
    <w:p w14:paraId="7561ABF6" w14:textId="0F47F674" w:rsidR="00455B83" w:rsidRDefault="005453CB" w:rsidP="00E05C4E">
      <w:pPr>
        <w:pStyle w:val="Bullet1"/>
      </w:pPr>
      <w:r>
        <w:t xml:space="preserve">incomplete or uncoded episodes, or episodes </w:t>
      </w:r>
      <w:r w:rsidR="69509A49">
        <w:t xml:space="preserve">that group to error DRGs </w:t>
      </w:r>
      <w:r w:rsidR="3DA4DDD3">
        <w:t xml:space="preserve">960Z </w:t>
      </w:r>
      <w:r>
        <w:t xml:space="preserve">Ungroupable </w:t>
      </w:r>
      <w:r w:rsidR="3DA4DDD3">
        <w:t xml:space="preserve">961Z </w:t>
      </w:r>
      <w:r>
        <w:t xml:space="preserve">Unacceptable Principal Diagnosis and </w:t>
      </w:r>
      <w:r w:rsidR="3DA4DDD3">
        <w:t xml:space="preserve">963Z </w:t>
      </w:r>
      <w:r>
        <w:t>Neonatal Diagnosis Not Consistent W Age/Weight</w:t>
      </w:r>
    </w:p>
    <w:p w14:paraId="7C1D59F8" w14:textId="56C688D2" w:rsidR="005453CB" w:rsidRPr="00974DAC" w:rsidRDefault="005453CB" w:rsidP="00E05C4E">
      <w:pPr>
        <w:pStyle w:val="Bullet1"/>
      </w:pPr>
      <w:r>
        <w:t>episodes with an account class on separation of Newborn – Unqualified, not birth episode (NT), Victorian WorkCover Authority (WC), Ineligible non-Australian residents – not exempted from fees (XX), Armed Services (AS), Common Law Recoveries (CL), Other compensable (OO) and Seamen (SS)</w:t>
      </w:r>
    </w:p>
    <w:p w14:paraId="0D116EBE" w14:textId="77777777" w:rsidR="005453CB" w:rsidRPr="00974DAC" w:rsidRDefault="005453CB" w:rsidP="00E05C4E">
      <w:pPr>
        <w:pStyle w:val="Bullet1"/>
      </w:pPr>
      <w:r w:rsidRPr="00974DAC">
        <w:t>episodes where the contract role is B (service provider hospital)</w:t>
      </w:r>
    </w:p>
    <w:p w14:paraId="70D21502" w14:textId="77777777" w:rsidR="005453CB" w:rsidRPr="00974DAC" w:rsidRDefault="005453CB" w:rsidP="00E05C4E">
      <w:pPr>
        <w:pStyle w:val="Bullet1"/>
      </w:pPr>
      <w:r w:rsidRPr="00974DAC">
        <w:t>episodes from hospitals not eligible for NWAU funding</w:t>
      </w:r>
    </w:p>
    <w:p w14:paraId="755FD96B" w14:textId="3F034267" w:rsidR="0057567D" w:rsidRDefault="00693090" w:rsidP="00E05C4E">
      <w:pPr>
        <w:pStyle w:val="Bullet1"/>
      </w:pPr>
      <w:r>
        <w:t xml:space="preserve">lithotripsy </w:t>
      </w:r>
      <w:r w:rsidR="005453CB" w:rsidRPr="00974DAC">
        <w:t xml:space="preserve">episodes unless the episode is reported by St Vincent's Health, </w:t>
      </w:r>
      <w:r w:rsidR="00803D45">
        <w:t>Grampian’s</w:t>
      </w:r>
      <w:r w:rsidR="00803D45" w:rsidRPr="00974DAC">
        <w:t xml:space="preserve"> </w:t>
      </w:r>
      <w:r w:rsidR="005453CB" w:rsidRPr="00974DAC">
        <w:t>Health, Bendigo Health, Barwon Health, Goulburn Valley Health, The Royal Children's Hospital, Mildura Base Hospital, Western Health or Mercy Health (Werribee campus only)</w:t>
      </w:r>
      <w:r w:rsidR="00D63CB5">
        <w:t xml:space="preserve">, where a lithotripsy </w:t>
      </w:r>
      <w:r w:rsidR="00C1620B">
        <w:t xml:space="preserve">episode </w:t>
      </w:r>
      <w:r w:rsidR="00C02339">
        <w:t xml:space="preserve">is </w:t>
      </w:r>
      <w:r w:rsidR="00D63CB5">
        <w:t xml:space="preserve">defined </w:t>
      </w:r>
      <w:r w:rsidR="00C1620B">
        <w:t>as</w:t>
      </w:r>
      <w:r w:rsidR="0057567D">
        <w:t>:</w:t>
      </w:r>
    </w:p>
    <w:p w14:paraId="1C818B9A" w14:textId="0F93EC42" w:rsidR="00693090" w:rsidRDefault="00693090" w:rsidP="003B09AE">
      <w:pPr>
        <w:pStyle w:val="Bullet2"/>
      </w:pPr>
      <w:r>
        <w:t>n</w:t>
      </w:r>
      <w:r w:rsidRPr="00693090">
        <w:t xml:space="preserve">ot </w:t>
      </w:r>
      <w:r w:rsidR="05BA328C" w:rsidRPr="00693090">
        <w:t>group</w:t>
      </w:r>
      <w:r w:rsidR="62487DF6" w:rsidRPr="00693090">
        <w:t>ed</w:t>
      </w:r>
      <w:r w:rsidR="05BA328C" w:rsidRPr="00693090">
        <w:t xml:space="preserve"> to </w:t>
      </w:r>
      <w:r w:rsidR="5E6CD425" w:rsidRPr="00693090">
        <w:t xml:space="preserve">the following </w:t>
      </w:r>
      <w:r w:rsidR="05BA328C" w:rsidRPr="00693090">
        <w:t xml:space="preserve">adjacent </w:t>
      </w:r>
      <w:r w:rsidR="5E6CD425" w:rsidRPr="00693090">
        <w:t xml:space="preserve">DRG </w:t>
      </w:r>
      <w:r w:rsidR="05BA328C" w:rsidRPr="00693090">
        <w:t>version 10 codes</w:t>
      </w:r>
      <w:r w:rsidR="785F6925" w:rsidRPr="00693090">
        <w:t>: L02, L03, L04, L05, L06, L07, L08, L09, L10, 801</w:t>
      </w:r>
      <w:r>
        <w:t>, and</w:t>
      </w:r>
    </w:p>
    <w:p w14:paraId="41F56641" w14:textId="4D28A750" w:rsidR="00DD6678" w:rsidRPr="00693090" w:rsidRDefault="00693090" w:rsidP="003B09AE">
      <w:pPr>
        <w:pStyle w:val="Bullet2"/>
      </w:pPr>
      <w:r>
        <w:t>t</w:t>
      </w:r>
      <w:r w:rsidR="003453BF" w:rsidRPr="00693090">
        <w:t>he princip</w:t>
      </w:r>
      <w:r w:rsidR="009A408D" w:rsidRPr="00693090">
        <w:t>al</w:t>
      </w:r>
      <w:r w:rsidR="003453BF" w:rsidRPr="00693090">
        <w:t xml:space="preserve"> diagnosis code is </w:t>
      </w:r>
      <w:r w:rsidR="007E1FFF" w:rsidRPr="00693090">
        <w:t>in the following list</w:t>
      </w:r>
      <w:r w:rsidR="009A408D" w:rsidRPr="00693090">
        <w:t xml:space="preserve">: </w:t>
      </w:r>
      <w:r w:rsidR="00EE6C28" w:rsidRPr="00693090">
        <w:t>N130, N131, N132, N133, N134, N200, N201, N202, N209, N210, N211, N218, N219, N23</w:t>
      </w:r>
      <w:r>
        <w:t>, and</w:t>
      </w:r>
    </w:p>
    <w:p w14:paraId="16DE3A7A" w14:textId="2FAE6578" w:rsidR="00A733EC" w:rsidRPr="00693090" w:rsidRDefault="00693090" w:rsidP="003B09AE">
      <w:pPr>
        <w:pStyle w:val="Bullet2"/>
      </w:pPr>
      <w:r>
        <w:t>t</w:t>
      </w:r>
      <w:r w:rsidR="00A05B29" w:rsidRPr="00693090">
        <w:t>he ESWL procedure code 3654600 is in the procedure array</w:t>
      </w:r>
    </w:p>
    <w:p w14:paraId="4247AF34" w14:textId="77777777" w:rsidR="005453CB" w:rsidRPr="00974DAC" w:rsidRDefault="005453CB" w:rsidP="00E05C4E">
      <w:pPr>
        <w:pStyle w:val="Bullet1"/>
      </w:pPr>
      <w:r w:rsidRPr="00974DAC">
        <w:t>episodes that have been coded as follows – this activity has been funded through specified grants:</w:t>
      </w:r>
    </w:p>
    <w:p w14:paraId="53194358" w14:textId="149B1FEE" w:rsidR="005453CB" w:rsidRPr="00693090" w:rsidRDefault="005453CB" w:rsidP="003B09AE">
      <w:pPr>
        <w:pStyle w:val="Bullet2"/>
      </w:pPr>
      <w:r w:rsidRPr="00693090">
        <w:t xml:space="preserve">include an electroconvulsive therapy code </w:t>
      </w:r>
      <w:r w:rsidR="00693090">
        <w:t>(</w:t>
      </w:r>
      <w:r w:rsidR="65089EAE" w:rsidRPr="00693090">
        <w:t>14224-00 – 14224-06</w:t>
      </w:r>
      <w:r w:rsidR="00693090">
        <w:t>)</w:t>
      </w:r>
    </w:p>
    <w:p w14:paraId="0B395E90" w14:textId="77777777" w:rsidR="005453CB" w:rsidRPr="00693090" w:rsidRDefault="005453CB" w:rsidP="003B09AE">
      <w:pPr>
        <w:pStyle w:val="Bullet2"/>
      </w:pPr>
      <w:r w:rsidRPr="00693090">
        <w:t>care type 4 (Acute)</w:t>
      </w:r>
    </w:p>
    <w:p w14:paraId="32ED7AC1" w14:textId="77777777" w:rsidR="005453CB" w:rsidRPr="00693090" w:rsidRDefault="005453CB" w:rsidP="003B09AE">
      <w:pPr>
        <w:pStyle w:val="Bullet2"/>
      </w:pPr>
      <w:r w:rsidRPr="00693090">
        <w:t>separated from The Royal Melbourne Hospital (campus code 1334)</w:t>
      </w:r>
    </w:p>
    <w:p w14:paraId="5B8AF9AE" w14:textId="77777777" w:rsidR="005453CB" w:rsidRPr="00693090" w:rsidRDefault="005453CB" w:rsidP="003B09AE">
      <w:pPr>
        <w:pStyle w:val="Bullet2"/>
      </w:pPr>
      <w:r w:rsidRPr="00693090">
        <w:t>funding arrangement 2 (Hub and Spoke)</w:t>
      </w:r>
    </w:p>
    <w:p w14:paraId="310D4DD2" w14:textId="00D13E22" w:rsidR="005453CB" w:rsidRPr="00693090" w:rsidRDefault="005453CB" w:rsidP="003B09AE">
      <w:pPr>
        <w:pStyle w:val="Bullet2"/>
      </w:pPr>
      <w:r w:rsidRPr="00693090">
        <w:t>contract/spoke identifier in (0010, 0011 and 0012).</w:t>
      </w:r>
    </w:p>
    <w:p w14:paraId="12CFB748" w14:textId="3C0543F8" w:rsidR="009C244F" w:rsidRPr="008B043B" w:rsidRDefault="009C244F" w:rsidP="005453CB">
      <w:pPr>
        <w:pStyle w:val="Bodyafterbullets"/>
      </w:pPr>
      <w:r w:rsidRPr="008B043B">
        <w:t>The majority of patients in hospital will be allocated a</w:t>
      </w:r>
      <w:r>
        <w:t>n</w:t>
      </w:r>
      <w:r w:rsidRPr="008B043B">
        <w:t xml:space="preserve"> </w:t>
      </w:r>
      <w:r>
        <w:t>NWAU</w:t>
      </w:r>
      <w:r w:rsidRPr="008B043B">
        <w:t xml:space="preserve"> price weight. However, </w:t>
      </w:r>
      <w:r>
        <w:t>NWAU</w:t>
      </w:r>
      <w:r w:rsidRPr="008B043B">
        <w:t xml:space="preserve"> cannot be calculated for incomplete or uncoded episodes. </w:t>
      </w:r>
    </w:p>
    <w:p w14:paraId="10DA603C" w14:textId="7E6F42FF" w:rsidR="00155961" w:rsidRDefault="00155961" w:rsidP="00155961">
      <w:pPr>
        <w:pStyle w:val="Heading3"/>
      </w:pPr>
      <w:bookmarkStart w:id="204" w:name="_Toc100263288"/>
      <w:bookmarkStart w:id="205" w:name="_Toc127191936"/>
      <w:bookmarkStart w:id="206" w:name="_Toc77588909"/>
      <w:r>
        <w:t xml:space="preserve">Business </w:t>
      </w:r>
      <w:r w:rsidR="00976036">
        <w:t>R</w:t>
      </w:r>
      <w:r>
        <w:t>ules</w:t>
      </w:r>
      <w:bookmarkEnd w:id="204"/>
      <w:bookmarkEnd w:id="205"/>
    </w:p>
    <w:p w14:paraId="0CCEE15F" w14:textId="75754537" w:rsidR="003570AC" w:rsidRDefault="003570AC" w:rsidP="003570AC">
      <w:pPr>
        <w:pStyle w:val="Body"/>
      </w:pPr>
      <w:r>
        <w:t xml:space="preserve">Eligible admitted episodes must satisfy the criteria for admission, as specified in the </w:t>
      </w:r>
      <w:hyperlink r:id="rId47" w:history="1">
        <w:r w:rsidR="00693090" w:rsidRPr="00AE6427">
          <w:rPr>
            <w:rStyle w:val="Hyperlink"/>
            <w:i/>
            <w:iCs/>
          </w:rPr>
          <w:t>VAED</w:t>
        </w:r>
        <w:r w:rsidR="00524363" w:rsidRPr="00AE6427">
          <w:rPr>
            <w:rStyle w:val="Hyperlink"/>
            <w:i/>
            <w:iCs/>
          </w:rPr>
          <w:t>:</w:t>
        </w:r>
        <w:r w:rsidRPr="00524363">
          <w:rPr>
            <w:rStyle w:val="Hyperlink"/>
            <w:i/>
            <w:iCs/>
          </w:rPr>
          <w:t xml:space="preserve"> </w:t>
        </w:r>
        <w:r w:rsidR="00693090" w:rsidRPr="00524363">
          <w:rPr>
            <w:rStyle w:val="Hyperlink"/>
            <w:i/>
            <w:iCs/>
          </w:rPr>
          <w:t xml:space="preserve">Criteria </w:t>
        </w:r>
        <w:r w:rsidRPr="00524363">
          <w:rPr>
            <w:rStyle w:val="Hyperlink"/>
            <w:i/>
            <w:iCs/>
          </w:rPr>
          <w:t xml:space="preserve">for reporting </w:t>
        </w:r>
      </w:hyperlink>
      <w:r w:rsidRPr="00866336">
        <w:t>&lt;</w:t>
      </w:r>
      <w:r w:rsidR="00375371" w:rsidRPr="00375371">
        <w:t>https://www.health.vic.gov.au/data-reporting/victorian-admitted-episodes-dataset</w:t>
      </w:r>
      <w:r w:rsidRPr="00866336">
        <w:t>&gt;.</w:t>
      </w:r>
    </w:p>
    <w:p w14:paraId="3D2CD88B" w14:textId="107C54D3" w:rsidR="00D36446" w:rsidRDefault="00D36446" w:rsidP="00D47072">
      <w:pPr>
        <w:pStyle w:val="sub"/>
      </w:pPr>
      <w:r>
        <w:lastRenderedPageBreak/>
        <w:t>Patient classification</w:t>
      </w:r>
    </w:p>
    <w:p w14:paraId="3F7EBDF2" w14:textId="38C89E5F" w:rsidR="00D36446" w:rsidRPr="00E07B11" w:rsidRDefault="00D36446" w:rsidP="00D36446">
      <w:pPr>
        <w:pStyle w:val="Body"/>
      </w:pPr>
      <w:r>
        <w:t xml:space="preserve">Australian </w:t>
      </w:r>
      <w:r w:rsidR="00693090">
        <w:t xml:space="preserve">refined </w:t>
      </w:r>
      <w:r w:rsidR="00693090" w:rsidRPr="00E07B11">
        <w:t>d</w:t>
      </w:r>
      <w:r w:rsidR="00693090">
        <w:t>iagnosis</w:t>
      </w:r>
      <w:r>
        <w:t>-related groups (AR-DRGs)</w:t>
      </w:r>
      <w:r w:rsidRPr="00E07B11">
        <w:t xml:space="preserve"> are a method of classifying treated patients with similar clinical conditions and similar levels of resource use. In particular, the objectives of the </w:t>
      </w:r>
      <w:r>
        <w:t>AR-</w:t>
      </w:r>
      <w:r w:rsidRPr="00E07B11">
        <w:t>DRG classification are:</w:t>
      </w:r>
    </w:p>
    <w:p w14:paraId="7C49B152" w14:textId="037063A1" w:rsidR="00D36446" w:rsidRPr="00E07B11" w:rsidRDefault="00693090" w:rsidP="00E05C4E">
      <w:pPr>
        <w:pStyle w:val="Bullet1"/>
      </w:pPr>
      <w:r>
        <w:t>e</w:t>
      </w:r>
      <w:r w:rsidR="00D36446">
        <w:t>ach AR-DRG is clinically meaningful – the diagnostic clusters must be accepted by clinicians and must be similar for episodes within the AR-DRG</w:t>
      </w:r>
    </w:p>
    <w:p w14:paraId="322490C6" w14:textId="09AAC50C" w:rsidR="00D36446" w:rsidRPr="00E07B11" w:rsidRDefault="00693090" w:rsidP="00E05C4E">
      <w:pPr>
        <w:pStyle w:val="Bullet1"/>
      </w:pPr>
      <w:r>
        <w:t xml:space="preserve">each </w:t>
      </w:r>
      <w:r w:rsidR="00D36446">
        <w:t>AR-DRG is resource homogeneous – the type of resources used, and their amount, should be similar for episodes within the AR-DRG</w:t>
      </w:r>
    </w:p>
    <w:p w14:paraId="3FD2CAAE" w14:textId="7756219E" w:rsidR="00D36446" w:rsidRPr="00E07B11" w:rsidRDefault="00693090" w:rsidP="00E05C4E">
      <w:pPr>
        <w:pStyle w:val="Bullet1"/>
      </w:pPr>
      <w:r>
        <w:t xml:space="preserve">within </w:t>
      </w:r>
      <w:r w:rsidR="00D36446">
        <w:t>each AR-DRG, the specific diagnostic episodes should ‘map’ to that DRG alone and not to multiple possible AR-DRGs.</w:t>
      </w:r>
    </w:p>
    <w:p w14:paraId="7FB6D5CC" w14:textId="3330ACF1" w:rsidR="00693090" w:rsidRDefault="00D36446" w:rsidP="00693090">
      <w:pPr>
        <w:pStyle w:val="Bodyafterbullets"/>
      </w:pPr>
      <w:r>
        <w:t>T</w:t>
      </w:r>
      <w:r w:rsidRPr="00E07B11">
        <w:t>he AR-DRG classification incorporates</w:t>
      </w:r>
      <w:r>
        <w:rPr>
          <w:i/>
          <w:iCs/>
        </w:rPr>
        <w:t xml:space="preserve"> </w:t>
      </w:r>
      <w:r w:rsidRPr="00D365A2">
        <w:t>the</w:t>
      </w:r>
      <w:r>
        <w:t xml:space="preserve"> </w:t>
      </w:r>
      <w:r w:rsidR="00693090">
        <w:rPr>
          <w:i/>
          <w:iCs/>
        </w:rPr>
        <w:t>I</w:t>
      </w:r>
      <w:r w:rsidR="00693090" w:rsidRPr="4DDFA079">
        <w:rPr>
          <w:i/>
          <w:iCs/>
        </w:rPr>
        <w:t>nternational statistical classification of diseases and related health problems</w:t>
      </w:r>
      <w:r>
        <w:t>, 10th revision, Australian Modification (ICD-10-AM), Australian Classification of Health Interventions (ACHI), Australian Coding Standards (ACS) collectively known as ICD-10-AM/ACHI/ACS</w:t>
      </w:r>
      <w:r w:rsidR="122DC1FC">
        <w:t>.</w:t>
      </w:r>
      <w:r>
        <w:t xml:space="preserve"> </w:t>
      </w:r>
    </w:p>
    <w:p w14:paraId="30769DBC" w14:textId="6D676DD8" w:rsidR="00D36446" w:rsidRDefault="00D36446" w:rsidP="00693090">
      <w:pPr>
        <w:pStyle w:val="Body"/>
      </w:pPr>
      <w:r w:rsidRPr="007F03EF">
        <w:t xml:space="preserve">The AR-DRG classification is continuously updated nationally, with AR-DRG Version 10.0 (AR-DRG10.0) being the latest available version. Victoria will use AR-DRG10.0 for funding purposes in </w:t>
      </w:r>
      <w:r w:rsidR="002E7EEF" w:rsidRPr="007F03EF">
        <w:t>2022</w:t>
      </w:r>
      <w:r w:rsidR="00693090">
        <w:t>–</w:t>
      </w:r>
      <w:r w:rsidR="002E7EEF" w:rsidRPr="007F03EF">
        <w:t>23</w:t>
      </w:r>
      <w:r w:rsidRPr="007F03EF">
        <w:t>.</w:t>
      </w:r>
    </w:p>
    <w:p w14:paraId="71DE126D" w14:textId="0CD58CDD" w:rsidR="009C244F" w:rsidRDefault="009C244F" w:rsidP="00155961">
      <w:pPr>
        <w:pStyle w:val="Heading3"/>
      </w:pPr>
      <w:bookmarkStart w:id="207" w:name="_Toc100263289"/>
      <w:bookmarkStart w:id="208" w:name="_Toc127191937"/>
      <w:r>
        <w:t xml:space="preserve">NWAU </w:t>
      </w:r>
      <w:r w:rsidR="00976036">
        <w:t>P</w:t>
      </w:r>
      <w:r>
        <w:t xml:space="preserve">rice </w:t>
      </w:r>
      <w:r w:rsidR="00976036">
        <w:t>W</w:t>
      </w:r>
      <w:r>
        <w:t>eights</w:t>
      </w:r>
      <w:bookmarkEnd w:id="207"/>
      <w:bookmarkEnd w:id="208"/>
    </w:p>
    <w:p w14:paraId="6F75D382" w14:textId="47805E7B" w:rsidR="009C244F" w:rsidRPr="007F03EF" w:rsidRDefault="5D11242D" w:rsidP="005453CB">
      <w:pPr>
        <w:pStyle w:val="Body"/>
      </w:pPr>
      <w:r>
        <w:t xml:space="preserve">National </w:t>
      </w:r>
      <w:r w:rsidR="5781A815">
        <w:t>p</w:t>
      </w:r>
      <w:r w:rsidR="009C244F">
        <w:t>rice</w:t>
      </w:r>
      <w:r w:rsidR="009C244F" w:rsidRPr="004658FE">
        <w:t xml:space="preserve"> weights are calculated </w:t>
      </w:r>
      <w:r w:rsidR="4002FB15">
        <w:t>through a staged process, involving firstly the calculation of cost</w:t>
      </w:r>
      <w:r w:rsidR="00240DAF">
        <w:t>-</w:t>
      </w:r>
      <w:r w:rsidR="4002FB15">
        <w:t>model parameters and then cost weight values</w:t>
      </w:r>
      <w:r w:rsidR="74F6C5CC">
        <w:t>, b</w:t>
      </w:r>
      <w:r w:rsidR="3A450D35">
        <w:t>y</w:t>
      </w:r>
      <w:r w:rsidR="74F6C5CC">
        <w:t xml:space="preserve"> dividing the cost</w:t>
      </w:r>
      <w:r w:rsidR="00240DAF">
        <w:t>-</w:t>
      </w:r>
      <w:r w:rsidR="74F6C5CC">
        <w:t>model parameters by a reference cost</w:t>
      </w:r>
      <w:r w:rsidR="3D9E9E35">
        <w:t>. The cost weight values</w:t>
      </w:r>
      <w:r w:rsidR="4724F2E7">
        <w:t>,</w:t>
      </w:r>
      <w:r w:rsidR="3D9E9E35">
        <w:t xml:space="preserve"> </w:t>
      </w:r>
      <w:r w:rsidR="44C06E65">
        <w:t>simply express</w:t>
      </w:r>
      <w:r w:rsidR="1CB17342">
        <w:t>ed</w:t>
      </w:r>
      <w:r w:rsidR="4DED97E2">
        <w:t>,</w:t>
      </w:r>
      <w:r w:rsidR="44C06E65">
        <w:t xml:space="preserve"> are</w:t>
      </w:r>
      <w:r w:rsidR="009C244F" w:rsidRPr="004658FE">
        <w:t xml:space="preserve"> the ratio of the average cost of all episodes in a</w:t>
      </w:r>
      <w:r w:rsidR="009C244F">
        <w:t>n AR-DRG</w:t>
      </w:r>
      <w:r w:rsidR="009C244F" w:rsidRPr="004658FE">
        <w:t xml:space="preserve"> to the average </w:t>
      </w:r>
      <w:r w:rsidR="0ED8435E">
        <w:t xml:space="preserve">cost </w:t>
      </w:r>
      <w:r w:rsidR="009C244F" w:rsidRPr="004658FE">
        <w:t>of all episodes across all DRGs.</w:t>
      </w:r>
      <w:r w:rsidR="009C244F">
        <w:t> </w:t>
      </w:r>
      <w:r w:rsidR="4CE0C116">
        <w:t>National p</w:t>
      </w:r>
      <w:r w:rsidR="34276395">
        <w:t xml:space="preserve">rice weights are </w:t>
      </w:r>
      <w:r w:rsidR="552DF940">
        <w:t>derived</w:t>
      </w:r>
      <w:r w:rsidR="34276395">
        <w:t xml:space="preserve"> once</w:t>
      </w:r>
      <w:r w:rsidR="5D31EF66">
        <w:t xml:space="preserve"> out-of-scope costs and activity are excluded, a reference (or average) cost is calculated, and </w:t>
      </w:r>
      <w:r w:rsidR="0902796C">
        <w:t>model</w:t>
      </w:r>
      <w:r w:rsidR="1FEDBE3E">
        <w:t xml:space="preserve"> </w:t>
      </w:r>
      <w:r w:rsidR="5D31EF66">
        <w:t>indexation rate is der</w:t>
      </w:r>
      <w:r w:rsidR="4A53EC94">
        <w:t>i</w:t>
      </w:r>
      <w:r w:rsidR="5D31EF66">
        <w:t>ved</w:t>
      </w:r>
      <w:r w:rsidR="6A0F37AE">
        <w:t xml:space="preserve"> </w:t>
      </w:r>
      <w:r w:rsidR="71479B3D">
        <w:t xml:space="preserve">using the </w:t>
      </w:r>
      <w:r w:rsidR="3B3D18AE">
        <w:t xml:space="preserve">time series </w:t>
      </w:r>
      <w:r w:rsidR="4AE4B7A8">
        <w:t xml:space="preserve">national </w:t>
      </w:r>
      <w:r w:rsidR="3F4A5D05">
        <w:t>hospital</w:t>
      </w:r>
      <w:r w:rsidR="7B33FBEC">
        <w:t xml:space="preserve"> </w:t>
      </w:r>
      <w:r w:rsidR="7B33FBEC" w:rsidRPr="007F03EF">
        <w:t xml:space="preserve">cost </w:t>
      </w:r>
      <w:r w:rsidR="3F4A5D05" w:rsidRPr="007F03EF">
        <w:t>data collection.</w:t>
      </w:r>
      <w:r w:rsidR="6A687A6F" w:rsidRPr="007F03EF">
        <w:t xml:space="preserve"> </w:t>
      </w:r>
    </w:p>
    <w:p w14:paraId="2400B4DE" w14:textId="124580E1" w:rsidR="00BD64EA" w:rsidRPr="007F03EF" w:rsidRDefault="009C244F" w:rsidP="00AF7873">
      <w:pPr>
        <w:pStyle w:val="Body"/>
      </w:pPr>
      <w:r w:rsidRPr="007F03EF">
        <w:t>Price weights for admitted acute patients using AR-</w:t>
      </w:r>
      <w:r w:rsidRPr="00C13438">
        <w:t>DRG10</w:t>
      </w:r>
      <w:r w:rsidRPr="007F03EF">
        <w:t>.0 can be expressed as national weighted activity unit 202</w:t>
      </w:r>
      <w:r w:rsidR="0044689C" w:rsidRPr="007F03EF">
        <w:t>2</w:t>
      </w:r>
      <w:r w:rsidR="00C13438">
        <w:t>–</w:t>
      </w:r>
      <w:r w:rsidR="00812A2D" w:rsidRPr="007F03EF">
        <w:t>23</w:t>
      </w:r>
      <w:r w:rsidR="0044689C" w:rsidRPr="007F03EF">
        <w:t xml:space="preserve"> </w:t>
      </w:r>
      <w:r w:rsidRPr="007F03EF">
        <w:t>(NWAU</w:t>
      </w:r>
      <w:r w:rsidR="00C13438">
        <w:t>(</w:t>
      </w:r>
      <w:r w:rsidRPr="007F03EF">
        <w:t>2</w:t>
      </w:r>
      <w:r w:rsidR="0044689C" w:rsidRPr="007F03EF">
        <w:t>2</w:t>
      </w:r>
      <w:r w:rsidRPr="007F03EF">
        <w:t xml:space="preserve">)) and are set out in Appendix H of the </w:t>
      </w:r>
      <w:hyperlink r:id="rId48" w:history="1">
        <w:r w:rsidR="00C1762A">
          <w:rPr>
            <w:rStyle w:val="Hyperlink"/>
            <w:i/>
            <w:iCs/>
          </w:rPr>
          <w:t>National Efficient Price Determination 2022–23</w:t>
        </w:r>
      </w:hyperlink>
      <w:r w:rsidR="00C13438" w:rsidRPr="00AE6427">
        <w:t>. &lt;</w:t>
      </w:r>
      <w:r w:rsidR="00782127" w:rsidRPr="00782127">
        <w:t xml:space="preserve"> https://www.ihacpa.gov.au/resources/national-efficient-price-determination-2022-23</w:t>
      </w:r>
      <w:r w:rsidR="00C13438" w:rsidRPr="00AE6427">
        <w:t xml:space="preserve">&gt;. </w:t>
      </w:r>
    </w:p>
    <w:p w14:paraId="3D806BB2" w14:textId="2A914172" w:rsidR="5AFA2111" w:rsidRDefault="5AFA2111" w:rsidP="00AF7873">
      <w:pPr>
        <w:pStyle w:val="Body"/>
      </w:pPr>
      <w:r w:rsidRPr="007F03EF">
        <w:t xml:space="preserve">Additional detail </w:t>
      </w:r>
      <w:r w:rsidR="7CB09075" w:rsidRPr="007F03EF">
        <w:t xml:space="preserve">describing </w:t>
      </w:r>
      <w:r w:rsidRPr="007F03EF">
        <w:t xml:space="preserve">the </w:t>
      </w:r>
      <w:r w:rsidR="666D8E91" w:rsidRPr="00C13438">
        <w:t>trans</w:t>
      </w:r>
      <w:r w:rsidR="02793312" w:rsidRPr="00C13438">
        <w:t>f</w:t>
      </w:r>
      <w:r w:rsidR="666D8E91" w:rsidRPr="00C13438">
        <w:t>ormation</w:t>
      </w:r>
      <w:r w:rsidR="666D8E91" w:rsidRPr="007F03EF">
        <w:t xml:space="preserve"> of cost parameters to price weights can be found </w:t>
      </w:r>
      <w:r w:rsidR="22818458" w:rsidRPr="007F03EF">
        <w:t xml:space="preserve">in </w:t>
      </w:r>
      <w:r w:rsidR="666D8E91" w:rsidRPr="007F03EF">
        <w:t xml:space="preserve">the </w:t>
      </w:r>
      <w:hyperlink r:id="rId49" w:history="1">
        <w:r w:rsidR="666D8E91" w:rsidRPr="00AF7873">
          <w:rPr>
            <w:rStyle w:val="Hyperlink"/>
            <w:i/>
          </w:rPr>
          <w:t xml:space="preserve">National </w:t>
        </w:r>
        <w:r w:rsidR="00C13438" w:rsidRPr="00AE6427">
          <w:rPr>
            <w:rStyle w:val="Hyperlink"/>
            <w:rFonts w:eastAsia="Arial" w:cs="Arial"/>
            <w:i/>
            <w:iCs/>
          </w:rPr>
          <w:t>pricing model technical specifications</w:t>
        </w:r>
        <w:r w:rsidR="00C13438" w:rsidRPr="00AF7873">
          <w:rPr>
            <w:rStyle w:val="Hyperlink"/>
            <w:i/>
          </w:rPr>
          <w:t xml:space="preserve"> </w:t>
        </w:r>
        <w:r w:rsidR="666D8E91" w:rsidRPr="00AF7873">
          <w:rPr>
            <w:rStyle w:val="Hyperlink"/>
            <w:i/>
          </w:rPr>
          <w:t>202</w:t>
        </w:r>
        <w:r w:rsidR="00E95046" w:rsidRPr="00AF7873">
          <w:rPr>
            <w:rStyle w:val="Hyperlink"/>
            <w:i/>
          </w:rPr>
          <w:t>2</w:t>
        </w:r>
        <w:r w:rsidR="00C13438" w:rsidRPr="00AE6427">
          <w:rPr>
            <w:rStyle w:val="Hyperlink"/>
            <w:rFonts w:eastAsia="Arial" w:cs="Arial"/>
            <w:i/>
            <w:iCs/>
          </w:rPr>
          <w:t>–</w:t>
        </w:r>
        <w:r w:rsidR="00E95046" w:rsidRPr="00AF7873">
          <w:rPr>
            <w:rStyle w:val="Hyperlink"/>
            <w:i/>
          </w:rPr>
          <w:t>23</w:t>
        </w:r>
        <w:r w:rsidR="666D8E91" w:rsidRPr="00AF7873">
          <w:rPr>
            <w:rStyle w:val="Hyperlink"/>
            <w:i/>
          </w:rPr>
          <w:t xml:space="preserve"> </w:t>
        </w:r>
      </w:hyperlink>
      <w:r w:rsidR="0DFFE4AB" w:rsidRPr="007F03EF">
        <w:t>&lt;</w:t>
      </w:r>
      <w:r w:rsidR="00F8346C" w:rsidRPr="00F8346C">
        <w:t>https://www.ihacpa.gov.au/resources/national-pricing-model-technical-specifications-2022-23</w:t>
      </w:r>
      <w:r w:rsidR="488F47A5" w:rsidRPr="007F03EF">
        <w:t>&gt;</w:t>
      </w:r>
      <w:r w:rsidR="00C13438">
        <w:t>.</w:t>
      </w:r>
    </w:p>
    <w:p w14:paraId="753CDCF1" w14:textId="77777777" w:rsidR="000B27B9" w:rsidRDefault="000B27B9" w:rsidP="00155961">
      <w:pPr>
        <w:pStyle w:val="Heading3"/>
      </w:pPr>
      <w:bookmarkStart w:id="209" w:name="_Toc100263290"/>
      <w:bookmarkStart w:id="210" w:name="_Toc127191938"/>
      <w:bookmarkEnd w:id="206"/>
      <w:r>
        <w:t>Pricing</w:t>
      </w:r>
      <w:bookmarkEnd w:id="200"/>
      <w:bookmarkEnd w:id="201"/>
      <w:bookmarkEnd w:id="202"/>
      <w:bookmarkEnd w:id="203"/>
      <w:bookmarkEnd w:id="209"/>
      <w:bookmarkEnd w:id="210"/>
    </w:p>
    <w:p w14:paraId="3AF4FDFD" w14:textId="1AF93864" w:rsidR="000B27B9" w:rsidRPr="007205BA" w:rsidRDefault="2C2A488D" w:rsidP="00B92CD4">
      <w:pPr>
        <w:pStyle w:val="Body"/>
      </w:pPr>
      <w:r>
        <w:t xml:space="preserve">The </w:t>
      </w:r>
      <w:r w:rsidR="00834B04">
        <w:t xml:space="preserve">Victorian </w:t>
      </w:r>
      <w:r w:rsidR="66F7E1A4">
        <w:t xml:space="preserve">Efficient </w:t>
      </w:r>
      <w:r w:rsidR="005453CB" w:rsidRPr="005453CB">
        <w:t>Price</w:t>
      </w:r>
      <w:r w:rsidR="29F67C4F">
        <w:t xml:space="preserve"> </w:t>
      </w:r>
      <w:r w:rsidR="001159EA">
        <w:t xml:space="preserve">(VEP) </w:t>
      </w:r>
      <w:r w:rsidR="2E5548AB">
        <w:t>differs</w:t>
      </w:r>
      <w:r w:rsidR="090FC7BA">
        <w:t xml:space="preserve"> </w:t>
      </w:r>
      <w:r w:rsidR="00C13438">
        <w:t xml:space="preserve">from </w:t>
      </w:r>
      <w:r w:rsidR="090FC7BA">
        <w:t xml:space="preserve">the </w:t>
      </w:r>
      <w:r w:rsidR="002323E9">
        <w:t>N</w:t>
      </w:r>
      <w:r w:rsidR="001159EA">
        <w:t xml:space="preserve">ational </w:t>
      </w:r>
      <w:r w:rsidR="002323E9">
        <w:t>E</w:t>
      </w:r>
      <w:r w:rsidR="001159EA">
        <w:t xml:space="preserve">fficient </w:t>
      </w:r>
      <w:r w:rsidR="002323E9">
        <w:t>P</w:t>
      </w:r>
      <w:r w:rsidR="001159EA">
        <w:t>rice</w:t>
      </w:r>
      <w:r w:rsidR="090FC7BA">
        <w:t xml:space="preserve">. </w:t>
      </w:r>
      <w:r w:rsidR="0A810BEC">
        <w:t xml:space="preserve">The VEP </w:t>
      </w:r>
      <w:r w:rsidR="0ABE5313">
        <w:t>fund</w:t>
      </w:r>
      <w:r w:rsidR="1354B6CB">
        <w:t>s</w:t>
      </w:r>
      <w:r w:rsidR="0ABE5313">
        <w:t xml:space="preserve"> </w:t>
      </w:r>
      <w:r w:rsidR="0CDC428E">
        <w:t>NWAU</w:t>
      </w:r>
      <w:r w:rsidR="0ABE5313">
        <w:t xml:space="preserve"> growth </w:t>
      </w:r>
      <w:r w:rsidR="005453CB" w:rsidRPr="005453CB">
        <w:t xml:space="preserve">and considers other forms of funding. It is not the same as the </w:t>
      </w:r>
      <w:r w:rsidR="72E78843">
        <w:t>national</w:t>
      </w:r>
      <w:r w:rsidR="005453CB" w:rsidRPr="005453CB">
        <w:t xml:space="preserve"> cost per NWAU</w:t>
      </w:r>
      <w:r w:rsidR="000B27B9" w:rsidRPr="007205BA">
        <w:t>.</w:t>
      </w:r>
    </w:p>
    <w:p w14:paraId="63C0B73D" w14:textId="697DFC2D" w:rsidR="000B27B9" w:rsidRDefault="5BE4AD9D" w:rsidP="00B92CD4">
      <w:pPr>
        <w:pStyle w:val="Body"/>
      </w:pPr>
      <w:r>
        <w:t xml:space="preserve">The </w:t>
      </w:r>
      <w:r w:rsidR="00C13438">
        <w:t xml:space="preserve">VEP </w:t>
      </w:r>
      <w:r w:rsidR="005453CB" w:rsidRPr="007205BA">
        <w:t xml:space="preserve">can be found </w:t>
      </w:r>
      <w:r w:rsidR="00C525A6">
        <w:t xml:space="preserve">on </w:t>
      </w:r>
      <w:r w:rsidR="001F3E9F">
        <w:fldChar w:fldCharType="begin"/>
      </w:r>
      <w:r w:rsidR="001F3E9F">
        <w:instrText xml:space="preserve"> REF _Ref108526914 \r \h </w:instrText>
      </w:r>
      <w:r w:rsidR="001F3E9F">
        <w:fldChar w:fldCharType="separate"/>
      </w:r>
      <w:r w:rsidR="006D0756">
        <w:t>Table 1.9</w:t>
      </w:r>
      <w:r w:rsidR="001F3E9F">
        <w:fldChar w:fldCharType="end"/>
      </w:r>
      <w:r w:rsidR="001F3E9F">
        <w:t xml:space="preserve"> </w:t>
      </w:r>
      <w:r w:rsidR="00C13438">
        <w:t>‘</w:t>
      </w:r>
      <w:r w:rsidR="00F14EA6">
        <w:t xml:space="preserve">Victorian </w:t>
      </w:r>
      <w:r w:rsidR="00D023FD">
        <w:t>E</w:t>
      </w:r>
      <w:r w:rsidR="00C13438">
        <w:t xml:space="preserve">fficient </w:t>
      </w:r>
      <w:r w:rsidR="00D023FD">
        <w:t>P</w:t>
      </w:r>
      <w:r w:rsidR="00F14EA6">
        <w:t>rice</w:t>
      </w:r>
      <w:r w:rsidR="00C13438">
        <w:t>’</w:t>
      </w:r>
      <w:r w:rsidR="005453CB" w:rsidRPr="007205BA">
        <w:t xml:space="preserve"> </w:t>
      </w:r>
      <w:r w:rsidR="000B27B9" w:rsidRPr="007205BA">
        <w:t>i</w:t>
      </w:r>
      <w:r w:rsidR="000B27B9" w:rsidRPr="004005DD">
        <w:t xml:space="preserve">n </w:t>
      </w:r>
      <w:r w:rsidR="000B27B9">
        <w:t xml:space="preserve">section </w:t>
      </w:r>
      <w:r w:rsidR="005453CB">
        <w:fldChar w:fldCharType="begin"/>
      </w:r>
      <w:r w:rsidR="005453CB">
        <w:instrText xml:space="preserve"> REF _Ref77777682 \r \h </w:instrText>
      </w:r>
      <w:r w:rsidR="005453CB">
        <w:fldChar w:fldCharType="separate"/>
      </w:r>
      <w:r w:rsidR="006D0756">
        <w:t>1.21</w:t>
      </w:r>
      <w:r w:rsidR="005453CB">
        <w:fldChar w:fldCharType="end"/>
      </w:r>
      <w:r w:rsidR="1D1FA210">
        <w:t xml:space="preserve"> ‘</w:t>
      </w:r>
      <w:r w:rsidR="005453CB">
        <w:fldChar w:fldCharType="begin"/>
      </w:r>
      <w:r w:rsidR="005453CB">
        <w:instrText xml:space="preserve"> REF _Ref70881789 \h </w:instrText>
      </w:r>
      <w:r w:rsidR="005453CB">
        <w:fldChar w:fldCharType="separate"/>
      </w:r>
      <w:r w:rsidR="006D0756">
        <w:t>Price Tables</w:t>
      </w:r>
      <w:r w:rsidR="005453CB">
        <w:fldChar w:fldCharType="end"/>
      </w:r>
      <w:r w:rsidR="1D1FA210">
        <w:t xml:space="preserve">'. </w:t>
      </w:r>
    </w:p>
    <w:p w14:paraId="232239A8" w14:textId="41B28929" w:rsidR="005453CB" w:rsidRDefault="005453CB" w:rsidP="00B92CD4">
      <w:pPr>
        <w:pStyle w:val="Body"/>
      </w:pPr>
      <w:r w:rsidRPr="005453CB">
        <w:t xml:space="preserve">The </w:t>
      </w:r>
      <w:r w:rsidR="5EF4FBC2">
        <w:t xml:space="preserve">growth </w:t>
      </w:r>
      <w:r>
        <w:t>funding</w:t>
      </w:r>
      <w:r w:rsidR="61F30EB6">
        <w:t xml:space="preserve"> for demand above existing activity levels</w:t>
      </w:r>
      <w:r w:rsidRPr="005453CB">
        <w:t xml:space="preserve"> can be calculated by multiplying NWAU by the </w:t>
      </w:r>
      <w:r w:rsidR="2F1B31D4">
        <w:t>VEP for the relevant price group</w:t>
      </w:r>
      <w:r w:rsidRPr="005453CB">
        <w:t>.</w:t>
      </w:r>
    </w:p>
    <w:p w14:paraId="57C00843" w14:textId="30717D41" w:rsidR="000B27B9" w:rsidRPr="005A1602" w:rsidRDefault="000B27B9" w:rsidP="009375E0">
      <w:pPr>
        <w:pStyle w:val="Heading3"/>
        <w:spacing w:before="240"/>
      </w:pPr>
      <w:bookmarkStart w:id="211" w:name="_Toc484461856"/>
      <w:bookmarkStart w:id="212" w:name="_Toc6215546"/>
      <w:bookmarkStart w:id="213" w:name="_Toc10199622"/>
      <w:bookmarkStart w:id="214" w:name="_Toc52892568"/>
      <w:bookmarkStart w:id="215" w:name="_Toc100263291"/>
      <w:bookmarkStart w:id="216" w:name="_Toc127191939"/>
      <w:bookmarkEnd w:id="211"/>
      <w:r w:rsidRPr="002D3CD1">
        <w:t xml:space="preserve">Transport </w:t>
      </w:r>
      <w:r w:rsidR="00976036">
        <w:t>S</w:t>
      </w:r>
      <w:r w:rsidRPr="002D3CD1">
        <w:t>upple</w:t>
      </w:r>
      <w:r>
        <w:t xml:space="preserve">ment to </w:t>
      </w:r>
      <w:r w:rsidR="00976036">
        <w:t>H</w:t>
      </w:r>
      <w:r>
        <w:t xml:space="preserve">ealth </w:t>
      </w:r>
      <w:r w:rsidR="00976036">
        <w:t>S</w:t>
      </w:r>
      <w:r>
        <w:t>ervices</w:t>
      </w:r>
      <w:bookmarkEnd w:id="212"/>
      <w:bookmarkEnd w:id="213"/>
      <w:bookmarkEnd w:id="214"/>
      <w:bookmarkEnd w:id="215"/>
      <w:bookmarkEnd w:id="216"/>
    </w:p>
    <w:p w14:paraId="7D09D671" w14:textId="5516FCF0" w:rsidR="000B27B9" w:rsidRPr="007F03EF" w:rsidRDefault="000B27B9" w:rsidP="00B92CD4">
      <w:pPr>
        <w:pStyle w:val="Body"/>
      </w:pPr>
      <w:r>
        <w:t xml:space="preserve">Ensuring patients have access to the right service can result in some patients being transported to another health service for their care. Decisions to transport patients are based on clinical </w:t>
      </w:r>
      <w:r w:rsidRPr="007F03EF">
        <w:t>factors, and it is important that funding approaches support the appropriate decisions being made.</w:t>
      </w:r>
    </w:p>
    <w:p w14:paraId="7D74A0A9" w14:textId="046F40F9" w:rsidR="000B27B9" w:rsidRPr="007F03EF" w:rsidRDefault="000B27B9" w:rsidP="00B92CD4">
      <w:pPr>
        <w:pStyle w:val="Body"/>
      </w:pPr>
      <w:r w:rsidRPr="007F03EF">
        <w:lastRenderedPageBreak/>
        <w:t xml:space="preserve">In </w:t>
      </w:r>
      <w:r w:rsidR="002E7EEF" w:rsidRPr="007F03EF">
        <w:t>2022</w:t>
      </w:r>
      <w:r w:rsidR="008509E4">
        <w:t>–</w:t>
      </w:r>
      <w:r w:rsidR="002E7EEF" w:rsidRPr="007F03EF">
        <w:t>23</w:t>
      </w:r>
      <w:r w:rsidR="008509E4">
        <w:t>,</w:t>
      </w:r>
      <w:r w:rsidR="002E7EEF" w:rsidRPr="007F03EF">
        <w:rPr>
          <w:lang w:val="en-US"/>
        </w:rPr>
        <w:t xml:space="preserve"> </w:t>
      </w:r>
      <w:r w:rsidRPr="007F03EF">
        <w:t>the eligible threshold for health services that had transport costs (as a proportion of total funding) will be 1.45</w:t>
      </w:r>
      <w:r w:rsidR="00887E93">
        <w:t>%</w:t>
      </w:r>
      <w:r w:rsidRPr="007F03EF">
        <w:t>.</w:t>
      </w:r>
    </w:p>
    <w:p w14:paraId="7E447E15" w14:textId="77777777" w:rsidR="000B27B9" w:rsidRPr="007F03EF" w:rsidRDefault="000B27B9" w:rsidP="00B92CD4">
      <w:pPr>
        <w:pStyle w:val="Body"/>
      </w:pPr>
      <w:r w:rsidRPr="007F03EF">
        <w:t>Health services are also encouraged to consider strategies that will assist in reducing inappropriate costs associated with patient transport.</w:t>
      </w:r>
    </w:p>
    <w:p w14:paraId="24A5F43A" w14:textId="6715853C" w:rsidR="000B27B9" w:rsidRPr="007F03EF" w:rsidRDefault="000B27B9" w:rsidP="009375E0">
      <w:pPr>
        <w:pStyle w:val="Heading3"/>
        <w:spacing w:before="240"/>
      </w:pPr>
      <w:bookmarkStart w:id="217" w:name="_Toc484461859"/>
      <w:bookmarkStart w:id="218" w:name="_Toc6215547"/>
      <w:bookmarkStart w:id="219" w:name="_Toc10199623"/>
      <w:bookmarkStart w:id="220" w:name="_Toc52892569"/>
      <w:bookmarkStart w:id="221" w:name="_Toc100263292"/>
      <w:bookmarkStart w:id="222" w:name="_Toc127191940"/>
      <w:bookmarkEnd w:id="217"/>
      <w:r w:rsidRPr="007F03EF">
        <w:t xml:space="preserve">Interpreter </w:t>
      </w:r>
      <w:r w:rsidR="00976036">
        <w:t>S</w:t>
      </w:r>
      <w:r w:rsidRPr="007F03EF">
        <w:t xml:space="preserve">upplement to </w:t>
      </w:r>
      <w:r w:rsidR="00976036">
        <w:t>H</w:t>
      </w:r>
      <w:r w:rsidRPr="007F03EF">
        <w:t xml:space="preserve">ealth </w:t>
      </w:r>
      <w:r w:rsidR="00976036">
        <w:t>S</w:t>
      </w:r>
      <w:r w:rsidRPr="007F03EF">
        <w:t>ervices</w:t>
      </w:r>
      <w:bookmarkEnd w:id="218"/>
      <w:bookmarkEnd w:id="219"/>
      <w:bookmarkEnd w:id="220"/>
      <w:bookmarkEnd w:id="221"/>
      <w:bookmarkEnd w:id="222"/>
    </w:p>
    <w:p w14:paraId="0D970DA5" w14:textId="77777777" w:rsidR="000B27B9" w:rsidRPr="007F03EF" w:rsidRDefault="000B27B9" w:rsidP="00B92CD4">
      <w:pPr>
        <w:pStyle w:val="Body"/>
      </w:pPr>
      <w:r w:rsidRPr="007F03EF">
        <w:t>Departmental policy requires health services to provide professional interpreting and translating services for people who speak limited or no English when making significant health decisions.</w:t>
      </w:r>
    </w:p>
    <w:p w14:paraId="69E1BF5C" w14:textId="4286A3F8" w:rsidR="000B27B9" w:rsidRPr="007F03EF" w:rsidRDefault="000B27B9" w:rsidP="00B92CD4">
      <w:pPr>
        <w:pStyle w:val="Body"/>
      </w:pPr>
      <w:r w:rsidRPr="007F03EF">
        <w:t xml:space="preserve">The </w:t>
      </w:r>
      <w:r w:rsidR="00DF2799" w:rsidRPr="007F03EF">
        <w:t>d</w:t>
      </w:r>
      <w:r w:rsidRPr="007F03EF">
        <w:t xml:space="preserve">epartment will continue to provide a funding supplement for those services with significantly higher than average costs for the provision of interpreter services in </w:t>
      </w:r>
      <w:r w:rsidR="002E7EEF" w:rsidRPr="007F03EF">
        <w:t>2022</w:t>
      </w:r>
      <w:r w:rsidR="008509E4">
        <w:t>–</w:t>
      </w:r>
      <w:r w:rsidR="002E7EEF" w:rsidRPr="007F03EF">
        <w:t>23</w:t>
      </w:r>
      <w:r w:rsidRPr="007F03EF">
        <w:t>.</w:t>
      </w:r>
    </w:p>
    <w:p w14:paraId="14771433" w14:textId="7A9E7D0F" w:rsidR="000B27B9" w:rsidRDefault="000B27B9" w:rsidP="00B92CD4">
      <w:pPr>
        <w:pStyle w:val="Body"/>
      </w:pPr>
      <w:r w:rsidRPr="007F03EF">
        <w:t xml:space="preserve">In </w:t>
      </w:r>
      <w:r w:rsidR="002E7EEF" w:rsidRPr="007F03EF">
        <w:t>2022</w:t>
      </w:r>
      <w:r w:rsidR="008509E4">
        <w:t>–</w:t>
      </w:r>
      <w:r w:rsidR="002E7EEF" w:rsidRPr="007F03EF">
        <w:t>23</w:t>
      </w:r>
      <w:r w:rsidRPr="007F03EF">
        <w:t>, health services with reported interpreter costs that exceed 0.2</w:t>
      </w:r>
      <w:r w:rsidR="00887E93">
        <w:t>%</w:t>
      </w:r>
      <w:r w:rsidRPr="007F03EF">
        <w:t xml:space="preserve"> of their total funding will receive additional funding from the department (excluding Dental Health Services Victoria). Health services deemed to be eligible will receive funding equal to 75</w:t>
      </w:r>
      <w:r w:rsidR="00887E93">
        <w:t>%</w:t>
      </w:r>
      <w:r w:rsidRPr="007F03EF">
        <w:t xml:space="preserve"> of the</w:t>
      </w:r>
      <w:r w:rsidRPr="003364DA">
        <w:t xml:space="preserve"> reported costs above </w:t>
      </w:r>
      <w:r>
        <w:t xml:space="preserve">the </w:t>
      </w:r>
      <w:r w:rsidRPr="003364DA">
        <w:t>0.2</w:t>
      </w:r>
      <w:r w:rsidR="00887E93">
        <w:t>%</w:t>
      </w:r>
      <w:r w:rsidRPr="003364DA">
        <w:t xml:space="preserve"> of total funding</w:t>
      </w:r>
      <w:r>
        <w:t xml:space="preserve"> threshold</w:t>
      </w:r>
      <w:r w:rsidRPr="003364DA">
        <w:t>.</w:t>
      </w:r>
    </w:p>
    <w:p w14:paraId="374EB1F5" w14:textId="77777777" w:rsidR="000B27B9" w:rsidRPr="004C3622" w:rsidRDefault="000B27B9" w:rsidP="009375E0">
      <w:pPr>
        <w:pStyle w:val="Heading3"/>
        <w:spacing w:before="240"/>
      </w:pPr>
      <w:bookmarkStart w:id="223" w:name="_Toc484461861"/>
      <w:bookmarkStart w:id="224" w:name="_Toc418694909"/>
      <w:bookmarkStart w:id="225" w:name="_Toc6215548"/>
      <w:bookmarkStart w:id="226" w:name="_Toc10199624"/>
      <w:bookmarkStart w:id="227" w:name="_Toc52892570"/>
      <w:bookmarkStart w:id="228" w:name="_Toc100263293"/>
      <w:bookmarkStart w:id="229" w:name="_Toc127191941"/>
      <w:bookmarkEnd w:id="223"/>
      <w:r>
        <w:t>Hospital in the Home</w:t>
      </w:r>
      <w:bookmarkEnd w:id="224"/>
      <w:bookmarkEnd w:id="225"/>
      <w:bookmarkEnd w:id="226"/>
      <w:bookmarkEnd w:id="227"/>
      <w:bookmarkEnd w:id="228"/>
      <w:bookmarkEnd w:id="229"/>
    </w:p>
    <w:p w14:paraId="638FD2D9" w14:textId="29B9AD88" w:rsidR="002650CA" w:rsidRDefault="002650CA" w:rsidP="002650CA">
      <w:pPr>
        <w:pStyle w:val="Body"/>
        <w:rPr>
          <w:highlight w:val="yellow"/>
        </w:rPr>
      </w:pPr>
      <w:r>
        <w:t>Admitted care provided to patients at home is seen as equivalent to in-hospital care. Patients treated through Hospital in the Home (HITH) are funded through NWAU. HITH patients are identified through changes in accommodation type</w:t>
      </w:r>
      <w:r w:rsidR="00B4019C" w:rsidRPr="00FE7E8C">
        <w:t>.</w:t>
      </w:r>
    </w:p>
    <w:p w14:paraId="7E7C37AD" w14:textId="214031E7" w:rsidR="002650CA" w:rsidRDefault="002650CA" w:rsidP="002650CA">
      <w:pPr>
        <w:pStyle w:val="Body"/>
      </w:pPr>
      <w:r>
        <w:t xml:space="preserve">HITH patients must fulfil the criteria for admission as per the </w:t>
      </w:r>
      <w:hyperlink r:id="rId50" w:history="1">
        <w:r w:rsidR="00524363">
          <w:rPr>
            <w:rStyle w:val="Hyperlink"/>
            <w:i/>
          </w:rPr>
          <w:t>VAED: C</w:t>
        </w:r>
        <w:r w:rsidR="00524363" w:rsidRPr="00552EFD">
          <w:rPr>
            <w:rStyle w:val="Hyperlink"/>
            <w:i/>
          </w:rPr>
          <w:t xml:space="preserve">riteria for reporting </w:t>
        </w:r>
      </w:hyperlink>
      <w:r w:rsidR="003570AC" w:rsidRPr="0091695C">
        <w:t xml:space="preserve"> </w:t>
      </w:r>
      <w:r w:rsidR="003570AC" w:rsidRPr="00866336">
        <w:t>&lt;</w:t>
      </w:r>
      <w:r w:rsidR="003570AC" w:rsidRPr="00731E13">
        <w:t>https://</w:t>
      </w:r>
      <w:r w:rsidR="00DD2AAC" w:rsidRPr="00DD2AAC">
        <w:t>www</w:t>
      </w:r>
      <w:r w:rsidR="003570AC" w:rsidRPr="00731E13">
        <w:t>.health.vic.gov.au/data-reporting/</w:t>
      </w:r>
      <w:r w:rsidR="00DD2AAC" w:rsidRPr="00DD2AAC">
        <w:t>victorian-admitted-episodes-dataset</w:t>
      </w:r>
      <w:r w:rsidR="003570AC" w:rsidRPr="00866336">
        <w:t>&gt;.</w:t>
      </w:r>
      <w:r>
        <w:t xml:space="preserve"> HITH activity is reported to the VAED. Client consent to HITH treatment must be obtained, and documentation must be in the health record to support the HITH episode being a direct substitution for in-hospital NWAU-funded acute care.</w:t>
      </w:r>
    </w:p>
    <w:p w14:paraId="32FE5CB4" w14:textId="740D7551" w:rsidR="002650CA" w:rsidRDefault="002650CA" w:rsidP="002650CA">
      <w:pPr>
        <w:pStyle w:val="Body"/>
      </w:pPr>
      <w:r>
        <w:t>HITH separations and bed days are included in the program report for integrated service monitoring (PRISM) reports sent to chief executive officers to enable benchmarking against other health services, particularly in relation to the percentage of multiday separations managed by HITH. Health services are encouraged to investigate opportunities to use HITH as a substitute for in-hospital acute admitted care</w:t>
      </w:r>
      <w:r w:rsidR="000B27B9" w:rsidRPr="00CB04B6">
        <w:t>.</w:t>
      </w:r>
    </w:p>
    <w:p w14:paraId="227F8A20" w14:textId="58B6A7BE" w:rsidR="000D02B0" w:rsidRDefault="000D02B0" w:rsidP="000D02B0">
      <w:pPr>
        <w:pStyle w:val="Heading2"/>
        <w:spacing w:after="440" w:line="440" w:lineRule="atLeast"/>
      </w:pPr>
      <w:bookmarkStart w:id="230" w:name="_Toc100263294"/>
      <w:bookmarkStart w:id="231" w:name="_Toc127191942"/>
      <w:r>
        <w:lastRenderedPageBreak/>
        <w:t xml:space="preserve">Subacute </w:t>
      </w:r>
      <w:r w:rsidR="00976036">
        <w:t>A</w:t>
      </w:r>
      <w:r>
        <w:t xml:space="preserve">dmitted </w:t>
      </w:r>
      <w:r w:rsidR="00976036">
        <w:t>S</w:t>
      </w:r>
      <w:r w:rsidRPr="0026034E">
        <w:t>ervic</w:t>
      </w:r>
      <w:r>
        <w:t>es</w:t>
      </w:r>
      <w:bookmarkEnd w:id="230"/>
      <w:bookmarkEnd w:id="231"/>
    </w:p>
    <w:p w14:paraId="1EBEDACE" w14:textId="1142ED47" w:rsidR="000D02B0" w:rsidRDefault="002650CA" w:rsidP="000D02B0">
      <w:pPr>
        <w:pStyle w:val="Body"/>
      </w:pPr>
      <w:r w:rsidRPr="00A531D9">
        <w:t>Subacute admitted care is care provided to patients who have undergone a formal admission process, where the clinical intent or treatment goal is the provision of subacute care</w:t>
      </w:r>
      <w:r w:rsidR="000D02B0" w:rsidRPr="00A531D9">
        <w:t xml:space="preserve"> </w:t>
      </w:r>
      <w:r w:rsidR="00A7633C">
        <w:t xml:space="preserve">(see section </w:t>
      </w:r>
      <w:r w:rsidR="00A7633C">
        <w:fldChar w:fldCharType="begin"/>
      </w:r>
      <w:r w:rsidR="00A7633C">
        <w:instrText xml:space="preserve"> REF _Ref77709814 \r \h </w:instrText>
      </w:r>
      <w:r w:rsidR="00A7633C">
        <w:fldChar w:fldCharType="separate"/>
      </w:r>
      <w:r w:rsidR="006D0756">
        <w:t>1.8.2</w:t>
      </w:r>
      <w:r w:rsidR="00A7633C">
        <w:fldChar w:fldCharType="end"/>
      </w:r>
      <w:r w:rsidR="00A7633C">
        <w:t xml:space="preserve"> </w:t>
      </w:r>
      <w:r w:rsidR="00524363">
        <w:t>‘</w:t>
      </w:r>
      <w:r w:rsidR="00A7633C">
        <w:fldChar w:fldCharType="begin"/>
      </w:r>
      <w:r w:rsidR="00A7633C">
        <w:instrText xml:space="preserve"> REF _Ref77709814 \h </w:instrText>
      </w:r>
      <w:r w:rsidR="00A7633C">
        <w:fldChar w:fldCharType="separate"/>
      </w:r>
      <w:r w:rsidR="006D0756">
        <w:t>Activity Reporting</w:t>
      </w:r>
      <w:r w:rsidR="00A7633C">
        <w:fldChar w:fldCharType="end"/>
      </w:r>
      <w:r w:rsidR="00524363">
        <w:t>’</w:t>
      </w:r>
      <w:r w:rsidR="00A7633C">
        <w:t>)</w:t>
      </w:r>
      <w:r w:rsidR="000D02B0">
        <w:t>.</w:t>
      </w:r>
    </w:p>
    <w:p w14:paraId="68132897" w14:textId="77777777" w:rsidR="000D02B0" w:rsidRDefault="000D02B0" w:rsidP="00155961">
      <w:pPr>
        <w:pStyle w:val="Heading3"/>
      </w:pPr>
      <w:bookmarkStart w:id="232" w:name="_Toc100263295"/>
      <w:bookmarkStart w:id="233" w:name="_Toc127191943"/>
      <w:r>
        <w:t>Eligibility</w:t>
      </w:r>
      <w:bookmarkEnd w:id="232"/>
      <w:bookmarkEnd w:id="233"/>
    </w:p>
    <w:p w14:paraId="3C681CDF" w14:textId="2F0A198C" w:rsidR="008B19E4" w:rsidRPr="006A1D9B" w:rsidRDefault="008B19E4" w:rsidP="006A1D9B">
      <w:pPr>
        <w:pStyle w:val="Body"/>
      </w:pPr>
      <w:r w:rsidRPr="006A1D9B">
        <w:t xml:space="preserve">Eligible facilities in scope for </w:t>
      </w:r>
      <w:r w:rsidR="00B34795">
        <w:t>activity-based funding</w:t>
      </w:r>
      <w:r w:rsidR="00B34795" w:rsidRPr="006A1D9B">
        <w:t xml:space="preserve"> </w:t>
      </w:r>
      <w:r w:rsidRPr="006A1D9B">
        <w:t xml:space="preserve">in the subacute admitted care stream are all </w:t>
      </w:r>
      <w:r w:rsidR="006A1D9B">
        <w:t xml:space="preserve">public </w:t>
      </w:r>
      <w:r w:rsidRPr="006A1D9B">
        <w:t xml:space="preserve">health services that report to the VAED – subject to the subacute capability framework referenced in section </w:t>
      </w:r>
      <w:r w:rsidRPr="006A1D9B">
        <w:fldChar w:fldCharType="begin"/>
      </w:r>
      <w:r w:rsidRPr="006A1D9B">
        <w:instrText xml:space="preserve"> REF _Ref77700449 \r \h </w:instrText>
      </w:r>
      <w:r w:rsidR="006A1D9B">
        <w:instrText xml:space="preserve"> \* MERGEFORMAT </w:instrText>
      </w:r>
      <w:r w:rsidRPr="006A1D9B">
        <w:fldChar w:fldCharType="separate"/>
      </w:r>
      <w:r w:rsidR="006D0756">
        <w:t>1.10.2</w:t>
      </w:r>
      <w:r w:rsidRPr="006A1D9B">
        <w:fldChar w:fldCharType="end"/>
      </w:r>
      <w:r w:rsidRPr="006A1D9B">
        <w:t xml:space="preserve"> </w:t>
      </w:r>
      <w:r w:rsidR="001248C4">
        <w:t>‘</w:t>
      </w:r>
      <w:r w:rsidRPr="006A1D9B">
        <w:fldChar w:fldCharType="begin"/>
      </w:r>
      <w:r w:rsidRPr="006A1D9B">
        <w:instrText xml:space="preserve"> REF _Ref77700449 \h </w:instrText>
      </w:r>
      <w:r w:rsidR="006A1D9B">
        <w:instrText xml:space="preserve"> \* MERGEFORMAT </w:instrText>
      </w:r>
      <w:r w:rsidRPr="006A1D9B">
        <w:fldChar w:fldCharType="separate"/>
      </w:r>
      <w:r w:rsidR="006D0756">
        <w:t>Business Rules</w:t>
      </w:r>
      <w:r w:rsidRPr="006A1D9B">
        <w:fldChar w:fldCharType="end"/>
      </w:r>
      <w:r w:rsidR="001248C4">
        <w:t>’</w:t>
      </w:r>
      <w:r w:rsidRPr="006A1D9B">
        <w:t>.</w:t>
      </w:r>
    </w:p>
    <w:p w14:paraId="2AD9CE44" w14:textId="072548D7" w:rsidR="000D02B0" w:rsidRDefault="000D02B0" w:rsidP="00225202">
      <w:pPr>
        <w:pStyle w:val="Body"/>
      </w:pPr>
      <w:r>
        <w:t>Funding for subacute admitted services is based on episode</w:t>
      </w:r>
      <w:r w:rsidRPr="004005DD">
        <w:t xml:space="preserve">s for eligible care types. </w:t>
      </w:r>
      <w:r w:rsidR="007914BD">
        <w:t>The following national care types are in scope:</w:t>
      </w:r>
    </w:p>
    <w:p w14:paraId="03A25855" w14:textId="49066CF0" w:rsidR="007914BD" w:rsidRDefault="001248C4" w:rsidP="00E05C4E">
      <w:pPr>
        <w:pStyle w:val="Bullet1"/>
      </w:pPr>
      <w:r>
        <w:t>rehabilitation</w:t>
      </w:r>
    </w:p>
    <w:p w14:paraId="2B7D22F8" w14:textId="5B3A9CA6" w:rsidR="007914BD" w:rsidRDefault="001248C4" w:rsidP="00E05C4E">
      <w:pPr>
        <w:pStyle w:val="Bullet1"/>
      </w:pPr>
      <w:r>
        <w:t xml:space="preserve">geriatric </w:t>
      </w:r>
      <w:r w:rsidR="007914BD">
        <w:t>evaluation and management</w:t>
      </w:r>
      <w:r w:rsidR="00225202">
        <w:t xml:space="preserve"> (GEM)</w:t>
      </w:r>
    </w:p>
    <w:p w14:paraId="36213FAA" w14:textId="168E0F81" w:rsidR="007914BD" w:rsidRDefault="001248C4" w:rsidP="00E05C4E">
      <w:pPr>
        <w:pStyle w:val="Bullet1"/>
      </w:pPr>
      <w:r>
        <w:t xml:space="preserve">palliative </w:t>
      </w:r>
      <w:r w:rsidR="007914BD">
        <w:t>care</w:t>
      </w:r>
    </w:p>
    <w:p w14:paraId="34F9D22E" w14:textId="62F572F2" w:rsidR="007914BD" w:rsidRDefault="001248C4" w:rsidP="00E05C4E">
      <w:pPr>
        <w:pStyle w:val="Bullet1"/>
      </w:pPr>
      <w:r>
        <w:t xml:space="preserve">maintenance </w:t>
      </w:r>
      <w:r w:rsidR="007914BD">
        <w:t>care</w:t>
      </w:r>
      <w:r>
        <w:t>.</w:t>
      </w:r>
    </w:p>
    <w:p w14:paraId="051ED9E6" w14:textId="667BF5B7" w:rsidR="00534D17" w:rsidRDefault="00534D17" w:rsidP="00534D17">
      <w:pPr>
        <w:pStyle w:val="Bodyafterbullets"/>
      </w:pPr>
      <w:r w:rsidRPr="008B043B">
        <w:t xml:space="preserve">The majority of </w:t>
      </w:r>
      <w:r>
        <w:t>admitted episodes within these care types</w:t>
      </w:r>
      <w:r w:rsidRPr="008B043B">
        <w:t xml:space="preserve"> will be allocated a</w:t>
      </w:r>
      <w:r>
        <w:t>n</w:t>
      </w:r>
      <w:r w:rsidRPr="008B043B">
        <w:t xml:space="preserve"> </w:t>
      </w:r>
      <w:r>
        <w:t>NWAU</w:t>
      </w:r>
      <w:r w:rsidRPr="008B043B">
        <w:t xml:space="preserve"> price weight. However, </w:t>
      </w:r>
      <w:r>
        <w:t>NWAU</w:t>
      </w:r>
      <w:r w:rsidRPr="008B043B">
        <w:t xml:space="preserve"> cannot be calculated for incomplete or uncoded episodes. </w:t>
      </w:r>
    </w:p>
    <w:p w14:paraId="0B99F1A6" w14:textId="77777777" w:rsidR="00534D17" w:rsidRDefault="00534D17" w:rsidP="00534D17">
      <w:pPr>
        <w:pStyle w:val="Body"/>
      </w:pPr>
      <w:r w:rsidRPr="004005DD">
        <w:t xml:space="preserve">The following episodes are not eligible for subacute </w:t>
      </w:r>
      <w:r>
        <w:t xml:space="preserve">NWAU </w:t>
      </w:r>
      <w:r w:rsidRPr="004005DD">
        <w:t>funding:</w:t>
      </w:r>
    </w:p>
    <w:p w14:paraId="2BD81D69" w14:textId="77777777" w:rsidR="00534D17" w:rsidRDefault="00534D17" w:rsidP="00E05C4E">
      <w:pPr>
        <w:pStyle w:val="Bullet1"/>
      </w:pPr>
      <w:r>
        <w:t>private hospital separations</w:t>
      </w:r>
    </w:p>
    <w:p w14:paraId="1CED1026" w14:textId="77777777" w:rsidR="00534D17" w:rsidRDefault="00534D17" w:rsidP="00E05C4E">
      <w:pPr>
        <w:pStyle w:val="Bullet1"/>
      </w:pPr>
      <w:r>
        <w:t>incomplete or uncoded episodes</w:t>
      </w:r>
    </w:p>
    <w:p w14:paraId="4D9154D3" w14:textId="77777777" w:rsidR="00534D17" w:rsidRDefault="00534D17" w:rsidP="00E05C4E">
      <w:pPr>
        <w:pStyle w:val="Bullet1"/>
      </w:pPr>
      <w:r>
        <w:t>episodes with an account class on separation of W (Victorian WorkCover Authority), T (Transport Accident Commission), X (Ineligible non-Australian residents – not exempted from fees), A (Armed Services), C (Common Law Recoveries), O (Other compensable) or S (Seamen)</w:t>
      </w:r>
    </w:p>
    <w:p w14:paraId="5B700661" w14:textId="77777777" w:rsidR="00534D17" w:rsidRDefault="00534D17" w:rsidP="00E05C4E">
      <w:pPr>
        <w:pStyle w:val="Bullet1"/>
      </w:pPr>
      <w:r>
        <w:t>episodes where the contract role is B (service provider hospital).</w:t>
      </w:r>
    </w:p>
    <w:p w14:paraId="6C30B4B0" w14:textId="37060447" w:rsidR="00534D17" w:rsidRDefault="00534D17" w:rsidP="00534D17">
      <w:pPr>
        <w:pStyle w:val="Bodyafterbullets"/>
      </w:pPr>
      <w:r>
        <w:t>The department does not reimburse hospitals for public nursing home type episodes. Health services are expected to manage nursing home type patients using other funded activity streams such as the Transition Care Program. Current arrangements for the Department of Veterans’ Affairs, compensable and private patients remain in place regarding the nursing home type process and funding</w:t>
      </w:r>
      <w:r w:rsidR="001248C4">
        <w:t>.</w:t>
      </w:r>
    </w:p>
    <w:p w14:paraId="0482EDDB" w14:textId="21944C4D" w:rsidR="00225202" w:rsidRDefault="00225202" w:rsidP="00D47072">
      <w:pPr>
        <w:pStyle w:val="Heading3"/>
      </w:pPr>
      <w:bookmarkStart w:id="234" w:name="_Ref77700449"/>
      <w:bookmarkStart w:id="235" w:name="_Toc100263296"/>
      <w:bookmarkStart w:id="236" w:name="_Toc127191944"/>
      <w:r>
        <w:t xml:space="preserve">Business </w:t>
      </w:r>
      <w:r w:rsidR="00976036">
        <w:t>R</w:t>
      </w:r>
      <w:r>
        <w:t>ules</w:t>
      </w:r>
      <w:bookmarkEnd w:id="234"/>
      <w:bookmarkEnd w:id="235"/>
      <w:bookmarkEnd w:id="236"/>
    </w:p>
    <w:p w14:paraId="419227C6" w14:textId="7D4798C2" w:rsidR="00534D17" w:rsidRDefault="00534D17" w:rsidP="00534D17">
      <w:pPr>
        <w:pStyle w:val="Bodyafterbullets"/>
      </w:pPr>
      <w:r>
        <w:t xml:space="preserve">All metropolitan, regional and subregional health services are delineated to provide rehabilitation and GEM services through the </w:t>
      </w:r>
      <w:r w:rsidRPr="001D6BD3">
        <w:rPr>
          <w:i/>
        </w:rPr>
        <w:t>Subacute capability framework</w:t>
      </w:r>
      <w:r>
        <w:t>. Local health services delineated as level 2 will provide and report maintenance care.</w:t>
      </w:r>
    </w:p>
    <w:p w14:paraId="1F0CB890" w14:textId="6BF95FD0" w:rsidR="00534D17" w:rsidRDefault="00534D17" w:rsidP="00534D17">
      <w:pPr>
        <w:pStyle w:val="Body"/>
      </w:pPr>
      <w:r>
        <w:t xml:space="preserve">Read the </w:t>
      </w:r>
      <w:hyperlink r:id="rId51">
        <w:r w:rsidRPr="0002613C">
          <w:rPr>
            <w:rStyle w:val="Hyperlink"/>
            <w:i/>
          </w:rPr>
          <w:t>Subacute capability framework</w:t>
        </w:r>
      </w:hyperlink>
      <w:r>
        <w:t xml:space="preserve"> &lt;</w:t>
      </w:r>
      <w:r w:rsidR="00DD2AAC" w:rsidRPr="00DD2AAC">
        <w:t>https://www.health.vic.gov.au/patient-care/subacute-planning-framework</w:t>
      </w:r>
      <w:r>
        <w:t>&gt;. Targets for these health services can be fou</w:t>
      </w:r>
      <w:r w:rsidRPr="004005DD">
        <w:t>nd in</w:t>
      </w:r>
      <w:r w:rsidR="00B5025F">
        <w:t xml:space="preserve"> </w:t>
      </w:r>
      <w:r w:rsidR="00771C9E">
        <w:t>s</w:t>
      </w:r>
      <w:r w:rsidR="00B5025F">
        <w:t>ection</w:t>
      </w:r>
      <w:r w:rsidRPr="004005DD">
        <w:t xml:space="preserve"> </w:t>
      </w:r>
      <w:r w:rsidR="003D6381">
        <w:fldChar w:fldCharType="begin"/>
      </w:r>
      <w:r w:rsidR="003D6381">
        <w:instrText xml:space="preserve"> REF _Ref96635057 \w \h </w:instrText>
      </w:r>
      <w:r w:rsidR="003D6381">
        <w:fldChar w:fldCharType="separate"/>
      </w:r>
      <w:r w:rsidR="006D0756">
        <w:t>2.2.4</w:t>
      </w:r>
      <w:r w:rsidR="003D6381">
        <w:fldChar w:fldCharType="end"/>
      </w:r>
      <w:r w:rsidR="001248C4">
        <w:t>,</w:t>
      </w:r>
      <w:r w:rsidR="00B5025F">
        <w:t xml:space="preserve"> </w:t>
      </w:r>
      <w:r w:rsidR="00B5025F">
        <w:fldChar w:fldCharType="begin"/>
      </w:r>
      <w:r w:rsidR="00B5025F">
        <w:instrText xml:space="preserve"> REF _Ref96635115 \h </w:instrText>
      </w:r>
      <w:r w:rsidR="00B5025F">
        <w:fldChar w:fldCharType="separate"/>
      </w:r>
      <w:r w:rsidR="006D0756">
        <w:t xml:space="preserve">Table </w:t>
      </w:r>
      <w:r w:rsidR="006D0756">
        <w:rPr>
          <w:noProof/>
        </w:rPr>
        <w:t>2</w:t>
      </w:r>
      <w:r w:rsidR="006D0756">
        <w:t>.</w:t>
      </w:r>
      <w:r w:rsidR="006D0756">
        <w:rPr>
          <w:noProof/>
        </w:rPr>
        <w:t>14</w:t>
      </w:r>
      <w:r w:rsidR="00B5025F">
        <w:fldChar w:fldCharType="end"/>
      </w:r>
      <w:r w:rsidR="002F1B60">
        <w:t xml:space="preserve"> </w:t>
      </w:r>
      <w:r w:rsidR="001248C4">
        <w:t>‘</w:t>
      </w:r>
      <w:r w:rsidRPr="007F03EF">
        <w:t>Admitted subacute and non-acute targets (</w:t>
      </w:r>
      <w:r w:rsidR="002E7EEF" w:rsidRPr="007F03EF">
        <w:t>2022</w:t>
      </w:r>
      <w:r w:rsidR="001248C4">
        <w:t>–</w:t>
      </w:r>
      <w:r w:rsidR="002E7EEF" w:rsidRPr="007F03EF">
        <w:t>23</w:t>
      </w:r>
      <w:r w:rsidRPr="007F03EF">
        <w:t>)</w:t>
      </w:r>
      <w:r w:rsidR="001248C4">
        <w:t>’</w:t>
      </w:r>
      <w:r w:rsidR="002F1B60" w:rsidRPr="007F03EF">
        <w:t>.</w:t>
      </w:r>
    </w:p>
    <w:p w14:paraId="2B80CBA2" w14:textId="77777777" w:rsidR="006A1D9B" w:rsidRPr="006A1D9B" w:rsidRDefault="006A1D9B" w:rsidP="00D47072">
      <w:pPr>
        <w:pStyle w:val="sub"/>
      </w:pPr>
      <w:r w:rsidRPr="006A1D9B">
        <w:t>Home-based care</w:t>
      </w:r>
    </w:p>
    <w:p w14:paraId="1C39CEEE" w14:textId="57C5D88F" w:rsidR="00225202" w:rsidRDefault="00225202" w:rsidP="00534D17">
      <w:pPr>
        <w:pStyle w:val="Body"/>
      </w:pPr>
      <w:r>
        <w:t>Admitted GEM and rehabilitation care can be delivered in the patient’s home as well as in hospital. Providing care in the patient’s home can improve independence and reduce adverse events associated with hospital stays for some people. Health services retain accountability for the care of the patient.</w:t>
      </w:r>
    </w:p>
    <w:p w14:paraId="70C440AC" w14:textId="09B27DA3" w:rsidR="00225202" w:rsidRDefault="00225202" w:rsidP="00225202">
      <w:pPr>
        <w:pStyle w:val="Body"/>
      </w:pPr>
      <w:r>
        <w:lastRenderedPageBreak/>
        <w:t>Admitted GEM and rehabilitation provided in a person’s home must meet the same national METeOR definitions and required data elements as for admitted subacute GEM and rehabilitation hospital</w:t>
      </w:r>
      <w:r w:rsidR="005C6B8C">
        <w:t>-</w:t>
      </w:r>
      <w:r>
        <w:t>based activity. GEM and rehabilitation in the home undertaken as admitted activity is reported as care type 9 and care type 6 respectively with an accommodation type code of 4 (in the home). Admitted GEM activity provided in any other offsite setting is to be reported as accommodation type R (off site).</w:t>
      </w:r>
    </w:p>
    <w:p w14:paraId="33F1F9E0" w14:textId="612362BE" w:rsidR="00225202" w:rsidRDefault="00225202" w:rsidP="00225202">
      <w:pPr>
        <w:pStyle w:val="Body"/>
      </w:pPr>
      <w:r>
        <w:t xml:space="preserve">Home-based GEM-and rehabilitation type services can also be delivered through the </w:t>
      </w:r>
      <w:r w:rsidR="00A531D9">
        <w:t>Health Independence Program (HIP)</w:t>
      </w:r>
      <w:r>
        <w:t xml:space="preserve"> non-admitted platform, with activity reported in </w:t>
      </w:r>
      <w:r w:rsidR="5EAA0848">
        <w:t>the VINAH minimum dataset.</w:t>
      </w:r>
      <w:r w:rsidR="008B19E4">
        <w:t xml:space="preserve"> See </w:t>
      </w:r>
      <w:r w:rsidR="00A531D9">
        <w:t xml:space="preserve">section </w:t>
      </w:r>
      <w:r w:rsidR="00A531D9">
        <w:fldChar w:fldCharType="begin"/>
      </w:r>
      <w:r w:rsidR="00A531D9">
        <w:instrText xml:space="preserve"> REF _Ref77710155 \r \h </w:instrText>
      </w:r>
      <w:r w:rsidR="00A531D9">
        <w:fldChar w:fldCharType="separate"/>
      </w:r>
      <w:r w:rsidR="006D0756">
        <w:t>1.12.5.1</w:t>
      </w:r>
      <w:r w:rsidR="00A531D9">
        <w:fldChar w:fldCharType="end"/>
      </w:r>
      <w:r w:rsidR="00A531D9">
        <w:t xml:space="preserve"> </w:t>
      </w:r>
      <w:r w:rsidR="008C56F5">
        <w:t>‘</w:t>
      </w:r>
      <w:r w:rsidR="00A531D9">
        <w:fldChar w:fldCharType="begin"/>
      </w:r>
      <w:r w:rsidR="00A531D9">
        <w:instrText xml:space="preserve"> REF _Ref77710155 \h </w:instrText>
      </w:r>
      <w:r w:rsidR="00A531D9">
        <w:fldChar w:fldCharType="separate"/>
      </w:r>
      <w:r w:rsidR="006D0756" w:rsidRPr="007F03EF">
        <w:t>Health Independence Program</w:t>
      </w:r>
      <w:r w:rsidR="00A531D9">
        <w:fldChar w:fldCharType="end"/>
      </w:r>
      <w:r w:rsidR="008C56F5">
        <w:t>’</w:t>
      </w:r>
      <w:r w:rsidR="008B19E4">
        <w:t xml:space="preserve"> for applicable funding for these services.</w:t>
      </w:r>
    </w:p>
    <w:p w14:paraId="650BD5B9" w14:textId="00B3880E" w:rsidR="00225202" w:rsidRDefault="00225202" w:rsidP="00225202">
      <w:pPr>
        <w:pStyle w:val="Body"/>
      </w:pPr>
      <w:r>
        <w:t>Health services should review the most appropriate platform to deliver GEM and rehabilitation services based on patient cohort needs and the local hospital and community resources available.</w:t>
      </w:r>
    </w:p>
    <w:p w14:paraId="121301C3" w14:textId="71EA2BF7" w:rsidR="00225202" w:rsidRDefault="00225202" w:rsidP="00225202">
      <w:pPr>
        <w:pStyle w:val="Body"/>
      </w:pPr>
      <w:r>
        <w:t xml:space="preserve">Admitted palliative care services can also be delivered in the patient’s home. Where this occurs, </w:t>
      </w:r>
      <w:r w:rsidR="00B52661">
        <w:t>h</w:t>
      </w:r>
      <w:r>
        <w:t xml:space="preserve">ealth services must ensure that all obligations, standards and requirements for </w:t>
      </w:r>
      <w:r w:rsidR="66397E18">
        <w:t xml:space="preserve">admitted </w:t>
      </w:r>
      <w:r>
        <w:t xml:space="preserve">palliative contained in the annual </w:t>
      </w:r>
      <w:r w:rsidRPr="0093206E">
        <w:rPr>
          <w:i/>
        </w:rPr>
        <w:t xml:space="preserve">Policy </w:t>
      </w:r>
      <w:r w:rsidRPr="0093206E">
        <w:rPr>
          <w:i/>
          <w:iCs/>
        </w:rPr>
        <w:t>Guide</w:t>
      </w:r>
      <w:r w:rsidR="008C56F5" w:rsidRPr="0093206E">
        <w:rPr>
          <w:i/>
        </w:rPr>
        <w:t xml:space="preserve"> </w:t>
      </w:r>
      <w:r>
        <w:t>are met. Admitted palliative care activity provided in the home is reported as care type 8 with an accommodation code of 4 (in the home).</w:t>
      </w:r>
    </w:p>
    <w:p w14:paraId="7E374A5C" w14:textId="5145D28A" w:rsidR="00225202" w:rsidRPr="00534D17" w:rsidRDefault="00225202" w:rsidP="00534D17">
      <w:pPr>
        <w:pStyle w:val="Body"/>
      </w:pPr>
      <w:r w:rsidRPr="00534D17">
        <w:t>Admitted GEM, rehabilitation or palliative care activity funded through NWAU and provided in a setting outside the hospital will be counted towards a health service’s admitted subacute target.</w:t>
      </w:r>
    </w:p>
    <w:p w14:paraId="06D64D92" w14:textId="77777777" w:rsidR="000D02B0" w:rsidRDefault="000D02B0" w:rsidP="00D47072">
      <w:pPr>
        <w:pStyle w:val="sub"/>
      </w:pPr>
      <w:r>
        <w:t>Patient classification</w:t>
      </w:r>
    </w:p>
    <w:p w14:paraId="33BF9458" w14:textId="78A541E1" w:rsidR="007914BD" w:rsidRDefault="007914BD" w:rsidP="006A1D9B">
      <w:pPr>
        <w:pStyle w:val="Body"/>
      </w:pPr>
      <w:r>
        <w:t xml:space="preserve">The Australian National Subacute and Non-Acute Patient (AN-SNAP) classification system </w:t>
      </w:r>
      <w:r w:rsidR="008C56F5">
        <w:t xml:space="preserve">version </w:t>
      </w:r>
      <w:r>
        <w:t>4 is used to classify subacute admitted care. Each AN-SNAP class is allocated a price weight to help determine the level of funding.</w:t>
      </w:r>
    </w:p>
    <w:p w14:paraId="57AAC903" w14:textId="194A4E12" w:rsidR="007914BD" w:rsidRDefault="007914BD" w:rsidP="006A1D9B">
      <w:pPr>
        <w:pStyle w:val="Body"/>
      </w:pPr>
      <w:r>
        <w:t>The funding policy for admitted subacute is based on:</w:t>
      </w:r>
    </w:p>
    <w:p w14:paraId="4DEE5826" w14:textId="558D6243" w:rsidR="007914BD" w:rsidRDefault="007914BD" w:rsidP="00E05C4E">
      <w:pPr>
        <w:pStyle w:val="Bullet1"/>
      </w:pPr>
      <w:r>
        <w:t xml:space="preserve">AN-SNAP </w:t>
      </w:r>
      <w:r w:rsidR="00642E58">
        <w:t>V4</w:t>
      </w:r>
      <w:r w:rsidR="00861788">
        <w:t>.0</w:t>
      </w:r>
      <w:r>
        <w:t xml:space="preserve"> classification</w:t>
      </w:r>
    </w:p>
    <w:p w14:paraId="4BB87E66" w14:textId="02F783A1" w:rsidR="007914BD" w:rsidRDefault="007914BD" w:rsidP="00E05C4E">
      <w:pPr>
        <w:pStyle w:val="Bullet1"/>
      </w:pPr>
      <w:r>
        <w:t>L1.5H1.5 methodology</w:t>
      </w:r>
    </w:p>
    <w:p w14:paraId="7FD5EBAA" w14:textId="739AE90D" w:rsidR="007914BD" w:rsidRPr="00D365A2" w:rsidRDefault="008C56F5" w:rsidP="00E05C4E">
      <w:pPr>
        <w:pStyle w:val="Bullet1"/>
        <w:rPr>
          <w:rStyle w:val="normaltextrun"/>
        </w:rPr>
      </w:pPr>
      <w:r>
        <w:t>episode-</w:t>
      </w:r>
      <w:r w:rsidR="007914BD">
        <w:t xml:space="preserve">based funding approach for </w:t>
      </w:r>
      <w:r w:rsidRPr="00305A7B">
        <w:t>geriatric evaluation and management, rehabilitation, and maintenance care</w:t>
      </w:r>
    </w:p>
    <w:p w14:paraId="4CBEC614" w14:textId="18EB94A1" w:rsidR="007914BD" w:rsidRDefault="008C56F5" w:rsidP="00E05C4E">
      <w:pPr>
        <w:pStyle w:val="Bullet1"/>
      </w:pPr>
      <w:r>
        <w:t xml:space="preserve">phase of care funding approach for palliative </w:t>
      </w:r>
      <w:r w:rsidR="007914BD">
        <w:t>care</w:t>
      </w:r>
      <w:r w:rsidR="00B70CD4">
        <w:t>.</w:t>
      </w:r>
    </w:p>
    <w:p w14:paraId="4DC1C7B4" w14:textId="733723AD" w:rsidR="007914BD" w:rsidRDefault="007914BD" w:rsidP="006A1D9B">
      <w:pPr>
        <w:pStyle w:val="Bodyafterbullets"/>
      </w:pPr>
      <w:r>
        <w:t>Details regarding the IH</w:t>
      </w:r>
      <w:r w:rsidR="00F8346C">
        <w:t>AC</w:t>
      </w:r>
      <w:r>
        <w:t xml:space="preserve">PA’s </w:t>
      </w:r>
      <w:r w:rsidR="008C56F5">
        <w:t xml:space="preserve">admitted subacute </w:t>
      </w:r>
      <w:r>
        <w:t xml:space="preserve">funding approach can be found in the </w:t>
      </w:r>
      <w:hyperlink r:id="rId52" w:history="1">
        <w:r w:rsidRPr="00A92DFB">
          <w:rPr>
            <w:rStyle w:val="Hyperlink"/>
          </w:rPr>
          <w:t>National Efficient Price Determination</w:t>
        </w:r>
      </w:hyperlink>
      <w:r>
        <w:t xml:space="preserve"> </w:t>
      </w:r>
      <w:r w:rsidR="6D55DD8C">
        <w:t>at &lt;</w:t>
      </w:r>
      <w:r w:rsidR="00716209" w:rsidRPr="00716209">
        <w:t xml:space="preserve"> https://www.ihacpa.gov.au/pricing/national-efficient-price-determination</w:t>
      </w:r>
      <w:r w:rsidR="6D55DD8C">
        <w:t xml:space="preserve">&gt; </w:t>
      </w:r>
      <w:r>
        <w:t>and</w:t>
      </w:r>
      <w:r w:rsidR="00504928" w:rsidRPr="00504928">
        <w:rPr>
          <w:rFonts w:eastAsia="Times New Roman"/>
        </w:rPr>
        <w:t xml:space="preserve"> </w:t>
      </w:r>
      <w:hyperlink r:id="rId53" w:history="1">
        <w:r w:rsidR="00504928">
          <w:rPr>
            <w:rStyle w:val="Hyperlink"/>
          </w:rPr>
          <w:t>National Pricing Model Technical Specifications</w:t>
        </w:r>
      </w:hyperlink>
      <w:r w:rsidR="00504928">
        <w:t xml:space="preserve"> </w:t>
      </w:r>
      <w:r>
        <w:t xml:space="preserve"> </w:t>
      </w:r>
      <w:r w:rsidR="194F5BE2">
        <w:t>&lt;</w:t>
      </w:r>
      <w:r w:rsidR="00504928" w:rsidRPr="00504928">
        <w:t>https://www.ihacpa.gov.au/pricing/national-pricing-model-technical-specifications</w:t>
      </w:r>
      <w:r w:rsidR="194F5BE2">
        <w:t>&gt;</w:t>
      </w:r>
      <w:r>
        <w:t>.</w:t>
      </w:r>
    </w:p>
    <w:p w14:paraId="1E172773" w14:textId="1908CE8A" w:rsidR="007914BD" w:rsidRPr="00F611AD" w:rsidRDefault="00F611AD" w:rsidP="00F611AD">
      <w:pPr>
        <w:pStyle w:val="Body"/>
      </w:pPr>
      <w:r w:rsidRPr="00F611AD">
        <w:t>At the national level, where data required to assign an AN</w:t>
      </w:r>
      <w:r w:rsidRPr="00F611AD">
        <w:rPr>
          <w:rFonts w:ascii="Cambria Math" w:hAnsi="Cambria Math" w:cs="Cambria Math"/>
        </w:rPr>
        <w:t>‑</w:t>
      </w:r>
      <w:r w:rsidRPr="00F611AD">
        <w:t xml:space="preserve">SNAP classification is not available, the episode is transferred to the admitted acute care model and priced according to their AR-DRG classification. </w:t>
      </w:r>
      <w:r w:rsidR="008C56F5">
        <w:t>This will not occur i</w:t>
      </w:r>
      <w:r w:rsidRPr="00F611AD">
        <w:t xml:space="preserve">n Victoria in </w:t>
      </w:r>
      <w:r w:rsidR="002100FD" w:rsidRPr="00F611AD">
        <w:t>202</w:t>
      </w:r>
      <w:r w:rsidR="002100FD">
        <w:t>2</w:t>
      </w:r>
      <w:r w:rsidR="008C56F5">
        <w:t>–</w:t>
      </w:r>
      <w:r w:rsidR="002100FD" w:rsidRPr="00F611AD">
        <w:t>2</w:t>
      </w:r>
      <w:r w:rsidR="002100FD">
        <w:t>3</w:t>
      </w:r>
      <w:r w:rsidR="008C56F5">
        <w:t xml:space="preserve">, </w:t>
      </w:r>
      <w:r w:rsidRPr="00F611AD">
        <w:t xml:space="preserve">which means that all data items necessary to group an episode to an AN-SNAP class </w:t>
      </w:r>
      <w:r w:rsidR="008C56F5">
        <w:t>must be</w:t>
      </w:r>
      <w:r w:rsidR="008C56F5" w:rsidRPr="00F611AD">
        <w:t xml:space="preserve"> </w:t>
      </w:r>
      <w:r w:rsidRPr="00F611AD">
        <w:t>reported to the VAED. This includes correct reporting of impairment codes, FIM, and RUG-ADL scores. Any admitted subacute episode without the data items required to group to an AN-SNAP class will not generate NWAU within Victoria</w:t>
      </w:r>
      <w:r w:rsidR="007914BD" w:rsidRPr="00F611AD">
        <w:t>.</w:t>
      </w:r>
    </w:p>
    <w:p w14:paraId="79511F32" w14:textId="77EA3736" w:rsidR="007914BD" w:rsidRPr="00C64C3D" w:rsidRDefault="007914BD" w:rsidP="006A1D9B">
      <w:pPr>
        <w:pStyle w:val="Body"/>
      </w:pPr>
      <w:r>
        <w:t xml:space="preserve">The Psychogeriatric Care Type and Psychogeriatric AN-SNAP classes will not be used in Victoria in </w:t>
      </w:r>
      <w:r w:rsidR="002100FD">
        <w:t>2022</w:t>
      </w:r>
      <w:r>
        <w:t>-</w:t>
      </w:r>
      <w:r w:rsidR="002100FD">
        <w:t>23</w:t>
      </w:r>
      <w:r>
        <w:t>.</w:t>
      </w:r>
    </w:p>
    <w:p w14:paraId="2275691E" w14:textId="303437E3" w:rsidR="000D02B0" w:rsidRDefault="000D02B0" w:rsidP="00D47072">
      <w:pPr>
        <w:pStyle w:val="Heading3"/>
      </w:pPr>
      <w:bookmarkStart w:id="237" w:name="_Toc100263297"/>
      <w:bookmarkStart w:id="238" w:name="_Toc127191945"/>
      <w:r>
        <w:t xml:space="preserve">NWAU </w:t>
      </w:r>
      <w:r w:rsidR="00976036">
        <w:t>P</w:t>
      </w:r>
      <w:r>
        <w:t xml:space="preserve">rice </w:t>
      </w:r>
      <w:r w:rsidR="00976036">
        <w:t>W</w:t>
      </w:r>
      <w:r>
        <w:t>eights</w:t>
      </w:r>
      <w:bookmarkEnd w:id="237"/>
      <w:bookmarkEnd w:id="238"/>
    </w:p>
    <w:p w14:paraId="7A469BC2" w14:textId="4157C53A" w:rsidR="006A1D9B" w:rsidRDefault="006A1D9B" w:rsidP="006A1D9B">
      <w:pPr>
        <w:rPr>
          <w:rFonts w:eastAsia="Times"/>
        </w:rPr>
      </w:pPr>
      <w:r>
        <w:t xml:space="preserve">Price weights for admitted subacute patients (AN-SNAP </w:t>
      </w:r>
      <w:r w:rsidR="00642E58">
        <w:t>V</w:t>
      </w:r>
      <w:r w:rsidRPr="00100394">
        <w:t>4</w:t>
      </w:r>
      <w:r>
        <w:t xml:space="preserve">.0) expressed as national weighted activity unit </w:t>
      </w:r>
      <w:r w:rsidR="002E7EEF" w:rsidRPr="0076180E">
        <w:t>2022-23</w:t>
      </w:r>
      <w:r w:rsidR="002E7EEF" w:rsidRPr="00110B89">
        <w:rPr>
          <w:lang w:val="en-US"/>
        </w:rPr>
        <w:t xml:space="preserve"> </w:t>
      </w:r>
      <w:r>
        <w:t>(NWAU(</w:t>
      </w:r>
      <w:r w:rsidR="00861788" w:rsidRPr="0086251C">
        <w:t>22</w:t>
      </w:r>
      <w:r>
        <w:t xml:space="preserve">)) are set out in the </w:t>
      </w:r>
      <w:hyperlink r:id="rId54" w:history="1">
        <w:r w:rsidR="007151D9">
          <w:rPr>
            <w:rStyle w:val="Hyperlink"/>
          </w:rPr>
          <w:t>National Efficient Price Determination 2022–23</w:t>
        </w:r>
      </w:hyperlink>
      <w:r w:rsidR="1E224E06" w:rsidRPr="0076180E">
        <w:t xml:space="preserve"> </w:t>
      </w:r>
      <w:r w:rsidR="007151D9">
        <w:t xml:space="preserve">webpage </w:t>
      </w:r>
      <w:hyperlink r:id="rId55" w:history="1">
        <w:r w:rsidR="007151D9" w:rsidRPr="00532B7C">
          <w:rPr>
            <w:rStyle w:val="Hyperlink"/>
            <w:rFonts w:eastAsia="Times"/>
          </w:rPr>
          <w:t>https://www.ihacpa.gov.au/resources/national-efficient-price-determination-2022-23</w:t>
        </w:r>
      </w:hyperlink>
      <w:r w:rsidR="007151D9">
        <w:rPr>
          <w:rFonts w:eastAsia="Times"/>
        </w:rPr>
        <w:t>.</w:t>
      </w:r>
    </w:p>
    <w:p w14:paraId="0612F4A1" w14:textId="194D42B1" w:rsidR="000D02B0" w:rsidRDefault="000D02B0" w:rsidP="00D47072">
      <w:pPr>
        <w:pStyle w:val="Heading3"/>
      </w:pPr>
      <w:bookmarkStart w:id="239" w:name="_Toc100263298"/>
      <w:bookmarkStart w:id="240" w:name="_Toc127191946"/>
      <w:r>
        <w:lastRenderedPageBreak/>
        <w:t>Pricing</w:t>
      </w:r>
      <w:bookmarkEnd w:id="239"/>
      <w:bookmarkEnd w:id="240"/>
    </w:p>
    <w:p w14:paraId="0DA78948" w14:textId="7EE5DDBA" w:rsidR="76C99791" w:rsidRDefault="76C99791" w:rsidP="31C35848">
      <w:pPr>
        <w:pStyle w:val="Body"/>
      </w:pPr>
      <w:r>
        <w:t xml:space="preserve">The </w:t>
      </w:r>
      <w:r w:rsidR="001159EA">
        <w:t xml:space="preserve">Victorian </w:t>
      </w:r>
      <w:r w:rsidR="00D023FD">
        <w:t>E</w:t>
      </w:r>
      <w:r w:rsidR="001159EA">
        <w:t xml:space="preserve">fficient </w:t>
      </w:r>
      <w:r w:rsidR="00D023FD">
        <w:t>P</w:t>
      </w:r>
      <w:r w:rsidR="001159EA">
        <w:t>rice</w:t>
      </w:r>
      <w:r>
        <w:t xml:space="preserve"> </w:t>
      </w:r>
      <w:r w:rsidR="001159EA">
        <w:t xml:space="preserve">(VEP) </w:t>
      </w:r>
      <w:r>
        <w:t xml:space="preserve">differs </w:t>
      </w:r>
      <w:r w:rsidR="008C56F5">
        <w:t xml:space="preserve">from </w:t>
      </w:r>
      <w:r>
        <w:t xml:space="preserve">the </w:t>
      </w:r>
      <w:r w:rsidR="00C1762A">
        <w:t>N</w:t>
      </w:r>
      <w:r w:rsidR="001159EA">
        <w:t xml:space="preserve">ational </w:t>
      </w:r>
      <w:r w:rsidR="00C1762A">
        <w:t>E</w:t>
      </w:r>
      <w:r w:rsidR="001159EA">
        <w:t xml:space="preserve">fficient </w:t>
      </w:r>
      <w:r w:rsidR="00C1762A">
        <w:t>P</w:t>
      </w:r>
      <w:r w:rsidR="001159EA">
        <w:t>rice</w:t>
      </w:r>
      <w:r>
        <w:t>. The VEP fund</w:t>
      </w:r>
      <w:r w:rsidR="7BC07106">
        <w:t>s</w:t>
      </w:r>
      <w:r>
        <w:t xml:space="preserve"> </w:t>
      </w:r>
      <w:r w:rsidR="4889BA44">
        <w:t>NWAU</w:t>
      </w:r>
      <w:r>
        <w:t xml:space="preserve"> growth and considers other forms of funding. It is not the same as the national cost per NWAU.</w:t>
      </w:r>
    </w:p>
    <w:p w14:paraId="0A88D875" w14:textId="66B0ABF4" w:rsidR="76C99791" w:rsidRDefault="76C99791" w:rsidP="31C35848">
      <w:pPr>
        <w:pStyle w:val="Body"/>
      </w:pPr>
      <w:r>
        <w:t xml:space="preserve">The </w:t>
      </w:r>
      <w:r w:rsidR="008C56F5">
        <w:t>VEP</w:t>
      </w:r>
      <w:r>
        <w:t xml:space="preserve"> can be found </w:t>
      </w:r>
      <w:r w:rsidR="000D7F1B">
        <w:t xml:space="preserve">on </w:t>
      </w:r>
      <w:r w:rsidR="008B228A">
        <w:fldChar w:fldCharType="begin"/>
      </w:r>
      <w:r w:rsidR="008B228A">
        <w:instrText xml:space="preserve"> REF _Ref108526914 \r \h </w:instrText>
      </w:r>
      <w:r w:rsidR="008B228A">
        <w:fldChar w:fldCharType="separate"/>
      </w:r>
      <w:r w:rsidR="006D0756">
        <w:t>Table 1.9</w:t>
      </w:r>
      <w:r w:rsidR="008B228A">
        <w:fldChar w:fldCharType="end"/>
      </w:r>
      <w:r w:rsidR="008B228A">
        <w:t xml:space="preserve"> </w:t>
      </w:r>
      <w:r w:rsidR="000D7F1B">
        <w:t>Victorian Efficient Price</w:t>
      </w:r>
      <w:r w:rsidR="000D7F1B" w:rsidRPr="007205BA">
        <w:t xml:space="preserve"> </w:t>
      </w:r>
      <w:r>
        <w:t xml:space="preserve">in section </w:t>
      </w:r>
      <w:r>
        <w:fldChar w:fldCharType="begin"/>
      </w:r>
      <w:r>
        <w:instrText xml:space="preserve"> REF _Ref77777682 \r \h </w:instrText>
      </w:r>
      <w:r>
        <w:fldChar w:fldCharType="separate"/>
      </w:r>
      <w:r w:rsidR="006D0756">
        <w:t>1.21</w:t>
      </w:r>
      <w:r>
        <w:fldChar w:fldCharType="end"/>
      </w:r>
      <w:r w:rsidR="4B94242A">
        <w:t xml:space="preserve"> ‘</w:t>
      </w:r>
      <w:r>
        <w:fldChar w:fldCharType="begin"/>
      </w:r>
      <w:r>
        <w:instrText xml:space="preserve"> REF _Ref70881789 \h </w:instrText>
      </w:r>
      <w:r>
        <w:fldChar w:fldCharType="separate"/>
      </w:r>
      <w:r w:rsidR="006D0756">
        <w:t>Price Tables</w:t>
      </w:r>
      <w:r>
        <w:fldChar w:fldCharType="end"/>
      </w:r>
      <w:r w:rsidR="4B94242A">
        <w:t>'.</w:t>
      </w:r>
    </w:p>
    <w:p w14:paraId="5C6B6DE2" w14:textId="3B748596" w:rsidR="76C99791" w:rsidRDefault="76C99791" w:rsidP="31C35848">
      <w:pPr>
        <w:pStyle w:val="Body"/>
      </w:pPr>
      <w:r>
        <w:t>The growth funding for demand above existing activity levels can be calculated by multiplying NWAU by the VEP for the relevant price group.</w:t>
      </w:r>
    </w:p>
    <w:p w14:paraId="726E9163" w14:textId="1D7C826C" w:rsidR="000B27B9" w:rsidRDefault="000B27B9" w:rsidP="00DA0D7C">
      <w:pPr>
        <w:pStyle w:val="Heading2"/>
      </w:pPr>
      <w:bookmarkStart w:id="241" w:name="_Toc418694908"/>
      <w:bookmarkStart w:id="242" w:name="_Toc6215550"/>
      <w:bookmarkStart w:id="243" w:name="_Toc10199626"/>
      <w:bookmarkStart w:id="244" w:name="_Toc52892572"/>
      <w:bookmarkStart w:id="245" w:name="_Toc100263299"/>
      <w:bookmarkStart w:id="246" w:name="_Toc127191947"/>
      <w:r>
        <w:lastRenderedPageBreak/>
        <w:t xml:space="preserve">Emergency </w:t>
      </w:r>
      <w:bookmarkEnd w:id="241"/>
      <w:bookmarkEnd w:id="242"/>
      <w:r w:rsidR="00976036">
        <w:t>C</w:t>
      </w:r>
      <w:r w:rsidR="00251E95">
        <w:t>are</w:t>
      </w:r>
      <w:r>
        <w:t xml:space="preserve"> </w:t>
      </w:r>
      <w:bookmarkEnd w:id="243"/>
      <w:bookmarkEnd w:id="244"/>
      <w:r w:rsidR="00976036">
        <w:t>S</w:t>
      </w:r>
      <w:r w:rsidR="00DA0D7C">
        <w:t>ervices</w:t>
      </w:r>
      <w:bookmarkEnd w:id="245"/>
      <w:bookmarkEnd w:id="246"/>
    </w:p>
    <w:p w14:paraId="1D6800CE" w14:textId="14FFC799" w:rsidR="00251E95" w:rsidRDefault="00251E95" w:rsidP="00251E95">
      <w:pPr>
        <w:pStyle w:val="Body"/>
      </w:pPr>
      <w:bookmarkStart w:id="247" w:name="_Toc418694907"/>
      <w:bookmarkStart w:id="248" w:name="_Toc6215549"/>
      <w:bookmarkStart w:id="249" w:name="_Toc10199625"/>
      <w:bookmarkStart w:id="250" w:name="_Toc52892571"/>
      <w:r>
        <w:t>Emergency department</w:t>
      </w:r>
      <w:r w:rsidR="00183DC4">
        <w:t xml:space="preserve"> </w:t>
      </w:r>
      <w:r>
        <w:t>care is provided to patients registered for care in an emergency department in selected public hospitals. Emergency departments are medical treatment facilities that specialise in acute care of patients who present without prior appointment, either by their own means or by ambulance.</w:t>
      </w:r>
    </w:p>
    <w:p w14:paraId="39F3AAE4" w14:textId="05813302" w:rsidR="00251E95" w:rsidRDefault="3F218EDD" w:rsidP="00251E95">
      <w:pPr>
        <w:pStyle w:val="Body"/>
      </w:pPr>
      <w:r>
        <w:t xml:space="preserve">Local </w:t>
      </w:r>
      <w:r w:rsidR="001159EA">
        <w:t xml:space="preserve">services </w:t>
      </w:r>
      <w:r w:rsidR="020B96F5">
        <w:t xml:space="preserve">and the majority of </w:t>
      </w:r>
      <w:r w:rsidR="3918AD29">
        <w:t>small rural health services</w:t>
      </w:r>
      <w:r w:rsidR="61E6D374">
        <w:t xml:space="preserve">/multipurpose </w:t>
      </w:r>
      <w:r w:rsidR="44727C6E">
        <w:t>services</w:t>
      </w:r>
      <w:r w:rsidR="3918AD29">
        <w:t xml:space="preserve"> operate </w:t>
      </w:r>
      <w:r w:rsidR="00EC03A4">
        <w:t>ur</w:t>
      </w:r>
      <w:r w:rsidR="00EC03A4" w:rsidRPr="0089518A">
        <w:rPr>
          <w:rFonts w:eastAsia="Arial" w:cs="Arial"/>
        </w:rPr>
        <w:t>gent care centre</w:t>
      </w:r>
      <w:r w:rsidR="3918AD29" w:rsidRPr="0089518A">
        <w:rPr>
          <w:rFonts w:eastAsia="Arial" w:cs="Arial"/>
        </w:rPr>
        <w:t xml:space="preserve">s (UCCs), which provide first-line emergency </w:t>
      </w:r>
      <w:r w:rsidR="007D602E">
        <w:rPr>
          <w:rFonts w:eastAsia="Arial" w:cs="Arial"/>
        </w:rPr>
        <w:t xml:space="preserve">and urgent </w:t>
      </w:r>
      <w:r w:rsidR="3918AD29" w:rsidRPr="0089518A">
        <w:rPr>
          <w:rFonts w:eastAsia="Arial" w:cs="Arial"/>
        </w:rPr>
        <w:t xml:space="preserve">care </w:t>
      </w:r>
      <w:r w:rsidR="6C1E8B31" w:rsidRPr="61404400">
        <w:rPr>
          <w:rFonts w:eastAsia="Arial" w:cs="Arial"/>
        </w:rPr>
        <w:t>in small rural communities.</w:t>
      </w:r>
      <w:r w:rsidR="00251E95" w:rsidRPr="00171B3C">
        <w:rPr>
          <w:rStyle w:val="FootnoteReference"/>
        </w:rPr>
        <w:footnoteReference w:id="3"/>
      </w:r>
      <w:r w:rsidR="3918AD29" w:rsidRPr="0089518A">
        <w:rPr>
          <w:rFonts w:eastAsia="Arial" w:cs="Arial"/>
        </w:rPr>
        <w:t xml:space="preserve"> At a minimum, UCCs have the capacity to perform emergency resuscitation and stabilisation for adults and chi</w:t>
      </w:r>
      <w:r w:rsidR="3918AD29">
        <w:t xml:space="preserve">ldren, </w:t>
      </w:r>
      <w:r w:rsidR="2C9EC340">
        <w:t xml:space="preserve">and </w:t>
      </w:r>
      <w:r w:rsidR="16DBDA04">
        <w:t>to</w:t>
      </w:r>
      <w:r w:rsidR="3918AD29">
        <w:t xml:space="preserve"> prepare and manage patients for transfer to a higher level of care as clinically appropriate.</w:t>
      </w:r>
      <w:r w:rsidR="3918AD29" w:rsidRPr="3FC2EC5C">
        <w:t xml:space="preserve"> </w:t>
      </w:r>
      <w:r w:rsidR="3918AD29">
        <w:t xml:space="preserve">Depending on the model, patients treated by </w:t>
      </w:r>
      <w:r w:rsidR="15A3619E">
        <w:t xml:space="preserve">on-call </w:t>
      </w:r>
      <w:r w:rsidR="3918AD29">
        <w:t xml:space="preserve">general practitioners may be billed by the </w:t>
      </w:r>
      <w:r w:rsidR="3918AD29">
        <w:rPr>
          <w:rFonts w:eastAsia="MS Mincho"/>
        </w:rPr>
        <w:t>general practitioner</w:t>
      </w:r>
      <w:r w:rsidR="3918AD29">
        <w:t>.</w:t>
      </w:r>
    </w:p>
    <w:p w14:paraId="53EFAE51" w14:textId="488E8182" w:rsidR="00251E95" w:rsidRDefault="00251E95" w:rsidP="00251E95">
      <w:pPr>
        <w:pStyle w:val="Body"/>
      </w:pPr>
      <w:r>
        <w:t xml:space="preserve">Emergency departments and UCCs </w:t>
      </w:r>
      <w:r w:rsidR="00CC0857">
        <w:t xml:space="preserve">at local health services </w:t>
      </w:r>
      <w:r>
        <w:t xml:space="preserve">that provide emergency services are in scope for </w:t>
      </w:r>
      <w:r w:rsidR="00EC03A4">
        <w:t>activity-based funding</w:t>
      </w:r>
      <w:r>
        <w:t>.</w:t>
      </w:r>
    </w:p>
    <w:p w14:paraId="1530487B" w14:textId="77777777" w:rsidR="001F1E6A" w:rsidRDefault="001F1E6A" w:rsidP="00D47072">
      <w:pPr>
        <w:pStyle w:val="Heading3"/>
      </w:pPr>
      <w:bookmarkStart w:id="251" w:name="_Toc100263300"/>
      <w:bookmarkStart w:id="252" w:name="_Toc127191948"/>
      <w:r>
        <w:t>Eligibility</w:t>
      </w:r>
      <w:bookmarkEnd w:id="251"/>
      <w:bookmarkEnd w:id="252"/>
    </w:p>
    <w:p w14:paraId="1E6E0F8D" w14:textId="1E0B3165" w:rsidR="001F1E6A" w:rsidRDefault="001F1E6A" w:rsidP="001F1E6A">
      <w:pPr>
        <w:pStyle w:val="Body"/>
      </w:pPr>
      <w:r>
        <w:t xml:space="preserve">Eligible facilities in scope for </w:t>
      </w:r>
      <w:r w:rsidR="001159EA">
        <w:t xml:space="preserve">activity-based funding </w:t>
      </w:r>
      <w:r>
        <w:t>in the emergency care stream are all public health services that report activity data to the VEMD or report aggregate level data through the UCC form of the Agency Information Management System (AIMS).</w:t>
      </w:r>
    </w:p>
    <w:p w14:paraId="7869C094" w14:textId="2E72A903" w:rsidR="001F1E6A" w:rsidRDefault="001F1E6A" w:rsidP="001F1E6A">
      <w:pPr>
        <w:pStyle w:val="Body"/>
      </w:pPr>
      <w:r>
        <w:t xml:space="preserve">Generally, public and private patients are in scope for </w:t>
      </w:r>
      <w:r w:rsidR="001159EA">
        <w:t xml:space="preserve">activity-based funding </w:t>
      </w:r>
      <w:r>
        <w:t>and compensable patients are out of scope.</w:t>
      </w:r>
    </w:p>
    <w:p w14:paraId="5E1E3FFB" w14:textId="4FA07BC5" w:rsidR="00D47072" w:rsidRDefault="00D47072" w:rsidP="00D47072">
      <w:pPr>
        <w:pStyle w:val="Heading3"/>
      </w:pPr>
      <w:bookmarkStart w:id="253" w:name="_Toc100263301"/>
      <w:bookmarkStart w:id="254" w:name="_Toc127191949"/>
      <w:r>
        <w:t xml:space="preserve">Business </w:t>
      </w:r>
      <w:r w:rsidR="00976036">
        <w:t>R</w:t>
      </w:r>
      <w:r>
        <w:t>ules</w:t>
      </w:r>
      <w:bookmarkEnd w:id="253"/>
      <w:bookmarkEnd w:id="254"/>
    </w:p>
    <w:p w14:paraId="09AE8DC6" w14:textId="7FCAB034" w:rsidR="00D47072" w:rsidRDefault="00D47072" w:rsidP="00D47072">
      <w:pPr>
        <w:pStyle w:val="Body"/>
      </w:pPr>
      <w:r>
        <w:t xml:space="preserve">The unit of count for </w:t>
      </w:r>
      <w:r w:rsidR="00A763AA">
        <w:t xml:space="preserve">activity-based funding in </w:t>
      </w:r>
      <w:r>
        <w:t xml:space="preserve">emergency care is </w:t>
      </w:r>
      <w:r w:rsidR="0A3AF62E">
        <w:t>a</w:t>
      </w:r>
      <w:r>
        <w:t xml:space="preserve"> </w:t>
      </w:r>
      <w:r w:rsidR="003C52C1">
        <w:t>presentation</w:t>
      </w:r>
      <w:r>
        <w:t>. It includes stays for patients who are treated and go home, and patients who are subsequently admitted to hospital or transferred to another facility for further care.</w:t>
      </w:r>
    </w:p>
    <w:p w14:paraId="53F459AB" w14:textId="2DAE1028" w:rsidR="00251E95" w:rsidRDefault="001F1E6A" w:rsidP="00D47072">
      <w:pPr>
        <w:pStyle w:val="sub"/>
      </w:pPr>
      <w:r>
        <w:t>Patient classification</w:t>
      </w:r>
    </w:p>
    <w:p w14:paraId="6020E30A" w14:textId="7FDC91BF" w:rsidR="00251E95" w:rsidRDefault="00251E95" w:rsidP="00A771E9">
      <w:pPr>
        <w:pStyle w:val="Body"/>
      </w:pPr>
      <w:r>
        <w:t>Emergency department presentations will be classified according to the Australian Emergency Care Classification (AECC V1.0) system, which provides a summary of the complexity and type of patients treated within an emergency department.</w:t>
      </w:r>
    </w:p>
    <w:p w14:paraId="68B2E261" w14:textId="4F957354" w:rsidR="00251E95" w:rsidRDefault="001159EA" w:rsidP="00A771E9">
      <w:pPr>
        <w:pStyle w:val="Body"/>
      </w:pPr>
      <w:r>
        <w:t>UCC patient</w:t>
      </w:r>
      <w:r w:rsidR="00251E95">
        <w:t xml:space="preserve"> presentations are classified using </w:t>
      </w:r>
      <w:r>
        <w:t xml:space="preserve">the urgency disposition group </w:t>
      </w:r>
      <w:r w:rsidR="00251E95">
        <w:t>(UDG) classification system.</w:t>
      </w:r>
    </w:p>
    <w:p w14:paraId="69A5BFEE" w14:textId="18D865B3" w:rsidR="00251E95" w:rsidRDefault="00251E95" w:rsidP="00D47072">
      <w:pPr>
        <w:pStyle w:val="Heading3"/>
      </w:pPr>
      <w:bookmarkStart w:id="255" w:name="_Toc77588922"/>
      <w:bookmarkStart w:id="256" w:name="_Toc100263302"/>
      <w:bookmarkStart w:id="257" w:name="_Toc127191950"/>
      <w:r>
        <w:t xml:space="preserve">NWAU </w:t>
      </w:r>
      <w:r w:rsidR="00976036">
        <w:t>P</w:t>
      </w:r>
      <w:r>
        <w:t xml:space="preserve">rice </w:t>
      </w:r>
      <w:r w:rsidR="00976036">
        <w:t>W</w:t>
      </w:r>
      <w:r>
        <w:t>eights</w:t>
      </w:r>
      <w:bookmarkEnd w:id="255"/>
      <w:bookmarkEnd w:id="256"/>
      <w:bookmarkEnd w:id="257"/>
    </w:p>
    <w:p w14:paraId="03543DBA" w14:textId="21AA9637" w:rsidR="00251E95" w:rsidRDefault="00251E95" w:rsidP="00A771E9">
      <w:pPr>
        <w:pStyle w:val="Body"/>
      </w:pPr>
      <w:r>
        <w:t xml:space="preserve">Price weights for emergency patients (AECC </w:t>
      </w:r>
      <w:r w:rsidR="00642E58">
        <w:t>V</w:t>
      </w:r>
      <w:r>
        <w:t>1.0</w:t>
      </w:r>
      <w:r w:rsidR="00525B22">
        <w:t xml:space="preserve"> or UDG V1.3</w:t>
      </w:r>
      <w:r>
        <w:t xml:space="preserve">) expressed as national weighted </w:t>
      </w:r>
      <w:r w:rsidRPr="0001029C">
        <w:t>activity unit 202</w:t>
      </w:r>
      <w:r w:rsidR="00D4498F" w:rsidRPr="0001029C">
        <w:t>2</w:t>
      </w:r>
      <w:r w:rsidRPr="0001029C">
        <w:t>–2</w:t>
      </w:r>
      <w:r w:rsidR="00D4498F" w:rsidRPr="0001029C">
        <w:t>3</w:t>
      </w:r>
      <w:r>
        <w:t xml:space="preserve"> (NWAU(2</w:t>
      </w:r>
      <w:r w:rsidR="00D4498F">
        <w:t>2</w:t>
      </w:r>
      <w:r>
        <w:t xml:space="preserve">)) are set out in </w:t>
      </w:r>
      <w:r w:rsidR="00A771E9">
        <w:t xml:space="preserve">the </w:t>
      </w:r>
      <w:hyperlink r:id="rId56" w:history="1">
        <w:r w:rsidR="00203975">
          <w:rPr>
            <w:rStyle w:val="Hyperlink"/>
          </w:rPr>
          <w:t>National Efficient Price Determination 2022–23</w:t>
        </w:r>
      </w:hyperlink>
      <w:r w:rsidR="00203975" w:rsidRPr="0076180E">
        <w:t xml:space="preserve"> </w:t>
      </w:r>
      <w:r w:rsidR="00203975">
        <w:t xml:space="preserve">webpage </w:t>
      </w:r>
      <w:hyperlink r:id="rId57" w:history="1">
        <w:r w:rsidR="00203975" w:rsidRPr="00532B7C">
          <w:rPr>
            <w:rStyle w:val="Hyperlink"/>
          </w:rPr>
          <w:t>https://www.ihacpa.gov.au/resources/national-efficient-price-determination-2022-23</w:t>
        </w:r>
      </w:hyperlink>
      <w:r w:rsidR="00203975">
        <w:t>.</w:t>
      </w:r>
    </w:p>
    <w:p w14:paraId="51D0C7CF" w14:textId="0990783E" w:rsidR="00251E95" w:rsidRDefault="00251E95" w:rsidP="00D47072">
      <w:pPr>
        <w:pStyle w:val="Heading3"/>
      </w:pPr>
      <w:bookmarkStart w:id="258" w:name="_Toc77588924"/>
      <w:bookmarkStart w:id="259" w:name="_Toc100263303"/>
      <w:bookmarkStart w:id="260" w:name="_Toc127191951"/>
      <w:r>
        <w:lastRenderedPageBreak/>
        <w:t>Pricing</w:t>
      </w:r>
      <w:bookmarkEnd w:id="258"/>
      <w:bookmarkEnd w:id="259"/>
      <w:bookmarkEnd w:id="260"/>
    </w:p>
    <w:p w14:paraId="65526A01" w14:textId="103CEB6E" w:rsidR="00251E95" w:rsidRPr="007205BA" w:rsidRDefault="34A88E3B" w:rsidP="005453CB">
      <w:pPr>
        <w:pStyle w:val="Body"/>
      </w:pPr>
      <w:r>
        <w:t>The Victorian Efficient Price</w:t>
      </w:r>
      <w:r w:rsidR="001159EA">
        <w:t xml:space="preserve"> </w:t>
      </w:r>
      <w:r>
        <w:t xml:space="preserve">(VEP) differs </w:t>
      </w:r>
      <w:r w:rsidR="001159EA">
        <w:t xml:space="preserve">from </w:t>
      </w:r>
      <w:r>
        <w:t xml:space="preserve">the </w:t>
      </w:r>
      <w:r w:rsidR="00C1762A">
        <w:t>N</w:t>
      </w:r>
      <w:r w:rsidR="001159EA">
        <w:t xml:space="preserve">ational </w:t>
      </w:r>
      <w:r w:rsidR="00C1762A">
        <w:t>E</w:t>
      </w:r>
      <w:r w:rsidR="001159EA">
        <w:t xml:space="preserve">fficient </w:t>
      </w:r>
      <w:r w:rsidR="00C1762A">
        <w:t>P</w:t>
      </w:r>
      <w:r w:rsidR="001159EA">
        <w:t>rice</w:t>
      </w:r>
      <w:r>
        <w:t>. The VEP fund</w:t>
      </w:r>
      <w:r w:rsidR="00A02345">
        <w:t>s</w:t>
      </w:r>
      <w:r>
        <w:t xml:space="preserve"> </w:t>
      </w:r>
      <w:r w:rsidR="19880031">
        <w:t xml:space="preserve">NWAU </w:t>
      </w:r>
      <w:r>
        <w:t>growth and considers other forms of funding. It is not the same as the national cost per NWAU.</w:t>
      </w:r>
    </w:p>
    <w:p w14:paraId="16667FEF" w14:textId="2E07D1D4" w:rsidR="00251E95" w:rsidRPr="007205BA" w:rsidRDefault="34A88E3B" w:rsidP="005453CB">
      <w:pPr>
        <w:pStyle w:val="Body"/>
      </w:pPr>
      <w:r>
        <w:t xml:space="preserve">The </w:t>
      </w:r>
      <w:r w:rsidR="001159EA">
        <w:t>VEP</w:t>
      </w:r>
      <w:r>
        <w:t xml:space="preserve"> can be found in </w:t>
      </w:r>
      <w:r w:rsidR="008B228A">
        <w:fldChar w:fldCharType="begin"/>
      </w:r>
      <w:r w:rsidR="008B228A">
        <w:instrText xml:space="preserve"> REF _Ref108526914 \r \h </w:instrText>
      </w:r>
      <w:r w:rsidR="008B228A">
        <w:fldChar w:fldCharType="separate"/>
      </w:r>
      <w:r w:rsidR="006D0756">
        <w:t>Table 1.9</w:t>
      </w:r>
      <w:r w:rsidR="008B228A">
        <w:fldChar w:fldCharType="end"/>
      </w:r>
      <w:r w:rsidR="008B228A">
        <w:t xml:space="preserve"> </w:t>
      </w:r>
      <w:r w:rsidR="00E25E4E" w:rsidRPr="00962909">
        <w:t xml:space="preserve">in </w:t>
      </w:r>
      <w:r>
        <w:t xml:space="preserve">section </w:t>
      </w:r>
      <w:r w:rsidRPr="00962909">
        <w:fldChar w:fldCharType="begin"/>
      </w:r>
      <w:r w:rsidRPr="00962909">
        <w:instrText xml:space="preserve"> REF _Ref77777682 \r \h </w:instrText>
      </w:r>
      <w:r w:rsidR="00E25E4E" w:rsidRPr="00962909">
        <w:instrText xml:space="preserve"> \* MERGEFORMAT </w:instrText>
      </w:r>
      <w:r w:rsidRPr="00962909">
        <w:fldChar w:fldCharType="separate"/>
      </w:r>
      <w:r w:rsidR="006D0756">
        <w:t>1.21</w:t>
      </w:r>
      <w:r w:rsidRPr="00962909">
        <w:fldChar w:fldCharType="end"/>
      </w:r>
      <w:r w:rsidR="72DA81F2">
        <w:t xml:space="preserve"> ‘</w:t>
      </w:r>
      <w:r>
        <w:fldChar w:fldCharType="begin"/>
      </w:r>
      <w:r>
        <w:instrText xml:space="preserve"> REF _Ref70881789 \h </w:instrText>
      </w:r>
      <w:r>
        <w:fldChar w:fldCharType="separate"/>
      </w:r>
      <w:r w:rsidR="006D0756">
        <w:t>Price Tables</w:t>
      </w:r>
      <w:r>
        <w:fldChar w:fldCharType="end"/>
      </w:r>
      <w:r w:rsidR="37CEEAB5">
        <w:t>'.</w:t>
      </w:r>
    </w:p>
    <w:p w14:paraId="074D76C8" w14:textId="3B748596" w:rsidR="00251E95" w:rsidRPr="007205BA" w:rsidRDefault="34A88E3B" w:rsidP="005453CB">
      <w:pPr>
        <w:pStyle w:val="Body"/>
      </w:pPr>
      <w:r>
        <w:t>The growth funding for demand above existing activity levels can be calculated by multiplying NWAU by the VEP for the relevant price group.</w:t>
      </w:r>
    </w:p>
    <w:p w14:paraId="4C19C4FF" w14:textId="4018C35E" w:rsidR="001F1E6A" w:rsidRDefault="001F1E6A" w:rsidP="00D27D2A">
      <w:pPr>
        <w:pStyle w:val="Heading2"/>
        <w:spacing w:after="440" w:line="440" w:lineRule="atLeast"/>
        <w:ind w:left="1134" w:hanging="1134"/>
      </w:pPr>
      <w:bookmarkStart w:id="261" w:name="_Toc100263304"/>
      <w:bookmarkStart w:id="262" w:name="_Toc127191952"/>
      <w:r w:rsidRPr="001F1E6A">
        <w:lastRenderedPageBreak/>
        <w:t>Non-</w:t>
      </w:r>
      <w:r w:rsidR="0034782A">
        <w:t>A</w:t>
      </w:r>
      <w:r w:rsidRPr="001F1E6A">
        <w:t xml:space="preserve">dmitted </w:t>
      </w:r>
      <w:r w:rsidR="0034782A">
        <w:t>A</w:t>
      </w:r>
      <w:r w:rsidRPr="001F1E6A">
        <w:t>ctivity</w:t>
      </w:r>
      <w:r w:rsidR="00D9542F">
        <w:t>-</w:t>
      </w:r>
      <w:r w:rsidR="0034782A">
        <w:t>B</w:t>
      </w:r>
      <w:r w:rsidRPr="001F1E6A">
        <w:t xml:space="preserve">ased </w:t>
      </w:r>
      <w:r w:rsidR="0034782A">
        <w:t>F</w:t>
      </w:r>
      <w:r w:rsidRPr="001F1E6A">
        <w:t xml:space="preserve">unded </w:t>
      </w:r>
      <w:r w:rsidR="0034782A">
        <w:t>S</w:t>
      </w:r>
      <w:r w:rsidRPr="001F1E6A">
        <w:t>ervices</w:t>
      </w:r>
      <w:bookmarkEnd w:id="261"/>
      <w:bookmarkEnd w:id="262"/>
    </w:p>
    <w:p w14:paraId="77FBAC9D" w14:textId="3934A99D" w:rsidR="001F1E6A" w:rsidRDefault="001F1E6A" w:rsidP="001F1E6A">
      <w:pPr>
        <w:pStyle w:val="Body"/>
      </w:pPr>
      <w:r>
        <w:t>Non-admitted acute and subacute hospital services are delivered to public patients in a range of settings. This activity is currently reported nationally on a patient</w:t>
      </w:r>
      <w:r w:rsidR="00B34795">
        <w:t>-</w:t>
      </w:r>
      <w:r>
        <w:t xml:space="preserve">level basis through </w:t>
      </w:r>
      <w:r w:rsidR="0AC97092">
        <w:t>the VINAH minimum dataset.</w:t>
      </w:r>
      <w:r>
        <w:t xml:space="preserve"> There is a national requirement for non-admitted in-scope activity and cost data to be reported at a patient level from 1 July 2021. This is to support the funding of public hospital services, functions, and activities by the Commonwealth under the Addendum to the National Health Reform Agreement 2020</w:t>
      </w:r>
      <w:r w:rsidR="00354E23">
        <w:t>–</w:t>
      </w:r>
      <w:r>
        <w:t>2025.</w:t>
      </w:r>
      <w:r w:rsidR="009D1115">
        <w:t xml:space="preserve"> </w:t>
      </w:r>
    </w:p>
    <w:p w14:paraId="0D1A0B55" w14:textId="40416E5B" w:rsidR="001F1E6A" w:rsidRDefault="001F1E6A" w:rsidP="001F1E6A">
      <w:pPr>
        <w:pStyle w:val="Body"/>
      </w:pPr>
      <w:r>
        <w:t xml:space="preserve">Under the Addendum, the Commonwealth and the </w:t>
      </w:r>
      <w:r w:rsidR="003F35E2">
        <w:t xml:space="preserve">states </w:t>
      </w:r>
      <w:r>
        <w:t xml:space="preserve">are jointly responsible for funding public hospital services, using </w:t>
      </w:r>
      <w:r w:rsidR="003F35E2">
        <w:t>activity-based funding</w:t>
      </w:r>
      <w:r>
        <w:t xml:space="preserve"> where appropriate and block funding in other cases.</w:t>
      </w:r>
    </w:p>
    <w:p w14:paraId="34E1FAAD" w14:textId="7D097646" w:rsidR="00773EE2" w:rsidRDefault="00773EE2" w:rsidP="00773EE2">
      <w:pPr>
        <w:pStyle w:val="Body"/>
      </w:pPr>
      <w:r>
        <w:t xml:space="preserve">Health services having difficulty reporting to </w:t>
      </w:r>
      <w:r w:rsidR="68E786B6">
        <w:t xml:space="preserve">the </w:t>
      </w:r>
      <w:r>
        <w:t xml:space="preserve">VINAH </w:t>
      </w:r>
      <w:r w:rsidR="68E786B6">
        <w:t xml:space="preserve">minimum dataset </w:t>
      </w:r>
      <w:r>
        <w:t>can request to temporarily report to the Non</w:t>
      </w:r>
      <w:r w:rsidR="008F1386">
        <w:t>-</w:t>
      </w:r>
      <w:r>
        <w:t>Admitted Data Collection (NADC) which was introduced in 2020</w:t>
      </w:r>
      <w:r w:rsidR="00BC09DE">
        <w:t>–</w:t>
      </w:r>
      <w:r>
        <w:t>21. For further information on reporting to the NADC</w:t>
      </w:r>
      <w:r w:rsidR="003F35E2">
        <w:t>,</w:t>
      </w:r>
      <w:r>
        <w:t xml:space="preserve"> </w:t>
      </w:r>
      <w:r w:rsidR="003F35E2">
        <w:t xml:space="preserve">email the </w:t>
      </w:r>
      <w:hyperlink r:id="rId58" w:history="1">
        <w:r w:rsidR="003F35E2" w:rsidRPr="003F35E2">
          <w:rPr>
            <w:rStyle w:val="Hyperlink"/>
          </w:rPr>
          <w:t>HDSS Helpdesk</w:t>
        </w:r>
      </w:hyperlink>
      <w:r w:rsidR="003F35E2">
        <w:t xml:space="preserve"> &lt;</w:t>
      </w:r>
      <w:r w:rsidR="003F35E2" w:rsidRPr="00AE6427">
        <w:t>hdss.helpdesk@health.vic.gov.au</w:t>
      </w:r>
      <w:r w:rsidR="003F35E2">
        <w:t>&gt;</w:t>
      </w:r>
      <w:r>
        <w:t>.</w:t>
      </w:r>
    </w:p>
    <w:p w14:paraId="38A647D9" w14:textId="77777777" w:rsidR="001F1E6A" w:rsidRDefault="001F1E6A" w:rsidP="00D47072">
      <w:pPr>
        <w:pStyle w:val="Heading3"/>
      </w:pPr>
      <w:bookmarkStart w:id="263" w:name="_Toc100263305"/>
      <w:bookmarkStart w:id="264" w:name="_Toc127191953"/>
      <w:r>
        <w:t>Eligibility</w:t>
      </w:r>
      <w:bookmarkEnd w:id="263"/>
      <w:bookmarkEnd w:id="264"/>
    </w:p>
    <w:p w14:paraId="31566124" w14:textId="4CEE5FFB" w:rsidR="3C31FEE1" w:rsidRDefault="2236AB5B" w:rsidP="4DDF6C40">
      <w:pPr>
        <w:pStyle w:val="Body"/>
      </w:pPr>
      <w:r>
        <w:t xml:space="preserve">Eligible facilities in scope for </w:t>
      </w:r>
      <w:r w:rsidR="003F35E2">
        <w:t xml:space="preserve">activity-based funding </w:t>
      </w:r>
      <w:r>
        <w:t>in the non</w:t>
      </w:r>
      <w:r w:rsidR="602014F8">
        <w:t>-</w:t>
      </w:r>
      <w:r>
        <w:t xml:space="preserve">admitted stream are all public health services that report </w:t>
      </w:r>
      <w:r w:rsidR="21C30D1E">
        <w:t>patient</w:t>
      </w:r>
      <w:r w:rsidR="00B34795">
        <w:t>-</w:t>
      </w:r>
      <w:r w:rsidR="21C30D1E">
        <w:t xml:space="preserve">level </w:t>
      </w:r>
      <w:r>
        <w:t xml:space="preserve">activity data to the VINAH </w:t>
      </w:r>
      <w:r w:rsidR="3DC084F5">
        <w:t xml:space="preserve">minimum dataset </w:t>
      </w:r>
      <w:r>
        <w:t xml:space="preserve">or </w:t>
      </w:r>
      <w:r w:rsidR="25943847">
        <w:t>NADC</w:t>
      </w:r>
      <w:r>
        <w:t xml:space="preserve"> or report aggregate level data through the </w:t>
      </w:r>
      <w:r w:rsidR="5296EF28">
        <w:t>AIMS S10,</w:t>
      </w:r>
      <w:r w:rsidR="20DFF3FF">
        <w:t xml:space="preserve"> </w:t>
      </w:r>
      <w:r w:rsidR="5296EF28">
        <w:t>S11</w:t>
      </w:r>
      <w:r w:rsidR="00204416">
        <w:t>, S11A</w:t>
      </w:r>
      <w:r w:rsidR="00661C41">
        <w:t xml:space="preserve"> </w:t>
      </w:r>
      <w:r w:rsidR="5296EF28">
        <w:t>and S12</w:t>
      </w:r>
      <w:r>
        <w:t xml:space="preserve"> form of the Agency Information Management System (AIMS). </w:t>
      </w:r>
    </w:p>
    <w:p w14:paraId="68CAB17D" w14:textId="6FE506AF" w:rsidR="2236AB5B" w:rsidRDefault="2236AB5B" w:rsidP="00D539E9">
      <w:pPr>
        <w:pStyle w:val="Bodyafterbullets"/>
      </w:pPr>
      <w:r>
        <w:t>Generally</w:t>
      </w:r>
      <w:r w:rsidR="789DB039">
        <w:t xml:space="preserve">, </w:t>
      </w:r>
      <w:r>
        <w:t xml:space="preserve">public patients are in scope for </w:t>
      </w:r>
      <w:r w:rsidR="003F35E2">
        <w:t xml:space="preserve">activity-based funding </w:t>
      </w:r>
      <w:r>
        <w:t xml:space="preserve">and </w:t>
      </w:r>
      <w:r w:rsidR="3F843863">
        <w:t xml:space="preserve">private and </w:t>
      </w:r>
      <w:r>
        <w:t>compensable patients are out of scope.</w:t>
      </w:r>
    </w:p>
    <w:p w14:paraId="2E9719B9" w14:textId="0ACF75BE" w:rsidR="00155961" w:rsidRDefault="00155961" w:rsidP="00D47072">
      <w:pPr>
        <w:pStyle w:val="Heading3"/>
      </w:pPr>
      <w:bookmarkStart w:id="265" w:name="_Ref87974150"/>
      <w:bookmarkStart w:id="266" w:name="_Toc100263306"/>
      <w:bookmarkStart w:id="267" w:name="_Toc127191954"/>
      <w:r>
        <w:t xml:space="preserve">Business </w:t>
      </w:r>
      <w:r w:rsidR="0034782A">
        <w:t>R</w:t>
      </w:r>
      <w:r>
        <w:t>ules</w:t>
      </w:r>
      <w:bookmarkEnd w:id="265"/>
      <w:bookmarkEnd w:id="266"/>
      <w:bookmarkEnd w:id="267"/>
    </w:p>
    <w:p w14:paraId="6C60389F" w14:textId="6F0B4779" w:rsidR="00155961" w:rsidRPr="007F03EF" w:rsidRDefault="00155961" w:rsidP="00F44C54">
      <w:pPr>
        <w:pStyle w:val="Body"/>
      </w:pPr>
      <w:r w:rsidRPr="007F03EF">
        <w:t xml:space="preserve">The unit of count adopted for all non-admitted services is ‘service event’ as defined by the </w:t>
      </w:r>
      <w:r w:rsidR="00A763AA">
        <w:t>‘</w:t>
      </w:r>
      <w:hyperlink r:id="rId59" w:history="1">
        <w:r w:rsidR="00A763AA" w:rsidRPr="00A763AA">
          <w:rPr>
            <w:rStyle w:val="Hyperlink"/>
          </w:rPr>
          <w:t>Non-admitted patient NBEDS 2022–23</w:t>
        </w:r>
      </w:hyperlink>
      <w:r w:rsidR="00A763AA">
        <w:t>’</w:t>
      </w:r>
      <w:r w:rsidRPr="007F03EF">
        <w:t xml:space="preserve"> </w:t>
      </w:r>
      <w:r w:rsidR="00A763AA">
        <w:t>&lt;</w:t>
      </w:r>
      <w:r w:rsidR="51EDB3B2" w:rsidRPr="007F03EF">
        <w:t>https://meteor.aihw.gov.au/content/742186</w:t>
      </w:r>
      <w:r w:rsidR="00A763AA">
        <w:t>&gt;.</w:t>
      </w:r>
    </w:p>
    <w:p w14:paraId="42691171" w14:textId="7A4B005F" w:rsidR="00155961" w:rsidRPr="007F03EF" w:rsidRDefault="00155961" w:rsidP="00F44C54">
      <w:pPr>
        <w:pStyle w:val="Body"/>
      </w:pPr>
      <w:r w:rsidRPr="007F03EF">
        <w:t xml:space="preserve">The </w:t>
      </w:r>
      <w:r w:rsidR="00A763AA">
        <w:t>‘</w:t>
      </w:r>
      <w:r w:rsidRPr="00A763AA">
        <w:t>Non-</w:t>
      </w:r>
      <w:r w:rsidR="00A763AA" w:rsidRPr="00A763AA">
        <w:t xml:space="preserve">admitted </w:t>
      </w:r>
      <w:r w:rsidRPr="00A763AA">
        <w:t xml:space="preserve">patient NBEDS </w:t>
      </w:r>
      <w:r w:rsidR="002E7EEF" w:rsidRPr="00A763AA">
        <w:t>2022</w:t>
      </w:r>
      <w:r w:rsidR="007E10F3" w:rsidRPr="00A763AA">
        <w:t>–</w:t>
      </w:r>
      <w:r w:rsidR="002E7EEF" w:rsidRPr="00A763AA">
        <w:t>23</w:t>
      </w:r>
      <w:r w:rsidR="00A763AA">
        <w:t>’</w:t>
      </w:r>
      <w:r w:rsidR="002E7EEF" w:rsidRPr="007F03EF">
        <w:rPr>
          <w:lang w:val="en-US"/>
        </w:rPr>
        <w:t xml:space="preserve"> </w:t>
      </w:r>
      <w:r w:rsidRPr="007F03EF">
        <w:t>defines a non-admitted patient service event as an interaction between one or more healthcare provider</w:t>
      </w:r>
      <w:r w:rsidR="00C67A3C">
        <w:t>s</w:t>
      </w:r>
      <w:r w:rsidRPr="007F03EF">
        <w:t xml:space="preserve"> with one non-admitted patient. This event must contain therapeutic or clinical content and result in a dated entry in the patient’s medical record. </w:t>
      </w:r>
    </w:p>
    <w:p w14:paraId="53CEE242" w14:textId="24456A89" w:rsidR="00155961" w:rsidRPr="007F03EF" w:rsidRDefault="00155961" w:rsidP="00F44C54">
      <w:pPr>
        <w:pStyle w:val="Body"/>
      </w:pPr>
      <w:r w:rsidRPr="007F03EF">
        <w:t xml:space="preserve">The counting rules specified in the </w:t>
      </w:r>
      <w:r w:rsidR="00A763AA">
        <w:t>‘</w:t>
      </w:r>
      <w:r w:rsidRPr="007F03EF">
        <w:t>Non-</w:t>
      </w:r>
      <w:r w:rsidR="00A763AA">
        <w:t>a</w:t>
      </w:r>
      <w:r w:rsidR="00A763AA" w:rsidRPr="007F03EF">
        <w:t xml:space="preserve">dmitted </w:t>
      </w:r>
      <w:r w:rsidRPr="007F03EF">
        <w:t>patient NBEDS</w:t>
      </w:r>
      <w:r w:rsidR="00A763AA">
        <w:t>’</w:t>
      </w:r>
      <w:r w:rsidRPr="007F03EF">
        <w:t xml:space="preserve"> are used to report activity nationally and to calculate NWAU. Read more about the non-admitted patient service event counting rules and examples of how these apply in the </w:t>
      </w:r>
      <w:r w:rsidR="00C67A3C">
        <w:t>‘</w:t>
      </w:r>
      <w:hyperlink r:id="rId60" w:history="1">
        <w:r w:rsidR="00737DC2">
          <w:rPr>
            <w:rStyle w:val="Hyperlink"/>
          </w:rPr>
          <w:t>Tier 2 Non-Admitted Services 2021–22</w:t>
        </w:r>
      </w:hyperlink>
      <w:r w:rsidR="00C67A3C">
        <w:t>’</w:t>
      </w:r>
      <w:r w:rsidRPr="007F03EF">
        <w:t xml:space="preserve"> </w:t>
      </w:r>
      <w:r w:rsidR="00C67A3C">
        <w:t>&lt;</w:t>
      </w:r>
      <w:r w:rsidR="00737DC2" w:rsidRPr="00737DC2">
        <w:t>https://www.ihacpa.gov.au/resources/tier-2-non-admitted-services-2021-22</w:t>
      </w:r>
      <w:r w:rsidR="00C67A3C">
        <w:t>&gt;.</w:t>
      </w:r>
    </w:p>
    <w:p w14:paraId="42CADF62" w14:textId="560E1463" w:rsidR="00155961" w:rsidRPr="007F03EF" w:rsidRDefault="00155961" w:rsidP="002E2B5A">
      <w:pPr>
        <w:pStyle w:val="Heading4nonumber"/>
        <w:numPr>
          <w:ilvl w:val="0"/>
          <w:numId w:val="0"/>
        </w:numPr>
        <w:ind w:left="964" w:hanging="964"/>
      </w:pPr>
      <w:r w:rsidRPr="007F03EF">
        <w:t xml:space="preserve">Service </w:t>
      </w:r>
      <w:r w:rsidR="0034782A">
        <w:t>E</w:t>
      </w:r>
      <w:r w:rsidRPr="007F03EF">
        <w:t xml:space="preserve">vent </w:t>
      </w:r>
      <w:r w:rsidR="0034782A">
        <w:t>D</w:t>
      </w:r>
      <w:r w:rsidRPr="007F03EF">
        <w:t xml:space="preserve">erivation </w:t>
      </w:r>
      <w:r w:rsidR="0034782A">
        <w:t>R</w:t>
      </w:r>
      <w:r w:rsidRPr="007F03EF">
        <w:t>ules</w:t>
      </w:r>
    </w:p>
    <w:p w14:paraId="58FEA75B" w14:textId="104C944D" w:rsidR="00C72EBC" w:rsidRPr="007F03EF" w:rsidRDefault="40AE3846" w:rsidP="00F44C54">
      <w:pPr>
        <w:pStyle w:val="Body"/>
      </w:pPr>
      <w:r w:rsidRPr="007F03EF">
        <w:t>The VINAH minimum dataset</w:t>
      </w:r>
      <w:r w:rsidR="00155961" w:rsidRPr="007F03EF">
        <w:t xml:space="preserve"> collects information about services provided to non-admitted patients at the lowest level, </w:t>
      </w:r>
      <w:r w:rsidR="00D729C9" w:rsidRPr="007F03EF">
        <w:t xml:space="preserve">which is a </w:t>
      </w:r>
      <w:r w:rsidR="00155961" w:rsidRPr="007F03EF">
        <w:t xml:space="preserve">contact. For activity-based funding, multiple contacts </w:t>
      </w:r>
      <w:r w:rsidR="00E05854" w:rsidRPr="007F03EF">
        <w:t xml:space="preserve">for one patient </w:t>
      </w:r>
      <w:r w:rsidR="00155961" w:rsidRPr="007F03EF">
        <w:t>delivered on the same day may be bundled into one service event.  For further information on service event derivation rules</w:t>
      </w:r>
      <w:r w:rsidR="009726D5">
        <w:t>,</w:t>
      </w:r>
      <w:r w:rsidR="00155961" w:rsidRPr="007F03EF">
        <w:t xml:space="preserve"> refer to the</w:t>
      </w:r>
      <w:r w:rsidR="00C72EBC" w:rsidRPr="007F03EF">
        <w:t xml:space="preserve"> </w:t>
      </w:r>
      <w:hyperlink r:id="rId61" w:history="1">
        <w:r w:rsidRPr="009726D5">
          <w:rPr>
            <w:rStyle w:val="Hyperlink"/>
          </w:rPr>
          <w:t>VINAH 17 manual</w:t>
        </w:r>
      </w:hyperlink>
      <w:r w:rsidR="42E04786" w:rsidRPr="007F03EF">
        <w:t xml:space="preserve"> </w:t>
      </w:r>
      <w:r w:rsidR="00CF0D55" w:rsidRPr="007F03EF">
        <w:t>&lt;https://</w:t>
      </w:r>
      <w:r w:rsidR="005C102F" w:rsidRPr="007F03EF">
        <w:t>www</w:t>
      </w:r>
      <w:r w:rsidR="00CF0D55" w:rsidRPr="007F03EF">
        <w:t>.health.vic.gov.au/publications/vinah-manual-</w:t>
      </w:r>
      <w:r w:rsidR="005C102F" w:rsidRPr="007F03EF">
        <w:t>version-1</w:t>
      </w:r>
      <w:r w:rsidR="2569267B" w:rsidRPr="007F03EF">
        <w:t>7-2022-23</w:t>
      </w:r>
      <w:r w:rsidR="00CF0D55" w:rsidRPr="007F03EF">
        <w:t>&gt;</w:t>
      </w:r>
      <w:r w:rsidR="009726D5">
        <w:t>,</w:t>
      </w:r>
      <w:r w:rsidR="00CF0D55" w:rsidRPr="007F03EF">
        <w:t xml:space="preserve"> </w:t>
      </w:r>
      <w:r w:rsidR="009726D5">
        <w:t>s</w:t>
      </w:r>
      <w:r w:rsidR="009726D5" w:rsidRPr="007F03EF">
        <w:t xml:space="preserve">ection </w:t>
      </w:r>
      <w:r w:rsidR="00CF0D55" w:rsidRPr="007F03EF">
        <w:t>2</w:t>
      </w:r>
      <w:r w:rsidR="009726D5">
        <w:t>, ‘</w:t>
      </w:r>
      <w:r w:rsidR="00CF0D55" w:rsidRPr="007F03EF">
        <w:t>Concepts and derived terms</w:t>
      </w:r>
      <w:r w:rsidR="009726D5">
        <w:t>’</w:t>
      </w:r>
      <w:r w:rsidR="00CF0D55" w:rsidRPr="007F03EF">
        <w:t>.</w:t>
      </w:r>
    </w:p>
    <w:p w14:paraId="6C65FCE6" w14:textId="73EEA185" w:rsidR="001F1E6A" w:rsidRPr="007F03EF" w:rsidRDefault="001F1E6A" w:rsidP="002E2B5A">
      <w:pPr>
        <w:pStyle w:val="Heading4nonumber"/>
        <w:numPr>
          <w:ilvl w:val="0"/>
          <w:numId w:val="0"/>
        </w:numPr>
        <w:ind w:left="964" w:hanging="964"/>
      </w:pPr>
      <w:r w:rsidRPr="007F03EF">
        <w:lastRenderedPageBreak/>
        <w:t xml:space="preserve">Patient </w:t>
      </w:r>
      <w:r w:rsidR="0034782A">
        <w:t>C</w:t>
      </w:r>
      <w:r w:rsidRPr="007F03EF">
        <w:t>lassification</w:t>
      </w:r>
    </w:p>
    <w:p w14:paraId="6DADD0C2" w14:textId="6209E50D" w:rsidR="00155961" w:rsidRPr="007F03EF" w:rsidRDefault="00155961" w:rsidP="00155961">
      <w:pPr>
        <w:pStyle w:val="Body"/>
      </w:pPr>
      <w:r w:rsidRPr="007F03EF">
        <w:t>Victoria is required to classify non-admitted activity using the Tier 2 Non-Admitted Services Classification (Tier</w:t>
      </w:r>
      <w:r w:rsidR="00DE2873" w:rsidRPr="007F03EF">
        <w:t xml:space="preserve"> </w:t>
      </w:r>
      <w:r w:rsidRPr="007F03EF">
        <w:t xml:space="preserve">2). Tier 2 is a broad clinic-based classification system that supports activity-based funding of non-admitted services in the Australian public hospital system.  </w:t>
      </w:r>
    </w:p>
    <w:p w14:paraId="402E9AE3" w14:textId="77777777" w:rsidR="00155961" w:rsidRPr="007F03EF" w:rsidRDefault="00155961" w:rsidP="00155961">
      <w:pPr>
        <w:pStyle w:val="Body"/>
      </w:pPr>
      <w:r w:rsidRPr="007F03EF">
        <w:t>Tier 2 groups a hospital’s non-admitted services into classes to reflect generally the nature of the service provided and the type of clinician providing the service. The structure of the classification is first differentiated by the nature of the non-admitted service provided. The major categories are: </w:t>
      </w:r>
    </w:p>
    <w:p w14:paraId="56F8CC68" w14:textId="247ED20B" w:rsidR="00155961" w:rsidRPr="007F03EF" w:rsidRDefault="00155961" w:rsidP="00E05C4E">
      <w:pPr>
        <w:pStyle w:val="Bullet1"/>
      </w:pPr>
      <w:r w:rsidRPr="007F03EF">
        <w:t xml:space="preserve">procedures  </w:t>
      </w:r>
    </w:p>
    <w:p w14:paraId="21C698BC" w14:textId="092213DF" w:rsidR="00155961" w:rsidRPr="007F03EF" w:rsidRDefault="00155961" w:rsidP="00E05C4E">
      <w:pPr>
        <w:pStyle w:val="Bullet1"/>
      </w:pPr>
      <w:r w:rsidRPr="007F03EF">
        <w:t xml:space="preserve">medical consultation services  </w:t>
      </w:r>
    </w:p>
    <w:p w14:paraId="5ADE2DCD" w14:textId="549518A6" w:rsidR="00155961" w:rsidRPr="007F03EF" w:rsidRDefault="00155961" w:rsidP="00E05C4E">
      <w:pPr>
        <w:pStyle w:val="Bullet1"/>
      </w:pPr>
      <w:r w:rsidRPr="007F03EF">
        <w:t>diagnostic services </w:t>
      </w:r>
    </w:p>
    <w:p w14:paraId="188FF295" w14:textId="77E8278E" w:rsidR="00155961" w:rsidRPr="007F03EF" w:rsidRDefault="00155961" w:rsidP="00E05C4E">
      <w:pPr>
        <w:pStyle w:val="Bullet1"/>
      </w:pPr>
      <w:r w:rsidRPr="007F03EF">
        <w:t xml:space="preserve">allied health and/or clinical nurse specialist intervention services.  </w:t>
      </w:r>
    </w:p>
    <w:p w14:paraId="655A0130" w14:textId="3CE84517" w:rsidR="00155961" w:rsidRPr="007F03EF" w:rsidRDefault="00155961" w:rsidP="00155961">
      <w:pPr>
        <w:pStyle w:val="Bodyafterbullets"/>
      </w:pPr>
      <w:r w:rsidRPr="007F03EF">
        <w:t>Classification rules exist to guide the decision making regarding which Tier 2 class a clinic should be classified to. The IH</w:t>
      </w:r>
      <w:r w:rsidR="007A6644">
        <w:t>AC</w:t>
      </w:r>
      <w:r w:rsidRPr="007F03EF">
        <w:t xml:space="preserve">PA has developed two reference documents to assist with consistently allocating non-admitted services to a Tier 2 class:  </w:t>
      </w:r>
    </w:p>
    <w:p w14:paraId="48EC7E15" w14:textId="77777777" w:rsidR="00155961" w:rsidRPr="007F03EF" w:rsidRDefault="00155961" w:rsidP="00E05C4E">
      <w:pPr>
        <w:pStyle w:val="Bullet1"/>
      </w:pPr>
      <w:r w:rsidRPr="007F03EF">
        <w:t xml:space="preserve">Tier 2 Non-Admitted Services Compendium  </w:t>
      </w:r>
    </w:p>
    <w:p w14:paraId="33ADB7D5" w14:textId="77777777" w:rsidR="00155961" w:rsidRPr="007F03EF" w:rsidRDefault="00155961" w:rsidP="00E05C4E">
      <w:pPr>
        <w:pStyle w:val="Bullet1"/>
      </w:pPr>
      <w:r w:rsidRPr="007F03EF">
        <w:t xml:space="preserve">Tier 2 Non-Admitted Services National Index.   </w:t>
      </w:r>
    </w:p>
    <w:p w14:paraId="6D7C9155" w14:textId="2C6EB5B3" w:rsidR="001F1E6A" w:rsidRPr="007F03EF" w:rsidRDefault="00155961" w:rsidP="00155961">
      <w:pPr>
        <w:pStyle w:val="Bodyafterbullets"/>
      </w:pPr>
      <w:r w:rsidRPr="007F03EF">
        <w:t xml:space="preserve">Read more about the </w:t>
      </w:r>
      <w:hyperlink r:id="rId62" w:history="1">
        <w:r w:rsidR="009A3765" w:rsidRPr="007F03EF">
          <w:rPr>
            <w:rStyle w:val="Hyperlink"/>
          </w:rPr>
          <w:t>Tier 2 classification</w:t>
        </w:r>
      </w:hyperlink>
      <w:r w:rsidRPr="007F03EF">
        <w:t xml:space="preserve"> &lt;</w:t>
      </w:r>
      <w:r w:rsidR="008358CF" w:rsidRPr="008358CF">
        <w:t>https://www.ihacpa.gov.au/health-care/classifications/non-admitted-care/tier-2</w:t>
      </w:r>
      <w:r w:rsidR="008358CF" w:rsidRPr="007F03EF">
        <w:t xml:space="preserve"> </w:t>
      </w:r>
      <w:r w:rsidRPr="007F03EF">
        <w:t>&gt;</w:t>
      </w:r>
      <w:r w:rsidR="001F1E6A" w:rsidRPr="007F03EF">
        <w:t xml:space="preserve">.  </w:t>
      </w:r>
    </w:p>
    <w:p w14:paraId="229FFF60" w14:textId="2A12312C" w:rsidR="00D47072" w:rsidRPr="007F03EF" w:rsidRDefault="00D47072" w:rsidP="002E2B5A">
      <w:pPr>
        <w:pStyle w:val="Heading4nonumber"/>
        <w:numPr>
          <w:ilvl w:val="0"/>
          <w:numId w:val="0"/>
        </w:numPr>
        <w:ind w:left="964" w:hanging="964"/>
      </w:pPr>
      <w:r w:rsidRPr="007F03EF">
        <w:t xml:space="preserve">Patient </w:t>
      </w:r>
      <w:r w:rsidR="0034782A">
        <w:t>C</w:t>
      </w:r>
      <w:r w:rsidRPr="007F03EF">
        <w:t>osting</w:t>
      </w:r>
    </w:p>
    <w:p w14:paraId="7460C36E" w14:textId="0E4EACA9" w:rsidR="00D47072" w:rsidRPr="007F03EF" w:rsidRDefault="00D47072" w:rsidP="00D47072">
      <w:pPr>
        <w:pStyle w:val="Body"/>
      </w:pPr>
      <w:r w:rsidRPr="007F03EF">
        <w:t xml:space="preserve">From July 2021, the department will use the National Efficient Price Determination price weights for Tier 2 clinics published by the Independent </w:t>
      </w:r>
      <w:r w:rsidR="00A913CA" w:rsidRPr="007F03EF">
        <w:t>H</w:t>
      </w:r>
      <w:r w:rsidR="00A913CA">
        <w:t>ealth</w:t>
      </w:r>
      <w:r w:rsidR="00A913CA" w:rsidRPr="007F03EF">
        <w:t xml:space="preserve"> </w:t>
      </w:r>
      <w:r w:rsidRPr="007F03EF">
        <w:t>Pricing Authority</w:t>
      </w:r>
      <w:r w:rsidR="6A34C0CF" w:rsidRPr="007F03EF">
        <w:t>.</w:t>
      </w:r>
      <w:r w:rsidRPr="007F03EF">
        <w:t xml:space="preserve"> These price weights are based on national cost data which includes patient</w:t>
      </w:r>
      <w:r w:rsidR="00B34795">
        <w:t>-</w:t>
      </w:r>
      <w:r w:rsidRPr="007F03EF">
        <w:t>level cost data reported to the Victorian Cost Data Collection. As the cost data is used to determine the funding, all health services are expected to report patient</w:t>
      </w:r>
      <w:r w:rsidR="00B34795">
        <w:t>-</w:t>
      </w:r>
      <w:r w:rsidRPr="007F03EF">
        <w:t>level cost data to the Victorian Cost Data Collection.</w:t>
      </w:r>
      <w:r w:rsidR="6A34C0CF" w:rsidRPr="007F03EF">
        <w:t> </w:t>
      </w:r>
      <w:r w:rsidRPr="007F03EF">
        <w:t xml:space="preserve"> </w:t>
      </w:r>
    </w:p>
    <w:p w14:paraId="6F14CEDA" w14:textId="56A961B6" w:rsidR="00D47072" w:rsidRPr="007F03EF" w:rsidRDefault="00D47072" w:rsidP="00D47072">
      <w:pPr>
        <w:pStyle w:val="Body"/>
      </w:pPr>
      <w:r w:rsidRPr="007F03EF">
        <w:t xml:space="preserve">Cost data should consider all services and consumables used in the treatment of the patient. Such as consumables, diagnostic imaging and pathology, pharmacy, equipment, maintenance, overheads, equipment, tests, drugs and consultations with all healthcare providers involved.  </w:t>
      </w:r>
    </w:p>
    <w:p w14:paraId="5EE06A01" w14:textId="563A6B9A" w:rsidR="001F1E6A" w:rsidRPr="007F03EF" w:rsidRDefault="001F1E6A" w:rsidP="00D47072">
      <w:pPr>
        <w:pStyle w:val="Heading3"/>
      </w:pPr>
      <w:bookmarkStart w:id="268" w:name="_Toc100263307"/>
      <w:bookmarkStart w:id="269" w:name="_Toc127191955"/>
      <w:r w:rsidRPr="007F03EF">
        <w:t xml:space="preserve">NWAU </w:t>
      </w:r>
      <w:r w:rsidR="0034782A">
        <w:t>P</w:t>
      </w:r>
      <w:r w:rsidRPr="007F03EF">
        <w:t xml:space="preserve">rice </w:t>
      </w:r>
      <w:r w:rsidR="0034782A">
        <w:t>W</w:t>
      </w:r>
      <w:r w:rsidRPr="007F03EF">
        <w:t>eights</w:t>
      </w:r>
      <w:bookmarkEnd w:id="268"/>
      <w:bookmarkEnd w:id="269"/>
    </w:p>
    <w:p w14:paraId="22C3AE37" w14:textId="37EE0828" w:rsidR="001F1E6A" w:rsidRPr="007F03EF" w:rsidRDefault="00D47072" w:rsidP="00D47072">
      <w:pPr>
        <w:pStyle w:val="Body"/>
      </w:pPr>
      <w:r w:rsidRPr="007F03EF">
        <w:t>Price weights for non-admitted patients (Tier 2 7.0) expressed as national weighted activity unit 2022–23 (NWAU</w:t>
      </w:r>
      <w:r w:rsidR="00ED41FF">
        <w:t xml:space="preserve"> </w:t>
      </w:r>
      <w:r w:rsidRPr="007F03EF">
        <w:t>(22)) are set out in the</w:t>
      </w:r>
      <w:r w:rsidR="00B03866">
        <w:t xml:space="preserve"> </w:t>
      </w:r>
      <w:hyperlink r:id="rId63" w:history="1">
        <w:r w:rsidR="00E05E4C">
          <w:rPr>
            <w:rStyle w:val="Hyperlink"/>
          </w:rPr>
          <w:t>National Efficient Price Determination 2022–23 webpage</w:t>
        </w:r>
      </w:hyperlink>
      <w:r w:rsidR="001F1E6A" w:rsidRPr="007F03EF">
        <w:t xml:space="preserve"> </w:t>
      </w:r>
      <w:r w:rsidR="7F6BD2FC" w:rsidRPr="007F03EF">
        <w:t>&lt;</w:t>
      </w:r>
      <w:r w:rsidR="006548D4" w:rsidRPr="006548D4">
        <w:t>https://www.ihacpa.gov.au/resources/national-efficient-price-determination-2022-23</w:t>
      </w:r>
      <w:r w:rsidR="7F6BD2FC" w:rsidRPr="007F03EF">
        <w:t>&gt;</w:t>
      </w:r>
      <w:r w:rsidR="00154457" w:rsidRPr="007F03EF">
        <w:t>.</w:t>
      </w:r>
    </w:p>
    <w:p w14:paraId="0DC4E64D" w14:textId="73D73EDC" w:rsidR="00D47072" w:rsidRPr="007F03EF" w:rsidRDefault="00D47072" w:rsidP="002E2B5A">
      <w:pPr>
        <w:pStyle w:val="Heading4nonumber"/>
        <w:numPr>
          <w:ilvl w:val="0"/>
          <w:numId w:val="0"/>
        </w:numPr>
        <w:ind w:left="964" w:hanging="964"/>
      </w:pPr>
      <w:r w:rsidRPr="007F03EF">
        <w:t>Adjustments</w:t>
      </w:r>
    </w:p>
    <w:p w14:paraId="55C3D6B0" w14:textId="3B16692C" w:rsidR="00D47072" w:rsidRPr="007F03EF" w:rsidRDefault="00D47072" w:rsidP="00D47072">
      <w:pPr>
        <w:pStyle w:val="Body"/>
      </w:pPr>
      <w:r w:rsidRPr="007F03EF">
        <w:t>The following adjustments to price weights, expressed as national weighted activity units, apply to non</w:t>
      </w:r>
      <w:r w:rsidR="00C33C2A" w:rsidRPr="007F03EF">
        <w:t>-</w:t>
      </w:r>
      <w:r w:rsidRPr="007F03EF">
        <w:t xml:space="preserve">admitted patient service events as stated in the National Efficient Price Determination </w:t>
      </w:r>
      <w:r w:rsidR="002E7EEF" w:rsidRPr="007F03EF">
        <w:t>2022</w:t>
      </w:r>
      <w:r w:rsidR="00370A86">
        <w:t>–</w:t>
      </w:r>
      <w:r w:rsidR="002E7EEF" w:rsidRPr="007F03EF">
        <w:t>23</w:t>
      </w:r>
      <w:r w:rsidRPr="007F03EF">
        <w:t>:</w:t>
      </w:r>
    </w:p>
    <w:p w14:paraId="550FF90D" w14:textId="65CD7F98" w:rsidR="00D47072" w:rsidRPr="007F03EF" w:rsidRDefault="00370A86" w:rsidP="00E05C4E">
      <w:pPr>
        <w:pStyle w:val="Bullet1"/>
      </w:pPr>
      <w:r>
        <w:t>p</w:t>
      </w:r>
      <w:r w:rsidRPr="007F03EF">
        <w:t xml:space="preserve">atient </w:t>
      </w:r>
      <w:r w:rsidR="00D47072" w:rsidRPr="007F03EF">
        <w:t>treatment remoteness area adjustment</w:t>
      </w:r>
    </w:p>
    <w:p w14:paraId="60D23CC4" w14:textId="3E42553C" w:rsidR="00D47072" w:rsidRPr="007F03EF" w:rsidRDefault="00D47072" w:rsidP="00E05C4E">
      <w:pPr>
        <w:pStyle w:val="Bullet1"/>
      </w:pPr>
      <w:r w:rsidRPr="007F03EF">
        <w:t>Indigenous adjustment</w:t>
      </w:r>
    </w:p>
    <w:p w14:paraId="7C720B42" w14:textId="29C28570" w:rsidR="00D47072" w:rsidRPr="007F03EF" w:rsidRDefault="00370A86" w:rsidP="00E05C4E">
      <w:pPr>
        <w:pStyle w:val="Bullet1"/>
      </w:pPr>
      <w:r>
        <w:t>p</w:t>
      </w:r>
      <w:r w:rsidRPr="007F03EF">
        <w:t xml:space="preserve">aediatric </w:t>
      </w:r>
      <w:r w:rsidR="00D47072" w:rsidRPr="007F03EF">
        <w:t xml:space="preserve">adjustment where an </w:t>
      </w:r>
      <w:r>
        <w:t>activity-based funding</w:t>
      </w:r>
      <w:r w:rsidRPr="007F03EF">
        <w:t xml:space="preserve"> </w:t>
      </w:r>
      <w:r w:rsidR="00D47072" w:rsidRPr="007F03EF">
        <w:t>activity is in respect of a person who is:</w:t>
      </w:r>
    </w:p>
    <w:p w14:paraId="3E26DDEF" w14:textId="0C3CCA32" w:rsidR="00D47072" w:rsidRPr="00AE6427" w:rsidRDefault="667F3D82" w:rsidP="005960F1">
      <w:pPr>
        <w:pStyle w:val="Bullet2"/>
      </w:pPr>
      <w:r w:rsidRPr="00370A86">
        <w:t>a</w:t>
      </w:r>
      <w:r w:rsidR="0CAA455E" w:rsidRPr="00370A86">
        <w:t>ged up to and including 17 years</w:t>
      </w:r>
    </w:p>
    <w:p w14:paraId="741CF682" w14:textId="49394376" w:rsidR="00D47072" w:rsidRPr="00AE6427" w:rsidRDefault="667F3D82" w:rsidP="005960F1">
      <w:pPr>
        <w:pStyle w:val="Bullet2"/>
      </w:pPr>
      <w:r w:rsidRPr="00370A86">
        <w:t>i</w:t>
      </w:r>
      <w:r w:rsidR="0CAA455E" w:rsidRPr="00370A86">
        <w:t>s treated by a specialist children’s hospital as defined by the National Efficient Price Determination (Monash Medical Centre – Clayton Campus and The Royal Children’s Hospital only)</w:t>
      </w:r>
    </w:p>
    <w:p w14:paraId="1629CD85" w14:textId="69771F51" w:rsidR="00D47072" w:rsidRPr="007F03EF" w:rsidRDefault="00D47072" w:rsidP="00E05C4E">
      <w:pPr>
        <w:pStyle w:val="Bullet1"/>
      </w:pPr>
      <w:r w:rsidRPr="007F03EF">
        <w:t xml:space="preserve">Multidisciplinary clinic adjustment NWAU Base funding </w:t>
      </w:r>
    </w:p>
    <w:p w14:paraId="5EA8AED7" w14:textId="4B789727" w:rsidR="00D47072" w:rsidRPr="007F03EF" w:rsidRDefault="00D47072" w:rsidP="00D47072">
      <w:pPr>
        <w:pStyle w:val="Bodyafterbullets"/>
      </w:pPr>
      <w:r w:rsidRPr="007F03EF">
        <w:lastRenderedPageBreak/>
        <w:t>Most non-admitted patient service events reported to the AIMS S10, S11</w:t>
      </w:r>
      <w:r w:rsidR="00310BCB" w:rsidRPr="007F03EF">
        <w:t>, S11A</w:t>
      </w:r>
      <w:r w:rsidRPr="007F03EF">
        <w:t xml:space="preserve">and S12 data collections or </w:t>
      </w:r>
      <w:r w:rsidR="459D3EFC" w:rsidRPr="007F03EF">
        <w:t>the VINAH</w:t>
      </w:r>
      <w:r w:rsidR="005A552C" w:rsidRPr="007F03EF">
        <w:t xml:space="preserve"> </w:t>
      </w:r>
      <w:r w:rsidR="459D3EFC" w:rsidRPr="007F03EF">
        <w:t>minimum dataset</w:t>
      </w:r>
      <w:r w:rsidRPr="007F03EF">
        <w:t xml:space="preserve"> will be allocated a price weight based on </w:t>
      </w:r>
      <w:r w:rsidR="00370A86" w:rsidRPr="007F03EF">
        <w:t xml:space="preserve">the </w:t>
      </w:r>
      <w:r w:rsidR="00C71497">
        <w:t>N</w:t>
      </w:r>
      <w:r w:rsidR="00370A86" w:rsidRPr="007F03EF">
        <w:t xml:space="preserve">ational </w:t>
      </w:r>
      <w:r w:rsidR="00C71497">
        <w:t>E</w:t>
      </w:r>
      <w:r w:rsidR="00370A86" w:rsidRPr="007F03EF">
        <w:t xml:space="preserve">fficient </w:t>
      </w:r>
      <w:r w:rsidR="00C71497">
        <w:t>P</w:t>
      </w:r>
      <w:r w:rsidR="00370A86" w:rsidRPr="007F03EF">
        <w:t>rice.</w:t>
      </w:r>
      <w:r w:rsidRPr="007F03EF">
        <w:t xml:space="preserve"> However, a price weight will not be allocated for Tier 2 clinics that are funded by another Victorian funding model.</w:t>
      </w:r>
    </w:p>
    <w:p w14:paraId="47FF3997" w14:textId="289706BF" w:rsidR="001F1E6A" w:rsidRPr="007F03EF" w:rsidRDefault="001F1E6A" w:rsidP="00D47072">
      <w:pPr>
        <w:pStyle w:val="Heading3"/>
      </w:pPr>
      <w:bookmarkStart w:id="270" w:name="_Toc100263308"/>
      <w:bookmarkStart w:id="271" w:name="_Toc127191956"/>
      <w:r w:rsidRPr="007F03EF">
        <w:t>Pricing</w:t>
      </w:r>
      <w:bookmarkEnd w:id="270"/>
      <w:bookmarkEnd w:id="271"/>
    </w:p>
    <w:p w14:paraId="788E6C32" w14:textId="63E29C5C" w:rsidR="001F1E6A" w:rsidRPr="007F03EF" w:rsidRDefault="034943CB" w:rsidP="001F1E6A">
      <w:pPr>
        <w:pStyle w:val="Body"/>
      </w:pPr>
      <w:r w:rsidRPr="007F03EF">
        <w:t xml:space="preserve">The Victorian </w:t>
      </w:r>
      <w:r w:rsidR="00D023FD">
        <w:t>E</w:t>
      </w:r>
      <w:r w:rsidR="00370A86" w:rsidRPr="007F03EF">
        <w:t xml:space="preserve">fficient </w:t>
      </w:r>
      <w:r w:rsidR="00D023FD">
        <w:t>P</w:t>
      </w:r>
      <w:r w:rsidR="00370A86" w:rsidRPr="007F03EF">
        <w:t xml:space="preserve">rice </w:t>
      </w:r>
      <w:r w:rsidRPr="007F03EF">
        <w:t xml:space="preserve">(VEP) differs </w:t>
      </w:r>
      <w:r w:rsidR="00370A86">
        <w:t>from</w:t>
      </w:r>
      <w:r w:rsidR="00370A86" w:rsidRPr="007F03EF">
        <w:t xml:space="preserve"> </w:t>
      </w:r>
      <w:r w:rsidRPr="007F03EF">
        <w:t xml:space="preserve">the </w:t>
      </w:r>
      <w:r w:rsidR="00C71497">
        <w:t>N</w:t>
      </w:r>
      <w:r w:rsidR="00370A86" w:rsidRPr="007F03EF">
        <w:t xml:space="preserve">ational </w:t>
      </w:r>
      <w:r w:rsidR="00C71497">
        <w:t>E</w:t>
      </w:r>
      <w:r w:rsidR="00370A86" w:rsidRPr="007F03EF">
        <w:t xml:space="preserve">fficient </w:t>
      </w:r>
      <w:r w:rsidR="00C71497">
        <w:t>P</w:t>
      </w:r>
      <w:r w:rsidR="00370A86" w:rsidRPr="007F03EF">
        <w:t>rice</w:t>
      </w:r>
      <w:r w:rsidRPr="007F03EF">
        <w:t xml:space="preserve">. The VEP </w:t>
      </w:r>
      <w:r w:rsidR="53DD72BA" w:rsidRPr="007F03EF">
        <w:t xml:space="preserve">used to </w:t>
      </w:r>
      <w:r w:rsidRPr="007F03EF">
        <w:t xml:space="preserve">fund </w:t>
      </w:r>
      <w:r w:rsidR="5D1B785F" w:rsidRPr="007F03EF">
        <w:t xml:space="preserve">NWAU </w:t>
      </w:r>
      <w:r w:rsidRPr="007F03EF">
        <w:t>growth and considers other forms of funding. It is not the same as the national cost per NWAU.</w:t>
      </w:r>
    </w:p>
    <w:p w14:paraId="229CED67" w14:textId="0BD67EDD" w:rsidR="001F1E6A" w:rsidRPr="007F03EF" w:rsidRDefault="034943CB" w:rsidP="001F1E6A">
      <w:pPr>
        <w:pStyle w:val="Body"/>
      </w:pPr>
      <w:r w:rsidRPr="007F03EF">
        <w:t xml:space="preserve">The Victorian </w:t>
      </w:r>
      <w:r w:rsidR="00D023FD">
        <w:t>E</w:t>
      </w:r>
      <w:r w:rsidR="00370A86" w:rsidRPr="007F03EF">
        <w:t xml:space="preserve">fficient </w:t>
      </w:r>
      <w:r w:rsidR="00D023FD">
        <w:t>P</w:t>
      </w:r>
      <w:r w:rsidR="00370A86" w:rsidRPr="007F03EF">
        <w:t xml:space="preserve">rice </w:t>
      </w:r>
      <w:r w:rsidRPr="007F03EF">
        <w:t xml:space="preserve">can be found </w:t>
      </w:r>
      <w:r w:rsidR="00777E96" w:rsidRPr="007F03EF">
        <w:t xml:space="preserve">on </w:t>
      </w:r>
      <w:r w:rsidR="008B228A" w:rsidRPr="007F03EF">
        <w:fldChar w:fldCharType="begin"/>
      </w:r>
      <w:r w:rsidR="008B228A" w:rsidRPr="007F03EF">
        <w:instrText xml:space="preserve"> REF _Ref108526914 \r \h </w:instrText>
      </w:r>
      <w:r w:rsidR="007F03EF">
        <w:instrText xml:space="preserve"> \* MERGEFORMAT </w:instrText>
      </w:r>
      <w:r w:rsidR="008B228A" w:rsidRPr="007F03EF">
        <w:fldChar w:fldCharType="separate"/>
      </w:r>
      <w:r w:rsidR="006D0756">
        <w:t>Table 1.9</w:t>
      </w:r>
      <w:r w:rsidR="008B228A" w:rsidRPr="007F03EF">
        <w:fldChar w:fldCharType="end"/>
      </w:r>
      <w:r w:rsidR="008B228A" w:rsidRPr="007F03EF">
        <w:t xml:space="preserve"> </w:t>
      </w:r>
      <w:r w:rsidR="00D023FD">
        <w:t>‘</w:t>
      </w:r>
      <w:r w:rsidR="00777E96" w:rsidRPr="007F03EF">
        <w:t xml:space="preserve">Victorian </w:t>
      </w:r>
      <w:r w:rsidR="00D023FD">
        <w:t>E</w:t>
      </w:r>
      <w:r w:rsidR="00370A86" w:rsidRPr="007F03EF">
        <w:t xml:space="preserve">fficient </w:t>
      </w:r>
      <w:r w:rsidR="00D023FD">
        <w:t>P</w:t>
      </w:r>
      <w:r w:rsidR="00370A86" w:rsidRPr="007F03EF">
        <w:t>rice</w:t>
      </w:r>
      <w:r w:rsidR="00D023FD">
        <w:t>’</w:t>
      </w:r>
      <w:r w:rsidR="00370A86" w:rsidRPr="007F03EF">
        <w:t xml:space="preserve"> </w:t>
      </w:r>
      <w:r w:rsidRPr="007F03EF">
        <w:t xml:space="preserve">in section </w:t>
      </w:r>
      <w:r w:rsidRPr="007F03EF">
        <w:fldChar w:fldCharType="begin"/>
      </w:r>
      <w:r w:rsidRPr="007F03EF">
        <w:instrText xml:space="preserve"> REF _Ref77777682 \r \h </w:instrText>
      </w:r>
      <w:r w:rsidR="007F03EF">
        <w:instrText xml:space="preserve"> \* MERGEFORMAT </w:instrText>
      </w:r>
      <w:r w:rsidRPr="007F03EF">
        <w:fldChar w:fldCharType="separate"/>
      </w:r>
      <w:r w:rsidR="006D0756">
        <w:t>1.21</w:t>
      </w:r>
      <w:r w:rsidRPr="007F03EF">
        <w:fldChar w:fldCharType="end"/>
      </w:r>
      <w:r w:rsidR="72DA81F2" w:rsidRPr="007F03EF">
        <w:t xml:space="preserve"> ‘</w:t>
      </w:r>
      <w:r w:rsidRPr="007F03EF">
        <w:fldChar w:fldCharType="begin"/>
      </w:r>
      <w:r w:rsidRPr="007F03EF">
        <w:instrText xml:space="preserve"> REF _Ref70881789 \h </w:instrText>
      </w:r>
      <w:r w:rsidR="007F03EF">
        <w:instrText xml:space="preserve"> \* MERGEFORMAT </w:instrText>
      </w:r>
      <w:r w:rsidRPr="007F03EF">
        <w:fldChar w:fldCharType="separate"/>
      </w:r>
      <w:r w:rsidR="006D0756">
        <w:t>Price Tables</w:t>
      </w:r>
      <w:r w:rsidRPr="007F03EF">
        <w:fldChar w:fldCharType="end"/>
      </w:r>
      <w:r w:rsidR="69428F30" w:rsidRPr="007F03EF">
        <w:t>'.</w:t>
      </w:r>
    </w:p>
    <w:p w14:paraId="58AF06C9" w14:textId="3B748596" w:rsidR="001F1E6A" w:rsidRPr="007F03EF" w:rsidRDefault="034943CB" w:rsidP="001F1E6A">
      <w:pPr>
        <w:pStyle w:val="Body"/>
      </w:pPr>
      <w:r w:rsidRPr="007F03EF">
        <w:t>The growth funding for demand above existing activity levels can be calculated by multiplying NWAU by the VEP for the relevant price group.</w:t>
      </w:r>
    </w:p>
    <w:p w14:paraId="2F1E63BC" w14:textId="5888FFA5" w:rsidR="00007561" w:rsidRPr="007F03EF" w:rsidRDefault="00007561" w:rsidP="00007561">
      <w:pPr>
        <w:pStyle w:val="Heading3"/>
      </w:pPr>
      <w:bookmarkStart w:id="272" w:name="_Toc77588930"/>
      <w:bookmarkStart w:id="273" w:name="_Toc100263309"/>
      <w:bookmarkStart w:id="274" w:name="_Toc127191957"/>
      <w:r w:rsidRPr="007F03EF">
        <w:t>Acute NHRA</w:t>
      </w:r>
      <w:r w:rsidR="00370A86">
        <w:t>-</w:t>
      </w:r>
      <w:r w:rsidR="0034782A">
        <w:t>F</w:t>
      </w:r>
      <w:r w:rsidRPr="007F03EF">
        <w:t xml:space="preserve">unded </w:t>
      </w:r>
      <w:r w:rsidR="0034782A">
        <w:t>S</w:t>
      </w:r>
      <w:r w:rsidR="00370A86" w:rsidRPr="007F03EF">
        <w:t xml:space="preserve">pecialist </w:t>
      </w:r>
      <w:r w:rsidR="0034782A">
        <w:t>C</w:t>
      </w:r>
      <w:r w:rsidR="00370A86" w:rsidRPr="007F03EF">
        <w:t xml:space="preserve">linics </w:t>
      </w:r>
      <w:r w:rsidR="0034782A">
        <w:t>S</w:t>
      </w:r>
      <w:r w:rsidR="00370A86" w:rsidRPr="007F03EF">
        <w:t>ervices</w:t>
      </w:r>
      <w:bookmarkEnd w:id="272"/>
      <w:bookmarkEnd w:id="273"/>
      <w:bookmarkEnd w:id="274"/>
    </w:p>
    <w:p w14:paraId="3BE4EF93" w14:textId="707A1EF7" w:rsidR="00007561" w:rsidRPr="007F03EF" w:rsidRDefault="667F3D82" w:rsidP="00F44C54">
      <w:pPr>
        <w:pStyle w:val="Body"/>
      </w:pPr>
      <w:r>
        <w:t xml:space="preserve">Public specialist activity is funded under the National Health Reform Agreement (NHRA). Health services may operate parallel public </w:t>
      </w:r>
      <w:r w:rsidR="00701D56">
        <w:t>NHRA-</w:t>
      </w:r>
      <w:r>
        <w:t>funded clinics and public MBS-billed clinics. Public MBS</w:t>
      </w:r>
      <w:r w:rsidR="00B34795">
        <w:t>-</w:t>
      </w:r>
      <w:r>
        <w:t>billed clinics are not funded under the NHRA and therefore do not attract NWAU.</w:t>
      </w:r>
    </w:p>
    <w:p w14:paraId="58C7B0CB" w14:textId="0DC24B53" w:rsidR="00007561" w:rsidRPr="007F03EF" w:rsidRDefault="00007561" w:rsidP="00F44C54">
      <w:pPr>
        <w:pStyle w:val="Body"/>
      </w:pPr>
      <w:r w:rsidRPr="007F03EF">
        <w:t>Acute NHRA</w:t>
      </w:r>
      <w:r w:rsidR="00B34795">
        <w:t>-</w:t>
      </w:r>
      <w:r w:rsidRPr="007F03EF">
        <w:t xml:space="preserve">funded specialist clinics between July 2017 and June 2020, were shadowed by the department using the WASE activity-based funding model which adopted elements of the national funding model. Further work on this model ceased with funding reverting to being block funded from July 2020 while work on </w:t>
      </w:r>
      <w:r w:rsidR="09BC00F7" w:rsidRPr="007F03EF">
        <w:t xml:space="preserve">transitioning </w:t>
      </w:r>
      <w:r w:rsidR="00171F51" w:rsidRPr="007F03EF">
        <w:t>to</w:t>
      </w:r>
      <w:r w:rsidR="09BC00F7" w:rsidRPr="007F03EF">
        <w:t xml:space="preserve"> </w:t>
      </w:r>
      <w:r w:rsidRPr="007F03EF">
        <w:t>NWAU was undertaken.</w:t>
      </w:r>
    </w:p>
    <w:p w14:paraId="7FD64624" w14:textId="3ECDA71F" w:rsidR="00007561" w:rsidRPr="007F03EF" w:rsidRDefault="667F3D82" w:rsidP="00F44C54">
      <w:pPr>
        <w:pStyle w:val="Body"/>
      </w:pPr>
      <w:r w:rsidRPr="007F03EF">
        <w:t>All public hospitals classified as an activity</w:t>
      </w:r>
      <w:r w:rsidR="00701D56">
        <w:t>-</w:t>
      </w:r>
      <w:r w:rsidRPr="007F03EF">
        <w:t xml:space="preserve">based funded health service or small rural health service under the NHRA should register non-admitted clinics with the department. Clinics are registered in the </w:t>
      </w:r>
      <w:r w:rsidR="31EDDCAC" w:rsidRPr="31EDDCAC">
        <w:rPr>
          <w:color w:val="000000" w:themeColor="text1"/>
          <w:szCs w:val="21"/>
        </w:rPr>
        <w:t>Non-Admitted Clinic Management System</w:t>
      </w:r>
      <w:r w:rsidR="31EDDCAC" w:rsidRPr="31EDDCAC">
        <w:t xml:space="preserve"> (</w:t>
      </w:r>
      <w:r w:rsidRPr="007F03EF">
        <w:t xml:space="preserve">NACMS). This can be done via the </w:t>
      </w:r>
      <w:hyperlink r:id="rId64" w:history="1">
        <w:r w:rsidR="0F9D13F2" w:rsidRPr="007F03EF">
          <w:rPr>
            <w:rStyle w:val="Hyperlink"/>
          </w:rPr>
          <w:t>HealthCollect portal</w:t>
        </w:r>
      </w:hyperlink>
      <w:r w:rsidR="004D0950" w:rsidRPr="007F03EF">
        <w:rPr>
          <w:rStyle w:val="FootnoteReference"/>
          <w:color w:val="004C97"/>
          <w:u w:val="dotted"/>
        </w:rPr>
        <w:footnoteReference w:id="4"/>
      </w:r>
      <w:r w:rsidRPr="007F03EF">
        <w:t xml:space="preserve"> &lt;</w:t>
      </w:r>
      <w:r w:rsidR="0F9D13F2" w:rsidRPr="007F03EF">
        <w:t>https://</w:t>
      </w:r>
      <w:r w:rsidRPr="007F03EF">
        <w:t xml:space="preserve">www.healthcollect.vic.gov.au&gt;. </w:t>
      </w:r>
    </w:p>
    <w:p w14:paraId="5A4DD095" w14:textId="1BDF87FD" w:rsidR="00007561" w:rsidRPr="007F03EF" w:rsidRDefault="667F3D82" w:rsidP="00F44C54">
      <w:pPr>
        <w:pStyle w:val="Body"/>
      </w:pPr>
      <w:r>
        <w:t>Acute NHRA</w:t>
      </w:r>
      <w:r w:rsidR="00B34795">
        <w:t>-</w:t>
      </w:r>
      <w:r>
        <w:t xml:space="preserve">funded specialist clinic funding will be converted to an NWAU target for </w:t>
      </w:r>
      <w:r w:rsidR="065DF069">
        <w:t>2022</w:t>
      </w:r>
      <w:r w:rsidR="00701D56">
        <w:t>–</w:t>
      </w:r>
      <w:r w:rsidR="065DF069">
        <w:t>23</w:t>
      </w:r>
      <w:r>
        <w:t xml:space="preserve">. Growth funding and associated targets will be set based on a peer group structure and the Victorian </w:t>
      </w:r>
      <w:r w:rsidR="00D023FD">
        <w:t>E</w:t>
      </w:r>
      <w:r w:rsidR="00701D56">
        <w:t xml:space="preserve">fficient </w:t>
      </w:r>
      <w:r w:rsidR="00D023FD">
        <w:t>P</w:t>
      </w:r>
      <w:r w:rsidR="00701D56">
        <w:t>rice</w:t>
      </w:r>
      <w:r>
        <w:t>.</w:t>
      </w:r>
    </w:p>
    <w:p w14:paraId="7647C78E" w14:textId="77777777" w:rsidR="00007561" w:rsidRPr="007F03EF" w:rsidRDefault="00007561" w:rsidP="00007561">
      <w:pPr>
        <w:pStyle w:val="Heading4"/>
      </w:pPr>
      <w:bookmarkStart w:id="275" w:name="_Ref77710155"/>
      <w:r w:rsidRPr="007F03EF">
        <w:t>Health Independence Program</w:t>
      </w:r>
      <w:bookmarkEnd w:id="275"/>
    </w:p>
    <w:p w14:paraId="3ABF9436" w14:textId="3E6F843E" w:rsidR="00007561" w:rsidRPr="007F03EF" w:rsidRDefault="667F3D82" w:rsidP="00F44C54">
      <w:pPr>
        <w:pStyle w:val="Body"/>
      </w:pPr>
      <w:r>
        <w:t>Health Independence Program (HIP) funding has historically been provided to services as a block (specified) grant. HIP is unique to Victoria and was created as an umbrella funding system for around 13 non-admitted programs. These programs pre-dated the Tier 2 classification used now for non-admitted services. At the time each was funded based on a ‘contact’ with a separate price being paid for each program. The definition of a contact is slightly different to the non-admitted service event definition though there is generally a 1:1 relationship for around 80</w:t>
      </w:r>
      <w:r w:rsidR="00887E93">
        <w:t>%</w:t>
      </w:r>
      <w:r w:rsidR="00701D56">
        <w:t xml:space="preserve"> </w:t>
      </w:r>
      <w:r>
        <w:t xml:space="preserve">of contacts. Each contact is reported separately for both individual and group services. </w:t>
      </w:r>
    </w:p>
    <w:p w14:paraId="62A5BEBF" w14:textId="1F0BF052" w:rsidR="00007561" w:rsidRPr="007F03EF" w:rsidRDefault="667F3D82" w:rsidP="00F44C54">
      <w:pPr>
        <w:pStyle w:val="Body"/>
      </w:pPr>
      <w:r>
        <w:t>The HIP delivers hospital services to public patients in a range of settings. This activity is currently reported nationally on a patient</w:t>
      </w:r>
      <w:r w:rsidR="00B34795">
        <w:t>-</w:t>
      </w:r>
      <w:r>
        <w:t xml:space="preserve">level basis through </w:t>
      </w:r>
      <w:r w:rsidR="3D1D35BC">
        <w:t>the VINAH minimum dataset</w:t>
      </w:r>
      <w:r>
        <w:t xml:space="preserve"> by both hospitals and community service organisations. There is a national requirement for non-admitted activity and cost data to be reported at a patient level from 1 July 2021. This is to support the funding of public </w:t>
      </w:r>
      <w:r>
        <w:lastRenderedPageBreak/>
        <w:t>hospital services, functions, and activities by the Commonwealth under the Addendum to the National Health Reform Agreement 2020</w:t>
      </w:r>
      <w:r w:rsidR="00701D56">
        <w:t>–</w:t>
      </w:r>
      <w:r>
        <w:t>2025.</w:t>
      </w:r>
    </w:p>
    <w:p w14:paraId="0B938B25" w14:textId="5907BD2A" w:rsidR="00007561" w:rsidRPr="007F03EF" w:rsidRDefault="667F3D82" w:rsidP="00F44C54">
      <w:pPr>
        <w:pStyle w:val="Body"/>
      </w:pPr>
      <w:r>
        <w:t xml:space="preserve">Growth funding and associated targets will be set based on a peer group structure and the Victorian </w:t>
      </w:r>
      <w:r w:rsidR="00D023FD">
        <w:t>E</w:t>
      </w:r>
      <w:r w:rsidR="00701D56">
        <w:t xml:space="preserve">fficient </w:t>
      </w:r>
      <w:r w:rsidR="00D023FD">
        <w:t>P</w:t>
      </w:r>
      <w:r w:rsidR="00701D56">
        <w:t>rice</w:t>
      </w:r>
      <w:r>
        <w:t>.</w:t>
      </w:r>
    </w:p>
    <w:p w14:paraId="364DB12E" w14:textId="45FD2EE4" w:rsidR="00007561" w:rsidRPr="007F03EF" w:rsidRDefault="00007561" w:rsidP="00007561">
      <w:pPr>
        <w:pStyle w:val="Heading3"/>
      </w:pPr>
      <w:bookmarkStart w:id="276" w:name="_Toc77588931"/>
      <w:bookmarkStart w:id="277" w:name="_Toc100263310"/>
      <w:bookmarkStart w:id="278" w:name="_Toc127191958"/>
      <w:r w:rsidRPr="007F03EF">
        <w:t xml:space="preserve">Home </w:t>
      </w:r>
      <w:r w:rsidR="0034782A">
        <w:t>E</w:t>
      </w:r>
      <w:r w:rsidRPr="007F03EF">
        <w:t xml:space="preserve">nteral </w:t>
      </w:r>
      <w:r w:rsidR="0034782A">
        <w:t>N</w:t>
      </w:r>
      <w:r w:rsidRPr="007F03EF">
        <w:t>utrition</w:t>
      </w:r>
      <w:bookmarkEnd w:id="276"/>
      <w:bookmarkEnd w:id="277"/>
      <w:bookmarkEnd w:id="278"/>
    </w:p>
    <w:p w14:paraId="7E39139B" w14:textId="604D37E2" w:rsidR="006553D3" w:rsidRPr="007F03EF" w:rsidRDefault="00007561" w:rsidP="00F44C54">
      <w:pPr>
        <w:pStyle w:val="Body"/>
      </w:pPr>
      <w:r w:rsidRPr="007F03EF">
        <w:t xml:space="preserve">For </w:t>
      </w:r>
      <w:r w:rsidR="002E7EEF" w:rsidRPr="007F03EF">
        <w:t>2022</w:t>
      </w:r>
      <w:r w:rsidR="00701D56">
        <w:t>–</w:t>
      </w:r>
      <w:r w:rsidR="002E7EEF" w:rsidRPr="007F03EF">
        <w:t>23</w:t>
      </w:r>
      <w:r w:rsidR="00701D56">
        <w:t>,</w:t>
      </w:r>
      <w:r w:rsidR="002E7EEF" w:rsidRPr="007F03EF">
        <w:rPr>
          <w:lang w:val="en-US"/>
        </w:rPr>
        <w:t xml:space="preserve"> </w:t>
      </w:r>
      <w:r w:rsidRPr="007F03EF">
        <w:t>this non-admitted program will continue to be paid as a specified grant with attached NWAU targets.</w:t>
      </w:r>
      <w:r w:rsidR="006553D3" w:rsidRPr="007F03EF">
        <w:t xml:space="preserve"> </w:t>
      </w:r>
      <w:r w:rsidRPr="007F03EF">
        <w:t xml:space="preserve">NWAU targets have been updated based on the latest 12 months of activity. </w:t>
      </w:r>
    </w:p>
    <w:p w14:paraId="6CA7D7F8" w14:textId="0D65B3EB" w:rsidR="00007561" w:rsidRPr="007F03EF" w:rsidRDefault="00556B4C" w:rsidP="00F44C54">
      <w:pPr>
        <w:pStyle w:val="Body"/>
      </w:pPr>
      <w:r w:rsidRPr="007F03EF">
        <w:t xml:space="preserve">All non-admitted patient sessions performed in a single month will be bundled and counted as one non-admitted service event. </w:t>
      </w:r>
      <w:r w:rsidR="00007561" w:rsidRPr="007F03EF">
        <w:t xml:space="preserve">A recall/throughput adjustment will be applied at the full rate at the end of </w:t>
      </w:r>
      <w:r w:rsidR="002E7EEF" w:rsidRPr="007F03EF">
        <w:t>2022</w:t>
      </w:r>
      <w:r w:rsidR="000C4670">
        <w:t>–</w:t>
      </w:r>
      <w:r w:rsidR="002E7EEF" w:rsidRPr="007F03EF">
        <w:t>23</w:t>
      </w:r>
      <w:r w:rsidR="002E7EEF" w:rsidRPr="007F03EF">
        <w:rPr>
          <w:lang w:val="en-US"/>
        </w:rPr>
        <w:t xml:space="preserve"> </w:t>
      </w:r>
      <w:r w:rsidR="00007561" w:rsidRPr="007F03EF">
        <w:t>for health services whose activity is below or over target.</w:t>
      </w:r>
    </w:p>
    <w:p w14:paraId="7E1546B7" w14:textId="72912AFF" w:rsidR="00007561" w:rsidRPr="007F03EF" w:rsidRDefault="07714090" w:rsidP="00F44C54">
      <w:pPr>
        <w:pStyle w:val="Body"/>
      </w:pPr>
      <w:r w:rsidRPr="007F03EF">
        <w:t xml:space="preserve">Read more about </w:t>
      </w:r>
      <w:hyperlink r:id="rId65" w:history="1">
        <w:r w:rsidR="00FA14EE" w:rsidRPr="007F03EF">
          <w:rPr>
            <w:rStyle w:val="Hyperlink"/>
          </w:rPr>
          <w:t>home-delivered enteral nutrition funding arrangements</w:t>
        </w:r>
      </w:hyperlink>
      <w:r w:rsidRPr="007F03EF">
        <w:t xml:space="preserve"> </w:t>
      </w:r>
      <w:r w:rsidR="00FA14EE" w:rsidRPr="007F03EF">
        <w:t>&lt;</w:t>
      </w:r>
      <w:r w:rsidR="00F41792" w:rsidRPr="007F03EF">
        <w:t>https://www.health.vic.gov.au/publications/hen-and-tpn-home-delivered-funding-arrangements-for-victorian-public-health-services</w:t>
      </w:r>
      <w:r w:rsidR="00FA14EE" w:rsidRPr="007F03EF">
        <w:t>&gt;</w:t>
      </w:r>
      <w:r w:rsidR="00701D56">
        <w:t>.</w:t>
      </w:r>
    </w:p>
    <w:p w14:paraId="1146E3FA" w14:textId="17331900" w:rsidR="00007561" w:rsidRPr="007F03EF" w:rsidRDefault="00007561" w:rsidP="00007561">
      <w:pPr>
        <w:pStyle w:val="Heading3"/>
      </w:pPr>
      <w:bookmarkStart w:id="279" w:name="_Toc77588932"/>
      <w:bookmarkStart w:id="280" w:name="_Toc100263311"/>
      <w:bookmarkStart w:id="281" w:name="_Toc127191959"/>
      <w:r w:rsidRPr="007F03EF">
        <w:t>Total</w:t>
      </w:r>
      <w:r w:rsidR="0034782A">
        <w:t xml:space="preserve"> P</w:t>
      </w:r>
      <w:r w:rsidRPr="007F03EF">
        <w:t xml:space="preserve">arenteral </w:t>
      </w:r>
      <w:r w:rsidR="0034782A">
        <w:t>N</w:t>
      </w:r>
      <w:r w:rsidRPr="007F03EF">
        <w:t>utrition</w:t>
      </w:r>
      <w:bookmarkEnd w:id="279"/>
      <w:bookmarkEnd w:id="280"/>
      <w:bookmarkEnd w:id="281"/>
    </w:p>
    <w:p w14:paraId="10C040A8" w14:textId="007914F3" w:rsidR="0098139F" w:rsidRPr="007F03EF" w:rsidRDefault="00007561" w:rsidP="001329F9">
      <w:pPr>
        <w:pStyle w:val="Body"/>
        <w:rPr>
          <w:rFonts w:cs="Arial"/>
          <w:szCs w:val="21"/>
        </w:rPr>
      </w:pPr>
      <w:r w:rsidRPr="007F03EF">
        <w:rPr>
          <w:rFonts w:cs="Arial"/>
          <w:szCs w:val="21"/>
        </w:rPr>
        <w:t xml:space="preserve">For </w:t>
      </w:r>
      <w:r w:rsidR="002E7EEF" w:rsidRPr="007F03EF">
        <w:t>2022</w:t>
      </w:r>
      <w:r w:rsidR="00701D56">
        <w:t>–</w:t>
      </w:r>
      <w:r w:rsidR="002E7EEF" w:rsidRPr="007F03EF">
        <w:t>23</w:t>
      </w:r>
      <w:r w:rsidR="00701D56">
        <w:t>,</w:t>
      </w:r>
      <w:r w:rsidR="002E7EEF" w:rsidRPr="007F03EF">
        <w:rPr>
          <w:lang w:val="en-US"/>
        </w:rPr>
        <w:t xml:space="preserve"> </w:t>
      </w:r>
      <w:r w:rsidRPr="007F03EF">
        <w:rPr>
          <w:rFonts w:cs="Arial"/>
          <w:szCs w:val="21"/>
        </w:rPr>
        <w:t>this non-admitted program will continue to be paid as a specified grant with attached NWAU targets.</w:t>
      </w:r>
      <w:r w:rsidR="001329F9" w:rsidRPr="007F03EF">
        <w:rPr>
          <w:rFonts w:cs="Arial"/>
          <w:szCs w:val="21"/>
        </w:rPr>
        <w:t xml:space="preserve"> </w:t>
      </w:r>
      <w:r w:rsidRPr="007F03EF">
        <w:rPr>
          <w:rFonts w:cs="Arial"/>
          <w:szCs w:val="21"/>
        </w:rPr>
        <w:t xml:space="preserve">NWAU targets have been updated based on the latest 12 months of activity. </w:t>
      </w:r>
    </w:p>
    <w:p w14:paraId="33989D97" w14:textId="40254C40" w:rsidR="00007561" w:rsidRPr="007F03EF" w:rsidRDefault="00975FF4" w:rsidP="00F44C54">
      <w:pPr>
        <w:pStyle w:val="Body"/>
      </w:pPr>
      <w:r w:rsidRPr="007F03EF">
        <w:rPr>
          <w:rFonts w:cs="Arial"/>
          <w:szCs w:val="21"/>
        </w:rPr>
        <w:t xml:space="preserve">All non-admitted patient sessions performed in a single month will be bundled and counted as one non-admitted service event. </w:t>
      </w:r>
      <w:r w:rsidR="00007561" w:rsidRPr="007F03EF">
        <w:t xml:space="preserve">A recall/throughput adjustment will be applied at the full rate at the end of </w:t>
      </w:r>
      <w:r w:rsidR="002E7EEF" w:rsidRPr="007F03EF">
        <w:t>2022</w:t>
      </w:r>
      <w:r w:rsidR="000C4670">
        <w:t>–</w:t>
      </w:r>
      <w:r w:rsidR="002E7EEF" w:rsidRPr="007F03EF">
        <w:t>23</w:t>
      </w:r>
      <w:r w:rsidR="002E7EEF" w:rsidRPr="007F03EF">
        <w:rPr>
          <w:lang w:val="en-US"/>
        </w:rPr>
        <w:t xml:space="preserve"> </w:t>
      </w:r>
      <w:r w:rsidR="00007561" w:rsidRPr="007F03EF">
        <w:t>for health services whose activity is below or over target.</w:t>
      </w:r>
    </w:p>
    <w:p w14:paraId="00E27C0E" w14:textId="462B7791" w:rsidR="00007561" w:rsidRPr="007F03EF" w:rsidRDefault="00007561" w:rsidP="00F44C54">
      <w:pPr>
        <w:pStyle w:val="Body"/>
      </w:pPr>
      <w:r w:rsidRPr="007F03EF">
        <w:t xml:space="preserve">Read more about </w:t>
      </w:r>
      <w:hyperlink r:id="rId66" w:history="1">
        <w:r w:rsidR="00BF3F56" w:rsidRPr="007F03EF">
          <w:rPr>
            <w:rStyle w:val="Hyperlink"/>
          </w:rPr>
          <w:t>home-delivered total parenteral nutrition funding arrangements</w:t>
        </w:r>
      </w:hyperlink>
      <w:r w:rsidR="00BF3F56" w:rsidRPr="007F03EF">
        <w:t xml:space="preserve"> &lt;</w:t>
      </w:r>
      <w:r w:rsidR="00F119C1" w:rsidRPr="007F03EF">
        <w:t>https://www.health.vic.gov.au/publications/hen-and-tpn-home-delivered-funding-arrangements-for-victorian-public-health-services</w:t>
      </w:r>
      <w:r w:rsidR="00BF3F56" w:rsidRPr="007F03EF">
        <w:t>&gt;</w:t>
      </w:r>
      <w:r w:rsidR="00BF3F56" w:rsidRPr="007F03EF" w:rsidDel="00BF3F56">
        <w:t xml:space="preserve"> </w:t>
      </w:r>
    </w:p>
    <w:p w14:paraId="0BBDE288" w14:textId="74C55500" w:rsidR="00007561" w:rsidRPr="007F03EF" w:rsidRDefault="00007561" w:rsidP="00007561">
      <w:pPr>
        <w:pStyle w:val="Heading3"/>
      </w:pPr>
      <w:bookmarkStart w:id="282" w:name="_Toc77588933"/>
      <w:bookmarkStart w:id="283" w:name="_Toc100263312"/>
      <w:bookmarkStart w:id="284" w:name="_Toc127191960"/>
      <w:r w:rsidRPr="007F03EF">
        <w:t>Home-</w:t>
      </w:r>
      <w:r w:rsidR="0034782A">
        <w:t>B</w:t>
      </w:r>
      <w:r w:rsidRPr="007F03EF">
        <w:t xml:space="preserve">ased </w:t>
      </w:r>
      <w:r w:rsidR="0034782A">
        <w:t>R</w:t>
      </w:r>
      <w:r w:rsidRPr="007F03EF">
        <w:t xml:space="preserve">enal </w:t>
      </w:r>
      <w:r w:rsidR="0034782A">
        <w:t>D</w:t>
      </w:r>
      <w:r w:rsidRPr="007F03EF">
        <w:t xml:space="preserve">ialysis </w:t>
      </w:r>
      <w:r w:rsidR="0034782A">
        <w:t>S</w:t>
      </w:r>
      <w:r w:rsidRPr="007F03EF">
        <w:t>ervices</w:t>
      </w:r>
      <w:bookmarkEnd w:id="282"/>
      <w:bookmarkEnd w:id="283"/>
      <w:bookmarkEnd w:id="284"/>
    </w:p>
    <w:p w14:paraId="0EA82CCA" w14:textId="5F681F40" w:rsidR="00007561" w:rsidRPr="007F03EF" w:rsidRDefault="00007561" w:rsidP="00F44C54">
      <w:pPr>
        <w:pStyle w:val="Body"/>
      </w:pPr>
      <w:r w:rsidRPr="007F03EF">
        <w:t xml:space="preserve">For </w:t>
      </w:r>
      <w:r w:rsidR="002E7EEF" w:rsidRPr="007F03EF">
        <w:t>2022</w:t>
      </w:r>
      <w:r w:rsidR="000C4670">
        <w:t>–</w:t>
      </w:r>
      <w:r w:rsidR="002E7EEF" w:rsidRPr="007F03EF">
        <w:t>23</w:t>
      </w:r>
      <w:r w:rsidR="000C4670">
        <w:t>,</w:t>
      </w:r>
      <w:r w:rsidR="002E7EEF" w:rsidRPr="007F03EF">
        <w:rPr>
          <w:lang w:val="en-US"/>
        </w:rPr>
        <w:t xml:space="preserve"> </w:t>
      </w:r>
      <w:r w:rsidRPr="007F03EF">
        <w:t>both home peritoneal dialysis and home haemodialysis will continue to be paid as a specified grant with attached NWAU targets.</w:t>
      </w:r>
    </w:p>
    <w:p w14:paraId="64CAF4E5" w14:textId="3883CE77" w:rsidR="00007561" w:rsidRPr="007F03EF" w:rsidRDefault="00007561" w:rsidP="00F44C54">
      <w:pPr>
        <w:pStyle w:val="Body"/>
      </w:pPr>
      <w:r w:rsidRPr="007F03EF">
        <w:t xml:space="preserve">NWAU targets have been updated based on the latest 12 months of activity. A recall/throughput adjustment will be applied at the full rate at the end of </w:t>
      </w:r>
      <w:r w:rsidR="002E7EEF" w:rsidRPr="007F03EF">
        <w:t>2022</w:t>
      </w:r>
      <w:r w:rsidR="000C4670">
        <w:t>–</w:t>
      </w:r>
      <w:r w:rsidR="002E7EEF" w:rsidRPr="007F03EF">
        <w:t>23</w:t>
      </w:r>
      <w:r w:rsidR="002E7EEF" w:rsidRPr="007F03EF">
        <w:rPr>
          <w:lang w:val="en-US"/>
        </w:rPr>
        <w:t xml:space="preserve"> </w:t>
      </w:r>
      <w:r w:rsidRPr="007F03EF">
        <w:t>for health services whose activity is below or over target.</w:t>
      </w:r>
    </w:p>
    <w:p w14:paraId="4C682F45" w14:textId="34B2845C" w:rsidR="003D0237" w:rsidRPr="007F03EF" w:rsidRDefault="003D0237" w:rsidP="003D0237">
      <w:pPr>
        <w:pStyle w:val="Body"/>
      </w:pPr>
      <w:r w:rsidRPr="007F03EF">
        <w:t xml:space="preserve">Home dialysis </w:t>
      </w:r>
      <w:r w:rsidR="7D8774A9" w:rsidRPr="007F03EF">
        <w:t>funding</w:t>
      </w:r>
      <w:r w:rsidRPr="007F03EF">
        <w:t xml:space="preserve"> includes payments to be administered by the hub services</w:t>
      </w:r>
      <w:r w:rsidR="00FB0841" w:rsidRPr="007F03EF">
        <w:t>.</w:t>
      </w:r>
    </w:p>
    <w:p w14:paraId="6873953B" w14:textId="400A16BE" w:rsidR="00007561" w:rsidRDefault="667F3D82" w:rsidP="00FB6101">
      <w:pPr>
        <w:pStyle w:val="Bodyafterbullets"/>
      </w:pPr>
      <w:r>
        <w:t>Home-based dialysis will continue to be funded to actual activity.</w:t>
      </w:r>
    </w:p>
    <w:p w14:paraId="27D6132A" w14:textId="33947A81" w:rsidR="005F056E" w:rsidRPr="007F03EF" w:rsidRDefault="005F056E" w:rsidP="00FB6101">
      <w:pPr>
        <w:pStyle w:val="Bodyafterbullets"/>
      </w:pPr>
      <w:r>
        <w:t>In 2022</w:t>
      </w:r>
      <w:r w:rsidR="000C4670">
        <w:t>–</w:t>
      </w:r>
      <w:r>
        <w:t>23</w:t>
      </w:r>
      <w:r w:rsidR="000C4670">
        <w:t>,</w:t>
      </w:r>
      <w:r>
        <w:t xml:space="preserve"> reporting of home renal dialysis services will be required through VINAH. </w:t>
      </w:r>
    </w:p>
    <w:p w14:paraId="3530F5F1" w14:textId="77777777" w:rsidR="00007561" w:rsidRPr="007F03EF" w:rsidRDefault="00007561" w:rsidP="00007561">
      <w:pPr>
        <w:pStyle w:val="Heading3"/>
      </w:pPr>
      <w:bookmarkStart w:id="285" w:name="_Toc77588934"/>
      <w:bookmarkStart w:id="286" w:name="_Toc100263313"/>
      <w:bookmarkStart w:id="287" w:name="_Toc127191961"/>
      <w:r w:rsidRPr="007F03EF">
        <w:t>Genomics</w:t>
      </w:r>
      <w:bookmarkEnd w:id="285"/>
      <w:bookmarkEnd w:id="286"/>
      <w:bookmarkEnd w:id="287"/>
    </w:p>
    <w:p w14:paraId="3257DB8B" w14:textId="20A2FFB6" w:rsidR="00007561" w:rsidRPr="007F03EF" w:rsidRDefault="00007561" w:rsidP="00007561">
      <w:pPr>
        <w:pStyle w:val="Heading4"/>
      </w:pPr>
      <w:bookmarkStart w:id="288" w:name="_Hlk78813023"/>
      <w:r w:rsidRPr="007F03EF">
        <w:t xml:space="preserve">Genetic </w:t>
      </w:r>
      <w:r w:rsidR="0034782A">
        <w:t>C</w:t>
      </w:r>
      <w:r w:rsidRPr="007F03EF">
        <w:t xml:space="preserve">linical </w:t>
      </w:r>
      <w:r w:rsidR="0034782A">
        <w:t>A</w:t>
      </w:r>
      <w:r w:rsidRPr="007F03EF">
        <w:t>ctivity</w:t>
      </w:r>
    </w:p>
    <w:p w14:paraId="6F8E37CA" w14:textId="622C8772" w:rsidR="00007561" w:rsidRPr="007F03EF" w:rsidRDefault="00007561" w:rsidP="00F44C54">
      <w:pPr>
        <w:pStyle w:val="Body"/>
      </w:pPr>
      <w:r w:rsidRPr="007F03EF">
        <w:t xml:space="preserve">For </w:t>
      </w:r>
      <w:r w:rsidR="002E7EEF" w:rsidRPr="007F03EF">
        <w:t>2022</w:t>
      </w:r>
      <w:r w:rsidR="000C4670">
        <w:t>–</w:t>
      </w:r>
      <w:r w:rsidR="002E7EEF" w:rsidRPr="007F03EF">
        <w:t>23</w:t>
      </w:r>
      <w:r w:rsidR="000C4670">
        <w:t>,</w:t>
      </w:r>
      <w:r w:rsidR="002E7EEF" w:rsidRPr="007F03EF">
        <w:rPr>
          <w:lang w:val="en-US"/>
        </w:rPr>
        <w:t xml:space="preserve"> </w:t>
      </w:r>
      <w:r w:rsidRPr="007F03EF">
        <w:t>genetic clinical activity will continue to be paid as a specified grant with attached NWAU targets.</w:t>
      </w:r>
    </w:p>
    <w:p w14:paraId="3DFF277C" w14:textId="6154FF6C" w:rsidR="00007561" w:rsidRPr="007F03EF" w:rsidRDefault="667F3D82" w:rsidP="00F44C54">
      <w:pPr>
        <w:pStyle w:val="Body"/>
      </w:pPr>
      <w:r>
        <w:t xml:space="preserve">Maintaining genetic clinical activity separately as a specified grant allows further work to be undertaken over the next </w:t>
      </w:r>
      <w:r w:rsidR="000C4670">
        <w:t xml:space="preserve">12 </w:t>
      </w:r>
      <w:r>
        <w:t xml:space="preserve">months to improve the reporting of this activity and deciding on </w:t>
      </w:r>
      <w:r>
        <w:lastRenderedPageBreak/>
        <w:t>appropriate throughput/recall strategies in the future. This facilitates a phase of monitoring before reviewing this approach at a later stage.</w:t>
      </w:r>
    </w:p>
    <w:p w14:paraId="009A977E" w14:textId="0E31EA9C" w:rsidR="00007561" w:rsidRPr="007F03EF" w:rsidRDefault="00007561" w:rsidP="00F44C54">
      <w:pPr>
        <w:pStyle w:val="Body"/>
      </w:pPr>
      <w:r w:rsidRPr="007F03EF">
        <w:t xml:space="preserve">For </w:t>
      </w:r>
      <w:r w:rsidR="002E7EEF" w:rsidRPr="007F03EF">
        <w:t>2022</w:t>
      </w:r>
      <w:r w:rsidR="000C4670">
        <w:t>–</w:t>
      </w:r>
      <w:r w:rsidR="002E7EEF" w:rsidRPr="007F03EF">
        <w:t>23</w:t>
      </w:r>
      <w:r w:rsidR="000C4670">
        <w:t>,</w:t>
      </w:r>
      <w:r w:rsidR="002E7EEF" w:rsidRPr="007F03EF">
        <w:rPr>
          <w:lang w:val="en-US"/>
        </w:rPr>
        <w:t xml:space="preserve"> </w:t>
      </w:r>
      <w:r w:rsidRPr="007F03EF">
        <w:t xml:space="preserve">a recall target for genetic clinical activity will be established on health services’ historical reported NWAU and a throughput target will be established by dividing historical funding by the </w:t>
      </w:r>
      <w:r w:rsidR="000C4670">
        <w:t xml:space="preserve">Victorian </w:t>
      </w:r>
      <w:r w:rsidR="00D023FD">
        <w:t>E</w:t>
      </w:r>
      <w:r w:rsidR="000C4670">
        <w:t xml:space="preserve">fficient </w:t>
      </w:r>
      <w:r w:rsidR="00D023FD">
        <w:t>P</w:t>
      </w:r>
      <w:r w:rsidR="000C4670">
        <w:t>rice</w:t>
      </w:r>
      <w:r w:rsidRPr="007F03EF">
        <w:t>.</w:t>
      </w:r>
    </w:p>
    <w:bookmarkEnd w:id="288"/>
    <w:p w14:paraId="45B26F46" w14:textId="4A7F365B" w:rsidR="00007561" w:rsidRPr="007F03EF" w:rsidRDefault="00007561" w:rsidP="00007561">
      <w:pPr>
        <w:pStyle w:val="Heading4"/>
      </w:pPr>
      <w:r w:rsidRPr="007F03EF">
        <w:t>Victorian Cancer Cytogenetics Service</w:t>
      </w:r>
    </w:p>
    <w:p w14:paraId="6963BA9A" w14:textId="537D84DC" w:rsidR="00007561" w:rsidRPr="007F03EF" w:rsidRDefault="00007561" w:rsidP="00F44C54">
      <w:pPr>
        <w:pStyle w:val="Body"/>
      </w:pPr>
      <w:r w:rsidRPr="007F03EF">
        <w:t xml:space="preserve">For </w:t>
      </w:r>
      <w:r w:rsidR="002E7EEF" w:rsidRPr="007F03EF">
        <w:t>2022</w:t>
      </w:r>
      <w:r w:rsidR="000C4670">
        <w:t>–</w:t>
      </w:r>
      <w:r w:rsidR="002E7EEF" w:rsidRPr="007F03EF">
        <w:t>23</w:t>
      </w:r>
      <w:r w:rsidR="000C4670">
        <w:t>,</w:t>
      </w:r>
      <w:r w:rsidR="002E7EEF" w:rsidRPr="007F03EF">
        <w:rPr>
          <w:lang w:val="en-US"/>
        </w:rPr>
        <w:t xml:space="preserve"> </w:t>
      </w:r>
      <w:r w:rsidRPr="007F03EF">
        <w:t>the Victorian Cancer Cytogenetics Service will continue to be paid as a block grant.</w:t>
      </w:r>
    </w:p>
    <w:p w14:paraId="31FA9A03" w14:textId="0BDD9B61" w:rsidR="00007561" w:rsidRPr="007F03EF" w:rsidRDefault="00007561" w:rsidP="00F44C54">
      <w:pPr>
        <w:pStyle w:val="Body"/>
      </w:pPr>
      <w:r w:rsidRPr="007F03EF">
        <w:t xml:space="preserve">The Victorian Cancer Cytogenetics Service (operating under the auspice of St Vincent’s Hospital) is a pathology service that provides a </w:t>
      </w:r>
      <w:r w:rsidR="001F75FE" w:rsidRPr="007F03EF">
        <w:t xml:space="preserve">comprehensive cancer cytogenomic </w:t>
      </w:r>
      <w:r w:rsidR="00D620E5" w:rsidRPr="007F03EF">
        <w:t>statewide</w:t>
      </w:r>
      <w:r w:rsidRPr="007F03EF">
        <w:t xml:space="preserve"> laboratory diagnostic service for all adult Victorians with blood cancers. It undertakes cancer cytogenetic (</w:t>
      </w:r>
      <w:r w:rsidR="000C4670">
        <w:t xml:space="preserve">that is, </w:t>
      </w:r>
      <w:r w:rsidRPr="007F03EF">
        <w:t>cell, chromosome and gene) analysis through conventional cytogenetic (</w:t>
      </w:r>
      <w:r w:rsidR="000C4670">
        <w:t>that is,</w:t>
      </w:r>
      <w:r w:rsidRPr="007F03EF">
        <w:t xml:space="preserve"> microscopic) and molecular (</w:t>
      </w:r>
      <w:r w:rsidR="000C4670">
        <w:t>for example,</w:t>
      </w:r>
      <w:r w:rsidRPr="007F03EF">
        <w:t xml:space="preserve"> fluorescent in situ hybridisation</w:t>
      </w:r>
      <w:r w:rsidR="001F75FE" w:rsidRPr="007F03EF">
        <w:t xml:space="preserve"> and </w:t>
      </w:r>
      <w:r w:rsidR="00121F7F" w:rsidRPr="007F03EF">
        <w:t>microarray analysis</w:t>
      </w:r>
      <w:r w:rsidRPr="007F03EF">
        <w:t xml:space="preserve">) testing. </w:t>
      </w:r>
      <w:bookmarkStart w:id="289" w:name="_Toc75750245"/>
      <w:bookmarkStart w:id="290" w:name="_Toc76181364"/>
      <w:bookmarkStart w:id="291" w:name="_Toc75750246"/>
      <w:bookmarkStart w:id="292" w:name="_Toc76181365"/>
      <w:bookmarkStart w:id="293" w:name="_Toc75750248"/>
      <w:bookmarkStart w:id="294" w:name="_Toc76181367"/>
      <w:bookmarkStart w:id="295" w:name="_Toc75750249"/>
      <w:bookmarkStart w:id="296" w:name="_Toc76181368"/>
      <w:bookmarkStart w:id="297" w:name="_Toc75750250"/>
      <w:bookmarkStart w:id="298" w:name="_Toc76181369"/>
      <w:bookmarkStart w:id="299" w:name="_Toc75750251"/>
      <w:bookmarkStart w:id="300" w:name="_Toc76181370"/>
      <w:bookmarkStart w:id="301" w:name="_Toc75750252"/>
      <w:bookmarkStart w:id="302" w:name="_Toc76181371"/>
      <w:bookmarkStart w:id="303" w:name="_Toc75750253"/>
      <w:bookmarkStart w:id="304" w:name="_Toc76181372"/>
      <w:bookmarkStart w:id="305" w:name="_Toc75750254"/>
      <w:bookmarkStart w:id="306" w:name="_Toc76181373"/>
      <w:bookmarkStart w:id="307" w:name="_Toc418694933"/>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bookmarkEnd w:id="307"/>
    <w:p w14:paraId="00B21D46" w14:textId="77777777" w:rsidR="001F1E6A" w:rsidRPr="007F03EF" w:rsidRDefault="001F1E6A" w:rsidP="00A771E9">
      <w:pPr>
        <w:pStyle w:val="Body"/>
      </w:pPr>
    </w:p>
    <w:p w14:paraId="07053B7B" w14:textId="3533696A" w:rsidR="00F44C54" w:rsidRPr="007F03EF" w:rsidRDefault="00F44C54" w:rsidP="00F44C54">
      <w:pPr>
        <w:pStyle w:val="Heading2"/>
      </w:pPr>
      <w:bookmarkStart w:id="308" w:name="_Toc77588980"/>
      <w:bookmarkStart w:id="309" w:name="_Toc100263314"/>
      <w:bookmarkStart w:id="310" w:name="_Toc127191962"/>
      <w:r w:rsidRPr="007F03EF">
        <w:lastRenderedPageBreak/>
        <w:t>Non-</w:t>
      </w:r>
      <w:r w:rsidR="0034782A">
        <w:t>A</w:t>
      </w:r>
      <w:r w:rsidRPr="007F03EF">
        <w:t xml:space="preserve">dmitted </w:t>
      </w:r>
      <w:r w:rsidR="0034782A">
        <w:t>B</w:t>
      </w:r>
      <w:r w:rsidRPr="007F03EF">
        <w:t>lock</w:t>
      </w:r>
      <w:r w:rsidR="0034782A">
        <w:t>-F</w:t>
      </w:r>
      <w:r w:rsidRPr="007F03EF">
        <w:t xml:space="preserve">unded </w:t>
      </w:r>
      <w:r w:rsidR="0034782A">
        <w:t>S</w:t>
      </w:r>
      <w:r w:rsidRPr="007F03EF">
        <w:t>ervices</w:t>
      </w:r>
      <w:bookmarkEnd w:id="308"/>
      <w:bookmarkEnd w:id="309"/>
      <w:bookmarkEnd w:id="310"/>
    </w:p>
    <w:p w14:paraId="6EC7A52A" w14:textId="4957C4E0" w:rsidR="00F44C54" w:rsidRPr="007F03EF" w:rsidRDefault="00F44C54" w:rsidP="00F44C54">
      <w:pPr>
        <w:pStyle w:val="Heading3"/>
      </w:pPr>
      <w:bookmarkStart w:id="311" w:name="_Toc77588981"/>
      <w:bookmarkStart w:id="312" w:name="_Toc100263315"/>
      <w:bookmarkStart w:id="313" w:name="_Toc127191963"/>
      <w:r w:rsidRPr="007F03EF">
        <w:t>Acute MBS-Billed Public Specialist Clinics</w:t>
      </w:r>
      <w:r w:rsidR="000C4670" w:rsidRPr="007F03EF">
        <w:t xml:space="preserve"> </w:t>
      </w:r>
      <w:r w:rsidR="0034782A">
        <w:t>S</w:t>
      </w:r>
      <w:r w:rsidRPr="007F03EF">
        <w:t>ervices</w:t>
      </w:r>
      <w:bookmarkEnd w:id="311"/>
      <w:bookmarkEnd w:id="312"/>
      <w:bookmarkEnd w:id="313"/>
    </w:p>
    <w:p w14:paraId="7C182108" w14:textId="59833CB5" w:rsidR="00F44C54" w:rsidRPr="007F03EF" w:rsidRDefault="00F44C54" w:rsidP="00F44C54">
      <w:pPr>
        <w:pStyle w:val="Body"/>
      </w:pPr>
      <w:r w:rsidRPr="007F03EF">
        <w:t>A block</w:t>
      </w:r>
      <w:r w:rsidR="00C51A38">
        <w:t xml:space="preserve"> </w:t>
      </w:r>
      <w:r w:rsidRPr="007F03EF">
        <w:t xml:space="preserve">specified grant to support the delivery of this activity will be paid in </w:t>
      </w:r>
      <w:r w:rsidR="002E7EEF" w:rsidRPr="007F03EF">
        <w:t>2022</w:t>
      </w:r>
      <w:r w:rsidR="000C4670">
        <w:t>–</w:t>
      </w:r>
      <w:r w:rsidR="002E7EEF" w:rsidRPr="007F03EF">
        <w:t>23</w:t>
      </w:r>
      <w:r w:rsidRPr="007F03EF">
        <w:t>. Funding has been calculated according to health services’ historical funding and 2018</w:t>
      </w:r>
      <w:r w:rsidR="000C4670">
        <w:t>–</w:t>
      </w:r>
      <w:r w:rsidRPr="007F03EF">
        <w:t>19 reported NWAU for public and MBS-billed activity</w:t>
      </w:r>
      <w:r w:rsidR="00C51A38">
        <w:t>,</w:t>
      </w:r>
      <w:r w:rsidRPr="007F03EF">
        <w:t xml:space="preserve"> given the impact of COVID-19 on reported activity. This grant will be adjusted at the end of </w:t>
      </w:r>
      <w:r w:rsidR="002E7EEF" w:rsidRPr="007F03EF">
        <w:t>2022</w:t>
      </w:r>
      <w:r w:rsidR="00227E14">
        <w:t>–</w:t>
      </w:r>
      <w:r w:rsidR="002E7EEF" w:rsidRPr="007F03EF">
        <w:t>23</w:t>
      </w:r>
      <w:r w:rsidR="002E7EEF" w:rsidRPr="007F03EF">
        <w:rPr>
          <w:lang w:val="en-US"/>
        </w:rPr>
        <w:t xml:space="preserve"> </w:t>
      </w:r>
      <w:r w:rsidRPr="007F03EF">
        <w:t>to account for any increase in the proportion of public to MBS-billed activity.</w:t>
      </w:r>
    </w:p>
    <w:p w14:paraId="44B83BF3" w14:textId="1ABCC7EB" w:rsidR="00F44C54" w:rsidRPr="007F03EF" w:rsidRDefault="00F44C54" w:rsidP="00F44C54">
      <w:pPr>
        <w:pStyle w:val="Body"/>
      </w:pPr>
      <w:r w:rsidRPr="007F03EF">
        <w:t>Acute MBS-</w:t>
      </w:r>
      <w:r w:rsidR="00227E14">
        <w:t>b</w:t>
      </w:r>
      <w:r w:rsidR="00227E14" w:rsidRPr="007F03EF">
        <w:t xml:space="preserve">illed </w:t>
      </w:r>
      <w:r w:rsidRPr="007F03EF">
        <w:t>public specialist clinics are run by practitioners exercising rights of private practice. These services can only be provided if the same service is provided on a public basis. The aim of this policy is to prevent professional services from being claimed under Medicare that are already obtaining public funding.</w:t>
      </w:r>
    </w:p>
    <w:p w14:paraId="6AE09F7C" w14:textId="574E45E1" w:rsidR="00F44C54" w:rsidRPr="007F03EF" w:rsidRDefault="00F44C54" w:rsidP="00F44C54">
      <w:pPr>
        <w:pStyle w:val="Body"/>
      </w:pPr>
      <w:r w:rsidRPr="007F03EF">
        <w:t>Health services must consider whether it is beneficial to offer private health services to eligible patients. Income generated solely from MBS benefits may not cover all costs</w:t>
      </w:r>
      <w:r w:rsidR="00227E14">
        <w:t>. W</w:t>
      </w:r>
      <w:r w:rsidRPr="007F03EF">
        <w:t>ith regard to other private patient funding arrangements, public hospitals will need to determine if services provided to MBS-billable patients are viable.</w:t>
      </w:r>
    </w:p>
    <w:p w14:paraId="73907B86" w14:textId="2461E0B2" w:rsidR="00AC0885" w:rsidRPr="007F03EF" w:rsidRDefault="37DF3C4A" w:rsidP="00F44C54">
      <w:pPr>
        <w:pStyle w:val="Body"/>
      </w:pPr>
      <w:r>
        <w:t>When establishing a new specialist clinic to treat private patients or reviewing an existing one, health services must consider the likely benefits and costs of this service delivery and funding arrangement. Health services must ensure that services required to meet demand are available, and the cost of operating these clinics is revenue neutral.</w:t>
      </w:r>
      <w:r w:rsidR="327115AF">
        <w:t xml:space="preserve"> </w:t>
      </w:r>
    </w:p>
    <w:p w14:paraId="46533974" w14:textId="0C96C421" w:rsidR="00F44C54" w:rsidRPr="007F03EF" w:rsidRDefault="327115AF" w:rsidP="00F44C54">
      <w:pPr>
        <w:pStyle w:val="Body"/>
      </w:pPr>
      <w:r w:rsidRPr="31EDDCAC">
        <w:rPr>
          <w:lang w:val="en"/>
        </w:rPr>
        <w:t xml:space="preserve">The </w:t>
      </w:r>
      <w:hyperlink r:id="rId67">
        <w:r w:rsidR="4C04317F" w:rsidRPr="31EDDCAC">
          <w:rPr>
            <w:rStyle w:val="Hyperlink"/>
            <w:i/>
            <w:iCs/>
            <w:lang w:val="en"/>
          </w:rPr>
          <w:t xml:space="preserve">MBS billing policy framework: Victorian public hospitals </w:t>
        </w:r>
      </w:hyperlink>
      <w:r w:rsidR="4C04317F">
        <w:t>&lt;https://</w:t>
      </w:r>
      <w:r w:rsidR="6385E9D8">
        <w:t>www</w:t>
      </w:r>
      <w:r w:rsidR="4C04317F">
        <w:t>.health.vic.gov.au/funding-performance-accountability/</w:t>
      </w:r>
      <w:r w:rsidR="6385E9D8">
        <w:t>mbs-billing-policy</w:t>
      </w:r>
      <w:r w:rsidR="4C04317F">
        <w:t>-framework</w:t>
      </w:r>
      <w:r w:rsidR="6385E9D8">
        <w:t>-victorian-public-hospitals</w:t>
      </w:r>
      <w:r w:rsidR="4C04317F">
        <w:t xml:space="preserve">&gt; </w:t>
      </w:r>
      <w:r w:rsidRPr="31EDDCAC">
        <w:rPr>
          <w:lang w:val="en"/>
        </w:rPr>
        <w:t xml:space="preserve">policy document states the mandatory requirements that apply to Victorian public hospitals billing under the MBS on behalf of health practitioners exercising a right of private practice and provides Victorian public hospitals with clarity on the </w:t>
      </w:r>
      <w:r w:rsidR="00227E14">
        <w:rPr>
          <w:lang w:val="en"/>
        </w:rPr>
        <w:t>d</w:t>
      </w:r>
      <w:r w:rsidRPr="31EDDCAC">
        <w:rPr>
          <w:lang w:val="en"/>
        </w:rPr>
        <w:t>epartment</w:t>
      </w:r>
      <w:r w:rsidR="00227E14">
        <w:rPr>
          <w:lang w:val="en"/>
        </w:rPr>
        <w:t>’</w:t>
      </w:r>
      <w:r w:rsidRPr="31EDDCAC">
        <w:rPr>
          <w:lang w:val="en"/>
        </w:rPr>
        <w:t>s expectations when billing under the MBS</w:t>
      </w:r>
      <w:r w:rsidR="29AA3D50" w:rsidRPr="31EDDCAC">
        <w:rPr>
          <w:lang w:val="en"/>
        </w:rPr>
        <w:t>.</w:t>
      </w:r>
    </w:p>
    <w:p w14:paraId="767CD695" w14:textId="7BC17A8A" w:rsidR="00F44C54" w:rsidRPr="007F03EF" w:rsidRDefault="00F44C54" w:rsidP="00F44C54">
      <w:pPr>
        <w:pStyle w:val="Heading4"/>
      </w:pPr>
      <w:r w:rsidRPr="007F03EF">
        <w:t xml:space="preserve">Business </w:t>
      </w:r>
      <w:r w:rsidR="0034782A">
        <w:t>R</w:t>
      </w:r>
      <w:r w:rsidRPr="007F03EF">
        <w:t>ules</w:t>
      </w:r>
    </w:p>
    <w:p w14:paraId="22201610" w14:textId="7D1F1021" w:rsidR="00F44C54" w:rsidRPr="007F03EF" w:rsidRDefault="00F44C54" w:rsidP="00F44C54">
      <w:pPr>
        <w:pStyle w:val="Body"/>
      </w:pPr>
      <w:r w:rsidRPr="007F03EF">
        <w:t>Public MBS-billed clinics are required to be registered in NACMS</w:t>
      </w:r>
      <w:r w:rsidR="00227E14">
        <w:t>.</w:t>
      </w:r>
      <w:r w:rsidRPr="007F03EF">
        <w:t xml:space="preserve"> </w:t>
      </w:r>
      <w:r w:rsidR="00227E14">
        <w:t>A</w:t>
      </w:r>
      <w:r w:rsidRPr="007F03EF">
        <w:t xml:space="preserve">ctivity </w:t>
      </w:r>
      <w:r w:rsidR="00227E14">
        <w:t>must</w:t>
      </w:r>
      <w:r w:rsidRPr="007F03EF">
        <w:t xml:space="preserve"> be reported to the department as appropriate th</w:t>
      </w:r>
      <w:r w:rsidR="00227E14">
        <w:t>r</w:t>
      </w:r>
      <w:r w:rsidRPr="007F03EF">
        <w:t xml:space="preserve">ough VINAH, AIMS and NADC. Consequently, this activity is required to be classified using the Tier 2 Non-Admitted Services Classification (Tier2). See </w:t>
      </w:r>
      <w:r w:rsidR="002A5529">
        <w:t>s</w:t>
      </w:r>
      <w:r w:rsidRPr="007F03EF">
        <w:t xml:space="preserve">ection </w:t>
      </w:r>
      <w:r w:rsidR="00F34E43" w:rsidRPr="007F03EF">
        <w:fldChar w:fldCharType="begin"/>
      </w:r>
      <w:r w:rsidR="00F34E43" w:rsidRPr="007F03EF">
        <w:instrText xml:space="preserve"> REF _Ref87974150 \r \h </w:instrText>
      </w:r>
      <w:r w:rsidR="007F03EF">
        <w:instrText xml:space="preserve"> \* MERGEFORMAT </w:instrText>
      </w:r>
      <w:r w:rsidR="00F34E43" w:rsidRPr="007F03EF">
        <w:fldChar w:fldCharType="separate"/>
      </w:r>
      <w:r w:rsidR="006D0756">
        <w:t>1.12.2</w:t>
      </w:r>
      <w:r w:rsidR="00F34E43" w:rsidRPr="007F03EF">
        <w:fldChar w:fldCharType="end"/>
      </w:r>
      <w:r w:rsidR="00917D59" w:rsidRPr="007F03EF">
        <w:t xml:space="preserve"> </w:t>
      </w:r>
      <w:r w:rsidRPr="007F03EF">
        <w:t>for further information on the Tier 2 Classification.</w:t>
      </w:r>
    </w:p>
    <w:p w14:paraId="43FB3184" w14:textId="37F1F560" w:rsidR="00F44C54" w:rsidRPr="007F03EF" w:rsidRDefault="00F44C54" w:rsidP="00F44C54">
      <w:pPr>
        <w:pStyle w:val="Body"/>
      </w:pPr>
      <w:r w:rsidRPr="007F03EF">
        <w:t xml:space="preserve">The unit of count adopted for these non-admitted services is ‘service event’.  See </w:t>
      </w:r>
      <w:r w:rsidR="002A5529">
        <w:t>s</w:t>
      </w:r>
      <w:r w:rsidR="00F34E43" w:rsidRPr="007F03EF">
        <w:t xml:space="preserve">ection </w:t>
      </w:r>
      <w:r w:rsidR="00F34E43" w:rsidRPr="007F03EF">
        <w:fldChar w:fldCharType="begin"/>
      </w:r>
      <w:r w:rsidR="00F34E43" w:rsidRPr="007F03EF">
        <w:instrText xml:space="preserve"> REF _Ref87974150 \r \h </w:instrText>
      </w:r>
      <w:r w:rsidR="007F03EF">
        <w:instrText xml:space="preserve"> \* MERGEFORMAT </w:instrText>
      </w:r>
      <w:r w:rsidR="00F34E43" w:rsidRPr="007F03EF">
        <w:fldChar w:fldCharType="separate"/>
      </w:r>
      <w:r w:rsidR="006D0756">
        <w:t>1.12.2</w:t>
      </w:r>
      <w:r w:rsidR="00F34E43" w:rsidRPr="007F03EF">
        <w:fldChar w:fldCharType="end"/>
      </w:r>
      <w:r w:rsidR="00F34E43" w:rsidRPr="007F03EF">
        <w:t xml:space="preserve"> </w:t>
      </w:r>
      <w:r w:rsidRPr="007F03EF">
        <w:t>for further information on service events. These service events do not attract NWAU.</w:t>
      </w:r>
    </w:p>
    <w:p w14:paraId="16A76D4C" w14:textId="585F486D" w:rsidR="00F44C54" w:rsidRPr="007F03EF" w:rsidRDefault="00F44C54" w:rsidP="00F44C54">
      <w:pPr>
        <w:pStyle w:val="Body"/>
      </w:pPr>
      <w:r w:rsidRPr="007F03EF">
        <w:t xml:space="preserve">Hospitals are required to review their registered clinics regularly and ensure the MBS remuneration model has been correctly identified for each registered clinic treating private non-admitted patients. This can be done via the </w:t>
      </w:r>
      <w:hyperlink r:id="rId68" w:history="1">
        <w:r w:rsidR="00ED4C7B" w:rsidRPr="007F03EF">
          <w:rPr>
            <w:rStyle w:val="Hyperlink"/>
          </w:rPr>
          <w:t>HealthCollect portal</w:t>
        </w:r>
      </w:hyperlink>
      <w:r w:rsidR="00867234" w:rsidRPr="007F03EF">
        <w:rPr>
          <w:rStyle w:val="FootnoteReference"/>
          <w:color w:val="004C97"/>
          <w:u w:val="dotted"/>
        </w:rPr>
        <w:footnoteReference w:id="5"/>
      </w:r>
      <w:r w:rsidR="00ED4C7B" w:rsidRPr="007F03EF">
        <w:t xml:space="preserve"> &lt;https://www.healthcollect.vic.gov.au&gt;. </w:t>
      </w:r>
    </w:p>
    <w:p w14:paraId="3018B601" w14:textId="2A8B2A26" w:rsidR="00F44C54" w:rsidRPr="007F03EF" w:rsidRDefault="00F44C54" w:rsidP="00F44C54">
      <w:pPr>
        <w:pStyle w:val="Body"/>
      </w:pPr>
      <w:r w:rsidRPr="007F03EF">
        <w:t>It is expected that health services maintain and report patient-level costing data for Acute</w:t>
      </w:r>
      <w:r w:rsidR="00227E14" w:rsidRPr="007F03EF">
        <w:t xml:space="preserve"> </w:t>
      </w:r>
      <w:r w:rsidRPr="007F03EF">
        <w:t>MBS-Billed Specialist Clinics</w:t>
      </w:r>
      <w:r w:rsidR="00227E14" w:rsidRPr="007F03EF">
        <w:t xml:space="preserve"> </w:t>
      </w:r>
      <w:r w:rsidRPr="007F03EF">
        <w:t>to the Victorian Cost Data Collection.</w:t>
      </w:r>
    </w:p>
    <w:p w14:paraId="3F0B2373" w14:textId="708AC712" w:rsidR="00F44C54" w:rsidRPr="007F03EF" w:rsidRDefault="0097061D" w:rsidP="00F44C54">
      <w:pPr>
        <w:pStyle w:val="Heading3"/>
      </w:pPr>
      <w:bookmarkStart w:id="314" w:name="_Toc100263316"/>
      <w:bookmarkStart w:id="315" w:name="_Toc127191964"/>
      <w:r w:rsidRPr="007F03EF">
        <w:lastRenderedPageBreak/>
        <w:t xml:space="preserve">Complex Care </w:t>
      </w:r>
      <w:r w:rsidR="002F20C9" w:rsidRPr="007F03EF">
        <w:t>(</w:t>
      </w:r>
      <w:r w:rsidR="5CC29E80" w:rsidRPr="007F03EF">
        <w:t xml:space="preserve">FCP) </w:t>
      </w:r>
      <w:r w:rsidR="6575E7D5" w:rsidRPr="007F03EF">
        <w:t xml:space="preserve">(previously the </w:t>
      </w:r>
      <w:r w:rsidR="00882EDB" w:rsidRPr="007F03EF">
        <w:t>Family Choice Program</w:t>
      </w:r>
      <w:r w:rsidR="002F20C9" w:rsidRPr="007F03EF">
        <w:t>)</w:t>
      </w:r>
      <w:bookmarkEnd w:id="314"/>
      <w:bookmarkEnd w:id="315"/>
    </w:p>
    <w:p w14:paraId="4FF406F7" w14:textId="37DCC660" w:rsidR="003C28F9" w:rsidRPr="007F03EF" w:rsidRDefault="003C28F9" w:rsidP="00BE44DE">
      <w:pPr>
        <w:pStyle w:val="Body"/>
        <w:rPr>
          <w:rFonts w:eastAsiaTheme="minorEastAsia"/>
        </w:rPr>
      </w:pPr>
      <w:r w:rsidRPr="007F03EF">
        <w:t xml:space="preserve">Funding for the Complex Care </w:t>
      </w:r>
      <w:r w:rsidR="32ABE77F" w:rsidRPr="007F03EF">
        <w:t>(FCP)</w:t>
      </w:r>
      <w:r w:rsidRPr="007F03EF">
        <w:t xml:space="preserve"> will continue to be paid in </w:t>
      </w:r>
      <w:r w:rsidR="002E7EEF" w:rsidRPr="007F03EF">
        <w:t>2022</w:t>
      </w:r>
      <w:r w:rsidR="00AD5AB1">
        <w:t>–</w:t>
      </w:r>
      <w:r w:rsidR="002E7EEF" w:rsidRPr="007F03EF">
        <w:t>23</w:t>
      </w:r>
      <w:r w:rsidR="002E7EEF" w:rsidRPr="007F03EF">
        <w:rPr>
          <w:lang w:val="en-US"/>
        </w:rPr>
        <w:t xml:space="preserve"> </w:t>
      </w:r>
      <w:r w:rsidRPr="007F03EF">
        <w:t xml:space="preserve">as two separate block grants to </w:t>
      </w:r>
      <w:r w:rsidR="00AD5AB1">
        <w:t xml:space="preserve">The </w:t>
      </w:r>
      <w:r w:rsidRPr="007F03EF">
        <w:t xml:space="preserve">Royal Children’s Hospital as non-admitted services. </w:t>
      </w:r>
    </w:p>
    <w:p w14:paraId="5FBC0F17" w14:textId="693AC427" w:rsidR="003C28F9" w:rsidRPr="007F03EF" w:rsidRDefault="003C28F9" w:rsidP="00BE44DE">
      <w:pPr>
        <w:pStyle w:val="Body"/>
        <w:rPr>
          <w:rFonts w:eastAsia="Times New Roman"/>
        </w:rPr>
      </w:pPr>
      <w:r w:rsidRPr="007F03EF">
        <w:t xml:space="preserve">The Family Choice Program is </w:t>
      </w:r>
      <w:r w:rsidR="002F20C9" w:rsidRPr="007F03EF">
        <w:t xml:space="preserve">now </w:t>
      </w:r>
      <w:r w:rsidRPr="007F03EF">
        <w:t xml:space="preserve">integrated with </w:t>
      </w:r>
      <w:r w:rsidR="00AD5AB1">
        <w:t>The</w:t>
      </w:r>
      <w:r w:rsidR="00AD5AB1" w:rsidRPr="007F03EF">
        <w:t xml:space="preserve"> </w:t>
      </w:r>
      <w:r w:rsidRPr="007F03EF">
        <w:t xml:space="preserve">Royal Children’s Hospital </w:t>
      </w:r>
      <w:r w:rsidR="0097061D" w:rsidRPr="007F03EF">
        <w:t>C</w:t>
      </w:r>
      <w:r w:rsidRPr="007F03EF">
        <w:t xml:space="preserve">omplex </w:t>
      </w:r>
      <w:r w:rsidR="0097061D" w:rsidRPr="007F03EF">
        <w:t>C</w:t>
      </w:r>
      <w:r w:rsidRPr="007F03EF">
        <w:t xml:space="preserve">are </w:t>
      </w:r>
      <w:r w:rsidR="009D5F8C" w:rsidRPr="007F03EF">
        <w:t>program</w:t>
      </w:r>
      <w:r w:rsidR="00AD5AB1">
        <w:t>.</w:t>
      </w:r>
      <w:r w:rsidR="009D5F8C" w:rsidRPr="007F03EF">
        <w:t xml:space="preserve"> </w:t>
      </w:r>
      <w:r w:rsidR="00AD5AB1">
        <w:t>This program</w:t>
      </w:r>
      <w:r w:rsidR="00AD5AB1" w:rsidRPr="007F03EF">
        <w:t xml:space="preserve"> </w:t>
      </w:r>
      <w:r w:rsidR="009D5F8C" w:rsidRPr="007F03EF">
        <w:t xml:space="preserve">has developed a model of care </w:t>
      </w:r>
      <w:r w:rsidR="00906D46" w:rsidRPr="007F03EF">
        <w:t xml:space="preserve">to support chronic and complex medical </w:t>
      </w:r>
      <w:r w:rsidR="00470E84" w:rsidRPr="007F03EF">
        <w:t>paediatric</w:t>
      </w:r>
      <w:r w:rsidR="00906D46" w:rsidRPr="007F03EF">
        <w:t xml:space="preserve"> care.</w:t>
      </w:r>
      <w:r w:rsidRPr="007F03EF">
        <w:t xml:space="preserve"> </w:t>
      </w:r>
    </w:p>
    <w:p w14:paraId="025DAA8A" w14:textId="37555E61" w:rsidR="00CB5D63" w:rsidRPr="007F03EF" w:rsidRDefault="003C28F9" w:rsidP="00DA5EC2">
      <w:pPr>
        <w:pStyle w:val="Body"/>
      </w:pPr>
      <w:r w:rsidRPr="007F03EF">
        <w:t xml:space="preserve">The aim of the </w:t>
      </w:r>
      <w:r w:rsidR="002F20C9" w:rsidRPr="007F03EF">
        <w:t>Complex Care</w:t>
      </w:r>
      <w:r w:rsidR="00740F60" w:rsidRPr="007F03EF">
        <w:t xml:space="preserve"> (FCP)</w:t>
      </w:r>
      <w:r w:rsidRPr="007F03EF">
        <w:t xml:space="preserve"> is to assist families of children with complex, chronic medical care needs to be cared for at home with their family. The </w:t>
      </w:r>
      <w:r w:rsidR="0051345B" w:rsidRPr="007F03EF">
        <w:t>Complex</w:t>
      </w:r>
      <w:r w:rsidR="00906D46" w:rsidRPr="007F03EF">
        <w:t xml:space="preserve"> Care (FCP)</w:t>
      </w:r>
      <w:r w:rsidRPr="007F03EF">
        <w:t xml:space="preserve"> is a statewide program </w:t>
      </w:r>
      <w:r w:rsidR="00AD5AB1">
        <w:t>that</w:t>
      </w:r>
      <w:r w:rsidR="00AD5AB1" w:rsidRPr="007F03EF">
        <w:t xml:space="preserve"> </w:t>
      </w:r>
      <w:r w:rsidR="0051345B" w:rsidRPr="007F03EF">
        <w:t>promotes health independence through individualised patient care plans, goal setting, supporting growth of patient and family self-management skills and capacity.</w:t>
      </w:r>
      <w:r w:rsidR="00CB5D63" w:rsidRPr="007F03EF">
        <w:t xml:space="preserve"> There are </w:t>
      </w:r>
      <w:r w:rsidR="00AD5AB1">
        <w:t>three</w:t>
      </w:r>
      <w:r w:rsidR="00AD5AB1" w:rsidRPr="007F03EF">
        <w:t xml:space="preserve"> </w:t>
      </w:r>
      <w:r w:rsidR="00CB5D63" w:rsidRPr="007F03EF">
        <w:t>tiers of support with varying intensity that are responsive and flexible to patient and family needs available under the program.</w:t>
      </w:r>
    </w:p>
    <w:p w14:paraId="661D8346" w14:textId="7B81334D" w:rsidR="00F44C54" w:rsidRPr="007F03EF" w:rsidRDefault="00F44C54" w:rsidP="00F44C54">
      <w:pPr>
        <w:pStyle w:val="Heading4"/>
      </w:pPr>
      <w:r w:rsidRPr="007F03EF">
        <w:t xml:space="preserve">Business </w:t>
      </w:r>
      <w:r w:rsidR="0034782A">
        <w:t>R</w:t>
      </w:r>
      <w:r w:rsidRPr="007F03EF">
        <w:t>ules</w:t>
      </w:r>
    </w:p>
    <w:p w14:paraId="6C2366AB" w14:textId="410A42EC" w:rsidR="00F44C54" w:rsidRPr="007F03EF" w:rsidRDefault="00F44C54" w:rsidP="00D81FF6">
      <w:pPr>
        <w:pStyle w:val="Body"/>
      </w:pPr>
      <w:r w:rsidRPr="007F03EF">
        <w:t xml:space="preserve">Activity delivered through the complex care hub </w:t>
      </w:r>
      <w:r w:rsidR="003C28F9" w:rsidRPr="007F03EF">
        <w:t xml:space="preserve">related to the </w:t>
      </w:r>
      <w:r w:rsidR="00705262" w:rsidRPr="007F03EF">
        <w:t>Complex Care (FCP)</w:t>
      </w:r>
      <w:r w:rsidR="003C28F9" w:rsidRPr="007F03EF">
        <w:t xml:space="preserve"> </w:t>
      </w:r>
      <w:r w:rsidRPr="007F03EF">
        <w:t xml:space="preserve">should be classified using the Tier 2 Non-Admitted Services Classification (Tier2). See </w:t>
      </w:r>
      <w:r w:rsidR="002A5529">
        <w:t>s</w:t>
      </w:r>
      <w:r w:rsidR="00B825F1" w:rsidRPr="007F03EF">
        <w:t xml:space="preserve">ection </w:t>
      </w:r>
      <w:r w:rsidR="00B825F1" w:rsidRPr="007F03EF">
        <w:fldChar w:fldCharType="begin"/>
      </w:r>
      <w:r w:rsidR="00B825F1" w:rsidRPr="007F03EF">
        <w:instrText xml:space="preserve"> REF _Ref87974150 \r \h </w:instrText>
      </w:r>
      <w:r w:rsidR="007F03EF">
        <w:instrText xml:space="preserve"> \* MERGEFORMAT </w:instrText>
      </w:r>
      <w:r w:rsidR="00B825F1" w:rsidRPr="007F03EF">
        <w:fldChar w:fldCharType="separate"/>
      </w:r>
      <w:r w:rsidR="006D0756">
        <w:t>1.12.2</w:t>
      </w:r>
      <w:r w:rsidR="00B825F1" w:rsidRPr="007F03EF">
        <w:fldChar w:fldCharType="end"/>
      </w:r>
      <w:r w:rsidR="00B825F1" w:rsidRPr="007F03EF">
        <w:t xml:space="preserve"> </w:t>
      </w:r>
      <w:r w:rsidRPr="007F03EF">
        <w:t>for further information on the Tier 2 Classification.</w:t>
      </w:r>
    </w:p>
    <w:p w14:paraId="2526A602" w14:textId="5C466597" w:rsidR="00F44C54" w:rsidRPr="007F03EF" w:rsidRDefault="00F44C54" w:rsidP="00D021B4">
      <w:pPr>
        <w:pStyle w:val="Body"/>
      </w:pPr>
      <w:r w:rsidRPr="007F03EF">
        <w:t xml:space="preserve">The unit of count adopted for these non-admitted services is ‘service event’. See </w:t>
      </w:r>
      <w:r w:rsidR="002A5529">
        <w:t>s</w:t>
      </w:r>
      <w:r w:rsidR="002A5529" w:rsidRPr="007F03EF">
        <w:t xml:space="preserve">ection </w:t>
      </w:r>
      <w:r w:rsidR="00B825F1" w:rsidRPr="007F03EF">
        <w:fldChar w:fldCharType="begin"/>
      </w:r>
      <w:r w:rsidR="00B825F1" w:rsidRPr="007F03EF">
        <w:instrText xml:space="preserve"> REF _Ref87974150 \r \h </w:instrText>
      </w:r>
      <w:r w:rsidR="007F03EF">
        <w:instrText xml:space="preserve"> \* MERGEFORMAT </w:instrText>
      </w:r>
      <w:r w:rsidR="00B825F1" w:rsidRPr="007F03EF">
        <w:fldChar w:fldCharType="separate"/>
      </w:r>
      <w:r w:rsidR="00001C48">
        <w:t>1.12.2</w:t>
      </w:r>
      <w:r w:rsidR="00B825F1" w:rsidRPr="007F03EF">
        <w:fldChar w:fldCharType="end"/>
      </w:r>
      <w:r w:rsidR="00B825F1" w:rsidRPr="007F03EF">
        <w:t xml:space="preserve"> </w:t>
      </w:r>
      <w:r w:rsidRPr="007F03EF">
        <w:t xml:space="preserve">for further information on service events. The </w:t>
      </w:r>
      <w:r w:rsidR="00705262" w:rsidRPr="007F03EF">
        <w:t>Complex Care (FCP)</w:t>
      </w:r>
      <w:r w:rsidRPr="007F03EF">
        <w:t xml:space="preserve"> is required to report non-admitted services as service events through the relevant AIMS form and report contacts through </w:t>
      </w:r>
      <w:r w:rsidR="448AC43F" w:rsidRPr="007F03EF">
        <w:t>the VINAH minimum dataset.</w:t>
      </w:r>
      <w:r w:rsidRPr="007F03EF">
        <w:t xml:space="preserve"> These service events do not attract NWAU. Eligibility for NWAU funding will be reviewed over the next 12 months.</w:t>
      </w:r>
    </w:p>
    <w:p w14:paraId="56BB662E" w14:textId="791ABD35" w:rsidR="00F44C54" w:rsidRPr="007F03EF" w:rsidRDefault="00F44C54" w:rsidP="003F4C5C">
      <w:pPr>
        <w:pStyle w:val="Body"/>
      </w:pPr>
      <w:r w:rsidRPr="007F03EF">
        <w:t xml:space="preserve">It is expected that </w:t>
      </w:r>
      <w:r w:rsidR="00AD5AB1">
        <w:t>The</w:t>
      </w:r>
      <w:r w:rsidR="00AD5AB1" w:rsidRPr="007F03EF">
        <w:t xml:space="preserve"> </w:t>
      </w:r>
      <w:r w:rsidR="00723514" w:rsidRPr="007F03EF">
        <w:t>Royal Children’s Hospital</w:t>
      </w:r>
      <w:r w:rsidRPr="007F03EF">
        <w:t xml:space="preserve"> maintain and report </w:t>
      </w:r>
      <w:r w:rsidR="0054356C" w:rsidRPr="007F03EF">
        <w:t xml:space="preserve">Complex Care (FCP) </w:t>
      </w:r>
      <w:r w:rsidRPr="007F03EF">
        <w:t>patient-level costing data to the Victorian Cost Data Collection.</w:t>
      </w:r>
    </w:p>
    <w:p w14:paraId="6E4BC92D" w14:textId="1DB7D565" w:rsidR="00F44C54" w:rsidRPr="007F03EF" w:rsidRDefault="00F44C54" w:rsidP="00F44C54">
      <w:pPr>
        <w:pStyle w:val="Heading3"/>
      </w:pPr>
      <w:bookmarkStart w:id="316" w:name="_Toc77588983"/>
      <w:bookmarkStart w:id="317" w:name="_Toc100263317"/>
      <w:bookmarkStart w:id="318" w:name="_Toc127191965"/>
      <w:r w:rsidRPr="007F03EF">
        <w:t xml:space="preserve">Community </w:t>
      </w:r>
      <w:r w:rsidR="0034782A">
        <w:t>P</w:t>
      </w:r>
      <w:r w:rsidRPr="007F03EF">
        <w:t xml:space="preserve">alliative </w:t>
      </w:r>
      <w:r w:rsidR="0034782A">
        <w:t>C</w:t>
      </w:r>
      <w:r w:rsidRPr="007F03EF">
        <w:t>are</w:t>
      </w:r>
      <w:bookmarkEnd w:id="316"/>
      <w:bookmarkEnd w:id="317"/>
      <w:bookmarkEnd w:id="318"/>
    </w:p>
    <w:p w14:paraId="6C71B4B6" w14:textId="795BDB0A" w:rsidR="00F44C54" w:rsidRPr="007F03EF" w:rsidRDefault="00F44C54" w:rsidP="00F44C54">
      <w:pPr>
        <w:pStyle w:val="Body"/>
      </w:pPr>
      <w:r w:rsidRPr="007F03EF">
        <w:t xml:space="preserve">Designated community palliative care services are integral to achieving the goals of </w:t>
      </w:r>
      <w:r w:rsidRPr="007F03EF">
        <w:rPr>
          <w:i/>
          <w:iCs/>
        </w:rPr>
        <w:t>Victoria’s end</w:t>
      </w:r>
      <w:r w:rsidR="00240DAF">
        <w:rPr>
          <w:i/>
          <w:iCs/>
        </w:rPr>
        <w:t>-</w:t>
      </w:r>
      <w:r w:rsidRPr="007F03EF">
        <w:rPr>
          <w:i/>
          <w:iCs/>
        </w:rPr>
        <w:t>of</w:t>
      </w:r>
      <w:r w:rsidR="00240DAF">
        <w:rPr>
          <w:i/>
          <w:iCs/>
        </w:rPr>
        <w:t>-</w:t>
      </w:r>
      <w:r w:rsidRPr="007F03EF">
        <w:rPr>
          <w:i/>
          <w:iCs/>
        </w:rPr>
        <w:t xml:space="preserve">life and palliative care framework </w:t>
      </w:r>
      <w:r w:rsidRPr="007F03EF">
        <w:t xml:space="preserve">(July 2016). Designated community palliative care services must provide care in line with the department’s Conditions of </w:t>
      </w:r>
      <w:r w:rsidR="1CF2452F" w:rsidRPr="007F03EF">
        <w:t>F</w:t>
      </w:r>
      <w:r w:rsidRPr="007F03EF">
        <w:t xml:space="preserve">unding for palliative care published on the </w:t>
      </w:r>
      <w:hyperlink r:id="rId69">
        <w:r w:rsidRPr="007F03EF">
          <w:rPr>
            <w:rStyle w:val="Hyperlink"/>
          </w:rPr>
          <w:t>Palliative care webpage</w:t>
        </w:r>
      </w:hyperlink>
      <w:r w:rsidRPr="007F03EF">
        <w:t xml:space="preserve"> &lt;https://</w:t>
      </w:r>
      <w:r w:rsidR="00B0701B" w:rsidRPr="007F03EF">
        <w:t>www</w:t>
      </w:r>
      <w:r w:rsidRPr="007F03EF">
        <w:t>.health.vic.gov.au/</w:t>
      </w:r>
      <w:r w:rsidR="00B0701B" w:rsidRPr="007F03EF">
        <w:t>patient-care/conditions-of-funding-for-</w:t>
      </w:r>
      <w:r w:rsidRPr="007F03EF">
        <w:t>palliative-care&gt;.</w:t>
      </w:r>
    </w:p>
    <w:p w14:paraId="612EA393" w14:textId="3BDF0304" w:rsidR="00F44C54" w:rsidRPr="007F03EF" w:rsidRDefault="00F44C54" w:rsidP="00F44C54">
      <w:pPr>
        <w:pStyle w:val="Body"/>
      </w:pPr>
      <w:r w:rsidRPr="007F03EF">
        <w:t xml:space="preserve">A designated community palliative care service is assigned to each Victorian local government area. Each service has a prescribed catchment area. </w:t>
      </w:r>
      <w:r w:rsidR="57A3A811" w:rsidRPr="007F03EF">
        <w:t>D</w:t>
      </w:r>
      <w:r w:rsidRPr="007F03EF">
        <w:t xml:space="preserve">esignated services </w:t>
      </w:r>
      <w:r w:rsidR="1902037E" w:rsidRPr="007F03EF">
        <w:t xml:space="preserve">are required to provide a service </w:t>
      </w:r>
      <w:r w:rsidR="003979DA" w:rsidRPr="007F03EF">
        <w:t xml:space="preserve">to </w:t>
      </w:r>
      <w:r w:rsidRPr="007F03EF">
        <w:t>clients in residential aged care facilities and disability group homes as these facilities are the client’s home.</w:t>
      </w:r>
    </w:p>
    <w:p w14:paraId="5546292D" w14:textId="12BEC6D8" w:rsidR="00F44C54" w:rsidRPr="007F03EF" w:rsidRDefault="00F44C54" w:rsidP="00F44C54">
      <w:pPr>
        <w:pStyle w:val="Body"/>
      </w:pPr>
      <w:r w:rsidRPr="007F03EF">
        <w:t>All community palliative care services have access to flexible funds to care for clients at home. These funds are incorporated in each service’s non-admitted (community) palliative care funding allocation.</w:t>
      </w:r>
    </w:p>
    <w:p w14:paraId="7FA676F7" w14:textId="77134474" w:rsidR="00F44C54" w:rsidRPr="007F03EF" w:rsidRDefault="00F44C54" w:rsidP="00F44C54">
      <w:pPr>
        <w:pStyle w:val="Body"/>
      </w:pPr>
      <w:r w:rsidRPr="007F03EF">
        <w:t xml:space="preserve">The VINAH </w:t>
      </w:r>
      <w:r w:rsidR="448AC43F" w:rsidRPr="007F03EF">
        <w:t>minimum dataset</w:t>
      </w:r>
      <w:r w:rsidRPr="007F03EF">
        <w:t xml:space="preserve"> is the data collection on which reporting will be based.</w:t>
      </w:r>
    </w:p>
    <w:p w14:paraId="302ED6D8" w14:textId="0EB37C7C" w:rsidR="00F44C54" w:rsidRPr="007F03EF" w:rsidRDefault="00F44C54" w:rsidP="00F44C54">
      <w:pPr>
        <w:pStyle w:val="Heading4"/>
      </w:pPr>
      <w:r w:rsidRPr="007F03EF">
        <w:t xml:space="preserve">Business </w:t>
      </w:r>
      <w:r w:rsidR="0034782A">
        <w:t>R</w:t>
      </w:r>
      <w:r w:rsidRPr="007F03EF">
        <w:t>ules</w:t>
      </w:r>
    </w:p>
    <w:p w14:paraId="0FF4F2B7" w14:textId="160D4E6D" w:rsidR="00F44C54" w:rsidRPr="007F03EF" w:rsidRDefault="00F44C54" w:rsidP="00F44C54">
      <w:pPr>
        <w:pStyle w:val="Body"/>
      </w:pPr>
      <w:r w:rsidRPr="007F03EF">
        <w:t xml:space="preserve">Activity delivered through the Community Palliative Care program should be classified using the Tier 2 Non-Admitted Services Classification (Tier2). See </w:t>
      </w:r>
      <w:r w:rsidR="002A5529">
        <w:t>s</w:t>
      </w:r>
      <w:r w:rsidR="00AC5CBB" w:rsidRPr="007F03EF">
        <w:t xml:space="preserve">ection </w:t>
      </w:r>
      <w:r w:rsidR="00AC5CBB" w:rsidRPr="007F03EF">
        <w:fldChar w:fldCharType="begin"/>
      </w:r>
      <w:r w:rsidR="00AC5CBB" w:rsidRPr="007F03EF">
        <w:instrText xml:space="preserve"> REF _Ref87974150 \r \h </w:instrText>
      </w:r>
      <w:r w:rsidR="007F03EF">
        <w:instrText xml:space="preserve"> \* MERGEFORMAT </w:instrText>
      </w:r>
      <w:r w:rsidR="00AC5CBB" w:rsidRPr="007F03EF">
        <w:fldChar w:fldCharType="separate"/>
      </w:r>
      <w:r w:rsidR="006D0756">
        <w:t>1.12.2</w:t>
      </w:r>
      <w:r w:rsidR="00AC5CBB" w:rsidRPr="007F03EF">
        <w:fldChar w:fldCharType="end"/>
      </w:r>
      <w:r w:rsidRPr="007F03EF">
        <w:t xml:space="preserve"> for further information on the Tier 2 Classification.</w:t>
      </w:r>
    </w:p>
    <w:p w14:paraId="43100C94" w14:textId="68A29B21" w:rsidR="00F44C54" w:rsidRPr="007F03EF" w:rsidRDefault="37DF3C4A" w:rsidP="00F44C54">
      <w:pPr>
        <w:pStyle w:val="Body"/>
      </w:pPr>
      <w:r>
        <w:lastRenderedPageBreak/>
        <w:t xml:space="preserve">In </w:t>
      </w:r>
      <w:r w:rsidR="065DF069">
        <w:t>2022</w:t>
      </w:r>
      <w:r w:rsidR="00AD5AB1">
        <w:t>–</w:t>
      </w:r>
      <w:r w:rsidR="065DF069">
        <w:t>23</w:t>
      </w:r>
      <w:r w:rsidR="065DF069" w:rsidRPr="31EDDCAC">
        <w:rPr>
          <w:lang w:val="en-US"/>
        </w:rPr>
        <w:t xml:space="preserve"> </w:t>
      </w:r>
      <w:r>
        <w:t xml:space="preserve">the department </w:t>
      </w:r>
      <w:r w:rsidR="6F912652">
        <w:t xml:space="preserve">will </w:t>
      </w:r>
      <w:r w:rsidR="04748443">
        <w:t xml:space="preserve">move to </w:t>
      </w:r>
      <w:r w:rsidR="6F912652">
        <w:t xml:space="preserve">a </w:t>
      </w:r>
      <w:r w:rsidR="5F3BB323">
        <w:t>new</w:t>
      </w:r>
      <w:r>
        <w:t xml:space="preserve"> </w:t>
      </w:r>
      <w:r w:rsidR="5DEDF888">
        <w:t>episod</w:t>
      </w:r>
      <w:r w:rsidR="132DCD27">
        <w:t>e</w:t>
      </w:r>
      <w:r w:rsidR="5DEDF888">
        <w:t xml:space="preserve"> target</w:t>
      </w:r>
      <w:r>
        <w:t xml:space="preserve"> for designated community palliative care </w:t>
      </w:r>
      <w:r w:rsidR="5DEDF888">
        <w:t xml:space="preserve">services </w:t>
      </w:r>
      <w:r>
        <w:t xml:space="preserve">to help us understand access to care across the system. </w:t>
      </w:r>
      <w:r w:rsidR="3A6192B9">
        <w:t xml:space="preserve">This </w:t>
      </w:r>
      <w:r w:rsidR="0C894DA8">
        <w:t>replaces</w:t>
      </w:r>
      <w:r>
        <w:t xml:space="preserve"> the </w:t>
      </w:r>
      <w:r w:rsidR="345EBA07">
        <w:t xml:space="preserve">historical </w:t>
      </w:r>
      <w:r>
        <w:t>contact target</w:t>
      </w:r>
      <w:r w:rsidR="5E6EB5D6">
        <w:t>s</w:t>
      </w:r>
      <w:r w:rsidR="3A6192B9">
        <w:t>.</w:t>
      </w:r>
      <w:r>
        <w:t xml:space="preserve"> Services </w:t>
      </w:r>
      <w:r w:rsidR="13587841">
        <w:t>will</w:t>
      </w:r>
      <w:r w:rsidR="127A18B2">
        <w:t xml:space="preserve"> </w:t>
      </w:r>
      <w:r w:rsidR="5DEDF888">
        <w:t xml:space="preserve">continue to </w:t>
      </w:r>
      <w:r>
        <w:t xml:space="preserve">report contacts as they are the counting unit for </w:t>
      </w:r>
      <w:r w:rsidR="5DEDF888">
        <w:t>Tier-2 non-admitted</w:t>
      </w:r>
      <w:r>
        <w:t xml:space="preserve"> activity.</w:t>
      </w:r>
    </w:p>
    <w:p w14:paraId="59BF6926" w14:textId="5593EA84" w:rsidR="00F44C54" w:rsidRPr="007F03EF" w:rsidRDefault="37DF3C4A" w:rsidP="00F44C54">
      <w:pPr>
        <w:pStyle w:val="Body"/>
      </w:pPr>
      <w:r>
        <w:t>Designated community palliative care services are required to report patient</w:t>
      </w:r>
      <w:r w:rsidR="00B34795">
        <w:t>-</w:t>
      </w:r>
      <w:r>
        <w:t xml:space="preserve">level cost data to the Victorian Cost Data Collection from 1 July 2021. </w:t>
      </w:r>
      <w:r w:rsidR="164F33AD">
        <w:t>T</w:t>
      </w:r>
      <w:r w:rsidR="5AF34289">
        <w:t>he</w:t>
      </w:r>
      <w:r w:rsidR="3A6192B9">
        <w:t xml:space="preserve"> </w:t>
      </w:r>
      <w:r w:rsidR="00AD5AB1">
        <w:t xml:space="preserve">department </w:t>
      </w:r>
      <w:r w:rsidR="164F33AD">
        <w:t xml:space="preserve">will engage with </w:t>
      </w:r>
      <w:r w:rsidR="5A00558E">
        <w:t>n</w:t>
      </w:r>
      <w:r w:rsidR="164F33AD">
        <w:t xml:space="preserve">on-government providers and community health services in </w:t>
      </w:r>
      <w:r w:rsidR="065DF069">
        <w:t>2022</w:t>
      </w:r>
      <w:r w:rsidR="00AD5AB1">
        <w:t>–</w:t>
      </w:r>
      <w:r w:rsidR="065DF069">
        <w:t>23</w:t>
      </w:r>
      <w:r w:rsidR="065DF069" w:rsidRPr="31EDDCAC">
        <w:rPr>
          <w:lang w:val="en-US"/>
        </w:rPr>
        <w:t xml:space="preserve"> </w:t>
      </w:r>
      <w:r w:rsidR="6CA56D8E">
        <w:t>to work towards this requirement throughout the financial year.</w:t>
      </w:r>
      <w:r w:rsidR="164F33AD">
        <w:t xml:space="preserve"> </w:t>
      </w:r>
    </w:p>
    <w:p w14:paraId="1F31B96A" w14:textId="2698B3AE" w:rsidR="00F44C54" w:rsidRPr="007F03EF" w:rsidRDefault="00F44C54" w:rsidP="00F44C54">
      <w:pPr>
        <w:pStyle w:val="Heading3"/>
      </w:pPr>
      <w:bookmarkStart w:id="319" w:name="_Toc100263318"/>
      <w:bookmarkStart w:id="320" w:name="_Toc77588984"/>
      <w:bookmarkStart w:id="321" w:name="_Toc127191966"/>
      <w:r w:rsidRPr="007F03EF">
        <w:t>Palliative Care Consultancy Services</w:t>
      </w:r>
      <w:bookmarkEnd w:id="319"/>
      <w:bookmarkEnd w:id="320"/>
      <w:bookmarkEnd w:id="321"/>
    </w:p>
    <w:p w14:paraId="51A2CC7B" w14:textId="1E02744E" w:rsidR="00F44C54" w:rsidRDefault="00F44C54" w:rsidP="00F44C54">
      <w:pPr>
        <w:pStyle w:val="Body"/>
      </w:pPr>
      <w:r w:rsidRPr="007F03EF">
        <w:t>Palliativ</w:t>
      </w:r>
      <w:r>
        <w:t xml:space="preserve">e care consultancy services are funded in </w:t>
      </w:r>
      <w:r w:rsidR="3C4B606F">
        <w:t>12</w:t>
      </w:r>
      <w:r>
        <w:t xml:space="preserve"> metropolitan health services and in the five rural regions.</w:t>
      </w:r>
    </w:p>
    <w:p w14:paraId="6D8B74A1" w14:textId="246DB15D" w:rsidR="00F44C54" w:rsidRPr="00084C04" w:rsidRDefault="37DF3C4A" w:rsidP="00F44C54">
      <w:pPr>
        <w:pStyle w:val="Body"/>
      </w:pPr>
      <w:r>
        <w:t>Consultancy services work across all healthcare settings. They provide specialist advice and support to clinical services within hospitals and in the community, including to community palliative care services</w:t>
      </w:r>
      <w:r w:rsidR="2E87E441">
        <w:t xml:space="preserve">, </w:t>
      </w:r>
      <w:r>
        <w:t>residential facilities</w:t>
      </w:r>
      <w:r w:rsidR="7E3344D0">
        <w:t xml:space="preserve"> and general practitioners</w:t>
      </w:r>
      <w:r>
        <w:t>. They address complex issues that would otherwise require admission to hospital</w:t>
      </w:r>
      <w:r w:rsidR="6A4E1426">
        <w:t xml:space="preserve"> </w:t>
      </w:r>
      <w:r w:rsidR="7A598BE1">
        <w:t>or</w:t>
      </w:r>
      <w:r w:rsidR="6A4E1426">
        <w:t xml:space="preserve"> the transfer of care under the palliative care team from other </w:t>
      </w:r>
      <w:r w:rsidR="76C99305">
        <w:t>specialities</w:t>
      </w:r>
      <w:r w:rsidR="3A6192B9">
        <w:t>.</w:t>
      </w:r>
      <w:r>
        <w:t xml:space="preserve"> They provide education and training about palliative care to other clinicians and provide palliative care input for cancer streams and at chronic disease management meetings.</w:t>
      </w:r>
    </w:p>
    <w:p w14:paraId="1A063E8D" w14:textId="525EB715" w:rsidR="00F44C54" w:rsidRPr="00084C04" w:rsidRDefault="00F44C54" w:rsidP="00F44C54">
      <w:pPr>
        <w:pStyle w:val="Body"/>
      </w:pPr>
      <w:r w:rsidRPr="00084C04">
        <w:t>Palliative care consultancy services are required to report contacts in the Palliative Care Consultancy Program form in AIMS and report patient</w:t>
      </w:r>
      <w:r w:rsidR="00B34795">
        <w:t>-</w:t>
      </w:r>
      <w:r w:rsidRPr="00084C04">
        <w:t xml:space="preserve">level contacts through </w:t>
      </w:r>
      <w:r w:rsidR="448AC43F" w:rsidRPr="00084C04">
        <w:t>the VINAH minimum dataset</w:t>
      </w:r>
      <w:r w:rsidRPr="00084C04">
        <w:t>.</w:t>
      </w:r>
    </w:p>
    <w:p w14:paraId="7C9A56A6" w14:textId="7692FB53" w:rsidR="00F44C54" w:rsidRPr="00084C04" w:rsidRDefault="00F44C54" w:rsidP="00F44C54">
      <w:pPr>
        <w:pStyle w:val="Heading4"/>
      </w:pPr>
      <w:r w:rsidRPr="00084C04">
        <w:t>Hospital-</w:t>
      </w:r>
      <w:r w:rsidR="0034782A">
        <w:t>B</w:t>
      </w:r>
      <w:r w:rsidRPr="00084C04">
        <w:t xml:space="preserve">ased </w:t>
      </w:r>
      <w:r w:rsidR="0034782A">
        <w:t>P</w:t>
      </w:r>
      <w:r w:rsidRPr="00084C04">
        <w:t xml:space="preserve">alliative </w:t>
      </w:r>
      <w:r w:rsidR="0034782A">
        <w:t>C</w:t>
      </w:r>
      <w:r w:rsidRPr="00084C04">
        <w:t xml:space="preserve">are </w:t>
      </w:r>
      <w:r w:rsidR="0034782A">
        <w:t>C</w:t>
      </w:r>
      <w:r w:rsidRPr="00084C04">
        <w:t>onsultancy</w:t>
      </w:r>
    </w:p>
    <w:p w14:paraId="47FB1DAF" w14:textId="4E284A5C" w:rsidR="00F44C54" w:rsidRPr="00084C04" w:rsidRDefault="00F44C54" w:rsidP="00F44C54">
      <w:pPr>
        <w:pStyle w:val="Body"/>
      </w:pPr>
      <w:r w:rsidRPr="00084C04">
        <w:t>Funding for hospital-based palliative care consultancy is part of the price paid for acute admitted activity</w:t>
      </w:r>
      <w:r w:rsidR="60E372BF" w:rsidRPr="00084C04">
        <w:t xml:space="preserve"> </w:t>
      </w:r>
      <w:r w:rsidR="0DD3A672" w:rsidRPr="00084C04">
        <w:t>(</w:t>
      </w:r>
      <w:r w:rsidR="60E372BF" w:rsidRPr="00084C04">
        <w:t>NWAU)</w:t>
      </w:r>
      <w:r w:rsidR="4FE0B119" w:rsidRPr="00084C04">
        <w:t>.</w:t>
      </w:r>
      <w:r w:rsidRPr="00084C04">
        <w:t xml:space="preserve"> </w:t>
      </w:r>
      <w:r w:rsidR="00AC5CBB" w:rsidRPr="00084C04">
        <w:t>Eleven</w:t>
      </w:r>
      <w:r w:rsidRPr="00084C04">
        <w:t xml:space="preserve"> metropolitan health services </w:t>
      </w:r>
      <w:r w:rsidR="2B3B25EA" w:rsidRPr="00084C04">
        <w:t>receive a</w:t>
      </w:r>
      <w:r w:rsidR="52300C79" w:rsidRPr="00084C04">
        <w:t xml:space="preserve">n additional </w:t>
      </w:r>
      <w:r w:rsidR="2B3B25EA" w:rsidRPr="00084C04">
        <w:t xml:space="preserve">specified grant </w:t>
      </w:r>
      <w:r w:rsidRPr="00084C04">
        <w:t>to support their palliative care consultancy teams to respond to immediate service demand and to support an outreach model. Th</w:t>
      </w:r>
      <w:r w:rsidR="2DE3226D" w:rsidRPr="00084C04">
        <w:t xml:space="preserve">e </w:t>
      </w:r>
      <w:r w:rsidRPr="00084C04">
        <w:t xml:space="preserve">outreach model is aimed at expediting early discharge and supporting clients in the short term with some acute supports until such time as the designated community provider can take over the ongoing </w:t>
      </w:r>
      <w:r w:rsidR="132D62C0" w:rsidRPr="00084C04">
        <w:t xml:space="preserve">community </w:t>
      </w:r>
      <w:r w:rsidRPr="00084C04">
        <w:t>care component. The grant is not intended to duplicate existing non-admitted palliative care within the service’s catchment.</w:t>
      </w:r>
      <w:r w:rsidR="0479A67B" w:rsidRPr="00084C04">
        <w:t xml:space="preserve"> </w:t>
      </w:r>
    </w:p>
    <w:p w14:paraId="07AE9453" w14:textId="22DEB23D" w:rsidR="00F44C54" w:rsidRPr="00084C04" w:rsidRDefault="00F44C54" w:rsidP="00F44C54">
      <w:pPr>
        <w:pStyle w:val="Body"/>
      </w:pPr>
      <w:r w:rsidRPr="00084C04">
        <w:t>Funding is allocated as a block grant and will be revised prior to 1 July 2023.</w:t>
      </w:r>
    </w:p>
    <w:p w14:paraId="4F7CEE25" w14:textId="72F27D8D" w:rsidR="00F44C54" w:rsidRPr="00084C04" w:rsidRDefault="00F44C54" w:rsidP="00F44C54">
      <w:pPr>
        <w:pStyle w:val="Heading4"/>
      </w:pPr>
      <w:r w:rsidRPr="00084C04">
        <w:t xml:space="preserve">Regional </w:t>
      </w:r>
      <w:r w:rsidR="0034782A">
        <w:t>P</w:t>
      </w:r>
      <w:r w:rsidRPr="00084C04">
        <w:t xml:space="preserve">alliative </w:t>
      </w:r>
      <w:r w:rsidR="0034782A">
        <w:t>C</w:t>
      </w:r>
      <w:r w:rsidRPr="00084C04">
        <w:t xml:space="preserve">are </w:t>
      </w:r>
      <w:r w:rsidR="0034782A">
        <w:t>C</w:t>
      </w:r>
      <w:r w:rsidRPr="00084C04">
        <w:t>onsultancy</w:t>
      </w:r>
    </w:p>
    <w:p w14:paraId="06C8F1EA" w14:textId="16A2718E" w:rsidR="00F44C54" w:rsidRPr="00084C04" w:rsidRDefault="00F44C54" w:rsidP="00F44C54">
      <w:pPr>
        <w:pStyle w:val="Body"/>
      </w:pPr>
      <w:r w:rsidRPr="00084C04">
        <w:t>Regional consultancies provide regular primary and secondary consultation to generalist health (including general practitioners, acute and subacute services) and community services (including aged care and disability services) on a regionwide basis. All generalist health and community services are expected to be able to care for people who are at the end of life, and the consultancy teams provide the specialist expertise and skill to support these services to provide good end-of-life care.</w:t>
      </w:r>
    </w:p>
    <w:p w14:paraId="65F543C5" w14:textId="049E141C" w:rsidR="00F44C54" w:rsidRPr="00084C04" w:rsidRDefault="00F44C54" w:rsidP="00F44C54">
      <w:pPr>
        <w:pStyle w:val="Body"/>
        <w:rPr>
          <w:szCs w:val="21"/>
        </w:rPr>
      </w:pPr>
      <w:r w:rsidRPr="00084C04">
        <w:t xml:space="preserve">Funding for regional palliative care consultancy teams is provided as a block grant in </w:t>
      </w:r>
      <w:r w:rsidR="002E7EEF" w:rsidRPr="00084C04">
        <w:t>2022</w:t>
      </w:r>
      <w:r w:rsidR="00AD5AB1">
        <w:t>–</w:t>
      </w:r>
      <w:r w:rsidR="002E7EEF" w:rsidRPr="00084C04">
        <w:t>23.</w:t>
      </w:r>
      <w:r w:rsidR="002E7EEF" w:rsidRPr="00084C04">
        <w:rPr>
          <w:lang w:val="en-US"/>
        </w:rPr>
        <w:t xml:space="preserve"> </w:t>
      </w:r>
      <w:r w:rsidRPr="00084C04">
        <w:t>In the majority or regions, this funding includes aged and disability link nurses. This funding is recurrent.</w:t>
      </w:r>
      <w:r w:rsidR="75D83A2A" w:rsidRPr="00084C04">
        <w:t xml:space="preserve"> </w:t>
      </w:r>
      <w:r w:rsidR="75D83A2A" w:rsidRPr="00084C04">
        <w:rPr>
          <w:szCs w:val="21"/>
        </w:rPr>
        <w:t xml:space="preserve">Recall does not apply to regional palliative care consultancy services in </w:t>
      </w:r>
      <w:r w:rsidR="002E7EEF" w:rsidRPr="00084C04">
        <w:t>2022</w:t>
      </w:r>
      <w:r w:rsidR="00AD5AB1">
        <w:t>–</w:t>
      </w:r>
      <w:r w:rsidR="002E7EEF" w:rsidRPr="00084C04">
        <w:t>23.</w:t>
      </w:r>
    </w:p>
    <w:p w14:paraId="0D35CB64" w14:textId="77E3CED6" w:rsidR="00F44C54" w:rsidRPr="00084C04" w:rsidRDefault="00F44C54" w:rsidP="00F44C54">
      <w:pPr>
        <w:pStyle w:val="Heading4"/>
      </w:pPr>
      <w:r w:rsidRPr="00084C04">
        <w:t xml:space="preserve">Statewide </w:t>
      </w:r>
      <w:r w:rsidR="0034782A">
        <w:t>P</w:t>
      </w:r>
      <w:r w:rsidRPr="00084C04">
        <w:t xml:space="preserve">alliative </w:t>
      </w:r>
      <w:r w:rsidR="0034782A">
        <w:t>C</w:t>
      </w:r>
      <w:r w:rsidRPr="00084C04">
        <w:t xml:space="preserve">are </w:t>
      </w:r>
      <w:r w:rsidR="0034782A">
        <w:t>C</w:t>
      </w:r>
      <w:r w:rsidRPr="00084C04">
        <w:t>onsultancy</w:t>
      </w:r>
    </w:p>
    <w:p w14:paraId="63C8613D" w14:textId="188029C3" w:rsidR="00F44C54" w:rsidRPr="00084C04" w:rsidRDefault="00F44C54" w:rsidP="00F44C54">
      <w:pPr>
        <w:pStyle w:val="Body"/>
      </w:pPr>
      <w:r w:rsidRPr="00084C04">
        <w:t xml:space="preserve">Funding for statewide palliative care consultancy teams is provided as a block grant in </w:t>
      </w:r>
      <w:r w:rsidR="002E7EEF" w:rsidRPr="00084C04">
        <w:t>2022</w:t>
      </w:r>
      <w:r w:rsidR="00AD5AB1">
        <w:t>–</w:t>
      </w:r>
      <w:r w:rsidR="002E7EEF" w:rsidRPr="00084C04">
        <w:t>23</w:t>
      </w:r>
      <w:r w:rsidRPr="00084C04">
        <w:t xml:space="preserve">. Statewide consultancy services include the Victorian Paediatric Palliative Care Program, Very </w:t>
      </w:r>
      <w:r w:rsidRPr="00084C04">
        <w:lastRenderedPageBreak/>
        <w:t>Special Kids, Motor Neurone Disease Association (Vic</w:t>
      </w:r>
      <w:r w:rsidR="00AD5AB1">
        <w:t>.</w:t>
      </w:r>
      <w:r w:rsidRPr="00084C04">
        <w:t>) and the Australian Centre for Grief and Bereavement.</w:t>
      </w:r>
      <w:r w:rsidR="19388B99" w:rsidRPr="00084C04">
        <w:t xml:space="preserve"> This funding is recurrent.</w:t>
      </w:r>
    </w:p>
    <w:p w14:paraId="601FE1D2" w14:textId="07CED2E5" w:rsidR="00CF1248" w:rsidRPr="000A0DAE" w:rsidRDefault="00CF1248" w:rsidP="000A0DAE">
      <w:pPr>
        <w:pStyle w:val="DHHSbodyafterbullets"/>
        <w:rPr>
          <w:sz w:val="21"/>
          <w:szCs w:val="21"/>
        </w:rPr>
      </w:pPr>
      <w:r w:rsidRPr="00084C04">
        <w:rPr>
          <w:sz w:val="21"/>
          <w:szCs w:val="21"/>
        </w:rPr>
        <w:t xml:space="preserve">Funding allocations for palliative care statewide consultancy services are included in the organisation’s acute and subacute allocation. Recall does not apply to statewide palliative care consultancy services in </w:t>
      </w:r>
      <w:r w:rsidR="002E7EEF" w:rsidRPr="00084C04">
        <w:t>2022</w:t>
      </w:r>
      <w:r w:rsidR="00AD5AB1">
        <w:t>–</w:t>
      </w:r>
      <w:r w:rsidR="002E7EEF" w:rsidRPr="00084C04">
        <w:t>23</w:t>
      </w:r>
      <w:r w:rsidRPr="00084C04">
        <w:rPr>
          <w:sz w:val="21"/>
          <w:szCs w:val="21"/>
        </w:rPr>
        <w:t>.</w:t>
      </w:r>
    </w:p>
    <w:p w14:paraId="399EE401" w14:textId="2E901AA9" w:rsidR="00F44C54" w:rsidRPr="00084C04" w:rsidRDefault="00F44C54" w:rsidP="00F44C54">
      <w:pPr>
        <w:pStyle w:val="Heading4"/>
      </w:pPr>
      <w:r w:rsidRPr="00084C04">
        <w:t xml:space="preserve">Business </w:t>
      </w:r>
      <w:r w:rsidR="0034782A">
        <w:t>R</w:t>
      </w:r>
      <w:r w:rsidRPr="00084C04">
        <w:t>ules</w:t>
      </w:r>
    </w:p>
    <w:p w14:paraId="6DB1AF1D" w14:textId="27C42E71" w:rsidR="00F44C54" w:rsidRPr="00084C04" w:rsidRDefault="00F44C54" w:rsidP="00F44C54">
      <w:pPr>
        <w:pStyle w:val="Body"/>
      </w:pPr>
      <w:r w:rsidRPr="00084C04">
        <w:t xml:space="preserve">It is expected that health services maintain and report patient-level </w:t>
      </w:r>
      <w:r w:rsidR="5C3B3F7B" w:rsidRPr="00084C04">
        <w:t xml:space="preserve">activity </w:t>
      </w:r>
      <w:r w:rsidRPr="00084C04">
        <w:t xml:space="preserve">for </w:t>
      </w:r>
      <w:r w:rsidR="00AD5AB1">
        <w:t>h</w:t>
      </w:r>
      <w:r w:rsidR="00AD5AB1" w:rsidRPr="00084C04">
        <w:t>ospital</w:t>
      </w:r>
      <w:r w:rsidRPr="00084C04">
        <w:t>-based palliative care consultancy and statewide services</w:t>
      </w:r>
      <w:r w:rsidR="24F95306" w:rsidRPr="00084C04">
        <w:t xml:space="preserve">. The mode of activity reporting will vary in </w:t>
      </w:r>
      <w:r w:rsidR="002E7EEF" w:rsidRPr="00084C04">
        <w:t>2022</w:t>
      </w:r>
      <w:r w:rsidR="00AD5AB1">
        <w:t>–</w:t>
      </w:r>
      <w:r w:rsidR="002E7EEF" w:rsidRPr="00084C04">
        <w:t>23</w:t>
      </w:r>
      <w:r w:rsidR="00AD5AB1">
        <w:t>,</w:t>
      </w:r>
      <w:r w:rsidR="002E7EEF" w:rsidRPr="00084C04">
        <w:rPr>
          <w:lang w:val="en-US"/>
        </w:rPr>
        <w:t xml:space="preserve"> </w:t>
      </w:r>
      <w:r w:rsidR="24F95306" w:rsidRPr="00084C04">
        <w:t>subject to the service</w:t>
      </w:r>
      <w:r w:rsidR="00BB6F04" w:rsidRPr="00084C04">
        <w:t>’</w:t>
      </w:r>
      <w:r w:rsidR="24F95306" w:rsidRPr="00084C04">
        <w:t xml:space="preserve">s </w:t>
      </w:r>
      <w:r w:rsidR="65E81E48" w:rsidRPr="00084C04">
        <w:t xml:space="preserve">utilisation of </w:t>
      </w:r>
      <w:r w:rsidR="1A9CEB8D" w:rsidRPr="00084C04">
        <w:t>the VINAH minimum dataset</w:t>
      </w:r>
      <w:r w:rsidR="65E81E48" w:rsidRPr="00084C04">
        <w:t xml:space="preserve"> or </w:t>
      </w:r>
      <w:r w:rsidR="1A9CEB8D" w:rsidRPr="00084C04">
        <w:t xml:space="preserve">the </w:t>
      </w:r>
      <w:r w:rsidR="65E81E48" w:rsidRPr="00084C04">
        <w:t xml:space="preserve">NADC. </w:t>
      </w:r>
    </w:p>
    <w:p w14:paraId="61EAC467" w14:textId="4B26764A" w:rsidR="00F44C54" w:rsidRPr="00084C04" w:rsidRDefault="5924C42A" w:rsidP="31EDDCAC">
      <w:pPr>
        <w:pStyle w:val="Body"/>
      </w:pPr>
      <w:r>
        <w:t>As from 1 July 2022</w:t>
      </w:r>
      <w:r w:rsidR="00AD5AB1">
        <w:t>,</w:t>
      </w:r>
      <w:r>
        <w:t xml:space="preserve"> </w:t>
      </w:r>
      <w:r w:rsidR="29F61B73">
        <w:t xml:space="preserve">hospital and regional palliative care consultancy services will be required to report patient-level activity to </w:t>
      </w:r>
      <w:r w:rsidR="01CEA60F">
        <w:t>the VINAH minimum dataset</w:t>
      </w:r>
      <w:r w:rsidR="37DF3C4A">
        <w:t xml:space="preserve">. </w:t>
      </w:r>
      <w:r w:rsidR="164F33AD">
        <w:t>T</w:t>
      </w:r>
      <w:r w:rsidR="5AF34289">
        <w:t>he</w:t>
      </w:r>
      <w:r w:rsidR="3A6192B9">
        <w:t xml:space="preserve"> </w:t>
      </w:r>
      <w:r w:rsidR="00AD5AB1">
        <w:t xml:space="preserve">department </w:t>
      </w:r>
      <w:r w:rsidR="164F33AD">
        <w:t xml:space="preserve">will engage with services in </w:t>
      </w:r>
      <w:r w:rsidR="065DF069">
        <w:t>2022</w:t>
      </w:r>
      <w:r w:rsidR="00AD5AB1">
        <w:t>–</w:t>
      </w:r>
      <w:r w:rsidR="065DF069">
        <w:t>23</w:t>
      </w:r>
      <w:r w:rsidR="065DF069" w:rsidRPr="31EDDCAC">
        <w:rPr>
          <w:lang w:val="en-US"/>
        </w:rPr>
        <w:t xml:space="preserve"> </w:t>
      </w:r>
      <w:r w:rsidR="6CA56D8E">
        <w:t>to work towards this requirement throughout the financial year</w:t>
      </w:r>
    </w:p>
    <w:p w14:paraId="6CE20BCA" w14:textId="3153BABA" w:rsidR="793BC204" w:rsidRPr="00084C04" w:rsidRDefault="78CBB610" w:rsidP="7E1767A0">
      <w:pPr>
        <w:pStyle w:val="Body"/>
      </w:pPr>
      <w:r>
        <w:t xml:space="preserve">It is expected that health services maintain and include hospital-based palliative care consultancy as part of their reporting of patient-level costing data for to the Victorian Cost Data Collection. </w:t>
      </w:r>
    </w:p>
    <w:p w14:paraId="067DA0ED" w14:textId="76F94081" w:rsidR="00F44C54" w:rsidRPr="00084C04" w:rsidRDefault="00F44C54" w:rsidP="00F44C54">
      <w:pPr>
        <w:pStyle w:val="Heading3"/>
      </w:pPr>
      <w:bookmarkStart w:id="322" w:name="_Toc77588985"/>
      <w:bookmarkStart w:id="323" w:name="_Toc100263319"/>
      <w:bookmarkStart w:id="324" w:name="_Toc127191967"/>
      <w:r w:rsidRPr="00084C04">
        <w:t xml:space="preserve">Day </w:t>
      </w:r>
      <w:r w:rsidR="0034782A">
        <w:t>H</w:t>
      </w:r>
      <w:r w:rsidRPr="00084C04">
        <w:t>ospice</w:t>
      </w:r>
      <w:bookmarkEnd w:id="322"/>
      <w:bookmarkEnd w:id="323"/>
      <w:bookmarkEnd w:id="324"/>
    </w:p>
    <w:p w14:paraId="1C936117" w14:textId="7221717D" w:rsidR="00F44C54" w:rsidRPr="00084C04" w:rsidRDefault="00F44C54" w:rsidP="00F44C54">
      <w:pPr>
        <w:pStyle w:val="Body"/>
      </w:pPr>
      <w:bookmarkStart w:id="325" w:name="_Toc77588986"/>
      <w:r w:rsidRPr="00084C04">
        <w:t xml:space="preserve">Acute health services funded to provide day hospice receive a non-admitted funding allocation for this activity. </w:t>
      </w:r>
      <w:bookmarkEnd w:id="325"/>
      <w:r w:rsidRPr="00084C04">
        <w:t xml:space="preserve">It is expected that health services maintain and report patient-level activity for day hospice services via the VINAH minimum dataset. Recall does not apply to day hospice services in </w:t>
      </w:r>
      <w:r w:rsidR="002E7EEF" w:rsidRPr="00084C04">
        <w:t>2022</w:t>
      </w:r>
      <w:r w:rsidR="001A68D4">
        <w:t>–</w:t>
      </w:r>
      <w:r w:rsidR="002E7EEF" w:rsidRPr="00084C04">
        <w:t>23</w:t>
      </w:r>
      <w:r w:rsidRPr="00084C04">
        <w:t>.</w:t>
      </w:r>
    </w:p>
    <w:p w14:paraId="77C75E67" w14:textId="77777777" w:rsidR="00F44C54" w:rsidRPr="00084C04" w:rsidRDefault="00F44C54" w:rsidP="00F44C54">
      <w:pPr>
        <w:pStyle w:val="Heading3"/>
      </w:pPr>
      <w:bookmarkStart w:id="326" w:name="_Toc77711254"/>
      <w:bookmarkStart w:id="327" w:name="_Toc77588987"/>
      <w:bookmarkStart w:id="328" w:name="_Toc100263320"/>
      <w:bookmarkStart w:id="329" w:name="_Toc127191968"/>
      <w:bookmarkEnd w:id="326"/>
      <w:r w:rsidRPr="00084C04">
        <w:t>Victorian Artificial Limb Program</w:t>
      </w:r>
      <w:bookmarkEnd w:id="327"/>
      <w:bookmarkEnd w:id="328"/>
      <w:bookmarkEnd w:id="329"/>
    </w:p>
    <w:p w14:paraId="367D9339" w14:textId="006B52BE" w:rsidR="00F44C54" w:rsidRPr="00084C04" w:rsidRDefault="37DF3C4A" w:rsidP="00F44C54">
      <w:pPr>
        <w:pStyle w:val="Body"/>
      </w:pPr>
      <w:r>
        <w:t xml:space="preserve">Funding for the Victorian Artificial Limb Program will continue to be provided as a block grant to health services as a non-admitted subacute service. Victorian Artificial Limb Program services are required to report service events as a non-admitted subacute service through the AIMS S11 form. The S11 collects activity at an aggregate level. </w:t>
      </w:r>
      <w:r w:rsidR="27CD002F">
        <w:t>Patient</w:t>
      </w:r>
      <w:r w:rsidR="00B34795">
        <w:t>-</w:t>
      </w:r>
      <w:r w:rsidR="27CD002F">
        <w:t xml:space="preserve">level reporting using </w:t>
      </w:r>
      <w:r w:rsidR="5E08F699">
        <w:t>the</w:t>
      </w:r>
      <w:r w:rsidR="127A18B2">
        <w:t xml:space="preserve"> </w:t>
      </w:r>
      <w:r w:rsidR="194FEC8F">
        <w:t>VINAH</w:t>
      </w:r>
      <w:r w:rsidR="2A0B949F">
        <w:t xml:space="preserve"> </w:t>
      </w:r>
      <w:r w:rsidR="36A4D396">
        <w:t>minimum dataset</w:t>
      </w:r>
      <w:r w:rsidR="26BB888C">
        <w:t xml:space="preserve"> </w:t>
      </w:r>
      <w:r w:rsidR="565B907A">
        <w:t xml:space="preserve">was </w:t>
      </w:r>
      <w:r w:rsidR="4653A5D1">
        <w:t>mandatory from 1 July 2022.</w:t>
      </w:r>
      <w:r w:rsidR="0A019539">
        <w:t xml:space="preserve"> </w:t>
      </w:r>
    </w:p>
    <w:p w14:paraId="0A85CAA7" w14:textId="3051FFA4" w:rsidR="00F44C54" w:rsidRPr="00084C04" w:rsidRDefault="00F44C54" w:rsidP="00F44C54">
      <w:pPr>
        <w:pStyle w:val="Body"/>
      </w:pPr>
      <w:r w:rsidRPr="00084C04">
        <w:t xml:space="preserve">Services expected to provide artificial limbs under the Victorian Artificial Limb Program in </w:t>
      </w:r>
      <w:r w:rsidR="002E7EEF" w:rsidRPr="00084C04">
        <w:t>2022</w:t>
      </w:r>
      <w:r w:rsidR="001A68D4">
        <w:t>–</w:t>
      </w:r>
      <w:r w:rsidR="002E7EEF" w:rsidRPr="00084C04">
        <w:t>23</w:t>
      </w:r>
      <w:r w:rsidR="002E7EEF" w:rsidRPr="00084C04">
        <w:rPr>
          <w:lang w:val="en-US"/>
        </w:rPr>
        <w:t xml:space="preserve"> </w:t>
      </w:r>
      <w:r w:rsidRPr="00084C04">
        <w:t xml:space="preserve">are: The Royal Children’s Hospital, Peninsula Health, Melbourne Health, Alfred Health, Barwon Health, </w:t>
      </w:r>
      <w:r w:rsidR="000A0DAE">
        <w:t>Grampian’s</w:t>
      </w:r>
      <w:r w:rsidRPr="00084C04">
        <w:t xml:space="preserve"> Health, Austin Health, St Vincent’s Health, Latrobe Regional Hospital, Bendigo Health and South West Healthcare.</w:t>
      </w:r>
    </w:p>
    <w:p w14:paraId="49BC0D15" w14:textId="77777777" w:rsidR="00F44C54" w:rsidRPr="00084C04" w:rsidRDefault="00F44C54" w:rsidP="00F44C54">
      <w:pPr>
        <w:pStyle w:val="Body"/>
      </w:pPr>
      <w:r w:rsidRPr="00084C04">
        <w:t>People accessing the Victorian Artificial Limb Program service and equipment may be eligible for the National Disability Insurance Scheme (NDIS). Health services are expected to identify NDIS</w:t>
      </w:r>
      <w:r w:rsidRPr="00084C04" w:rsidDel="009D489C">
        <w:t xml:space="preserve"> </w:t>
      </w:r>
      <w:r w:rsidRPr="00084C04">
        <w:t>participants, or those eligible to become participants, accessing their Victorian Artificial Limb Program services and ensure NDIS-eligible activity and equipment is billed to the NDIS.</w:t>
      </w:r>
    </w:p>
    <w:p w14:paraId="2E9CA054" w14:textId="71B2AFA9" w:rsidR="00F44C54" w:rsidRPr="00084C04" w:rsidRDefault="00F44C54" w:rsidP="00F44C54">
      <w:pPr>
        <w:pStyle w:val="Heading4"/>
      </w:pPr>
      <w:r w:rsidRPr="00084C04">
        <w:t xml:space="preserve">Business </w:t>
      </w:r>
      <w:r w:rsidR="0034782A">
        <w:t>R</w:t>
      </w:r>
      <w:r w:rsidRPr="00084C04">
        <w:t>ules</w:t>
      </w:r>
    </w:p>
    <w:p w14:paraId="3E9FD2E7" w14:textId="18285705" w:rsidR="00F44C54" w:rsidRPr="00084C04" w:rsidRDefault="00F44C54" w:rsidP="00F44C54">
      <w:pPr>
        <w:pStyle w:val="Body"/>
      </w:pPr>
      <w:r w:rsidRPr="00084C04">
        <w:t xml:space="preserve">Activity delivered through the Victorian Artificial Limb Program should be classified using the Tier 2 Non-Admitted Services Classification (Tier2). See </w:t>
      </w:r>
      <w:r w:rsidR="002A5529">
        <w:t>s</w:t>
      </w:r>
      <w:r w:rsidR="00527DEB" w:rsidRPr="00084C04">
        <w:t xml:space="preserve">ection </w:t>
      </w:r>
      <w:r w:rsidR="00527DEB" w:rsidRPr="00084C04">
        <w:fldChar w:fldCharType="begin"/>
      </w:r>
      <w:r w:rsidR="00527DEB" w:rsidRPr="00084C04">
        <w:instrText xml:space="preserve"> REF _Ref87974150 \r \h </w:instrText>
      </w:r>
      <w:r w:rsidR="00084C04">
        <w:instrText xml:space="preserve"> \* MERGEFORMAT </w:instrText>
      </w:r>
      <w:r w:rsidR="00527DEB" w:rsidRPr="00084C04">
        <w:fldChar w:fldCharType="separate"/>
      </w:r>
      <w:r w:rsidR="006D0756">
        <w:t>1.12.2</w:t>
      </w:r>
      <w:r w:rsidR="00527DEB" w:rsidRPr="00084C04">
        <w:fldChar w:fldCharType="end"/>
      </w:r>
      <w:r w:rsidR="00527DEB" w:rsidRPr="00084C04">
        <w:t xml:space="preserve"> </w:t>
      </w:r>
      <w:r w:rsidRPr="00084C04">
        <w:t>for further information on the Tier 2 Classification.</w:t>
      </w:r>
    </w:p>
    <w:p w14:paraId="146AB792" w14:textId="15FA102C" w:rsidR="00F44C54" w:rsidRPr="00084C04" w:rsidRDefault="37DF3C4A" w:rsidP="00F44C54">
      <w:pPr>
        <w:pStyle w:val="Body"/>
      </w:pPr>
      <w:r>
        <w:t>The unit of count adopted for these non-admitted services is ‘service event’.</w:t>
      </w:r>
      <w:r w:rsidR="512DA271">
        <w:t> </w:t>
      </w:r>
      <w:r w:rsidR="001A68D4">
        <w:t>Refer to s</w:t>
      </w:r>
      <w:r w:rsidR="1370C2BF">
        <w:t xml:space="preserve">ection </w:t>
      </w:r>
      <w:r w:rsidR="00F44C54">
        <w:fldChar w:fldCharType="begin"/>
      </w:r>
      <w:r w:rsidR="00F44C54">
        <w:instrText xml:space="preserve"> REF _Ref87974150 \r \h  \* MERGEFORMAT </w:instrText>
      </w:r>
      <w:r w:rsidR="00F44C54">
        <w:fldChar w:fldCharType="separate"/>
      </w:r>
      <w:r w:rsidR="006D0756">
        <w:t>1.12.2</w:t>
      </w:r>
      <w:r w:rsidR="00F44C54">
        <w:fldChar w:fldCharType="end"/>
      </w:r>
      <w:r w:rsidR="1370C2BF">
        <w:t xml:space="preserve"> </w:t>
      </w:r>
      <w:r>
        <w:t xml:space="preserve">for further information on service events. The Victorian Artificial Limb Program is required to report non-admitted services as service events through the relevant AIMS form and report contacts through </w:t>
      </w:r>
      <w:r w:rsidR="512DA271">
        <w:t>the VINAH minimum dataset.</w:t>
      </w:r>
      <w:r>
        <w:t xml:space="preserve"> These service events do not attract NWAU for the purposes of setting targets.</w:t>
      </w:r>
    </w:p>
    <w:p w14:paraId="5D1112BC" w14:textId="77777777" w:rsidR="00F44C54" w:rsidRPr="00084C04" w:rsidRDefault="00F44C54" w:rsidP="00F44C54">
      <w:pPr>
        <w:pStyle w:val="Body"/>
      </w:pPr>
      <w:r w:rsidRPr="00084C04">
        <w:lastRenderedPageBreak/>
        <w:t>It is expected that health services maintain and report Victorian Artificial Limb Program patient-level costing data to the Victorian Cost Data Collection.</w:t>
      </w:r>
    </w:p>
    <w:p w14:paraId="7308A710" w14:textId="77777777" w:rsidR="00F44C54" w:rsidRPr="00084C04" w:rsidRDefault="00F44C54" w:rsidP="00F44C54">
      <w:pPr>
        <w:pStyle w:val="Heading3"/>
      </w:pPr>
      <w:bookmarkStart w:id="330" w:name="_Toc77588988"/>
      <w:bookmarkStart w:id="331" w:name="_Toc100263321"/>
      <w:bookmarkStart w:id="332" w:name="_Toc127191969"/>
      <w:r w:rsidRPr="00084C04">
        <w:t>Victorian Respiratory Support Service</w:t>
      </w:r>
      <w:bookmarkEnd w:id="330"/>
      <w:bookmarkEnd w:id="331"/>
      <w:bookmarkEnd w:id="332"/>
    </w:p>
    <w:p w14:paraId="2DFDF8D0" w14:textId="77777777" w:rsidR="00F44C54" w:rsidRPr="00084C04" w:rsidRDefault="00F44C54" w:rsidP="00F44C54">
      <w:pPr>
        <w:pStyle w:val="Body"/>
      </w:pPr>
      <w:r w:rsidRPr="00084C04">
        <w:t xml:space="preserve">Funding for the Victorian Respiratory Support Service will continue to be provided as a block grant to Austin Health as a non-admitted subacute service. </w:t>
      </w:r>
    </w:p>
    <w:p w14:paraId="30115364" w14:textId="66F7CEBF" w:rsidR="00F44C54" w:rsidRPr="00084C04" w:rsidRDefault="00F44C54" w:rsidP="00F44C54">
      <w:pPr>
        <w:pStyle w:val="Heading4"/>
      </w:pPr>
      <w:r w:rsidRPr="00084C04">
        <w:t xml:space="preserve">Business </w:t>
      </w:r>
      <w:r w:rsidR="0034782A">
        <w:t>R</w:t>
      </w:r>
      <w:r w:rsidRPr="00084C04">
        <w:t>ules</w:t>
      </w:r>
    </w:p>
    <w:p w14:paraId="28044255" w14:textId="1F54D96D" w:rsidR="00F44C54" w:rsidRPr="00084C04" w:rsidRDefault="00F44C54" w:rsidP="00F44C54">
      <w:pPr>
        <w:pStyle w:val="Body"/>
      </w:pPr>
      <w:r w:rsidRPr="00084C04">
        <w:t xml:space="preserve">Activity delivered through the Victorian Respiratory Support Service should be classified using the Tier 2 Non-Admitted Services Classification (Tier2). See </w:t>
      </w:r>
      <w:r w:rsidR="002A5529">
        <w:t>s</w:t>
      </w:r>
      <w:r w:rsidR="00527DEB" w:rsidRPr="00084C04">
        <w:t xml:space="preserve">ection </w:t>
      </w:r>
      <w:r w:rsidR="00527DEB" w:rsidRPr="00084C04">
        <w:fldChar w:fldCharType="begin"/>
      </w:r>
      <w:r w:rsidR="00527DEB" w:rsidRPr="00084C04">
        <w:instrText xml:space="preserve"> REF _Ref87974150 \r \h </w:instrText>
      </w:r>
      <w:r w:rsidR="00084C04">
        <w:instrText xml:space="preserve"> \* MERGEFORMAT </w:instrText>
      </w:r>
      <w:r w:rsidR="00527DEB" w:rsidRPr="00084C04">
        <w:fldChar w:fldCharType="separate"/>
      </w:r>
      <w:r w:rsidR="006D0756">
        <w:t>1.12.2</w:t>
      </w:r>
      <w:r w:rsidR="00527DEB" w:rsidRPr="00084C04">
        <w:fldChar w:fldCharType="end"/>
      </w:r>
      <w:r w:rsidR="00527DEB" w:rsidRPr="00084C04">
        <w:t xml:space="preserve"> </w:t>
      </w:r>
      <w:r w:rsidRPr="00084C04">
        <w:t>for further information on the Tier 2 Classification.</w:t>
      </w:r>
    </w:p>
    <w:p w14:paraId="46717F30" w14:textId="6C548793" w:rsidR="00F44C54" w:rsidRPr="00084C04" w:rsidRDefault="37DF3C4A" w:rsidP="00F44C54">
      <w:pPr>
        <w:pStyle w:val="Body"/>
      </w:pPr>
      <w:r>
        <w:t>The unit of count adopted for these non-admitted services is ‘service event’.</w:t>
      </w:r>
      <w:r w:rsidR="512DA271">
        <w:t> See</w:t>
      </w:r>
      <w:r>
        <w:t xml:space="preserve"> </w:t>
      </w:r>
      <w:r w:rsidR="001A68D4">
        <w:t xml:space="preserve">section </w:t>
      </w:r>
      <w:r w:rsidR="00F44C54">
        <w:fldChar w:fldCharType="begin"/>
      </w:r>
      <w:r w:rsidR="00F44C54">
        <w:instrText xml:space="preserve"> REF _Ref87974150 \r \h  \* MERGEFORMAT </w:instrText>
      </w:r>
      <w:r w:rsidR="00F44C54">
        <w:fldChar w:fldCharType="separate"/>
      </w:r>
      <w:r w:rsidR="006D0756">
        <w:t>1.12.2</w:t>
      </w:r>
      <w:r w:rsidR="00F44C54">
        <w:fldChar w:fldCharType="end"/>
      </w:r>
      <w:r w:rsidR="1370C2BF">
        <w:t xml:space="preserve"> </w:t>
      </w:r>
      <w:r>
        <w:t>for further information on service events</w:t>
      </w:r>
      <w:r w:rsidR="001A68D4">
        <w:t>.</w:t>
      </w:r>
      <w:r>
        <w:t xml:space="preserve"> The Victorian Respiratory Support Service is required to report non-admitted services as service events through the relevant AIMS form and report contacts through </w:t>
      </w:r>
      <w:r w:rsidR="512DA271">
        <w:t>the VINAH minimum dataset.</w:t>
      </w:r>
      <w:r>
        <w:t xml:space="preserve"> These service events do not attract NWAU.</w:t>
      </w:r>
    </w:p>
    <w:p w14:paraId="0B2929C9" w14:textId="77777777" w:rsidR="00F44C54" w:rsidRPr="00084C04" w:rsidRDefault="00F44C54" w:rsidP="00F44C54">
      <w:pPr>
        <w:pStyle w:val="Body"/>
      </w:pPr>
      <w:r w:rsidRPr="00084C04">
        <w:t>It is expected that health services maintain and report Victorian Respiratory Support Service patient-level costing data to the Victorian Cost Data Collection.</w:t>
      </w:r>
    </w:p>
    <w:p w14:paraId="2F06D29D" w14:textId="47B36C15" w:rsidR="00DA0D7C" w:rsidRPr="00084C04" w:rsidRDefault="00DA0D7C" w:rsidP="00DA0D7C">
      <w:pPr>
        <w:pStyle w:val="Heading2"/>
        <w:spacing w:after="440" w:line="440" w:lineRule="atLeast"/>
      </w:pPr>
      <w:bookmarkStart w:id="333" w:name="_Toc100263322"/>
      <w:bookmarkStart w:id="334" w:name="_Toc127191970"/>
      <w:r w:rsidRPr="00084C04">
        <w:lastRenderedPageBreak/>
        <w:t xml:space="preserve">Acute </w:t>
      </w:r>
      <w:r w:rsidR="0034782A">
        <w:t>S</w:t>
      </w:r>
      <w:r w:rsidRPr="00084C04">
        <w:t xml:space="preserve">pecialist </w:t>
      </w:r>
      <w:r w:rsidR="0034782A">
        <w:t>S</w:t>
      </w:r>
      <w:r w:rsidRPr="00084C04">
        <w:t>ervices</w:t>
      </w:r>
      <w:bookmarkEnd w:id="247"/>
      <w:bookmarkEnd w:id="248"/>
      <w:bookmarkEnd w:id="249"/>
      <w:bookmarkEnd w:id="250"/>
      <w:bookmarkEnd w:id="333"/>
      <w:bookmarkEnd w:id="334"/>
    </w:p>
    <w:p w14:paraId="1B9096C5" w14:textId="77777777" w:rsidR="000B27B9" w:rsidRPr="00084C04" w:rsidRDefault="000B27B9" w:rsidP="009375E0">
      <w:pPr>
        <w:pStyle w:val="Heading3"/>
        <w:spacing w:before="240"/>
      </w:pPr>
      <w:bookmarkStart w:id="335" w:name="_Toc484461866"/>
      <w:bookmarkStart w:id="336" w:name="_Toc418694911"/>
      <w:bookmarkStart w:id="337" w:name="_Toc6215551"/>
      <w:bookmarkStart w:id="338" w:name="_Toc10199627"/>
      <w:bookmarkStart w:id="339" w:name="_Toc52892573"/>
      <w:bookmarkStart w:id="340" w:name="_Toc100263323"/>
      <w:bookmarkStart w:id="341" w:name="_Toc127191971"/>
      <w:bookmarkEnd w:id="335"/>
      <w:r w:rsidRPr="00084C04">
        <w:t>Hepatitis C</w:t>
      </w:r>
      <w:bookmarkEnd w:id="336"/>
      <w:bookmarkEnd w:id="337"/>
      <w:bookmarkEnd w:id="338"/>
      <w:bookmarkEnd w:id="339"/>
      <w:bookmarkEnd w:id="340"/>
      <w:bookmarkEnd w:id="341"/>
    </w:p>
    <w:p w14:paraId="3FB293CE" w14:textId="77777777" w:rsidR="00F44C54" w:rsidRPr="00084C04" w:rsidRDefault="00F44C54" w:rsidP="00F44C54">
      <w:pPr>
        <w:pStyle w:val="Body"/>
      </w:pPr>
      <w:r w:rsidRPr="00084C04">
        <w:t>The Integrated Hepatitis C Service (IHCS) is a key driver for initiating hepatitis C treatment in Victoria.</w:t>
      </w:r>
    </w:p>
    <w:p w14:paraId="40DD0D2B" w14:textId="227619F8" w:rsidR="00F44C54" w:rsidRPr="00084C04" w:rsidRDefault="37DF3C4A" w:rsidP="00F44C54">
      <w:pPr>
        <w:pStyle w:val="Body"/>
      </w:pPr>
      <w:r>
        <w:t>The IHCS operating at health services have been funded recurrently through the specialist clinics funding model since 2016–17. Two community health centres currently receiving IHCS funding will continue to be funded under the Hepatitis C Service (Non-Hospital) Grant.</w:t>
      </w:r>
    </w:p>
    <w:p w14:paraId="40FF0E88" w14:textId="31342297" w:rsidR="000B27B9" w:rsidRPr="00084C04" w:rsidRDefault="37DF3C4A" w:rsidP="00F44C54">
      <w:pPr>
        <w:pStyle w:val="Body"/>
      </w:pPr>
      <w:r>
        <w:t xml:space="preserve">IHCS activity </w:t>
      </w:r>
      <w:r w:rsidR="557C4D17">
        <w:t xml:space="preserve">is </w:t>
      </w:r>
      <w:r>
        <w:t xml:space="preserve">reported in the Victorian Integrated Non-Admitted Health (VINAH) </w:t>
      </w:r>
      <w:r w:rsidR="512DA271">
        <w:t>minimum dataset. In the future</w:t>
      </w:r>
      <w:r>
        <w:t xml:space="preserve"> community health centres with IHCS, activity will report through the Service Agreement Management System (SAMS) to the Community Health Minimum Dataset. In the interim data may be reported via </w:t>
      </w:r>
      <w:r w:rsidR="557C4D17">
        <w:t>the Non</w:t>
      </w:r>
      <w:r w:rsidR="5C901259">
        <w:t>-</w:t>
      </w:r>
      <w:r w:rsidR="557C4D17">
        <w:t>Admitted Data Collection (NADC)</w:t>
      </w:r>
      <w:r>
        <w:t>.</w:t>
      </w:r>
    </w:p>
    <w:p w14:paraId="13DD5299" w14:textId="28F39EC8" w:rsidR="000B27B9" w:rsidRPr="00084C04" w:rsidRDefault="000B27B9" w:rsidP="009375E0">
      <w:pPr>
        <w:pStyle w:val="Heading3"/>
        <w:spacing w:before="240"/>
      </w:pPr>
      <w:bookmarkStart w:id="342" w:name="_Toc418694912"/>
      <w:bookmarkStart w:id="343" w:name="_Toc6215552"/>
      <w:bookmarkStart w:id="344" w:name="_Toc10199628"/>
      <w:bookmarkStart w:id="345" w:name="_Toc52892574"/>
      <w:bookmarkStart w:id="346" w:name="_Toc100263324"/>
      <w:bookmarkStart w:id="347" w:name="_Toc127191972"/>
      <w:r w:rsidRPr="00084C04">
        <w:t xml:space="preserve">Renal </w:t>
      </w:r>
      <w:r w:rsidR="0034782A">
        <w:t>S</w:t>
      </w:r>
      <w:r w:rsidRPr="00084C04">
        <w:t>ervices</w:t>
      </w:r>
      <w:bookmarkEnd w:id="342"/>
      <w:bookmarkEnd w:id="343"/>
      <w:bookmarkEnd w:id="344"/>
      <w:bookmarkEnd w:id="345"/>
      <w:bookmarkEnd w:id="346"/>
      <w:bookmarkEnd w:id="347"/>
    </w:p>
    <w:p w14:paraId="2CB66D3B" w14:textId="36E1932D" w:rsidR="000B27B9" w:rsidRPr="00084C04" w:rsidRDefault="5A312A85" w:rsidP="000B27B9">
      <w:pPr>
        <w:pStyle w:val="Heading4"/>
      </w:pPr>
      <w:r>
        <w:t xml:space="preserve">Facility </w:t>
      </w:r>
      <w:r w:rsidR="0034782A">
        <w:t>D</w:t>
      </w:r>
      <w:r>
        <w:t>ialysis</w:t>
      </w:r>
    </w:p>
    <w:p w14:paraId="04CB3C9C" w14:textId="77777777" w:rsidR="00F44C54" w:rsidRPr="00084C04" w:rsidRDefault="00F44C54" w:rsidP="00F44C54">
      <w:pPr>
        <w:pStyle w:val="Body"/>
      </w:pPr>
      <w:r w:rsidRPr="00084C04">
        <w:t>The funding model for routine haemodialysis in designated public health services providing same-day haemodialysis is through the admitted NWAU payment paid to all dialysis providers, and a non-admitted activity component.</w:t>
      </w:r>
    </w:p>
    <w:p w14:paraId="4743AD7B" w14:textId="381FDAC4" w:rsidR="000B27B9" w:rsidRPr="00084C04" w:rsidRDefault="00F44C54" w:rsidP="00F44C54">
      <w:pPr>
        <w:pStyle w:val="Body"/>
      </w:pPr>
      <w:r w:rsidRPr="00084C04">
        <w:t xml:space="preserve">Currently all health services providing satellite dialysis are required to pay their hubs a set rate for each L61Z dialysis separation based on expected activity levels. In </w:t>
      </w:r>
      <w:r w:rsidR="002E7EEF" w:rsidRPr="00084C04">
        <w:t>2022</w:t>
      </w:r>
      <w:r w:rsidR="001A68D4">
        <w:t>–</w:t>
      </w:r>
      <w:r w:rsidR="002E7EEF" w:rsidRPr="00084C04">
        <w:t>23</w:t>
      </w:r>
      <w:r w:rsidRPr="00084C04">
        <w:t>, the payment rates have been set at</w:t>
      </w:r>
      <w:r w:rsidR="000B27B9" w:rsidRPr="00084C04">
        <w:t>:</w:t>
      </w:r>
    </w:p>
    <w:p w14:paraId="7CE6D404" w14:textId="435B51A4" w:rsidR="00F44C54" w:rsidRPr="00084C04" w:rsidRDefault="00370A03" w:rsidP="00E05C4E">
      <w:pPr>
        <w:pStyle w:val="Bullet1"/>
      </w:pPr>
      <w:r w:rsidRPr="00084C04">
        <w:t>$</w:t>
      </w:r>
      <w:r w:rsidR="00F44C54" w:rsidRPr="00084C04">
        <w:t>114 to cover haemodialysis equipment and consumables (including equipment maintenance and servicing and real water testing)</w:t>
      </w:r>
    </w:p>
    <w:p w14:paraId="17F2E464" w14:textId="738902A6" w:rsidR="000B27B9" w:rsidRPr="00084C04" w:rsidRDefault="00F44C54" w:rsidP="00E05C4E">
      <w:pPr>
        <w:pStyle w:val="Bullet1"/>
      </w:pPr>
      <w:r w:rsidRPr="00084C04">
        <w:t>$80 to cover specialist services (including review and 24-hour on-call service including emergency, specialist renal coordination and services).</w:t>
      </w:r>
    </w:p>
    <w:p w14:paraId="5C307DF5" w14:textId="2506376F" w:rsidR="000B27B9" w:rsidRPr="00084C04" w:rsidRDefault="00F44C54" w:rsidP="0043627E">
      <w:pPr>
        <w:pStyle w:val="Bodyafterbullets"/>
      </w:pPr>
      <w:r w:rsidRPr="00084C04">
        <w:t>Renal activity and NWAU are incorporated within the total agency public and private NWAU activity targets. As such, they are subject to the standard health service recall policy</w:t>
      </w:r>
      <w:r w:rsidR="000B27B9" w:rsidRPr="00084C04">
        <w:t>.</w:t>
      </w:r>
    </w:p>
    <w:p w14:paraId="4B5D1198" w14:textId="391857DC" w:rsidR="000B27B9" w:rsidRPr="00084C04" w:rsidRDefault="00F44C54" w:rsidP="00B92CD4">
      <w:pPr>
        <w:pStyle w:val="Body"/>
      </w:pPr>
      <w:r w:rsidRPr="00084C04">
        <w:t xml:space="preserve">The NWAU recall policy does not apply to small rural health services, which continue to be funded to actual renal activity in </w:t>
      </w:r>
      <w:r w:rsidR="002E7EEF" w:rsidRPr="00084C04">
        <w:t>2022</w:t>
      </w:r>
      <w:r w:rsidR="001A68D4">
        <w:t>–</w:t>
      </w:r>
      <w:r w:rsidR="002E7EEF" w:rsidRPr="00084C04">
        <w:t>23</w:t>
      </w:r>
      <w:r w:rsidRPr="00084C04">
        <w:t>. Their health service targets have been adjusted based on the average actual activity over the past three years. Recall adjustments for small rural health services will be made at the end of the financial year</w:t>
      </w:r>
      <w:r w:rsidR="000B27B9" w:rsidRPr="00084C04">
        <w:t>.</w:t>
      </w:r>
    </w:p>
    <w:p w14:paraId="301374C0" w14:textId="67F15202" w:rsidR="000B27B9" w:rsidRPr="00084C04" w:rsidRDefault="000B27B9" w:rsidP="009375E0">
      <w:pPr>
        <w:pStyle w:val="Heading3"/>
        <w:spacing w:before="240"/>
      </w:pPr>
      <w:bookmarkStart w:id="348" w:name="_Toc37934578"/>
      <w:bookmarkStart w:id="349" w:name="_Toc10144528"/>
      <w:bookmarkStart w:id="350" w:name="_Toc10144798"/>
      <w:bookmarkStart w:id="351" w:name="_Toc10145068"/>
      <w:bookmarkStart w:id="352" w:name="_Toc10199091"/>
      <w:bookmarkStart w:id="353" w:name="_Toc10199360"/>
      <w:bookmarkStart w:id="354" w:name="_Toc10199629"/>
      <w:bookmarkStart w:id="355" w:name="_Toc10459884"/>
      <w:bookmarkStart w:id="356" w:name="_Toc418694913"/>
      <w:bookmarkStart w:id="357" w:name="_Toc6215553"/>
      <w:bookmarkStart w:id="358" w:name="_Toc10199630"/>
      <w:bookmarkStart w:id="359" w:name="_Toc52892575"/>
      <w:bookmarkStart w:id="360" w:name="_Toc100263325"/>
      <w:bookmarkStart w:id="361" w:name="_Toc127191973"/>
      <w:bookmarkEnd w:id="348"/>
      <w:bookmarkEnd w:id="349"/>
      <w:bookmarkEnd w:id="350"/>
      <w:bookmarkEnd w:id="351"/>
      <w:bookmarkEnd w:id="352"/>
      <w:bookmarkEnd w:id="353"/>
      <w:bookmarkEnd w:id="354"/>
      <w:bookmarkEnd w:id="355"/>
      <w:r w:rsidRPr="00084C04">
        <w:t>Radiotherapy</w:t>
      </w:r>
      <w:bookmarkEnd w:id="356"/>
      <w:bookmarkEnd w:id="357"/>
      <w:bookmarkEnd w:id="358"/>
      <w:bookmarkEnd w:id="359"/>
      <w:bookmarkEnd w:id="360"/>
      <w:bookmarkEnd w:id="361"/>
    </w:p>
    <w:p w14:paraId="7572B32D" w14:textId="77777777" w:rsidR="000B27B9" w:rsidRPr="00084C04" w:rsidRDefault="000B27B9" w:rsidP="00B92CD4">
      <w:pPr>
        <w:pStyle w:val="Body"/>
      </w:pPr>
      <w:bookmarkStart w:id="362" w:name="_Toc418694914"/>
      <w:r w:rsidRPr="00084C04">
        <w:t>Public radiotherapy services are provided at 12 hospitals in Victoria across metropolitan and regional campuses.</w:t>
      </w:r>
    </w:p>
    <w:p w14:paraId="4C50C5D9" w14:textId="3ED57C13" w:rsidR="000B27B9" w:rsidRPr="00084C04" w:rsidRDefault="000B27B9" w:rsidP="000B27B9">
      <w:pPr>
        <w:pStyle w:val="Heading4"/>
      </w:pPr>
      <w:r w:rsidRPr="00084C04">
        <w:t>Non-</w:t>
      </w:r>
      <w:r w:rsidR="00D95BA9">
        <w:t>A</w:t>
      </w:r>
      <w:r w:rsidRPr="00084C04">
        <w:t xml:space="preserve">dmitted </w:t>
      </w:r>
      <w:r w:rsidR="00D95BA9">
        <w:t>R</w:t>
      </w:r>
      <w:r w:rsidRPr="00084C04">
        <w:t xml:space="preserve">adiotherapy </w:t>
      </w:r>
      <w:r w:rsidR="00D95BA9">
        <w:t>f</w:t>
      </w:r>
      <w:r w:rsidRPr="00084C04">
        <w:t xml:space="preserve">unding </w:t>
      </w:r>
      <w:r w:rsidR="00D95BA9">
        <w:t>M</w:t>
      </w:r>
      <w:r w:rsidRPr="00084C04">
        <w:t>odel</w:t>
      </w:r>
    </w:p>
    <w:p w14:paraId="361E8C5F" w14:textId="75EF77C6" w:rsidR="0026321F" w:rsidRPr="00084C04" w:rsidRDefault="0026321F" w:rsidP="0026321F">
      <w:pPr>
        <w:pStyle w:val="Body"/>
      </w:pPr>
      <w:r w:rsidRPr="00084C04">
        <w:t xml:space="preserve">Radiotherapy is predominantly provided on an outpatient basis and funded under a specific complexity-based funding model. Under this model, the various components of a course of radiotherapy are weighted and aggregated for each course of care. Remaining activity is admitted and </w:t>
      </w:r>
      <w:r w:rsidR="500254DD" w:rsidRPr="00084C04">
        <w:t xml:space="preserve">may be </w:t>
      </w:r>
      <w:r w:rsidR="4035EA13" w:rsidRPr="00084C04">
        <w:t xml:space="preserve">eligible for </w:t>
      </w:r>
      <w:r w:rsidR="27A8542F" w:rsidRPr="00084C04">
        <w:t>NWAU</w:t>
      </w:r>
      <w:r w:rsidR="10D13D81" w:rsidRPr="00084C04">
        <w:t>.</w:t>
      </w:r>
    </w:p>
    <w:p w14:paraId="41684904" w14:textId="4CFBE16B" w:rsidR="000B27B9" w:rsidRPr="00084C04" w:rsidRDefault="0026321F" w:rsidP="0026321F">
      <w:pPr>
        <w:pStyle w:val="Body"/>
      </w:pPr>
      <w:r w:rsidRPr="00084C04">
        <w:t xml:space="preserve">The health services that are funded under the non-admitted radiotherapy funding model are Alfred Health, Austin Health, Barwon Health and the Peter MacCallum Cancer Centre. These four ‘hub’ </w:t>
      </w:r>
      <w:r w:rsidRPr="00084C04">
        <w:lastRenderedPageBreak/>
        <w:t>services also receive funding for the spoke services they operate across metropolitan Melbourne and regional Victoria. The remaining two public services are contracted services operated on behalf of the government by private providers</w:t>
      </w:r>
      <w:r w:rsidR="000B27B9" w:rsidRPr="00084C04">
        <w:t>.</w:t>
      </w:r>
    </w:p>
    <w:p w14:paraId="58C5EA0E" w14:textId="01E21023" w:rsidR="000B27B9" w:rsidRPr="00084C04" w:rsidRDefault="00FE74AB" w:rsidP="00B92CD4">
      <w:pPr>
        <w:pStyle w:val="Body"/>
      </w:pPr>
      <w:r w:rsidRPr="00084C04">
        <w:t xml:space="preserve">Refer to the </w:t>
      </w:r>
      <w:r w:rsidR="001F3A6E" w:rsidRPr="00084C04">
        <w:t xml:space="preserve">website to </w:t>
      </w:r>
      <w:r w:rsidR="001A68D4">
        <w:t>f</w:t>
      </w:r>
      <w:r w:rsidR="001A68D4" w:rsidRPr="00084C04">
        <w:t xml:space="preserve">ind </w:t>
      </w:r>
      <w:hyperlink r:id="rId70" w:history="1">
        <w:r w:rsidR="000B27B9" w:rsidRPr="00084C04">
          <w:rPr>
            <w:rStyle w:val="Hyperlink"/>
          </w:rPr>
          <w:t>radiotherapy locations</w:t>
        </w:r>
      </w:hyperlink>
      <w:r w:rsidR="000B27B9" w:rsidRPr="00084C04">
        <w:t xml:space="preserve"> &lt;</w:t>
      </w:r>
      <w:r w:rsidR="009634F5" w:rsidRPr="00084C04">
        <w:t>https://www.health.vic.gov.au/health-strategies/radiotherapy-service-locations</w:t>
      </w:r>
      <w:r w:rsidR="000B27B9" w:rsidRPr="00084C04">
        <w:t>&gt;.</w:t>
      </w:r>
    </w:p>
    <w:p w14:paraId="3BB0FF7E" w14:textId="7908B6FB" w:rsidR="000B27B9" w:rsidRPr="00084C04" w:rsidRDefault="000B27B9" w:rsidP="00B92CD4">
      <w:pPr>
        <w:pStyle w:val="Body"/>
      </w:pPr>
      <w:r w:rsidRPr="00084C04">
        <w:t xml:space="preserve">In </w:t>
      </w:r>
      <w:r w:rsidR="002E7EEF" w:rsidRPr="00084C04">
        <w:t>2022</w:t>
      </w:r>
      <w:r w:rsidR="001A68D4">
        <w:t>–</w:t>
      </w:r>
      <w:r w:rsidR="002E7EEF" w:rsidRPr="00084C04">
        <w:t>23</w:t>
      </w:r>
      <w:r w:rsidR="002E7EEF" w:rsidRPr="00084C04">
        <w:rPr>
          <w:lang w:val="en-US"/>
        </w:rPr>
        <w:t xml:space="preserve"> </w:t>
      </w:r>
      <w:r w:rsidRPr="00084C04">
        <w:t>funding for non-admitted radiotherapy services will continue to comprise:</w:t>
      </w:r>
    </w:p>
    <w:p w14:paraId="1046478A" w14:textId="77777777" w:rsidR="000B27B9" w:rsidRPr="00084C04" w:rsidRDefault="000B27B9" w:rsidP="00E05C4E">
      <w:pPr>
        <w:pStyle w:val="Bullet1"/>
      </w:pPr>
      <w:r w:rsidRPr="00084C04">
        <w:t>a variable payment per weighted activity unit (WAU) to set targets for public, the Department of Veterans’ Affairs and private patient categories (costs for associated services are included in this payment and must be provided to all patients as required)</w:t>
      </w:r>
    </w:p>
    <w:p w14:paraId="73332689" w14:textId="3FA64D80" w:rsidR="000B27B9" w:rsidRPr="00084C04" w:rsidRDefault="000B27B9" w:rsidP="00E05C4E">
      <w:pPr>
        <w:pStyle w:val="Bullet1"/>
      </w:pPr>
      <w:r w:rsidRPr="00084C04">
        <w:t>a Department of Veterans’ Affairs premium (where applicable) above the variable payment</w:t>
      </w:r>
    </w:p>
    <w:p w14:paraId="4AC10026" w14:textId="3C1383FA" w:rsidR="005743DF" w:rsidRPr="00084C04" w:rsidRDefault="000B27B9" w:rsidP="00E05C4E">
      <w:pPr>
        <w:pStyle w:val="Bullet1"/>
      </w:pPr>
      <w:r w:rsidRPr="00084C04">
        <w:t xml:space="preserve">a variable payment per WAU plus a fixed payment where it is a </w:t>
      </w:r>
      <w:r w:rsidR="006B4DBF">
        <w:t xml:space="preserve">statewide </w:t>
      </w:r>
      <w:r w:rsidRPr="00084C04">
        <w:t>radiotherapy service involving a specialist radiotherapy machine delivering the radiation therapy (Gamma Knife and MR-Linac).</w:t>
      </w:r>
    </w:p>
    <w:p w14:paraId="010E3E4B" w14:textId="602FB87F" w:rsidR="000B27B9" w:rsidRPr="00084C04" w:rsidRDefault="000B27B9" w:rsidP="00B92CD4">
      <w:pPr>
        <w:pStyle w:val="Bodyafterbullets"/>
      </w:pPr>
      <w:r w:rsidRPr="00084C04">
        <w:t xml:space="preserve">The WAU price can be found in section </w:t>
      </w:r>
      <w:r w:rsidRPr="00084C04">
        <w:fldChar w:fldCharType="begin"/>
      </w:r>
      <w:r w:rsidRPr="00084C04">
        <w:instrText xml:space="preserve"> REF _Ref96635540 \w \h </w:instrText>
      </w:r>
      <w:r w:rsidR="00EB3FED" w:rsidRPr="00084C04">
        <w:instrText xml:space="preserve"> \* MERGEFORMAT </w:instrText>
      </w:r>
      <w:r w:rsidRPr="00084C04">
        <w:fldChar w:fldCharType="separate"/>
      </w:r>
      <w:r w:rsidR="006D0756">
        <w:t>1.21</w:t>
      </w:r>
      <w:r w:rsidRPr="00084C04">
        <w:fldChar w:fldCharType="end"/>
      </w:r>
      <w:r w:rsidRPr="00084C04">
        <w:t xml:space="preserve"> </w:t>
      </w:r>
      <w:r w:rsidR="001A68D4">
        <w:t>‘</w:t>
      </w:r>
      <w:r w:rsidRPr="00084C04">
        <w:fldChar w:fldCharType="begin"/>
      </w:r>
      <w:r w:rsidRPr="00084C04">
        <w:instrText xml:space="preserve"> REF _Ref70881998 \h </w:instrText>
      </w:r>
      <w:r w:rsidR="00EB3FED" w:rsidRPr="00084C04">
        <w:instrText xml:space="preserve"> \* MERGEFORMAT </w:instrText>
      </w:r>
      <w:r w:rsidRPr="00084C04">
        <w:fldChar w:fldCharType="separate"/>
      </w:r>
      <w:r w:rsidR="006D0756">
        <w:t>Price Tables</w:t>
      </w:r>
      <w:r w:rsidRPr="00084C04">
        <w:fldChar w:fldCharType="end"/>
      </w:r>
      <w:r w:rsidR="001A68D4">
        <w:t>’</w:t>
      </w:r>
      <w:r w:rsidRPr="00084C04">
        <w:t>.</w:t>
      </w:r>
    </w:p>
    <w:p w14:paraId="6DB9B622" w14:textId="21C5C4FE" w:rsidR="000B27B9" w:rsidRPr="00084C04" w:rsidRDefault="000B27B9" w:rsidP="7C4B4001">
      <w:pPr>
        <w:pStyle w:val="Body"/>
      </w:pPr>
      <w:r w:rsidRPr="00084C04">
        <w:t xml:space="preserve">Current year WAU targets and health service information are available on the </w:t>
      </w:r>
      <w:hyperlink r:id="rId71" w:history="1">
        <w:r w:rsidRPr="00282976">
          <w:rPr>
            <w:rStyle w:val="Hyperlink"/>
          </w:rPr>
          <w:t>Radiotherapy webpage</w:t>
        </w:r>
      </w:hyperlink>
      <w:r w:rsidRPr="00084C04">
        <w:t xml:space="preserve"> &lt;https://</w:t>
      </w:r>
      <w:r w:rsidR="00B34E89" w:rsidRPr="00084C04">
        <w:t>www</w:t>
      </w:r>
      <w:r w:rsidRPr="00084C04">
        <w:t>.health.vic.gov.au/health-strategies/</w:t>
      </w:r>
      <w:r w:rsidR="00B34E89" w:rsidRPr="00084C04">
        <w:t>radiotherapy-services</w:t>
      </w:r>
      <w:r w:rsidRPr="00084C04">
        <w:t>&gt;.</w:t>
      </w:r>
    </w:p>
    <w:p w14:paraId="1A787A19" w14:textId="71F7FC93" w:rsidR="000B27B9" w:rsidRPr="00084C04" w:rsidRDefault="000B27B9" w:rsidP="00B92CD4">
      <w:pPr>
        <w:pStyle w:val="Body"/>
        <w:rPr>
          <w:lang w:eastAsia="en-AU"/>
        </w:rPr>
      </w:pPr>
      <w:r w:rsidRPr="00084C04">
        <w:rPr>
          <w:lang w:eastAsia="en-AU"/>
        </w:rPr>
        <w:t xml:space="preserve">In addition to the </w:t>
      </w:r>
      <w:r w:rsidR="001A68D4">
        <w:rPr>
          <w:lang w:eastAsia="en-AU"/>
        </w:rPr>
        <w:t>s</w:t>
      </w:r>
      <w:r w:rsidR="001A68D4" w:rsidRPr="00084C04">
        <w:rPr>
          <w:lang w:eastAsia="en-AU"/>
        </w:rPr>
        <w:t xml:space="preserve">tate </w:t>
      </w:r>
      <w:r w:rsidRPr="00084C04">
        <w:rPr>
          <w:lang w:eastAsia="en-AU"/>
        </w:rPr>
        <w:t>contribution for radiotherapy, health services will retain all third-party revenue. Changes to third-party revenue will be considered annually in determining WAU pricing.</w:t>
      </w:r>
    </w:p>
    <w:p w14:paraId="1AF0C310" w14:textId="59DC4E77" w:rsidR="000B27B9" w:rsidRPr="00084C04" w:rsidRDefault="000B27B9" w:rsidP="006832EE">
      <w:pPr>
        <w:pStyle w:val="Body"/>
        <w:rPr>
          <w:lang w:eastAsia="en-AU"/>
        </w:rPr>
      </w:pPr>
      <w:r w:rsidRPr="00084C04">
        <w:rPr>
          <w:lang w:eastAsia="en-AU"/>
        </w:rPr>
        <w:t>The Victorian Radiotherapy Minimum Dataset is the key source of radiotherapy data for funding and service planning. Consultations</w:t>
      </w:r>
      <w:r w:rsidR="58CE1596" w:rsidRPr="00084C04">
        <w:rPr>
          <w:lang w:eastAsia="en-AU"/>
        </w:rPr>
        <w:t xml:space="preserve">, </w:t>
      </w:r>
      <w:r w:rsidR="49E26B2A" w:rsidRPr="435566E8">
        <w:rPr>
          <w:lang w:eastAsia="en-AU"/>
        </w:rPr>
        <w:t>treatment</w:t>
      </w:r>
      <w:r w:rsidR="58CE1596" w:rsidRPr="00084C04">
        <w:rPr>
          <w:lang w:eastAsia="en-AU"/>
        </w:rPr>
        <w:t xml:space="preserve"> and </w:t>
      </w:r>
      <w:r w:rsidR="49E26B2A" w:rsidRPr="435566E8">
        <w:rPr>
          <w:lang w:eastAsia="en-AU"/>
        </w:rPr>
        <w:t>simulation</w:t>
      </w:r>
      <w:r w:rsidRPr="00084C04">
        <w:rPr>
          <w:lang w:eastAsia="en-AU"/>
        </w:rPr>
        <w:t xml:space="preserve"> are</w:t>
      </w:r>
      <w:r w:rsidR="006D153B" w:rsidRPr="00084C04">
        <w:rPr>
          <w:lang w:eastAsia="en-AU"/>
        </w:rPr>
        <w:t xml:space="preserve"> </w:t>
      </w:r>
      <w:r w:rsidRPr="00084C04">
        <w:rPr>
          <w:lang w:eastAsia="en-AU"/>
        </w:rPr>
        <w:t xml:space="preserve">collected via the </w:t>
      </w:r>
      <w:r w:rsidRPr="00084C04">
        <w:t>Agency Information Management System</w:t>
      </w:r>
      <w:r w:rsidRPr="00084C04">
        <w:rPr>
          <w:lang w:eastAsia="en-AU"/>
        </w:rPr>
        <w:t xml:space="preserve"> (AIMS) S10 in </w:t>
      </w:r>
      <w:r w:rsidR="002E7EEF" w:rsidRPr="00084C04">
        <w:t>2022</w:t>
      </w:r>
      <w:r w:rsidR="001A68D4">
        <w:t>–</w:t>
      </w:r>
      <w:r w:rsidR="002E7EEF" w:rsidRPr="00084C04">
        <w:t>23</w:t>
      </w:r>
      <w:r w:rsidR="002E7EEF" w:rsidRPr="00084C04">
        <w:rPr>
          <w:lang w:val="en-US"/>
        </w:rPr>
        <w:t xml:space="preserve"> </w:t>
      </w:r>
      <w:r w:rsidR="55E305C4" w:rsidRPr="00084C04">
        <w:rPr>
          <w:lang w:eastAsia="en-AU"/>
        </w:rPr>
        <w:t>and</w:t>
      </w:r>
      <w:r w:rsidR="78C160F2" w:rsidRPr="00084C04">
        <w:rPr>
          <w:lang w:eastAsia="en-AU"/>
        </w:rPr>
        <w:t xml:space="preserve"> at patient level via </w:t>
      </w:r>
      <w:r w:rsidR="5B40965A" w:rsidRPr="00084C04">
        <w:rPr>
          <w:lang w:eastAsia="en-AU"/>
        </w:rPr>
        <w:t>the VINAH minimum dataset</w:t>
      </w:r>
      <w:r w:rsidR="78C160F2" w:rsidRPr="00084C04">
        <w:rPr>
          <w:lang w:eastAsia="en-AU"/>
        </w:rPr>
        <w:t xml:space="preserve"> or </w:t>
      </w:r>
      <w:r w:rsidR="5B40965A" w:rsidRPr="00084C04">
        <w:rPr>
          <w:lang w:eastAsia="en-AU"/>
        </w:rPr>
        <w:t xml:space="preserve">the </w:t>
      </w:r>
      <w:r w:rsidR="78C160F2" w:rsidRPr="00084C04">
        <w:rPr>
          <w:lang w:eastAsia="en-AU"/>
        </w:rPr>
        <w:t>NADC</w:t>
      </w:r>
      <w:r w:rsidRPr="00084C04">
        <w:rPr>
          <w:lang w:eastAsia="en-AU"/>
        </w:rPr>
        <w:t>. In addition, it is expected that health services maintain and report radiotherapy patient</w:t>
      </w:r>
      <w:r w:rsidR="001A68D4">
        <w:rPr>
          <w:lang w:eastAsia="en-AU"/>
        </w:rPr>
        <w:t>-</w:t>
      </w:r>
      <w:r w:rsidRPr="00084C04">
        <w:rPr>
          <w:lang w:eastAsia="en-AU"/>
        </w:rPr>
        <w:t>level costing data via the Victorian Cost Data Collection.</w:t>
      </w:r>
    </w:p>
    <w:p w14:paraId="217801B6" w14:textId="40C95831" w:rsidR="000B27B9" w:rsidRPr="00084C04" w:rsidRDefault="000B27B9" w:rsidP="000B27B9">
      <w:pPr>
        <w:pStyle w:val="Heading4"/>
      </w:pPr>
      <w:r w:rsidRPr="00084C04">
        <w:t xml:space="preserve">Contracted </w:t>
      </w:r>
      <w:r w:rsidR="00D95BA9">
        <w:t>S</w:t>
      </w:r>
      <w:r w:rsidRPr="00084C04">
        <w:t>ervices</w:t>
      </w:r>
    </w:p>
    <w:p w14:paraId="57216883" w14:textId="77777777" w:rsidR="001A68D4" w:rsidRDefault="0026321F" w:rsidP="7C4B4001">
      <w:pPr>
        <w:pStyle w:val="Body"/>
      </w:pPr>
      <w:r w:rsidRPr="00084C04">
        <w:t xml:space="preserve">The department funds contract arrangements with private sector radiotherapy operators to provide </w:t>
      </w:r>
      <w:r w:rsidR="005838D2" w:rsidRPr="00084C04">
        <w:t xml:space="preserve">public radiotherapy </w:t>
      </w:r>
      <w:r w:rsidRPr="00084C04">
        <w:t xml:space="preserve">services at South West Healthcare Warrnambool and at Albury Wodonga Health. </w:t>
      </w:r>
    </w:p>
    <w:p w14:paraId="5695752B" w14:textId="7B30C044" w:rsidR="001A68D4" w:rsidRDefault="0026321F" w:rsidP="7C4B4001">
      <w:pPr>
        <w:pStyle w:val="Body"/>
      </w:pPr>
      <w:r w:rsidRPr="00084C04">
        <w:t>Under these arrangements</w:t>
      </w:r>
      <w:r w:rsidR="001A68D4">
        <w:t>,</w:t>
      </w:r>
      <w:r w:rsidRPr="00084C04">
        <w:t xml:space="preserve"> all patients are treated with no out-of-pocket costs</w:t>
      </w:r>
      <w:r w:rsidR="001A68D4">
        <w:t>. T</w:t>
      </w:r>
      <w:r w:rsidRPr="00084C04">
        <w:t>he private operators actively participat</w:t>
      </w:r>
      <w:r w:rsidR="001A68D4">
        <w:t>e</w:t>
      </w:r>
      <w:r w:rsidRPr="00084C04">
        <w:t xml:space="preserve"> in public multidisciplinary cancer meetings and providing specialist outreach services across their regions. </w:t>
      </w:r>
    </w:p>
    <w:p w14:paraId="13E66A7D" w14:textId="184CEE83" w:rsidR="000B27B9" w:rsidRPr="00084C04" w:rsidRDefault="0026321F" w:rsidP="7C4B4001">
      <w:pPr>
        <w:pStyle w:val="Body"/>
      </w:pPr>
      <w:r w:rsidRPr="00084C04">
        <w:t>The department also funds a contract arrangement between a private sector radiotherapy operator in Shepparton and Goulburn Valley Health. Under this arrangement</w:t>
      </w:r>
      <w:r w:rsidR="001A68D4">
        <w:t>,</w:t>
      </w:r>
      <w:r w:rsidRPr="00084C04">
        <w:t xml:space="preserve"> appropriate public patients at Goulburn Valley Health </w:t>
      </w:r>
      <w:r w:rsidR="005838D2" w:rsidRPr="00084C04">
        <w:t>can receive radiotherapy</w:t>
      </w:r>
      <w:r w:rsidRPr="00084C04">
        <w:t xml:space="preserve"> with no out-of-pocket cost</w:t>
      </w:r>
      <w:r w:rsidR="7FFCEF96">
        <w:t>s</w:t>
      </w:r>
      <w:r w:rsidR="000B27B9" w:rsidRPr="00084C04">
        <w:t>. In 2022</w:t>
      </w:r>
      <w:r w:rsidR="001A68D4">
        <w:t>–</w:t>
      </w:r>
      <w:r w:rsidR="000B27B9" w:rsidRPr="00084C04">
        <w:t>23</w:t>
      </w:r>
      <w:r w:rsidR="006D153B" w:rsidRPr="00084C04">
        <w:t>,</w:t>
      </w:r>
      <w:r w:rsidR="000B27B9" w:rsidRPr="00084C04">
        <w:t xml:space="preserve"> a similar arrangement will commence in Mildura so that </w:t>
      </w:r>
      <w:r w:rsidRPr="00084C04">
        <w:t xml:space="preserve">appropriate public patients at Mildura Base Public Hospital can receive </w:t>
      </w:r>
      <w:r w:rsidR="005838D2" w:rsidRPr="00084C04">
        <w:t xml:space="preserve">radiotherapy locally from a </w:t>
      </w:r>
      <w:r w:rsidRPr="00084C04">
        <w:t xml:space="preserve">private sector radiotherapy operator with no out-of-pocket </w:t>
      </w:r>
      <w:r w:rsidR="5A312A85">
        <w:t>expenses.</w:t>
      </w:r>
    </w:p>
    <w:p w14:paraId="0990048F" w14:textId="5627A6F0" w:rsidR="000B27B9" w:rsidRPr="00084C04" w:rsidRDefault="000B27B9" w:rsidP="000B27B9">
      <w:pPr>
        <w:pStyle w:val="Heading4"/>
      </w:pPr>
      <w:r w:rsidRPr="00084C04">
        <w:t xml:space="preserve">Shared </w:t>
      </w:r>
      <w:r w:rsidR="00D95BA9">
        <w:t>C</w:t>
      </w:r>
      <w:r w:rsidRPr="00084C04">
        <w:t>are</w:t>
      </w:r>
    </w:p>
    <w:p w14:paraId="40C50546" w14:textId="3F6D9C13" w:rsidR="0026321F" w:rsidRPr="00084C04" w:rsidRDefault="0026321F" w:rsidP="0026321F">
      <w:pPr>
        <w:pStyle w:val="Body"/>
      </w:pPr>
      <w:r w:rsidRPr="00084C04">
        <w:t>The department provides funding to eligible metropolitan public health services that have entered into shared care contracts with local private radiotherapy operators. Under these arrangements, disadvantaged cancer patients with eligible concession cards can receive care as public patients and can access radiotherapy</w:t>
      </w:r>
      <w:r w:rsidR="005838D2" w:rsidRPr="00084C04">
        <w:t xml:space="preserve"> from a local private operator when this is closer than a public provider</w:t>
      </w:r>
      <w:r w:rsidRPr="00084C04">
        <w:t>. Shared care is coordinated by the public hospital as part of the</w:t>
      </w:r>
      <w:r w:rsidR="005838D2" w:rsidRPr="00084C04">
        <w:t xml:space="preserve"> patient's</w:t>
      </w:r>
      <w:r w:rsidRPr="00084C04">
        <w:t xml:space="preserve"> cancer care at no cost to them. Health services that currently receive funding for radiotherapy shared care are</w:t>
      </w:r>
      <w:r w:rsidR="00041433" w:rsidRPr="00084C04">
        <w:t>:</w:t>
      </w:r>
      <w:r w:rsidRPr="00084C04">
        <w:t xml:space="preserve"> Northern </w:t>
      </w:r>
      <w:r w:rsidRPr="00084C04">
        <w:lastRenderedPageBreak/>
        <w:t>Health</w:t>
      </w:r>
      <w:r w:rsidR="7E9171CF" w:rsidRPr="00084C04">
        <w:t xml:space="preserve"> (Northern Hospital)</w:t>
      </w:r>
      <w:r w:rsidRPr="00084C04">
        <w:t>, Peninsula Health (Frankston Hospital</w:t>
      </w:r>
      <w:r w:rsidR="7FFCEF96">
        <w:t xml:space="preserve">), </w:t>
      </w:r>
      <w:r w:rsidRPr="00084C04">
        <w:t>Monash Health (Casey Hospital) and Western Health (Footscray Hospital).</w:t>
      </w:r>
    </w:p>
    <w:p w14:paraId="5840DA67" w14:textId="61681A55" w:rsidR="000B27B9" w:rsidRPr="00084C04" w:rsidRDefault="0026321F" w:rsidP="0026321F">
      <w:pPr>
        <w:pStyle w:val="Body"/>
      </w:pPr>
      <w:r w:rsidRPr="00084C04">
        <w:t>Targets for shared care (the number of patients for whom funding is provided) are set with health services prior to each financial year</w:t>
      </w:r>
      <w:r w:rsidR="000B27B9" w:rsidRPr="00084C04">
        <w:t>.</w:t>
      </w:r>
    </w:p>
    <w:p w14:paraId="7A919351" w14:textId="26C5B8E1" w:rsidR="000B27B9" w:rsidRPr="00084C04" w:rsidRDefault="000B27B9" w:rsidP="000B27B9">
      <w:pPr>
        <w:pStyle w:val="Heading4"/>
      </w:pPr>
      <w:bookmarkStart w:id="363" w:name="_Hlk2762295"/>
      <w:r w:rsidRPr="00084C04">
        <w:t>Quality</w:t>
      </w:r>
    </w:p>
    <w:p w14:paraId="3DCD7B0B" w14:textId="77777777" w:rsidR="000B27B9" w:rsidRPr="00084C04" w:rsidRDefault="000B27B9" w:rsidP="007A370F">
      <w:pPr>
        <w:pStyle w:val="Heading5"/>
        <w:numPr>
          <w:ilvl w:val="0"/>
          <w:numId w:val="0"/>
        </w:numPr>
        <w:rPr>
          <w:rFonts w:cs="Arial"/>
        </w:rPr>
      </w:pPr>
      <w:r w:rsidRPr="00084C04">
        <w:rPr>
          <w:rFonts w:cs="Arial"/>
        </w:rPr>
        <w:t>Statewide Knowledge Based Planning Project</w:t>
      </w:r>
    </w:p>
    <w:p w14:paraId="0EF62F23" w14:textId="2519D5F8" w:rsidR="000B27B9" w:rsidRPr="00084C04" w:rsidRDefault="000B27B9" w:rsidP="00B92CD4">
      <w:pPr>
        <w:pStyle w:val="Body"/>
      </w:pPr>
      <w:r w:rsidRPr="00084C04">
        <w:rPr>
          <w:rFonts w:cs="Arial"/>
        </w:rPr>
        <w:t xml:space="preserve">The </w:t>
      </w:r>
      <w:r w:rsidR="00DF2799" w:rsidRPr="00084C04">
        <w:rPr>
          <w:rFonts w:cs="Arial"/>
        </w:rPr>
        <w:t>d</w:t>
      </w:r>
      <w:r w:rsidRPr="00084C04">
        <w:rPr>
          <w:rFonts w:cs="Arial"/>
        </w:rPr>
        <w:t xml:space="preserve">epartment has funded and coordinates the Statewide Knowledge Based Planning Project. The project enables </w:t>
      </w:r>
      <w:r w:rsidR="005838D2" w:rsidRPr="00084C04">
        <w:t xml:space="preserve">all </w:t>
      </w:r>
      <w:r w:rsidRPr="00084C04">
        <w:rPr>
          <w:rFonts w:cs="Arial"/>
        </w:rPr>
        <w:t xml:space="preserve">participating public radiotherapy providers to </w:t>
      </w:r>
      <w:r w:rsidR="005838D2" w:rsidRPr="00084C04">
        <w:t xml:space="preserve">share </w:t>
      </w:r>
      <w:r w:rsidR="00DA22EA" w:rsidRPr="00084C04">
        <w:t>tumour</w:t>
      </w:r>
      <w:r w:rsidR="00DA22EA">
        <w:t>-</w:t>
      </w:r>
      <w:r w:rsidR="005838D2" w:rsidRPr="00084C04">
        <w:t>stream specific treatment planning models to</w:t>
      </w:r>
      <w:r w:rsidR="00C4621C" w:rsidRPr="00084C04">
        <w:rPr>
          <w:rFonts w:cs="Arial"/>
        </w:rPr>
        <w:t xml:space="preserve"> optimise </w:t>
      </w:r>
      <w:r w:rsidR="005838D2" w:rsidRPr="00084C04">
        <w:t xml:space="preserve">and benchmark </w:t>
      </w:r>
      <w:r w:rsidR="00C4621C" w:rsidRPr="00084C04">
        <w:rPr>
          <w:rFonts w:cs="Arial"/>
        </w:rPr>
        <w:t>radiotherapy treatment plans for their cancer patients more effectively and efficiently. This</w:t>
      </w:r>
      <w:r w:rsidRPr="00084C04">
        <w:rPr>
          <w:rFonts w:cs="Arial"/>
        </w:rPr>
        <w:t xml:space="preserve"> lead</w:t>
      </w:r>
      <w:r w:rsidR="00C4621C" w:rsidRPr="00084C04">
        <w:rPr>
          <w:rFonts w:cs="Arial"/>
        </w:rPr>
        <w:t>s</w:t>
      </w:r>
      <w:r w:rsidRPr="00084C04">
        <w:rPr>
          <w:rFonts w:cs="Arial"/>
        </w:rPr>
        <w:t xml:space="preserve"> to more consistent treatment plans and potentially fewer side effects for patients from their course of radiotherapy.</w:t>
      </w:r>
    </w:p>
    <w:p w14:paraId="157B18E6" w14:textId="6B325C8A" w:rsidR="000B27B9" w:rsidRPr="00084C04" w:rsidRDefault="000B27B9" w:rsidP="00B92CD4">
      <w:pPr>
        <w:pStyle w:val="Body"/>
      </w:pPr>
      <w:r w:rsidRPr="00084C04">
        <w:t xml:space="preserve">The project will continue to develop models across new tumour streams in </w:t>
      </w:r>
      <w:r w:rsidR="002E7EEF" w:rsidRPr="00084C04">
        <w:t>2022</w:t>
      </w:r>
      <w:r w:rsidR="00DA22EA">
        <w:t>–</w:t>
      </w:r>
      <w:r w:rsidR="002E7EEF" w:rsidRPr="00084C04">
        <w:t>23</w:t>
      </w:r>
      <w:r w:rsidRPr="00084C04">
        <w:t>.</w:t>
      </w:r>
    </w:p>
    <w:p w14:paraId="2E76F876" w14:textId="7E8DB78A" w:rsidR="000B27B9" w:rsidRPr="00084C04" w:rsidRDefault="000B27B9" w:rsidP="007A370F">
      <w:pPr>
        <w:pStyle w:val="Heading5"/>
        <w:numPr>
          <w:ilvl w:val="0"/>
          <w:numId w:val="0"/>
        </w:numPr>
        <w:ind w:left="964" w:hanging="964"/>
      </w:pPr>
      <w:r w:rsidRPr="00084C04">
        <w:t xml:space="preserve">Assessment </w:t>
      </w:r>
      <w:r w:rsidR="00D95BA9">
        <w:t>A</w:t>
      </w:r>
      <w:r w:rsidRPr="00084C04">
        <w:t>gainst the National Radiation Oncology Practice Standards</w:t>
      </w:r>
    </w:p>
    <w:p w14:paraId="25269698" w14:textId="6F6CEBEB" w:rsidR="000B27B9" w:rsidRPr="00084C04" w:rsidRDefault="000B27B9" w:rsidP="00B92CD4">
      <w:pPr>
        <w:pStyle w:val="Body"/>
      </w:pPr>
      <w:r w:rsidRPr="00084C04">
        <w:t xml:space="preserve">Victorian public radiotherapy providers assess their services against the Radiation Oncology Practice Standards using the relevant </w:t>
      </w:r>
      <w:r w:rsidR="00DA22EA" w:rsidRPr="00084C04">
        <w:t>self</w:t>
      </w:r>
      <w:r w:rsidR="00DA22EA">
        <w:t>-</w:t>
      </w:r>
      <w:r w:rsidR="00DA22EA" w:rsidRPr="00084C04">
        <w:t>audit tool</w:t>
      </w:r>
      <w:r w:rsidRPr="00084C04">
        <w:t xml:space="preserve">. The tool is used as part of their internal quality management protocols. The results of these assessments are integrated into the annual performance discussions with the </w:t>
      </w:r>
      <w:r w:rsidR="00DF2799" w:rsidRPr="00084C04">
        <w:t>d</w:t>
      </w:r>
      <w:r w:rsidRPr="00084C04">
        <w:t>epartment.</w:t>
      </w:r>
    </w:p>
    <w:p w14:paraId="546C02E2" w14:textId="2CAF69BC" w:rsidR="000B27B9" w:rsidRPr="00084C04" w:rsidRDefault="000B27B9" w:rsidP="007A370F">
      <w:pPr>
        <w:pStyle w:val="Heading5"/>
        <w:numPr>
          <w:ilvl w:val="0"/>
          <w:numId w:val="0"/>
        </w:numPr>
        <w:ind w:left="964" w:hanging="964"/>
        <w:rPr>
          <w:rFonts w:cs="Arial"/>
        </w:rPr>
      </w:pPr>
      <w:r w:rsidRPr="00084C04">
        <w:rPr>
          <w:rFonts w:cs="Arial"/>
        </w:rPr>
        <w:t xml:space="preserve">Radiotherapy </w:t>
      </w:r>
      <w:r w:rsidR="00D95BA9">
        <w:rPr>
          <w:rFonts w:cs="Arial"/>
        </w:rPr>
        <w:t>P</w:t>
      </w:r>
      <w:r w:rsidRPr="00084C04">
        <w:rPr>
          <w:rFonts w:cs="Arial"/>
        </w:rPr>
        <w:t xml:space="preserve">roviders </w:t>
      </w:r>
      <w:r w:rsidR="00D95BA9">
        <w:rPr>
          <w:rFonts w:cs="Arial"/>
        </w:rPr>
        <w:t>f</w:t>
      </w:r>
      <w:r w:rsidRPr="00084C04">
        <w:rPr>
          <w:rFonts w:cs="Arial"/>
        </w:rPr>
        <w:t>orums</w:t>
      </w:r>
    </w:p>
    <w:p w14:paraId="4EB784BF" w14:textId="407604E4" w:rsidR="000B27B9" w:rsidRDefault="000B27B9" w:rsidP="00B92CD4">
      <w:pPr>
        <w:pStyle w:val="Body"/>
      </w:pPr>
      <w:r w:rsidRPr="00084C04">
        <w:t xml:space="preserve">The </w:t>
      </w:r>
      <w:r w:rsidR="00DF2799" w:rsidRPr="00084C04">
        <w:t>d</w:t>
      </w:r>
      <w:r w:rsidRPr="00084C04">
        <w:t xml:space="preserve">epartment convenes a public radiotherapy providers forum annually to discuss system improvement and coordination, performance, </w:t>
      </w:r>
      <w:r w:rsidR="00C4621C" w:rsidRPr="00084C04">
        <w:t>outcomes,</w:t>
      </w:r>
      <w:r w:rsidRPr="00084C04">
        <w:t xml:space="preserve"> and service planning with the sector. A focus in </w:t>
      </w:r>
      <w:r w:rsidR="002E7EEF" w:rsidRPr="00084C04">
        <w:t>2022</w:t>
      </w:r>
      <w:r w:rsidR="00DA22EA">
        <w:t>–</w:t>
      </w:r>
      <w:r w:rsidR="002E7EEF" w:rsidRPr="00084C04">
        <w:t>23</w:t>
      </w:r>
      <w:r w:rsidR="002E7EEF" w:rsidRPr="00084C04">
        <w:rPr>
          <w:lang w:val="en-US"/>
        </w:rPr>
        <w:t xml:space="preserve"> </w:t>
      </w:r>
      <w:r w:rsidRPr="00084C04">
        <w:t xml:space="preserve">will be on </w:t>
      </w:r>
      <w:r w:rsidR="00FB6223" w:rsidRPr="00084C04">
        <w:t>s</w:t>
      </w:r>
      <w:r w:rsidRPr="00084C04">
        <w:t xml:space="preserve">tatewide services, referral pathways and variations in practice and </w:t>
      </w:r>
      <w:r w:rsidR="00554805" w:rsidRPr="00084C04">
        <w:t xml:space="preserve">radiotherapy </w:t>
      </w:r>
      <w:r w:rsidRPr="00084C04">
        <w:t>utilisation.</w:t>
      </w:r>
    </w:p>
    <w:p w14:paraId="0D2516B9" w14:textId="6749136D" w:rsidR="000B27B9" w:rsidRPr="004A0C27" w:rsidRDefault="000B27B9" w:rsidP="000B27B9">
      <w:pPr>
        <w:pStyle w:val="Heading2"/>
        <w:spacing w:after="440" w:line="440" w:lineRule="atLeast"/>
      </w:pPr>
      <w:bookmarkStart w:id="364" w:name="_Toc8919126"/>
      <w:bookmarkStart w:id="365" w:name="_Toc8930643"/>
      <w:bookmarkStart w:id="366" w:name="_Toc8931029"/>
      <w:bookmarkStart w:id="367" w:name="_Toc8931373"/>
      <w:bookmarkStart w:id="368" w:name="_Toc8931754"/>
      <w:bookmarkStart w:id="369" w:name="_Toc9441702"/>
      <w:bookmarkStart w:id="370" w:name="_Toc8919127"/>
      <w:bookmarkStart w:id="371" w:name="_Toc8930644"/>
      <w:bookmarkStart w:id="372" w:name="_Toc8931030"/>
      <w:bookmarkStart w:id="373" w:name="_Toc8931374"/>
      <w:bookmarkStart w:id="374" w:name="_Toc8931755"/>
      <w:bookmarkStart w:id="375" w:name="_Toc9441703"/>
      <w:bookmarkStart w:id="376" w:name="_Toc100263326"/>
      <w:bookmarkStart w:id="377" w:name="_Toc10199689"/>
      <w:bookmarkStart w:id="378" w:name="_Toc52892591"/>
      <w:bookmarkStart w:id="379" w:name="_Toc127191974"/>
      <w:bookmarkStart w:id="380" w:name="_Toc418694963"/>
      <w:bookmarkStart w:id="381" w:name="_Toc621561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lastRenderedPageBreak/>
        <w:t xml:space="preserve">Capital </w:t>
      </w:r>
      <w:bookmarkEnd w:id="376"/>
      <w:r w:rsidR="00D95BA9">
        <w:t>F</w:t>
      </w:r>
      <w:r w:rsidR="00DA22EA">
        <w:t xml:space="preserve">unding </w:t>
      </w:r>
      <w:r w:rsidR="00D95BA9">
        <w:t>P</w:t>
      </w:r>
      <w:r w:rsidR="00DA22EA">
        <w:t>rograms</w:t>
      </w:r>
      <w:bookmarkEnd w:id="377"/>
      <w:bookmarkEnd w:id="378"/>
      <w:bookmarkEnd w:id="379"/>
    </w:p>
    <w:p w14:paraId="62E56DAE" w14:textId="563B62F7" w:rsidR="000B27B9" w:rsidRDefault="000B27B9" w:rsidP="00B92CD4">
      <w:pPr>
        <w:pStyle w:val="Body"/>
      </w:pPr>
      <w:bookmarkStart w:id="382" w:name="_Toc418694964"/>
      <w:bookmarkStart w:id="383" w:name="_Toc517163645"/>
      <w:bookmarkStart w:id="384" w:name="_Toc6215618"/>
      <w:bookmarkStart w:id="385" w:name="_Toc10199691"/>
      <w:bookmarkStart w:id="386" w:name="_Toc418694965"/>
      <w:bookmarkEnd w:id="380"/>
      <w:bookmarkEnd w:id="381"/>
      <w:r>
        <w:t xml:space="preserve">The department administers several capital grant programs to assist health services with the costs of hospital infrastructure. The Infrastructure Renewal Contribution Grant, Regional Health Infrastructure Fund, Metropolitan Health Infrastructure Fund, </w:t>
      </w:r>
      <w:r w:rsidR="003E781B">
        <w:t xml:space="preserve">Mental Health and Alcohol and Other Drugs, </w:t>
      </w:r>
      <w:r>
        <w:t>Medical Equipment Replacement Program and Engineering Infrastructure Replacement Program</w:t>
      </w:r>
      <w:r w:rsidRPr="5DD2753B">
        <w:rPr>
          <w:rStyle w:val="CommentReference"/>
          <w:rFonts w:ascii="Verdana" w:eastAsia="Times New Roman" w:hAnsi="Verdana"/>
        </w:rPr>
        <w:t xml:space="preserve"> </w:t>
      </w:r>
      <w:r>
        <w:t>support health services to manage risk and maintain patient safety, occupational health and safety, and service availability and continuity by enhancing the asset base and maintaining and replacing assets in a planned way.</w:t>
      </w:r>
    </w:p>
    <w:p w14:paraId="16AD8813" w14:textId="77777777" w:rsidR="000B27B9" w:rsidRDefault="000B27B9" w:rsidP="00B92CD4">
      <w:pPr>
        <w:pStyle w:val="Body"/>
      </w:pPr>
      <w:r>
        <w:t xml:space="preserve">The department has adopted a coordinated approach to allocating and managing funds from these separate sources. Where projects are unable to be completed and acquitted within a two-year period, allocations may be recalled and reappropriated to other </w:t>
      </w:r>
      <w:r w:rsidRPr="57A66CA7">
        <w:t>priority projects.</w:t>
      </w:r>
    </w:p>
    <w:p w14:paraId="1A4A0EE8" w14:textId="3B230A7B" w:rsidR="000B27B9" w:rsidRPr="00D8106B" w:rsidRDefault="00350B15" w:rsidP="00B92CD4">
      <w:pPr>
        <w:pStyle w:val="Body"/>
      </w:pPr>
      <w:r>
        <w:t xml:space="preserve">The VHBA </w:t>
      </w:r>
      <w:hyperlink r:id="rId72" w:history="1">
        <w:r w:rsidRPr="00350B15">
          <w:rPr>
            <w:rStyle w:val="Hyperlink"/>
          </w:rPr>
          <w:t>‘Grant programs’ webpage</w:t>
        </w:r>
      </w:hyperlink>
      <w:r>
        <w:t xml:space="preserve"> &lt;</w:t>
      </w:r>
      <w:r w:rsidRPr="00AE6427">
        <w:t>https://www.vhba.vic.gov.au/resources/grant-programs&gt;</w:t>
      </w:r>
      <w:r>
        <w:t xml:space="preserve"> provides </w:t>
      </w:r>
      <w:r w:rsidR="000B27B9">
        <w:t xml:space="preserve">more </w:t>
      </w:r>
      <w:r>
        <w:t xml:space="preserve">information </w:t>
      </w:r>
      <w:r w:rsidR="000B27B9">
        <w:t xml:space="preserve">about </w:t>
      </w:r>
      <w:r w:rsidR="000B27B9" w:rsidRPr="00757F2E">
        <w:t>the programs</w:t>
      </w:r>
      <w:r>
        <w:t>.</w:t>
      </w:r>
      <w:r w:rsidR="000B27B9">
        <w:t xml:space="preserve"> </w:t>
      </w:r>
    </w:p>
    <w:p w14:paraId="262A9121" w14:textId="04FE5EE9" w:rsidR="000B27B9" w:rsidRDefault="000B27B9" w:rsidP="00F472F7">
      <w:pPr>
        <w:pStyle w:val="Heading3"/>
      </w:pPr>
      <w:bookmarkStart w:id="387" w:name="_Toc100263327"/>
      <w:bookmarkStart w:id="388" w:name="_Toc52892592"/>
      <w:bookmarkStart w:id="389" w:name="_Toc127191975"/>
      <w:bookmarkEnd w:id="382"/>
      <w:r>
        <w:t xml:space="preserve">Medical </w:t>
      </w:r>
      <w:bookmarkEnd w:id="387"/>
      <w:r w:rsidR="00D95BA9">
        <w:t>E</w:t>
      </w:r>
      <w:r w:rsidR="00350B15">
        <w:t xml:space="preserve">quipment and </w:t>
      </w:r>
      <w:r w:rsidR="00D95BA9">
        <w:t>E</w:t>
      </w:r>
      <w:r w:rsidR="00350B15">
        <w:t xml:space="preserve">ngineering </w:t>
      </w:r>
      <w:r w:rsidR="00D95BA9">
        <w:t>I</w:t>
      </w:r>
      <w:r w:rsidR="00350B15">
        <w:t xml:space="preserve">nfrastructure </w:t>
      </w:r>
      <w:r w:rsidR="00D95BA9">
        <w:t>R</w:t>
      </w:r>
      <w:r w:rsidR="00350B15">
        <w:t xml:space="preserve">eplacement </w:t>
      </w:r>
      <w:r w:rsidR="00D95BA9">
        <w:t>F</w:t>
      </w:r>
      <w:r w:rsidR="00350B15">
        <w:t>unding</w:t>
      </w:r>
      <w:bookmarkEnd w:id="383"/>
      <w:bookmarkEnd w:id="384"/>
      <w:bookmarkEnd w:id="385"/>
      <w:bookmarkEnd w:id="388"/>
      <w:bookmarkEnd w:id="389"/>
    </w:p>
    <w:p w14:paraId="4A0E7754" w14:textId="589C81A9" w:rsidR="000B27B9" w:rsidRDefault="000B27B9" w:rsidP="00B92CD4">
      <w:pPr>
        <w:pStyle w:val="Body"/>
      </w:pPr>
      <w:r>
        <w:t xml:space="preserve">In </w:t>
      </w:r>
      <w:r w:rsidR="5A312A85">
        <w:t>202</w:t>
      </w:r>
      <w:r w:rsidR="001006B0">
        <w:t>2</w:t>
      </w:r>
      <w:r w:rsidR="5A312A85">
        <w:t>–</w:t>
      </w:r>
      <w:r w:rsidR="1C39F889">
        <w:t>2</w:t>
      </w:r>
      <w:r w:rsidR="001006B0">
        <w:t>3</w:t>
      </w:r>
      <w:r>
        <w:t>, $35 million will be provided for the Medical Equipment Replacement Program and $</w:t>
      </w:r>
      <w:r w:rsidR="001006B0">
        <w:t>2</w:t>
      </w:r>
      <w:r>
        <w:t>0 million for the Engineering Infrastructure Replacement Program. $17.5 million from the High Value Statewide Replacement Fund</w:t>
      </w:r>
      <w:r w:rsidR="00DA113D">
        <w:t xml:space="preserve"> – </w:t>
      </w:r>
      <w:r>
        <w:t>Medical Equipment and $</w:t>
      </w:r>
      <w:r w:rsidR="5A312A85">
        <w:t>1</w:t>
      </w:r>
      <w:r w:rsidR="001006B0">
        <w:t>0</w:t>
      </w:r>
      <w:r w:rsidR="5A312A85">
        <w:t>.</w:t>
      </w:r>
      <w:r w:rsidR="001006B0">
        <w:t>0</w:t>
      </w:r>
      <w:r>
        <w:t xml:space="preserve"> million from the High Value Statewide Replacement Funding</w:t>
      </w:r>
      <w:r w:rsidR="00DA113D">
        <w:t xml:space="preserve"> – </w:t>
      </w:r>
      <w:r>
        <w:t xml:space="preserve">Engineering Replacement will be distributed to metropolitan and regional hospitals based on activity as a </w:t>
      </w:r>
      <w:r w:rsidR="00350B15">
        <w:t xml:space="preserve">specific-purpose capital </w:t>
      </w:r>
      <w:r>
        <w:t>grant. The balance of funding from each program will be centrally managed and allocated through a submission-based process by the Victorian Health Building Authority for highest priority at-risk, high-value replacements.</w:t>
      </w:r>
    </w:p>
    <w:p w14:paraId="2804B147" w14:textId="7485EBFF" w:rsidR="000B27B9" w:rsidRDefault="000B27B9" w:rsidP="000B27B9">
      <w:pPr>
        <w:pStyle w:val="Heading4"/>
      </w:pPr>
      <w:r>
        <w:t>Specific-</w:t>
      </w:r>
      <w:r w:rsidR="00D95BA9">
        <w:t>P</w:t>
      </w:r>
      <w:r w:rsidR="00350B15">
        <w:t xml:space="preserve">urpose </w:t>
      </w:r>
      <w:r w:rsidR="00D95BA9">
        <w:t>C</w:t>
      </w:r>
      <w:r w:rsidR="00350B15">
        <w:t xml:space="preserve">apital </w:t>
      </w:r>
      <w:r w:rsidR="00D95BA9">
        <w:t>G</w:t>
      </w:r>
      <w:r w:rsidR="00350B15">
        <w:t>rants</w:t>
      </w:r>
    </w:p>
    <w:p w14:paraId="5711A983" w14:textId="77777777" w:rsidR="000B27B9" w:rsidRDefault="000B27B9" w:rsidP="00B92CD4">
      <w:pPr>
        <w:pStyle w:val="Body"/>
      </w:pPr>
      <w:r>
        <w:t>Replacement priorities for medical equipment and engineering infrastructure specific-purpose capital grants are to be determined by health services in accordance with highest critical risk assessment of in-scope assets. Grant expenditure will be acquitted in accordance with the requirements for capital appropriations and reported through the Agency Information Management System – 7B reporting.</w:t>
      </w:r>
    </w:p>
    <w:p w14:paraId="5BA0F3AF" w14:textId="77777777" w:rsidR="000B27B9" w:rsidRDefault="000B27B9" w:rsidP="00B92CD4">
      <w:pPr>
        <w:pStyle w:val="Body"/>
      </w:pPr>
      <w:r>
        <w:t>Non-acquittal of funding may result in financial penalties or impact eligibility for other capital funding programs.</w:t>
      </w:r>
    </w:p>
    <w:p w14:paraId="48B16C65" w14:textId="77777777" w:rsidR="000B27B9" w:rsidRDefault="000B27B9" w:rsidP="000B27B9">
      <w:pPr>
        <w:pStyle w:val="Heading4"/>
      </w:pPr>
      <w:r>
        <w:t>High Value Statewide Replacement Funds</w:t>
      </w:r>
    </w:p>
    <w:p w14:paraId="59984724" w14:textId="2F2BADB0" w:rsidR="000B27B9" w:rsidRDefault="000B27B9" w:rsidP="00B92CD4">
      <w:pPr>
        <w:pStyle w:val="Body"/>
      </w:pPr>
      <w:r>
        <w:t>The High Value Statewide Replacement Funds for medical equipment and engineering infrastructure are centrally managed. The funds replace critical high-value in-scope assets that carry a high risk to the statewide provision of acute services in public hospitals. The assessments, prioritisation and allocations consider a whole-of-system perspective and proposals are prioritised to highest critical risk scores against set criteria.</w:t>
      </w:r>
    </w:p>
    <w:p w14:paraId="2080C82B" w14:textId="0440BEF7" w:rsidR="008022FE" w:rsidRPr="008206C2" w:rsidRDefault="000B27B9" w:rsidP="008206C2">
      <w:pPr>
        <w:pStyle w:val="Body"/>
      </w:pPr>
      <w:r>
        <w:t xml:space="preserve">Health service investments should align with health service asset management plans, must maximise value-for-money procurement and be consistent with government policies, </w:t>
      </w:r>
      <w:r w:rsidR="00150DC3">
        <w:t>practices,</w:t>
      </w:r>
      <w:r>
        <w:t xml:space="preserve"> and asset management frameworks.</w:t>
      </w:r>
      <w:bookmarkStart w:id="390" w:name="_Toc418694969"/>
      <w:bookmarkStart w:id="391" w:name="_Toc6215623"/>
      <w:bookmarkStart w:id="392" w:name="_Ref9935718"/>
      <w:bookmarkStart w:id="393" w:name="_Ref9935756"/>
      <w:bookmarkStart w:id="394" w:name="_Toc10199696"/>
      <w:bookmarkStart w:id="395" w:name="_Toc52892596"/>
      <w:bookmarkStart w:id="396" w:name="_Toc100263328"/>
      <w:bookmarkEnd w:id="386"/>
      <w:r w:rsidR="008022FE">
        <w:br w:type="page"/>
      </w:r>
    </w:p>
    <w:p w14:paraId="1A6591A1" w14:textId="5EF3A6B8" w:rsidR="00003355" w:rsidRDefault="00003355" w:rsidP="00726E4E">
      <w:pPr>
        <w:pStyle w:val="Heading2"/>
        <w:spacing w:after="440" w:line="440" w:lineRule="atLeast"/>
        <w:ind w:left="1134" w:hanging="1134"/>
      </w:pPr>
      <w:bookmarkStart w:id="397" w:name="_Toc127191976"/>
      <w:r>
        <w:lastRenderedPageBreak/>
        <w:t>Prior</w:t>
      </w:r>
      <w:r w:rsidR="00350B15">
        <w:t>-</w:t>
      </w:r>
      <w:r w:rsidR="00D95BA9">
        <w:t>Y</w:t>
      </w:r>
      <w:r>
        <w:t xml:space="preserve">ear </w:t>
      </w:r>
      <w:r w:rsidR="00D95BA9">
        <w:t>A</w:t>
      </w:r>
      <w:r>
        <w:t xml:space="preserve">djustment: </w:t>
      </w:r>
      <w:r w:rsidR="00D95BA9">
        <w:t>A</w:t>
      </w:r>
      <w:r>
        <w:t>ctivity-</w:t>
      </w:r>
      <w:r w:rsidR="00D95BA9">
        <w:t>B</w:t>
      </w:r>
      <w:r>
        <w:t xml:space="preserve">ased </w:t>
      </w:r>
      <w:r w:rsidR="00D95BA9">
        <w:t>F</w:t>
      </w:r>
      <w:r>
        <w:t xml:space="preserve">unding </w:t>
      </w:r>
      <w:r w:rsidR="00D95BA9">
        <w:t>R</w:t>
      </w:r>
      <w:r>
        <w:t>econciliation</w:t>
      </w:r>
      <w:bookmarkEnd w:id="397"/>
    </w:p>
    <w:p w14:paraId="45908C34" w14:textId="36BD59AB" w:rsidR="00003355" w:rsidRDefault="00003355" w:rsidP="00003355">
      <w:pPr>
        <w:pStyle w:val="Body"/>
      </w:pPr>
      <w:bookmarkStart w:id="398" w:name="_Toc418694970"/>
      <w:bookmarkStart w:id="399" w:name="_Ref419741339"/>
      <w:bookmarkStart w:id="400" w:name="_Ref419741349"/>
      <w:r w:rsidRPr="000244B9">
        <w:t xml:space="preserve">The department allocates funding according to expected </w:t>
      </w:r>
      <w:r>
        <w:t>deliverables</w:t>
      </w:r>
      <w:r w:rsidRPr="000244B9">
        <w:t>. In general, funded organisations are cash</w:t>
      </w:r>
      <w:r w:rsidR="00D9542F">
        <w:t>-</w:t>
      </w:r>
      <w:r w:rsidRPr="000244B9">
        <w:t>flowed during the financial year according to their funding allocations. Where required, adjustments to this funding for over- and under-activity are made in the following</w:t>
      </w:r>
      <w:r>
        <w:t xml:space="preserve"> </w:t>
      </w:r>
      <w:r w:rsidRPr="000244B9">
        <w:t>financial year according to the policies set out in this section.</w:t>
      </w:r>
    </w:p>
    <w:p w14:paraId="33CF2AB3" w14:textId="27F73773" w:rsidR="00003355" w:rsidRDefault="00003355" w:rsidP="00003355">
      <w:pPr>
        <w:pStyle w:val="Heading3"/>
        <w:spacing w:before="240"/>
      </w:pPr>
      <w:bookmarkStart w:id="401" w:name="_Toc110950017"/>
      <w:bookmarkStart w:id="402" w:name="_Toc100263330"/>
      <w:bookmarkStart w:id="403" w:name="_Ref111538488"/>
      <w:bookmarkStart w:id="404" w:name="_Ref111538507"/>
      <w:bookmarkStart w:id="405" w:name="_Toc127191977"/>
      <w:bookmarkEnd w:id="398"/>
      <w:bookmarkEnd w:id="399"/>
      <w:bookmarkEnd w:id="400"/>
      <w:bookmarkEnd w:id="401"/>
      <w:r>
        <w:t>Victorian</w:t>
      </w:r>
      <w:r w:rsidR="00CD285A">
        <w:t xml:space="preserve"> </w:t>
      </w:r>
      <w:r w:rsidR="00D95BA9">
        <w:t>F</w:t>
      </w:r>
      <w:r>
        <w:t xml:space="preserve">unding </w:t>
      </w:r>
      <w:r w:rsidR="00D95BA9">
        <w:t>R</w:t>
      </w:r>
      <w:r>
        <w:t xml:space="preserve">ecall </w:t>
      </w:r>
      <w:r w:rsidR="00D95BA9">
        <w:t>P</w:t>
      </w:r>
      <w:r>
        <w:t>olicy</w:t>
      </w:r>
      <w:bookmarkEnd w:id="402"/>
      <w:bookmarkEnd w:id="403"/>
      <w:bookmarkEnd w:id="404"/>
      <w:bookmarkEnd w:id="405"/>
    </w:p>
    <w:p w14:paraId="2DA5F1A4" w14:textId="5E353B4A" w:rsidR="00003355" w:rsidRDefault="00003355" w:rsidP="00003355">
      <w:pPr>
        <w:pStyle w:val="Body"/>
      </w:pPr>
      <w:r>
        <w:t xml:space="preserve">Funding recall will be triggered when activity is below target levels. Recall rates are set out in </w:t>
      </w:r>
      <w:r>
        <w:fldChar w:fldCharType="begin"/>
      </w:r>
      <w:r>
        <w:instrText xml:space="preserve"> REF _Ref108527072 \r \h </w:instrText>
      </w:r>
      <w:r>
        <w:fldChar w:fldCharType="separate"/>
      </w:r>
      <w:r w:rsidR="006D0756">
        <w:t>Table 1.5</w:t>
      </w:r>
      <w:r>
        <w:fldChar w:fldCharType="end"/>
      </w:r>
      <w:r>
        <w:t>.</w:t>
      </w:r>
    </w:p>
    <w:p w14:paraId="5233E789" w14:textId="30384E1C" w:rsidR="00003355" w:rsidRPr="007229CD" w:rsidRDefault="00003355" w:rsidP="00003355">
      <w:pPr>
        <w:pStyle w:val="Body"/>
      </w:pPr>
      <w:r>
        <w:t xml:space="preserve">Recalling funds depends on accurate and timely data submission. Funded organisations should </w:t>
      </w:r>
      <w:r w:rsidRPr="007229CD">
        <w:t>ensure they adhere to the data requirements as specified in these guidelines. Significant under- or over-activity should be discussed with the department</w:t>
      </w:r>
      <w:r w:rsidR="47249A52" w:rsidRPr="007229CD">
        <w:t xml:space="preserve"> prior to year</w:t>
      </w:r>
      <w:r w:rsidR="007229CD">
        <w:t>-</w:t>
      </w:r>
      <w:r w:rsidR="47249A52" w:rsidRPr="007229CD">
        <w:t>end.</w:t>
      </w:r>
    </w:p>
    <w:p w14:paraId="2C464D22" w14:textId="4AA124B2" w:rsidR="00003355" w:rsidRPr="007229CD" w:rsidRDefault="00003355" w:rsidP="00003355">
      <w:pPr>
        <w:pStyle w:val="Body"/>
      </w:pPr>
      <w:r w:rsidRPr="007229CD" w:rsidDel="00BD3D1D">
        <w:t xml:space="preserve">In </w:t>
      </w:r>
      <w:r w:rsidRPr="007229CD">
        <w:t>2022</w:t>
      </w:r>
      <w:r w:rsidR="00350B15" w:rsidRPr="007229CD">
        <w:t>–</w:t>
      </w:r>
      <w:r w:rsidRPr="007229CD">
        <w:t>23,</w:t>
      </w:r>
      <w:r w:rsidRPr="007229CD">
        <w:rPr>
          <w:lang w:val="en-US"/>
        </w:rPr>
        <w:t xml:space="preserve"> </w:t>
      </w:r>
      <w:r w:rsidRPr="007229CD">
        <w:t xml:space="preserve">based on the rates detailed in </w:t>
      </w:r>
      <w:r w:rsidRPr="007229CD">
        <w:fldChar w:fldCharType="begin"/>
      </w:r>
      <w:r w:rsidRPr="007229CD">
        <w:instrText xml:space="preserve"> REF _Ref108527072 \r \h </w:instrText>
      </w:r>
      <w:r w:rsidR="007229CD">
        <w:instrText xml:space="preserve"> \* MERGEFORMAT </w:instrText>
      </w:r>
      <w:r w:rsidRPr="007229CD">
        <w:fldChar w:fldCharType="separate"/>
      </w:r>
      <w:r w:rsidR="006D0756">
        <w:t>Table 1.5</w:t>
      </w:r>
      <w:r w:rsidRPr="007229CD">
        <w:fldChar w:fldCharType="end"/>
      </w:r>
      <w:r w:rsidRPr="007229CD">
        <w:t xml:space="preserve">. </w:t>
      </w:r>
      <w:r w:rsidR="47249A52" w:rsidRPr="007229CD">
        <w:t>t</w:t>
      </w:r>
      <w:r w:rsidRPr="007229CD">
        <w:t>he marginal</w:t>
      </w:r>
      <w:r w:rsidRPr="007229CD" w:rsidDel="00684BC3">
        <w:t xml:space="preserve"> </w:t>
      </w:r>
      <w:r w:rsidRPr="007229CD">
        <w:t>NWAU policy aims to maintain minimal levels of funding for under-activity in recognition of fixed costs and variable demand but incentivise efficient service delivery above target where it is cost-effective for health services to do so and up to a capped amount.</w:t>
      </w:r>
    </w:p>
    <w:p w14:paraId="2009ED71" w14:textId="60473EED" w:rsidR="00003355" w:rsidRPr="007229CD" w:rsidRDefault="00003355" w:rsidP="00003355">
      <w:pPr>
        <w:pStyle w:val="Body"/>
      </w:pPr>
      <w:r w:rsidRPr="007229CD">
        <w:t xml:space="preserve">Department of Veterans’ Affairs and </w:t>
      </w:r>
      <w:r w:rsidR="009E0C16" w:rsidRPr="007229CD">
        <w:t xml:space="preserve">Traffic Accident Commission </w:t>
      </w:r>
      <w:r w:rsidRPr="007229CD">
        <w:t>activity will continue to be funded to actual activity that is approved by the Department of Veterans’ Affairs and the Transport Accident Commission respectively. Health services are expected to update the VAED for any rejected or denied episodes of care prior to reconciliation. Any denied or rejected records that are not amended will not be paid as either public or Department of Veterans’ Affairs when the 2022</w:t>
      </w:r>
      <w:r w:rsidR="009E0C16" w:rsidRPr="007229CD">
        <w:rPr>
          <w:szCs w:val="21"/>
        </w:rPr>
        <w:t>–</w:t>
      </w:r>
      <w:r w:rsidRPr="007229CD">
        <w:t>23</w:t>
      </w:r>
      <w:r w:rsidRPr="007229CD">
        <w:rPr>
          <w:lang w:val="en-US"/>
        </w:rPr>
        <w:t xml:space="preserve"> </w:t>
      </w:r>
      <w:r w:rsidR="009E0C16" w:rsidRPr="007229CD">
        <w:t xml:space="preserve">prior-year adjustment </w:t>
      </w:r>
      <w:r w:rsidRPr="007229CD">
        <w:t>is calculated.</w:t>
      </w:r>
    </w:p>
    <w:p w14:paraId="37E6C498" w14:textId="16C0D9CD" w:rsidR="00003355" w:rsidRDefault="00003355" w:rsidP="00003355">
      <w:pPr>
        <w:pStyle w:val="Body"/>
      </w:pPr>
      <w:r w:rsidRPr="007229CD" w:rsidDel="00D9168B">
        <w:t xml:space="preserve">In </w:t>
      </w:r>
      <w:r w:rsidRPr="007229CD">
        <w:t>2022-23</w:t>
      </w:r>
      <w:r w:rsidRPr="007229CD" w:rsidDel="00D9168B">
        <w:t xml:space="preserve">, </w:t>
      </w:r>
      <w:r w:rsidRPr="007229CD">
        <w:t xml:space="preserve">National Bowel Cancer Screening Program NWAU will be recalled based on rates detailed in </w:t>
      </w:r>
      <w:r w:rsidRPr="007229CD">
        <w:fldChar w:fldCharType="begin"/>
      </w:r>
      <w:r w:rsidRPr="007229CD">
        <w:instrText xml:space="preserve"> REF _Ref108527072 \r \h </w:instrText>
      </w:r>
      <w:r w:rsidR="007229CD">
        <w:instrText xml:space="preserve"> \* MERGEFORMAT </w:instrText>
      </w:r>
      <w:r w:rsidRPr="007229CD">
        <w:fldChar w:fldCharType="separate"/>
      </w:r>
      <w:r w:rsidR="002871BE">
        <w:t>Table 1.5</w:t>
      </w:r>
      <w:r w:rsidRPr="007229CD">
        <w:fldChar w:fldCharType="end"/>
      </w:r>
      <w:r w:rsidR="002871BE">
        <w:t xml:space="preserve"> ‘</w:t>
      </w:r>
      <w:r w:rsidR="00CF7217">
        <w:fldChar w:fldCharType="begin"/>
      </w:r>
      <w:r w:rsidR="00CF7217">
        <w:instrText xml:space="preserve"> REF _Ref111538581 \h </w:instrText>
      </w:r>
      <w:r w:rsidR="00CF7217">
        <w:fldChar w:fldCharType="separate"/>
      </w:r>
      <w:r w:rsidR="00CF7217" w:rsidRPr="000B7385">
        <w:t xml:space="preserve">Victorian funding recall </w:t>
      </w:r>
      <w:r w:rsidR="00CF7217" w:rsidRPr="00CF7217">
        <w:t xml:space="preserve">rates </w:t>
      </w:r>
      <w:r w:rsidR="00CF7217" w:rsidRPr="00CF7217">
        <w:rPr>
          <w:szCs w:val="21"/>
        </w:rPr>
        <w:t>2022–23</w:t>
      </w:r>
      <w:r w:rsidR="00CF7217">
        <w:fldChar w:fldCharType="end"/>
      </w:r>
      <w:r w:rsidR="002871BE">
        <w:t>‘.</w:t>
      </w:r>
      <w:r w:rsidRPr="007229CD">
        <w:fldChar w:fldCharType="begin"/>
      </w:r>
      <w:r w:rsidRPr="007229CD">
        <w:instrText xml:space="preserve"> REF _Ref96512585 \h </w:instrText>
      </w:r>
      <w:r w:rsidR="00063594" w:rsidRPr="007229CD">
        <w:instrText xml:space="preserve"> \* MERGEFORMAT </w:instrText>
      </w:r>
      <w:r w:rsidR="00D36400">
        <w:fldChar w:fldCharType="separate"/>
      </w:r>
      <w:r w:rsidRPr="007229CD">
        <w:fldChar w:fldCharType="end"/>
      </w:r>
      <w:r w:rsidRPr="007229CD">
        <w:t xml:space="preserve"> and continue to be funded to actual activity.</w:t>
      </w:r>
    </w:p>
    <w:p w14:paraId="2B10CC11" w14:textId="77777777" w:rsidR="00003355" w:rsidRDefault="00003355" w:rsidP="00003355">
      <w:pPr>
        <w:pStyle w:val="Body"/>
      </w:pPr>
      <w:r>
        <w:t>Home renal will continue to be funded to actual activity during the year.</w:t>
      </w:r>
    </w:p>
    <w:p w14:paraId="3E7181A4" w14:textId="77777777" w:rsidR="00003355" w:rsidRDefault="00003355" w:rsidP="00003355">
      <w:pPr>
        <w:pStyle w:val="Body"/>
      </w:pPr>
      <w:r>
        <w:t>Recall rates are based on a proportion of the price, rather than a specified dollar value. This enables rates to be applied consistently across services and reflects price adjustments.</w:t>
      </w:r>
    </w:p>
    <w:p w14:paraId="238745C6" w14:textId="1780C5E3" w:rsidR="00003355" w:rsidRDefault="00003355" w:rsidP="00003355">
      <w:pPr>
        <w:pStyle w:val="Body"/>
      </w:pPr>
      <w:r>
        <w:t xml:space="preserve">Small rural health services are exempt from the recall policy for acute, subacute, and primary health. Recall applies to DVA, TAC, Renal, </w:t>
      </w:r>
      <w:r w:rsidRPr="008F3AB4">
        <w:t>Home and Community Care Program for Younger People,</w:t>
      </w:r>
      <w:r>
        <w:t xml:space="preserve"> Aged Care Assessment Services, and Residential Aged Care Services in the same way as other services.</w:t>
      </w:r>
    </w:p>
    <w:p w14:paraId="178C8490" w14:textId="77777777" w:rsidR="00003355" w:rsidRDefault="00003355" w:rsidP="00003355">
      <w:pPr>
        <w:pStyle w:val="Body"/>
      </w:pPr>
      <w:r>
        <w:t>For subacute activity, the following services are included:</w:t>
      </w:r>
    </w:p>
    <w:p w14:paraId="04C654AB" w14:textId="77777777" w:rsidR="00003355" w:rsidRPr="000244B9" w:rsidRDefault="00003355" w:rsidP="00003355">
      <w:pPr>
        <w:pStyle w:val="Bullet1"/>
      </w:pPr>
      <w:r>
        <w:t>rehabilitation (including spinal rehabilitation and paediatric rehabilitation)</w:t>
      </w:r>
    </w:p>
    <w:p w14:paraId="47AADB1E" w14:textId="77777777" w:rsidR="00003355" w:rsidRPr="000244B9" w:rsidRDefault="00003355" w:rsidP="00003355">
      <w:pPr>
        <w:pStyle w:val="Bullet1"/>
      </w:pPr>
      <w:r>
        <w:t>geriatric evaluation and management</w:t>
      </w:r>
    </w:p>
    <w:p w14:paraId="00A4F42E" w14:textId="77777777" w:rsidR="00003355" w:rsidRDefault="00003355" w:rsidP="00003355">
      <w:pPr>
        <w:pStyle w:val="Bullet1"/>
      </w:pPr>
      <w:r>
        <w:t>admitted palliative care</w:t>
      </w:r>
    </w:p>
    <w:p w14:paraId="533839DD" w14:textId="77777777" w:rsidR="00003355" w:rsidRPr="000244B9" w:rsidRDefault="00003355" w:rsidP="00003355">
      <w:pPr>
        <w:pStyle w:val="Bullet1"/>
      </w:pPr>
      <w:r>
        <w:t>maintenance care.</w:t>
      </w:r>
    </w:p>
    <w:p w14:paraId="2F10B31F" w14:textId="77777777" w:rsidR="00003355" w:rsidRDefault="00003355" w:rsidP="00003355">
      <w:pPr>
        <w:pStyle w:val="Bodyafterbullets"/>
      </w:pPr>
      <w:r>
        <w:t>Public and private activity is included for these care types. The subacute wrap encourages flexibility for health services to meet client needs.</w:t>
      </w:r>
    </w:p>
    <w:p w14:paraId="2EB4776B" w14:textId="42346184" w:rsidR="00003355" w:rsidRDefault="00003355" w:rsidP="00003355">
      <w:pPr>
        <w:pStyle w:val="Body"/>
      </w:pPr>
      <w:r>
        <w:t xml:space="preserve">Recall will also apply to the Transition Care Program. Transition Care Program recall will be calculated separately and will not be included in the subacute wrap. Funding recall applies for the </w:t>
      </w:r>
      <w:r>
        <w:lastRenderedPageBreak/>
        <w:t>State component of the Transition Care Program, with recall for the Transition Care Program is calculated on the bed-based and home-based rates.</w:t>
      </w:r>
    </w:p>
    <w:p w14:paraId="5C55FE77" w14:textId="006396D0" w:rsidR="00003355" w:rsidRDefault="00003355" w:rsidP="00003355">
      <w:pPr>
        <w:pStyle w:val="Body"/>
      </w:pPr>
      <w:r>
        <w:t xml:space="preserve">A recall policy also applies to programs funded under the Ageing, Aged and Home Care Services output. This includes </w:t>
      </w:r>
      <w:r w:rsidRPr="008F3AB4">
        <w:t>Home and Community Care Program for Younger People</w:t>
      </w:r>
      <w:r>
        <w:t xml:space="preserve">, and Aged Care and Assessment Services as outlined in </w:t>
      </w:r>
      <w:r>
        <w:fldChar w:fldCharType="begin"/>
      </w:r>
      <w:r>
        <w:instrText xml:space="preserve"> REF _Ref108527072 \r \h </w:instrText>
      </w:r>
      <w:r>
        <w:fldChar w:fldCharType="separate"/>
      </w:r>
      <w:r w:rsidR="006D0756">
        <w:t>Table 1.5</w:t>
      </w:r>
      <w:r>
        <w:fldChar w:fldCharType="end"/>
      </w:r>
      <w:r w:rsidR="00EB2D94">
        <w:t xml:space="preserve"> ‘</w:t>
      </w:r>
      <w:r w:rsidR="00EB2D94">
        <w:fldChar w:fldCharType="begin"/>
      </w:r>
      <w:r w:rsidR="00EB2D94">
        <w:instrText xml:space="preserve"> REF _Ref111539539 \h </w:instrText>
      </w:r>
      <w:r w:rsidR="00EB2D94">
        <w:fldChar w:fldCharType="separate"/>
      </w:r>
      <w:r w:rsidR="00EB2D94" w:rsidRPr="000B7385">
        <w:t xml:space="preserve">Victorian funding recall </w:t>
      </w:r>
      <w:r w:rsidR="00EB2D94" w:rsidRPr="00CF7217">
        <w:t xml:space="preserve">rates </w:t>
      </w:r>
      <w:r w:rsidR="00EB2D94" w:rsidRPr="00CF7217">
        <w:rPr>
          <w:szCs w:val="21"/>
        </w:rPr>
        <w:t>2022–23</w:t>
      </w:r>
      <w:r w:rsidR="00EB2D94">
        <w:fldChar w:fldCharType="end"/>
      </w:r>
      <w:r w:rsidR="00EB2D94">
        <w:t>’.</w:t>
      </w:r>
      <w:r>
        <w:t>Funded organisations should note that significant under</w:t>
      </w:r>
      <w:r w:rsidR="006A015D">
        <w:t>-</w:t>
      </w:r>
      <w:r>
        <w:t>performance in any activity should be discussed with the department in a timely manner.</w:t>
      </w:r>
    </w:p>
    <w:p w14:paraId="6A0FF6B7" w14:textId="77777777" w:rsidR="00003355" w:rsidRDefault="00003355" w:rsidP="00003355">
      <w:pPr>
        <w:pStyle w:val="Body"/>
      </w:pPr>
      <w:r>
        <w:t>Nationally Funded Centres activity will continue to be funded to actual activity. The</w:t>
      </w:r>
      <w:r w:rsidDel="00684BC3">
        <w:t xml:space="preserve"> </w:t>
      </w:r>
      <w:r>
        <w:t>NWAU associated with the Nationally Funded Centres, including procedures undertaken up to three months post discharge, will not be recognised as public-private NWAU for the purposes of calculated funding recall for acute admitted services.</w:t>
      </w:r>
    </w:p>
    <w:p w14:paraId="10C55B9B" w14:textId="23BC3988" w:rsidR="00003355" w:rsidRDefault="00003355" w:rsidP="0093050C">
      <w:pPr>
        <w:pStyle w:val="Bodyaftertablefigure"/>
      </w:pPr>
      <w:r>
        <w:t>An overview of the calculation process for recall can be found at</w:t>
      </w:r>
      <w:r w:rsidR="0046019E">
        <w:t xml:space="preserve"> </w:t>
      </w:r>
      <w:r w:rsidR="006B5714">
        <w:fldChar w:fldCharType="begin"/>
      </w:r>
      <w:r w:rsidR="006B5714">
        <w:instrText xml:space="preserve"> REF _Ref111538889 \r \h </w:instrText>
      </w:r>
      <w:r w:rsidR="006B5714">
        <w:fldChar w:fldCharType="separate"/>
      </w:r>
      <w:r w:rsidR="006B5714">
        <w:t>Addendum 1.1:</w:t>
      </w:r>
      <w:r w:rsidR="006B5714">
        <w:fldChar w:fldCharType="end"/>
      </w:r>
      <w:r w:rsidR="006B5714">
        <w:t xml:space="preserve"> ‘</w:t>
      </w:r>
      <w:r w:rsidR="006B5714">
        <w:fldChar w:fldCharType="begin"/>
      </w:r>
      <w:r w:rsidR="006B5714">
        <w:instrText xml:space="preserve"> REF _Ref111538897 \h </w:instrText>
      </w:r>
      <w:r w:rsidR="006B5714">
        <w:fldChar w:fldCharType="separate"/>
      </w:r>
      <w:r w:rsidR="006B5714" w:rsidRPr="00F96DD9">
        <w:t>Calculating funding recall</w:t>
      </w:r>
      <w:r w:rsidR="006B5714">
        <w:fldChar w:fldCharType="end"/>
      </w:r>
      <w:r w:rsidR="006B5714">
        <w:t>’</w:t>
      </w:r>
      <w:r>
        <w:t>.</w:t>
      </w:r>
    </w:p>
    <w:p w14:paraId="7E57F969" w14:textId="7B1957D1" w:rsidR="00003355" w:rsidRPr="00E7554A" w:rsidRDefault="00003355" w:rsidP="003C01AD">
      <w:pPr>
        <w:pStyle w:val="Tablecaption"/>
        <w:numPr>
          <w:ilvl w:val="0"/>
          <w:numId w:val="31"/>
        </w:numPr>
      </w:pPr>
      <w:bookmarkStart w:id="406" w:name="_Ref108527072"/>
      <w:bookmarkStart w:id="407" w:name="_Toc109894100"/>
      <w:bookmarkStart w:id="408" w:name="_Ref111538581"/>
      <w:bookmarkStart w:id="409" w:name="_Ref111539539"/>
      <w:bookmarkStart w:id="410" w:name="_Toc119500880"/>
      <w:r w:rsidRPr="000B7385">
        <w:t xml:space="preserve">Victorian funding recall </w:t>
      </w:r>
      <w:r w:rsidRPr="00CF7217">
        <w:t xml:space="preserve">rates </w:t>
      </w:r>
      <w:r w:rsidRPr="00CF7217">
        <w:rPr>
          <w:szCs w:val="21"/>
        </w:rPr>
        <w:t>2022</w:t>
      </w:r>
      <w:r w:rsidR="006F1365" w:rsidRPr="00CF7217">
        <w:rPr>
          <w:szCs w:val="21"/>
        </w:rPr>
        <w:t>–</w:t>
      </w:r>
      <w:r w:rsidRPr="00CF7217">
        <w:rPr>
          <w:szCs w:val="21"/>
        </w:rPr>
        <w:t>23</w:t>
      </w:r>
      <w:bookmarkEnd w:id="406"/>
      <w:bookmarkEnd w:id="407"/>
      <w:bookmarkEnd w:id="408"/>
      <w:bookmarkEnd w:id="409"/>
      <w:bookmarkEnd w:id="410"/>
    </w:p>
    <w:tbl>
      <w:tblPr>
        <w:tblStyle w:val="TableGrid1"/>
        <w:tblW w:w="9615" w:type="dxa"/>
        <w:tblLook w:val="06A0" w:firstRow="1" w:lastRow="0" w:firstColumn="1" w:lastColumn="0" w:noHBand="1" w:noVBand="1"/>
      </w:tblPr>
      <w:tblGrid>
        <w:gridCol w:w="2338"/>
        <w:gridCol w:w="7277"/>
      </w:tblGrid>
      <w:tr w:rsidR="00003355" w:rsidRPr="00CC47B2" w14:paraId="5BDFE86C" w14:textId="77777777" w:rsidTr="001D10B4">
        <w:trPr>
          <w:cnfStyle w:val="100000000000" w:firstRow="1" w:lastRow="0" w:firstColumn="0" w:lastColumn="0" w:oddVBand="0" w:evenVBand="0" w:oddHBand="0" w:evenHBand="0" w:firstRowFirstColumn="0" w:firstRowLastColumn="0" w:lastRowFirstColumn="0" w:lastRowLastColumn="0"/>
          <w:tblHeader/>
        </w:trPr>
        <w:tc>
          <w:tcPr>
            <w:tcW w:w="0" w:type="dxa"/>
          </w:tcPr>
          <w:p w14:paraId="10082E04" w14:textId="77777777" w:rsidR="00003355" w:rsidRPr="001D10B4" w:rsidRDefault="00003355" w:rsidP="001D10B4">
            <w:pPr>
              <w:pStyle w:val="Tablecolhead"/>
              <w:rPr>
                <w:color w:val="FFFFFF" w:themeColor="background1"/>
              </w:rPr>
            </w:pPr>
            <w:r w:rsidRPr="001D10B4">
              <w:rPr>
                <w:color w:val="FFFFFF" w:themeColor="background1"/>
              </w:rPr>
              <w:t>Service</w:t>
            </w:r>
          </w:p>
        </w:tc>
        <w:tc>
          <w:tcPr>
            <w:tcW w:w="0" w:type="dxa"/>
          </w:tcPr>
          <w:p w14:paraId="24DA0AE0" w14:textId="01F0D1E5" w:rsidR="00003355" w:rsidRPr="001D10B4" w:rsidRDefault="00003355" w:rsidP="001D10B4">
            <w:pPr>
              <w:pStyle w:val="Tablecolhead"/>
              <w:rPr>
                <w:color w:val="FFFFFF" w:themeColor="background1"/>
              </w:rPr>
            </w:pPr>
            <w:r w:rsidRPr="001D10B4">
              <w:rPr>
                <w:color w:val="FFFFFF" w:themeColor="background1"/>
              </w:rPr>
              <w:t>Funding recall policy</w:t>
            </w:r>
          </w:p>
        </w:tc>
      </w:tr>
      <w:tr w:rsidR="00003355" w:rsidRPr="005D4304" w14:paraId="3652272C" w14:textId="77777777" w:rsidTr="001D10B4">
        <w:tc>
          <w:tcPr>
            <w:tcW w:w="0" w:type="dxa"/>
          </w:tcPr>
          <w:p w14:paraId="37E46827" w14:textId="77777777" w:rsidR="00003355" w:rsidRPr="006F1365" w:rsidRDefault="00003355" w:rsidP="001D10B4">
            <w:pPr>
              <w:pStyle w:val="Tabletext"/>
            </w:pPr>
            <w:r w:rsidRPr="006F1365">
              <w:t>Acute admitted services</w:t>
            </w:r>
          </w:p>
          <w:p w14:paraId="507C6FBE" w14:textId="77777777" w:rsidR="00003355" w:rsidRPr="006F1365" w:rsidRDefault="00003355" w:rsidP="001D10B4">
            <w:pPr>
              <w:pStyle w:val="Tabletext"/>
            </w:pPr>
            <w:r w:rsidRPr="006F1365">
              <w:t>Subacute admitted services (wrap includes GEM, rehabilitation, and palliative care)</w:t>
            </w:r>
          </w:p>
          <w:p w14:paraId="50D7A21E" w14:textId="0CC25ADC" w:rsidR="00003355" w:rsidRPr="006F1365" w:rsidRDefault="00003355" w:rsidP="001D10B4">
            <w:pPr>
              <w:pStyle w:val="Tabletext"/>
            </w:pPr>
            <w:r w:rsidRPr="006F1365">
              <w:t>Non</w:t>
            </w:r>
            <w:r w:rsidR="006F1365">
              <w:t>-</w:t>
            </w:r>
            <w:r w:rsidRPr="006F1365">
              <w:t xml:space="preserve">admitted services (includes HIP and Specialist Clinics) </w:t>
            </w:r>
          </w:p>
          <w:p w14:paraId="7B73276C" w14:textId="62B06B9E" w:rsidR="00003355" w:rsidRPr="004C68C1" w:rsidRDefault="00003355" w:rsidP="001D10B4">
            <w:pPr>
              <w:pStyle w:val="Tabletext"/>
            </w:pPr>
            <w:r w:rsidRPr="001D10B4">
              <w:t>Emergency non</w:t>
            </w:r>
            <w:r w:rsidR="006F1365" w:rsidRPr="001D10B4">
              <w:t>-</w:t>
            </w:r>
            <w:r w:rsidRPr="001D10B4">
              <w:t>admitted</w:t>
            </w:r>
          </w:p>
        </w:tc>
        <w:tc>
          <w:tcPr>
            <w:tcW w:w="0" w:type="dxa"/>
          </w:tcPr>
          <w:p w14:paraId="0BBC41DD" w14:textId="5170D610" w:rsidR="00003355" w:rsidRPr="00674F20" w:rsidRDefault="00003355" w:rsidP="001D10B4">
            <w:pPr>
              <w:pStyle w:val="Tablebullet1"/>
            </w:pPr>
            <w:r w:rsidRPr="00674F20">
              <w:t>0–3</w:t>
            </w:r>
            <w:r w:rsidR="00887E93">
              <w:t>%</w:t>
            </w:r>
            <w:r w:rsidRPr="00674F20">
              <w:t xml:space="preserve"> </w:t>
            </w:r>
            <w:r w:rsidRPr="006F1365">
              <w:t>below</w:t>
            </w:r>
            <w:r w:rsidRPr="00674F20">
              <w:t xml:space="preserve"> target: 50</w:t>
            </w:r>
            <w:r w:rsidR="00887E93">
              <w:t>%</w:t>
            </w:r>
            <w:r w:rsidRPr="00674F20">
              <w:t xml:space="preserve"> of the </w:t>
            </w:r>
            <w:r>
              <w:t>VEP</w:t>
            </w:r>
            <w:r w:rsidR="008B7EFC">
              <w:t xml:space="preserve"> </w:t>
            </w:r>
            <w:r w:rsidRPr="00674F20">
              <w:t xml:space="preserve">weighted relevant rate </w:t>
            </w:r>
            <w:r>
              <w:t>or</w:t>
            </w:r>
            <w:r w:rsidRPr="00674F20">
              <w:t xml:space="preserve"> wrap value</w:t>
            </w:r>
          </w:p>
          <w:p w14:paraId="35E8E896" w14:textId="329687F9" w:rsidR="00003355" w:rsidRDefault="00003355" w:rsidP="001D10B4">
            <w:pPr>
              <w:pStyle w:val="Tablebullet1"/>
            </w:pPr>
            <w:r w:rsidRPr="00033198">
              <w:t>&gt; 3</w:t>
            </w:r>
            <w:r w:rsidR="00887E93">
              <w:t>%</w:t>
            </w:r>
            <w:r w:rsidRPr="00033198">
              <w:t xml:space="preserve"> below target: </w:t>
            </w:r>
            <w:r>
              <w:t>100</w:t>
            </w:r>
            <w:r w:rsidR="00887E93">
              <w:t>%</w:t>
            </w:r>
            <w:r>
              <w:t xml:space="preserve"> of </w:t>
            </w:r>
            <w:r w:rsidRPr="00033198">
              <w:t xml:space="preserve">the </w:t>
            </w:r>
            <w:r>
              <w:t>VEP</w:t>
            </w:r>
          </w:p>
          <w:p w14:paraId="7AD7728B" w14:textId="7CEE33F2" w:rsidR="00003355" w:rsidRPr="00674F20" w:rsidRDefault="00003355" w:rsidP="001D10B4">
            <w:pPr>
              <w:pStyle w:val="Tabletext"/>
            </w:pPr>
          </w:p>
        </w:tc>
      </w:tr>
      <w:tr w:rsidR="00003355" w:rsidRPr="00E63D9B" w14:paraId="1AF95752" w14:textId="77777777" w:rsidTr="001D10B4">
        <w:tc>
          <w:tcPr>
            <w:tcW w:w="0" w:type="dxa"/>
          </w:tcPr>
          <w:p w14:paraId="08B59363" w14:textId="77777777" w:rsidR="00003355" w:rsidRPr="00674F20" w:rsidRDefault="00003355" w:rsidP="001D10B4">
            <w:pPr>
              <w:pStyle w:val="Tabletext"/>
            </w:pPr>
            <w:r w:rsidRPr="00674F20">
              <w:t>Nationally Funded Centres</w:t>
            </w:r>
            <w:r>
              <w:t xml:space="preserve"> (NFC)</w:t>
            </w:r>
          </w:p>
        </w:tc>
        <w:tc>
          <w:tcPr>
            <w:tcW w:w="0" w:type="dxa"/>
          </w:tcPr>
          <w:p w14:paraId="38E3EC9F" w14:textId="1D60B076" w:rsidR="00003355" w:rsidRPr="00674F20" w:rsidRDefault="00003355" w:rsidP="001D10B4">
            <w:pPr>
              <w:pStyle w:val="Tabletext"/>
            </w:pPr>
            <w:r w:rsidRPr="00674F20">
              <w:t xml:space="preserve">Full recall of under-activity at the NFC </w:t>
            </w:r>
            <w:r w:rsidRPr="00674F20">
              <w:rPr>
                <w:rFonts w:cs="Arial"/>
              </w:rPr>
              <w:t>determined cost per procedur</w:t>
            </w:r>
            <w:r w:rsidR="006F1365">
              <w:rPr>
                <w:rFonts w:cs="Arial"/>
              </w:rPr>
              <w:t>e</w:t>
            </w:r>
            <w:r>
              <w:rPr>
                <w:rFonts w:cs="Arial"/>
              </w:rPr>
              <w:t xml:space="preserve"> </w:t>
            </w:r>
          </w:p>
        </w:tc>
      </w:tr>
      <w:tr w:rsidR="00003355" w:rsidRPr="00E63D9B" w14:paraId="54BE2A22" w14:textId="77777777" w:rsidTr="001D10B4">
        <w:tc>
          <w:tcPr>
            <w:tcW w:w="0" w:type="dxa"/>
          </w:tcPr>
          <w:p w14:paraId="6A97AA2C" w14:textId="77777777" w:rsidR="00003355" w:rsidRPr="00674F20" w:rsidRDefault="00003355" w:rsidP="001D10B4">
            <w:pPr>
              <w:pStyle w:val="Tabletext"/>
            </w:pPr>
            <w:r>
              <w:t>National Bowel Cancer Screening Program (NWAU)</w:t>
            </w:r>
          </w:p>
        </w:tc>
        <w:tc>
          <w:tcPr>
            <w:tcW w:w="0" w:type="dxa"/>
          </w:tcPr>
          <w:p w14:paraId="57683B77" w14:textId="77777777" w:rsidR="00003355" w:rsidRPr="00674F20" w:rsidRDefault="00003355" w:rsidP="001D10B4">
            <w:pPr>
              <w:pStyle w:val="Tabletext"/>
            </w:pPr>
            <w:r>
              <w:t>Full recall of under-activity</w:t>
            </w:r>
          </w:p>
        </w:tc>
      </w:tr>
      <w:tr w:rsidR="00003355" w:rsidRPr="00E63D9B" w14:paraId="4A3970F2" w14:textId="77777777" w:rsidTr="001D10B4">
        <w:tc>
          <w:tcPr>
            <w:tcW w:w="0" w:type="dxa"/>
          </w:tcPr>
          <w:p w14:paraId="1E633564" w14:textId="77777777" w:rsidR="00003355" w:rsidRPr="00674F20" w:rsidRDefault="00003355" w:rsidP="001D10B4">
            <w:pPr>
              <w:pStyle w:val="Tabletext"/>
            </w:pPr>
            <w:r w:rsidRPr="00674F20">
              <w:t>Department of Veterans</w:t>
            </w:r>
            <w:r>
              <w:t>’</w:t>
            </w:r>
            <w:r w:rsidRPr="00674F20">
              <w:t xml:space="preserve"> Affairs</w:t>
            </w:r>
          </w:p>
          <w:p w14:paraId="5F040B67" w14:textId="77777777" w:rsidR="00003355" w:rsidRPr="006F1365" w:rsidRDefault="00003355" w:rsidP="001D10B4">
            <w:pPr>
              <w:pStyle w:val="Tablebullet1"/>
            </w:pPr>
            <w:r w:rsidRPr="006F1365">
              <w:t>Acute admitted services</w:t>
            </w:r>
          </w:p>
          <w:p w14:paraId="39365299" w14:textId="77777777" w:rsidR="00003355" w:rsidRPr="006F1365" w:rsidRDefault="00003355" w:rsidP="001D10B4">
            <w:pPr>
              <w:pStyle w:val="Tablebullet1"/>
            </w:pPr>
            <w:r w:rsidRPr="006F1365">
              <w:t>Subacute admitted services (wrap includes GEM, rehabilitation, and palliative care)</w:t>
            </w:r>
          </w:p>
          <w:p w14:paraId="740B8BCC" w14:textId="77777777" w:rsidR="00003355" w:rsidRPr="00B64179" w:rsidRDefault="00003355" w:rsidP="001D10B4">
            <w:pPr>
              <w:pStyle w:val="Tablebullet1"/>
            </w:pPr>
            <w:r w:rsidRPr="006F1365">
              <w:t>Non-admitted (acute) services</w:t>
            </w:r>
            <w:r>
              <w:t xml:space="preserve"> </w:t>
            </w:r>
          </w:p>
        </w:tc>
        <w:tc>
          <w:tcPr>
            <w:tcW w:w="0" w:type="dxa"/>
          </w:tcPr>
          <w:p w14:paraId="79FF179A" w14:textId="215E6E98" w:rsidR="00003355" w:rsidRPr="006F1365" w:rsidRDefault="00003355" w:rsidP="001D10B4">
            <w:pPr>
              <w:pStyle w:val="Tabletext"/>
            </w:pPr>
            <w:r w:rsidRPr="00674F20">
              <w:t>Full recall of under</w:t>
            </w:r>
            <w:r>
              <w:t>-</w:t>
            </w:r>
            <w:r w:rsidRPr="00674F20">
              <w:t>activity</w:t>
            </w:r>
          </w:p>
        </w:tc>
      </w:tr>
      <w:tr w:rsidR="00003355" w:rsidRPr="00E63D9B" w14:paraId="7F10D7C7" w14:textId="77777777" w:rsidTr="00B30F60">
        <w:tc>
          <w:tcPr>
            <w:tcW w:w="0" w:type="dxa"/>
          </w:tcPr>
          <w:p w14:paraId="18AED373" w14:textId="77777777" w:rsidR="00003355" w:rsidRPr="006F1365" w:rsidRDefault="00003355" w:rsidP="00B30F60">
            <w:pPr>
              <w:pStyle w:val="Tabletext"/>
            </w:pPr>
            <w:r>
              <w:t>Transport Accident Commission</w:t>
            </w:r>
            <w:r w:rsidRPr="00674F20">
              <w:t xml:space="preserve"> and WorkSafe</w:t>
            </w:r>
          </w:p>
          <w:p w14:paraId="05F2ACF6" w14:textId="77777777" w:rsidR="00003355" w:rsidRPr="00CA6A8D" w:rsidRDefault="00003355" w:rsidP="00B30F60">
            <w:pPr>
              <w:pStyle w:val="Tablebullet1"/>
            </w:pPr>
            <w:r>
              <w:t xml:space="preserve">Acute admitted </w:t>
            </w:r>
            <w:r w:rsidRPr="006F1365">
              <w:t>services</w:t>
            </w:r>
          </w:p>
        </w:tc>
        <w:tc>
          <w:tcPr>
            <w:tcW w:w="0" w:type="dxa"/>
          </w:tcPr>
          <w:p w14:paraId="49E20619" w14:textId="1228B4B2" w:rsidR="00003355" w:rsidRPr="006F1365" w:rsidRDefault="00003355" w:rsidP="00B30F60">
            <w:pPr>
              <w:pStyle w:val="Tabletext"/>
            </w:pPr>
            <w:r w:rsidRPr="00674F20">
              <w:t>Full recall of under</w:t>
            </w:r>
            <w:r>
              <w:t>-</w:t>
            </w:r>
            <w:r w:rsidRPr="00674F20">
              <w:t>activity</w:t>
            </w:r>
          </w:p>
        </w:tc>
      </w:tr>
      <w:tr w:rsidR="00003355" w:rsidRPr="006F501A" w14:paraId="52335D6F" w14:textId="77777777" w:rsidTr="00B30F60">
        <w:tc>
          <w:tcPr>
            <w:tcW w:w="0" w:type="dxa"/>
          </w:tcPr>
          <w:p w14:paraId="4432E04F" w14:textId="77777777" w:rsidR="00003355" w:rsidRPr="006F1365" w:rsidRDefault="00003355" w:rsidP="00B30F60">
            <w:pPr>
              <w:pStyle w:val="Tabletext"/>
            </w:pPr>
            <w:r>
              <w:lastRenderedPageBreak/>
              <w:t>Small rural health services</w:t>
            </w:r>
          </w:p>
        </w:tc>
        <w:tc>
          <w:tcPr>
            <w:tcW w:w="0" w:type="dxa"/>
          </w:tcPr>
          <w:p w14:paraId="6ED409A4" w14:textId="3EA8DA3E" w:rsidR="00003355" w:rsidRPr="00674F20" w:rsidRDefault="00003355" w:rsidP="00B30F60">
            <w:pPr>
              <w:pStyle w:val="Tabletext"/>
            </w:pPr>
            <w:r w:rsidRPr="00674F20">
              <w:t xml:space="preserve">Recall </w:t>
            </w:r>
            <w:r w:rsidRPr="006F1365">
              <w:t>applies</w:t>
            </w:r>
            <w:r w:rsidRPr="00674F20">
              <w:t xml:space="preserve"> to renal, HACC</w:t>
            </w:r>
            <w:r>
              <w:t>-PYP</w:t>
            </w:r>
            <w:r w:rsidRPr="00674F20">
              <w:t>, ACAS</w:t>
            </w:r>
            <w:r>
              <w:t>, DVA, TAC</w:t>
            </w:r>
            <w:r w:rsidRPr="00674F20">
              <w:t xml:space="preserve"> and residential aged care services</w:t>
            </w:r>
          </w:p>
          <w:p w14:paraId="5782DBB4" w14:textId="3F2526E3" w:rsidR="00003355" w:rsidRPr="00674F20" w:rsidRDefault="00003355" w:rsidP="00B30F60">
            <w:pPr>
              <w:pStyle w:val="Tabletext"/>
            </w:pPr>
            <w:r w:rsidRPr="00674F20">
              <w:t xml:space="preserve">No recall applies </w:t>
            </w:r>
            <w:r w:rsidRPr="00C11B7E">
              <w:t>for public and private acute, subacute, and primary health. Recall still applies for DVA and TAC related activity</w:t>
            </w:r>
          </w:p>
        </w:tc>
      </w:tr>
      <w:tr w:rsidR="00003355" w:rsidRPr="00E63D9B" w14:paraId="7D7931C6" w14:textId="77777777" w:rsidTr="00B30F60">
        <w:tc>
          <w:tcPr>
            <w:tcW w:w="0" w:type="dxa"/>
          </w:tcPr>
          <w:p w14:paraId="17944B63" w14:textId="77777777" w:rsidR="00003355" w:rsidRPr="00CA6A8D" w:rsidRDefault="00003355" w:rsidP="00B30F60">
            <w:pPr>
              <w:pStyle w:val="Tabletext"/>
            </w:pPr>
            <w:r>
              <w:t>Acquired brain injury unit</w:t>
            </w:r>
          </w:p>
        </w:tc>
        <w:tc>
          <w:tcPr>
            <w:tcW w:w="0" w:type="dxa"/>
          </w:tcPr>
          <w:p w14:paraId="2F1CC332" w14:textId="0F519C1F" w:rsidR="00003355" w:rsidRPr="00674F20" w:rsidRDefault="00003355" w:rsidP="00B30F60">
            <w:pPr>
              <w:pStyle w:val="Tabletext"/>
            </w:pPr>
            <w:r w:rsidRPr="00674F20">
              <w:t>Full recall of under</w:t>
            </w:r>
            <w:r>
              <w:t>-</w:t>
            </w:r>
            <w:r w:rsidRPr="00674F20">
              <w:t>activity</w:t>
            </w:r>
            <w:r>
              <w:t xml:space="preserve"> at the full rate</w:t>
            </w:r>
          </w:p>
        </w:tc>
      </w:tr>
      <w:tr w:rsidR="00003355" w:rsidRPr="006F501A" w14:paraId="2E52A00F" w14:textId="77777777" w:rsidTr="00B30F60">
        <w:tc>
          <w:tcPr>
            <w:tcW w:w="0" w:type="dxa"/>
          </w:tcPr>
          <w:p w14:paraId="2D776640" w14:textId="77777777" w:rsidR="00003355" w:rsidRPr="00674F20" w:rsidRDefault="00003355" w:rsidP="00B30F60">
            <w:pPr>
              <w:pStyle w:val="Tabletext"/>
            </w:pPr>
            <w:r w:rsidRPr="00674F20">
              <w:t>Mental health admitted services</w:t>
            </w:r>
          </w:p>
        </w:tc>
        <w:tc>
          <w:tcPr>
            <w:tcW w:w="0" w:type="dxa"/>
          </w:tcPr>
          <w:p w14:paraId="589A7FB0" w14:textId="77777777" w:rsidR="00003355" w:rsidRDefault="00003355" w:rsidP="00B30F60">
            <w:pPr>
              <w:pStyle w:val="Tabletext"/>
            </w:pPr>
            <w:r w:rsidRPr="00674F20">
              <w:t>The department may recall funds associated with funded beds, which remain unopened or have been temporarily closed.</w:t>
            </w:r>
          </w:p>
          <w:p w14:paraId="3A2165FE" w14:textId="48DF19F1" w:rsidR="00003355" w:rsidRPr="00674F20" w:rsidRDefault="00003355" w:rsidP="00B30F60">
            <w:pPr>
              <w:pStyle w:val="Tabletext"/>
            </w:pPr>
            <w:r w:rsidRPr="00674F20">
              <w:t xml:space="preserve">Recall will depend on </w:t>
            </w:r>
            <w:r>
              <w:t>statewide</w:t>
            </w:r>
            <w:r w:rsidRPr="00674F20">
              <w:t xml:space="preserve"> priorities and the need for funding redistribution to achieve these priorities as defined by the department</w:t>
            </w:r>
            <w:r>
              <w:t>.</w:t>
            </w:r>
          </w:p>
        </w:tc>
      </w:tr>
      <w:tr w:rsidR="00003355" w14:paraId="0DC522E1" w14:textId="77777777" w:rsidTr="00B30F60">
        <w:tc>
          <w:tcPr>
            <w:tcW w:w="0" w:type="dxa"/>
          </w:tcPr>
          <w:p w14:paraId="32D330AC" w14:textId="77777777" w:rsidR="00003355" w:rsidRDefault="00003355" w:rsidP="00B30F60">
            <w:pPr>
              <w:pStyle w:val="Tabletext"/>
            </w:pPr>
            <w:r>
              <w:t>Mental health non-admitted services</w:t>
            </w:r>
          </w:p>
        </w:tc>
        <w:tc>
          <w:tcPr>
            <w:tcW w:w="0" w:type="dxa"/>
          </w:tcPr>
          <w:p w14:paraId="6AFF0C6D" w14:textId="7F1AAAFC" w:rsidR="00003355" w:rsidRDefault="00003355" w:rsidP="00B30F60">
            <w:pPr>
              <w:pStyle w:val="Tablebullet1"/>
              <w:rPr>
                <w:rFonts w:asciiTheme="minorHAnsi" w:eastAsiaTheme="minorEastAsia" w:hAnsiTheme="minorHAnsi"/>
              </w:rPr>
            </w:pPr>
            <w:r w:rsidRPr="781D0035">
              <w:t xml:space="preserve"> 0</w:t>
            </w:r>
            <w:r w:rsidR="006F1365">
              <w:t>–</w:t>
            </w:r>
            <w:r w:rsidRPr="781D0035">
              <w:t>3</w:t>
            </w:r>
            <w:r w:rsidR="00887E93">
              <w:t>%</w:t>
            </w:r>
            <w:r w:rsidRPr="781D0035">
              <w:t xml:space="preserve"> below target: recall at 50</w:t>
            </w:r>
            <w:r w:rsidR="00887E93">
              <w:t>%</w:t>
            </w:r>
            <w:r w:rsidRPr="781D0035">
              <w:t xml:space="preserve"> of the relevant price</w:t>
            </w:r>
          </w:p>
          <w:p w14:paraId="558C988C" w14:textId="3CA72818" w:rsidR="00003355" w:rsidRPr="0032371A" w:rsidRDefault="00003355" w:rsidP="00B30F60">
            <w:pPr>
              <w:pStyle w:val="Tablebullet1"/>
            </w:pPr>
            <w:r w:rsidRPr="781D0035">
              <w:t>&gt; 3</w:t>
            </w:r>
            <w:r w:rsidR="00887E93">
              <w:t>%</w:t>
            </w:r>
            <w:r w:rsidRPr="781D0035">
              <w:t xml:space="preserve"> below target: recall at 100</w:t>
            </w:r>
            <w:r w:rsidR="00887E93">
              <w:t>%</w:t>
            </w:r>
            <w:r w:rsidRPr="781D0035">
              <w:t xml:space="preserve"> of the relevant price</w:t>
            </w:r>
          </w:p>
        </w:tc>
      </w:tr>
      <w:tr w:rsidR="00003355" w:rsidRPr="006F501A" w14:paraId="0828B710" w14:textId="77777777" w:rsidTr="00B30F60">
        <w:tc>
          <w:tcPr>
            <w:tcW w:w="0" w:type="dxa"/>
          </w:tcPr>
          <w:p w14:paraId="5ED7DA6B" w14:textId="77777777" w:rsidR="00003355" w:rsidRPr="00674F20" w:rsidRDefault="00003355" w:rsidP="00B30F60">
            <w:pPr>
              <w:pStyle w:val="Tabletext"/>
            </w:pPr>
            <w:r>
              <w:t>Transition Care Program</w:t>
            </w:r>
            <w:r>
              <w:br/>
            </w:r>
            <w:r w:rsidRPr="00674F20">
              <w:t xml:space="preserve">(bed-based </w:t>
            </w:r>
            <w:r w:rsidRPr="006F1365">
              <w:t>and</w:t>
            </w:r>
            <w:r w:rsidRPr="00674F20">
              <w:t xml:space="preserve"> home-based wrapped)</w:t>
            </w:r>
          </w:p>
        </w:tc>
        <w:tc>
          <w:tcPr>
            <w:tcW w:w="0" w:type="dxa"/>
          </w:tcPr>
          <w:p w14:paraId="19E31C0E" w14:textId="4229E1F9" w:rsidR="00003355" w:rsidRPr="00674F20" w:rsidRDefault="00003355" w:rsidP="00B30F60">
            <w:pPr>
              <w:pStyle w:val="Tablebullet1"/>
            </w:pPr>
            <w:r w:rsidRPr="00674F20">
              <w:t>0–5</w:t>
            </w:r>
            <w:r w:rsidR="00887E93">
              <w:t>%</w:t>
            </w:r>
            <w:r w:rsidRPr="00674F20">
              <w:t xml:space="preserve"> below target: </w:t>
            </w:r>
            <w:r>
              <w:t>n</w:t>
            </w:r>
            <w:r w:rsidRPr="00674F20">
              <w:t xml:space="preserve">o </w:t>
            </w:r>
            <w:r w:rsidRPr="006F1365">
              <w:t>recall</w:t>
            </w:r>
          </w:p>
          <w:p w14:paraId="38B80F1E" w14:textId="6C5DDF45" w:rsidR="00003355" w:rsidRPr="00674F20" w:rsidRDefault="00003355" w:rsidP="00B30F60">
            <w:pPr>
              <w:pStyle w:val="Tablebullet1"/>
            </w:pPr>
            <w:r w:rsidRPr="00674F20">
              <w:t>&gt; 5</w:t>
            </w:r>
            <w:r w:rsidR="00887E93">
              <w:t>%</w:t>
            </w:r>
            <w:r w:rsidRPr="00674F20">
              <w:t xml:space="preserve"> below target: </w:t>
            </w:r>
            <w:r>
              <w:t>t</w:t>
            </w:r>
            <w:r w:rsidRPr="00674F20">
              <w:t xml:space="preserve">he department may recall </w:t>
            </w:r>
            <w:r>
              <w:t>apply recall</w:t>
            </w:r>
            <w:r w:rsidRPr="00674F20">
              <w:t>. The amount subject to recall is that beyond the five</w:t>
            </w:r>
            <w:r w:rsidR="00887E93">
              <w:t>%</w:t>
            </w:r>
            <w:r w:rsidRPr="00674F20">
              <w:t xml:space="preserve"> under</w:t>
            </w:r>
            <w:r w:rsidR="006A015D">
              <w:t>-</w:t>
            </w:r>
            <w:r w:rsidRPr="00674F20">
              <w:t>performance</w:t>
            </w:r>
            <w:r w:rsidR="006F1365">
              <w:t>.</w:t>
            </w:r>
          </w:p>
        </w:tc>
      </w:tr>
      <w:tr w:rsidR="00003355" w:rsidRPr="006F501A" w14:paraId="49F53CCD" w14:textId="77777777" w:rsidTr="00B30F60">
        <w:tc>
          <w:tcPr>
            <w:tcW w:w="0" w:type="dxa"/>
          </w:tcPr>
          <w:p w14:paraId="1D038707" w14:textId="77777777" w:rsidR="00003355" w:rsidRPr="006F1365" w:rsidRDefault="00003355" w:rsidP="00443C36">
            <w:pPr>
              <w:pStyle w:val="Tabletext"/>
            </w:pPr>
            <w:r w:rsidRPr="006F1365">
              <w:t>Dialysis services</w:t>
            </w:r>
          </w:p>
        </w:tc>
        <w:tc>
          <w:tcPr>
            <w:tcW w:w="0" w:type="dxa"/>
          </w:tcPr>
          <w:p w14:paraId="2B5FE372" w14:textId="77777777" w:rsidR="00003355" w:rsidRPr="00AE6427" w:rsidRDefault="00003355" w:rsidP="00443C36">
            <w:pPr>
              <w:pStyle w:val="Tabletext"/>
            </w:pPr>
            <w:r w:rsidRPr="00AE6427">
              <w:t>Admitted dialysis activity is incorporated within the total health service acute admitted activity. Payment from the dialysis provider to the specialist service (hub) should be adjusted to actual by the end of the year before the recall is applied.</w:t>
            </w:r>
          </w:p>
          <w:p w14:paraId="18A56655" w14:textId="77777777" w:rsidR="00003355" w:rsidRPr="00AE6427" w:rsidRDefault="00003355" w:rsidP="00443C36">
            <w:pPr>
              <w:pStyle w:val="Tabletext"/>
            </w:pPr>
            <w:r w:rsidRPr="00AE6427">
              <w:t>Home dialysis activity (determined on a monthly basis) under target will be subject to full recall.</w:t>
            </w:r>
          </w:p>
          <w:p w14:paraId="1C537D29" w14:textId="77777777" w:rsidR="00003355" w:rsidRPr="006F1365" w:rsidRDefault="00003355" w:rsidP="00443C36">
            <w:pPr>
              <w:pStyle w:val="Tabletext"/>
            </w:pPr>
          </w:p>
        </w:tc>
      </w:tr>
      <w:tr w:rsidR="00003355" w:rsidRPr="006F501A" w14:paraId="6F279E16" w14:textId="77777777" w:rsidTr="00B30F60">
        <w:tc>
          <w:tcPr>
            <w:tcW w:w="0" w:type="dxa"/>
          </w:tcPr>
          <w:p w14:paraId="602A5312" w14:textId="77777777" w:rsidR="00003355" w:rsidRPr="006F1365" w:rsidRDefault="00003355" w:rsidP="00443C36">
            <w:pPr>
              <w:pStyle w:val="Tabletext"/>
            </w:pPr>
            <w:r w:rsidRPr="006F1365">
              <w:t>Non-admitted radiotherapy</w:t>
            </w:r>
          </w:p>
        </w:tc>
        <w:tc>
          <w:tcPr>
            <w:tcW w:w="0" w:type="dxa"/>
          </w:tcPr>
          <w:p w14:paraId="52C1C822" w14:textId="77777777" w:rsidR="00003355" w:rsidRPr="006F1365" w:rsidRDefault="00003355" w:rsidP="00443C36">
            <w:pPr>
              <w:pStyle w:val="Tabletext"/>
            </w:pPr>
            <w:r w:rsidRPr="006F1365">
              <w:t>Funding will be recalled at the full rate for performance below target.</w:t>
            </w:r>
          </w:p>
        </w:tc>
      </w:tr>
      <w:tr w:rsidR="00003355" w:rsidRPr="006F501A" w14:paraId="005290D9" w14:textId="77777777" w:rsidTr="00B30F60">
        <w:tc>
          <w:tcPr>
            <w:tcW w:w="0" w:type="dxa"/>
          </w:tcPr>
          <w:p w14:paraId="5DE894BF" w14:textId="77777777" w:rsidR="00003355" w:rsidRPr="006F1365" w:rsidRDefault="00003355" w:rsidP="00443C36">
            <w:pPr>
              <w:pStyle w:val="Tabletext"/>
            </w:pPr>
            <w:r w:rsidRPr="006F1365">
              <w:t>Integrated Cancer Services</w:t>
            </w:r>
          </w:p>
        </w:tc>
        <w:tc>
          <w:tcPr>
            <w:tcW w:w="0" w:type="dxa"/>
          </w:tcPr>
          <w:p w14:paraId="3E9F4CD0" w14:textId="77777777" w:rsidR="00003355" w:rsidRPr="006F1365" w:rsidRDefault="00003355" w:rsidP="00443C36">
            <w:pPr>
              <w:pStyle w:val="Tabletext"/>
            </w:pPr>
            <w:r w:rsidRPr="006F1365">
              <w:t>The department may recall unexpended Integrated Cancer Services funds. Recall will depend on statewide cancer reform priorities and the need for funding redistribution to achieve these priorities as defined by the department.</w:t>
            </w:r>
          </w:p>
        </w:tc>
      </w:tr>
      <w:tr w:rsidR="00003355" w:rsidRPr="006F501A" w14:paraId="67ECAE0B" w14:textId="77777777" w:rsidTr="00B30F60">
        <w:tc>
          <w:tcPr>
            <w:tcW w:w="0" w:type="dxa"/>
          </w:tcPr>
          <w:p w14:paraId="7A8B7AAB" w14:textId="77777777" w:rsidR="00003355" w:rsidRPr="00674F20" w:rsidRDefault="00003355" w:rsidP="00443C36">
            <w:pPr>
              <w:pStyle w:val="Tabletext"/>
            </w:pPr>
            <w:r w:rsidRPr="00674F20">
              <w:t xml:space="preserve">Primary health funding </w:t>
            </w:r>
            <w:r w:rsidRPr="006F1365">
              <w:t>approach</w:t>
            </w:r>
          </w:p>
        </w:tc>
        <w:tc>
          <w:tcPr>
            <w:tcW w:w="0" w:type="dxa"/>
          </w:tcPr>
          <w:p w14:paraId="53EDE7E9" w14:textId="2DD2E65B" w:rsidR="00003355" w:rsidRPr="00674F20" w:rsidRDefault="00003355" w:rsidP="00443C36">
            <w:pPr>
              <w:pStyle w:val="Tablebullet1"/>
            </w:pPr>
            <w:r w:rsidRPr="00674F20">
              <w:t>0–5</w:t>
            </w:r>
            <w:r w:rsidR="00887E93">
              <w:t>%</w:t>
            </w:r>
            <w:r w:rsidRPr="00674F20">
              <w:t xml:space="preserve"> below target: </w:t>
            </w:r>
            <w:r>
              <w:t>n</w:t>
            </w:r>
            <w:r w:rsidRPr="00674F20">
              <w:t>o recall</w:t>
            </w:r>
          </w:p>
          <w:p w14:paraId="68E6AC2F" w14:textId="24B19914" w:rsidR="00003355" w:rsidRPr="00674F20" w:rsidRDefault="00003355" w:rsidP="00443C36">
            <w:pPr>
              <w:pStyle w:val="Tablebullet1"/>
            </w:pPr>
            <w:r w:rsidRPr="00674F20">
              <w:t>&gt; 5</w:t>
            </w:r>
            <w:r w:rsidR="00887E93">
              <w:t>%</w:t>
            </w:r>
            <w:r w:rsidRPr="00674F20">
              <w:t xml:space="preserve"> below target: </w:t>
            </w:r>
            <w:r>
              <w:t>t</w:t>
            </w:r>
            <w:r w:rsidRPr="00674F20">
              <w:t>he department may recall at the full rate. The amount subject to recall is that beyond the five</w:t>
            </w:r>
            <w:r w:rsidR="00887E93">
              <w:t>%</w:t>
            </w:r>
            <w:r w:rsidRPr="00674F20">
              <w:t xml:space="preserve"> under</w:t>
            </w:r>
            <w:r w:rsidR="006A015D">
              <w:t>-</w:t>
            </w:r>
            <w:r w:rsidRPr="00674F20">
              <w:t>performance</w:t>
            </w:r>
          </w:p>
          <w:p w14:paraId="74687F68" w14:textId="351E1542" w:rsidR="00003355" w:rsidRPr="00674F20" w:rsidRDefault="00003355" w:rsidP="00443C36">
            <w:pPr>
              <w:pStyle w:val="Tabletext"/>
            </w:pPr>
            <w:r>
              <w:t xml:space="preserve">Read more about the primary health funding approach recall policy at </w:t>
            </w:r>
            <w:hyperlink r:id="rId73" w:history="1">
              <w:r w:rsidRPr="00B229F3">
                <w:rPr>
                  <w:rStyle w:val="Hyperlink"/>
                </w:rPr>
                <w:t>Primary Health Programs – Recall Policy and Guidelines</w:t>
              </w:r>
            </w:hyperlink>
            <w:r>
              <w:t xml:space="preserve"> &lt;</w:t>
            </w:r>
            <w:r w:rsidRPr="009C1D14">
              <w:t>https://www.health.vic.gov.au/publications/primary-health-programs-recall-policy-and-guidelines</w:t>
            </w:r>
            <w:r>
              <w:t>&gt;.</w:t>
            </w:r>
          </w:p>
        </w:tc>
      </w:tr>
      <w:tr w:rsidR="00003355" w:rsidRPr="006F501A" w14:paraId="29BA8536" w14:textId="77777777" w:rsidTr="00B30F60">
        <w:tc>
          <w:tcPr>
            <w:tcW w:w="0" w:type="dxa"/>
          </w:tcPr>
          <w:p w14:paraId="7DDDC02C" w14:textId="77777777" w:rsidR="00003355" w:rsidRPr="00674F20" w:rsidRDefault="00003355" w:rsidP="00443C36">
            <w:pPr>
              <w:pStyle w:val="Tabletext"/>
            </w:pPr>
            <w:r w:rsidRPr="00674F20">
              <w:t>BreastScreen Victoria services</w:t>
            </w:r>
          </w:p>
        </w:tc>
        <w:tc>
          <w:tcPr>
            <w:tcW w:w="0" w:type="dxa"/>
          </w:tcPr>
          <w:p w14:paraId="3F225291" w14:textId="5E0D17E0" w:rsidR="00003355" w:rsidRPr="006F1365" w:rsidRDefault="00003355" w:rsidP="00443C36">
            <w:pPr>
              <w:pStyle w:val="Tablebullet1"/>
            </w:pPr>
            <w:r w:rsidRPr="006F1365">
              <w:t>0–3</w:t>
            </w:r>
            <w:r w:rsidR="00887E93">
              <w:t>%</w:t>
            </w:r>
            <w:r w:rsidRPr="006F1365">
              <w:t xml:space="preserve"> below target: no recall.</w:t>
            </w:r>
          </w:p>
          <w:p w14:paraId="22C664D0" w14:textId="3AE4D52F" w:rsidR="00003355" w:rsidRPr="006F1365" w:rsidRDefault="00003355" w:rsidP="00443C36">
            <w:pPr>
              <w:pStyle w:val="Tablebullet1"/>
            </w:pPr>
            <w:r w:rsidRPr="006F1365">
              <w:t>&gt; 3–5</w:t>
            </w:r>
            <w:r w:rsidR="00887E93">
              <w:t>%</w:t>
            </w:r>
            <w:r w:rsidRPr="006F1365">
              <w:t xml:space="preserve"> below target: recall at 50</w:t>
            </w:r>
            <w:r w:rsidR="00887E93">
              <w:t>%</w:t>
            </w:r>
            <w:r w:rsidRPr="006F1365">
              <w:t xml:space="preserve"> of relevant rate</w:t>
            </w:r>
          </w:p>
          <w:p w14:paraId="301634C3" w14:textId="7C70933B" w:rsidR="00003355" w:rsidRPr="006F1365" w:rsidRDefault="00003355" w:rsidP="00443C36">
            <w:pPr>
              <w:pStyle w:val="Tablebullet1"/>
            </w:pPr>
            <w:r w:rsidRPr="006F1365">
              <w:t>&gt; 5</w:t>
            </w:r>
            <w:r w:rsidR="00887E93">
              <w:t>%</w:t>
            </w:r>
            <w:r w:rsidRPr="006F1365">
              <w:t xml:space="preserve"> below target: recall at full rate</w:t>
            </w:r>
          </w:p>
          <w:p w14:paraId="5EF2F554" w14:textId="77777777" w:rsidR="00003355" w:rsidRPr="00674F20" w:rsidRDefault="00003355" w:rsidP="00443C36">
            <w:pPr>
              <w:pStyle w:val="Tabletext"/>
            </w:pPr>
            <w:r w:rsidRPr="0042285E">
              <w:t xml:space="preserve">Recall </w:t>
            </w:r>
            <w:r>
              <w:t>p</w:t>
            </w:r>
            <w:r w:rsidRPr="0042285E">
              <w:t xml:space="preserve">olicy is subject to the terms and conditions of BreastScreen Victoria’s Funding and Service Agreement with the </w:t>
            </w:r>
            <w:r>
              <w:t>d</w:t>
            </w:r>
            <w:r w:rsidRPr="0042285E">
              <w:t>epartment.</w:t>
            </w:r>
          </w:p>
        </w:tc>
      </w:tr>
      <w:tr w:rsidR="00003355" w:rsidRPr="006F501A" w14:paraId="6B609042" w14:textId="77777777" w:rsidTr="00A8503C">
        <w:tc>
          <w:tcPr>
            <w:tcW w:w="0" w:type="dxa"/>
          </w:tcPr>
          <w:p w14:paraId="73953F75" w14:textId="77777777" w:rsidR="00003355" w:rsidRPr="006F1365" w:rsidRDefault="00003355" w:rsidP="00443C36">
            <w:pPr>
              <w:pStyle w:val="Tabletext"/>
            </w:pPr>
            <w:r w:rsidRPr="006F1365">
              <w:t>Aged Care Assessment Service</w:t>
            </w:r>
            <w:r w:rsidRPr="006F1365">
              <w:br/>
              <w:t>(ACAS)</w:t>
            </w:r>
          </w:p>
        </w:tc>
        <w:tc>
          <w:tcPr>
            <w:tcW w:w="0" w:type="dxa"/>
          </w:tcPr>
          <w:p w14:paraId="3FB05959" w14:textId="2F13B783" w:rsidR="00003355" w:rsidRPr="006F1365" w:rsidRDefault="00003355" w:rsidP="00A8503C">
            <w:pPr>
              <w:pStyle w:val="Tabletext"/>
            </w:pPr>
            <w:r w:rsidRPr="006F1365">
              <w:t>While</w:t>
            </w:r>
            <w:r>
              <w:t xml:space="preserve"> the department recognises that</w:t>
            </w:r>
            <w:r w:rsidRPr="006F1365">
              <w:t xml:space="preserve"> ACAS may find it difficult to meet the exact annual targets for the number of assessments, in the case of sustained under</w:t>
            </w:r>
            <w:r w:rsidR="006A015D">
              <w:t>-</w:t>
            </w:r>
            <w:r w:rsidRPr="006F1365">
              <w:t xml:space="preserve">performance compared with annual targets of more than </w:t>
            </w:r>
            <w:r w:rsidR="006F1365">
              <w:t>5</w:t>
            </w:r>
            <w:r w:rsidR="00887E93">
              <w:t>%</w:t>
            </w:r>
            <w:r w:rsidRPr="006F1365">
              <w:t xml:space="preserve"> for two years or longer, a funding reduction may be applied that corresponds to the level of under</w:t>
            </w:r>
            <w:r w:rsidR="006A015D">
              <w:t>-</w:t>
            </w:r>
            <w:r w:rsidRPr="006F1365">
              <w:t>performance.</w:t>
            </w:r>
          </w:p>
        </w:tc>
      </w:tr>
      <w:tr w:rsidR="00003355" w:rsidRPr="006F501A" w14:paraId="1282534A" w14:textId="77777777" w:rsidTr="00443C36">
        <w:tc>
          <w:tcPr>
            <w:tcW w:w="0" w:type="dxa"/>
          </w:tcPr>
          <w:p w14:paraId="728B2783" w14:textId="77777777" w:rsidR="00003355" w:rsidRPr="006F1365" w:rsidRDefault="00003355" w:rsidP="00443C36">
            <w:pPr>
              <w:pStyle w:val="Tabletext"/>
            </w:pPr>
            <w:r w:rsidRPr="006F1365">
              <w:t xml:space="preserve">Home and Community Care Program for </w:t>
            </w:r>
            <w:r w:rsidRPr="006F1365">
              <w:lastRenderedPageBreak/>
              <w:t>Younger People</w:t>
            </w:r>
            <w:r w:rsidRPr="006F1365">
              <w:br/>
              <w:t>(HACC-PYP)</w:t>
            </w:r>
          </w:p>
        </w:tc>
        <w:tc>
          <w:tcPr>
            <w:tcW w:w="0" w:type="dxa"/>
          </w:tcPr>
          <w:p w14:paraId="5F77D063" w14:textId="55BECBC3" w:rsidR="00003355" w:rsidRPr="006F1365" w:rsidRDefault="00003355" w:rsidP="00443C36">
            <w:pPr>
              <w:pStyle w:val="Tabletext"/>
            </w:pPr>
            <w:r w:rsidRPr="006F1365">
              <w:lastRenderedPageBreak/>
              <w:t>Recurrent HACC-PYP funds may be recalled from service providers, including small rural services that achieve less than 95</w:t>
            </w:r>
            <w:r w:rsidR="00887E93">
              <w:t>%</w:t>
            </w:r>
            <w:r w:rsidRPr="006F1365">
              <w:t xml:space="preserve"> of funded targets or </w:t>
            </w:r>
            <w:r w:rsidRPr="006F1365">
              <w:lastRenderedPageBreak/>
              <w:t>fail to achieve agreed deliverables for block-funded activities in a timely way. Funding can be recalled as a one-off prior</w:t>
            </w:r>
            <w:r w:rsidR="006B4DBF">
              <w:t>-</w:t>
            </w:r>
            <w:r w:rsidRPr="006F1365">
              <w:t>year adjustment or an ongoing recurrent reduction in targets and funding</w:t>
            </w:r>
            <w:r w:rsidR="006F1365">
              <w:t>.</w:t>
            </w:r>
          </w:p>
        </w:tc>
      </w:tr>
      <w:tr w:rsidR="00003355" w:rsidRPr="006F501A" w14:paraId="0CDCDF59" w14:textId="77777777" w:rsidTr="00443C36">
        <w:tc>
          <w:tcPr>
            <w:tcW w:w="0" w:type="dxa"/>
          </w:tcPr>
          <w:p w14:paraId="2CC1F1E2" w14:textId="77777777" w:rsidR="00003355" w:rsidRPr="006F1365" w:rsidRDefault="00003355" w:rsidP="00443C36">
            <w:pPr>
              <w:pStyle w:val="Tabletext"/>
            </w:pPr>
            <w:r w:rsidRPr="006F1365">
              <w:lastRenderedPageBreak/>
              <w:t>Diabetes prevention</w:t>
            </w:r>
          </w:p>
        </w:tc>
        <w:tc>
          <w:tcPr>
            <w:tcW w:w="0" w:type="dxa"/>
          </w:tcPr>
          <w:p w14:paraId="27694731" w14:textId="3320FD71" w:rsidR="00003355" w:rsidRPr="006F1365" w:rsidRDefault="00003355" w:rsidP="00443C36">
            <w:pPr>
              <w:pStyle w:val="Tabletext"/>
            </w:pPr>
            <w:r w:rsidRPr="00AE6427">
              <w:t>Program funding recalled per participant target not met</w:t>
            </w:r>
          </w:p>
        </w:tc>
      </w:tr>
      <w:tr w:rsidR="00003355" w:rsidRPr="006F501A" w14:paraId="1D7BCB86" w14:textId="77777777" w:rsidTr="00443C36">
        <w:tc>
          <w:tcPr>
            <w:tcW w:w="0" w:type="dxa"/>
          </w:tcPr>
          <w:p w14:paraId="107103D2" w14:textId="77777777" w:rsidR="00003355" w:rsidRPr="006F1365" w:rsidRDefault="00003355" w:rsidP="00443C36">
            <w:pPr>
              <w:pStyle w:val="Tabletext"/>
            </w:pPr>
            <w:r w:rsidRPr="006F1365">
              <w:t>Residential aged care</w:t>
            </w:r>
          </w:p>
        </w:tc>
        <w:tc>
          <w:tcPr>
            <w:tcW w:w="0" w:type="dxa"/>
          </w:tcPr>
          <w:p w14:paraId="5AAC4264" w14:textId="77777777" w:rsidR="00003355" w:rsidRPr="006F1365" w:rsidRDefault="00003355" w:rsidP="00443C36">
            <w:pPr>
              <w:pStyle w:val="Tabletext"/>
            </w:pPr>
            <w:r w:rsidRPr="006F1365">
              <w:t xml:space="preserve">Recurrent funds may be recalled from service providers, including small rural residential aged care services where they reduce the number of operational places. As funding is calculated on the basis of operational places any reduction will result in a corresponding adjustment to funding. </w:t>
            </w:r>
          </w:p>
        </w:tc>
      </w:tr>
      <w:tr w:rsidR="00003355" w:rsidRPr="006F501A" w14:paraId="0B1665EE" w14:textId="77777777" w:rsidTr="00443C36">
        <w:tc>
          <w:tcPr>
            <w:tcW w:w="0" w:type="dxa"/>
          </w:tcPr>
          <w:p w14:paraId="313B9B50" w14:textId="77777777" w:rsidR="00003355" w:rsidRPr="006F1365" w:rsidRDefault="00003355" w:rsidP="00443C36">
            <w:pPr>
              <w:pStyle w:val="Tabletext"/>
            </w:pPr>
            <w:r w:rsidRPr="006F1365">
              <w:t>Total parenteral nutrition (TPN)</w:t>
            </w:r>
          </w:p>
        </w:tc>
        <w:tc>
          <w:tcPr>
            <w:tcW w:w="0" w:type="dxa"/>
          </w:tcPr>
          <w:p w14:paraId="56C2186A" w14:textId="13A7B51D" w:rsidR="00003355" w:rsidRPr="00AE6427" w:rsidRDefault="00003355" w:rsidP="00443C36">
            <w:pPr>
              <w:pStyle w:val="Tabletext"/>
            </w:pPr>
            <w:r w:rsidRPr="006F1365">
              <w:t>Total parenteral nutrition</w:t>
            </w:r>
            <w:r w:rsidRPr="00AE6427">
              <w:t xml:space="preserve"> activity (determined on a monthly basis) under target will be subject to full recall</w:t>
            </w:r>
          </w:p>
          <w:p w14:paraId="6F2F77DE" w14:textId="77777777" w:rsidR="00003355" w:rsidRPr="006F1365" w:rsidRDefault="00003355" w:rsidP="00443C36">
            <w:pPr>
              <w:pStyle w:val="Tabletext"/>
            </w:pPr>
          </w:p>
        </w:tc>
      </w:tr>
      <w:tr w:rsidR="00003355" w:rsidRPr="006F501A" w14:paraId="214CA035" w14:textId="77777777" w:rsidTr="00443C36">
        <w:tc>
          <w:tcPr>
            <w:tcW w:w="0" w:type="dxa"/>
          </w:tcPr>
          <w:p w14:paraId="75510CB0" w14:textId="77777777" w:rsidR="00003355" w:rsidRPr="006F1365" w:rsidRDefault="00003355" w:rsidP="00443C36">
            <w:pPr>
              <w:pStyle w:val="Tabletext"/>
            </w:pPr>
            <w:r w:rsidRPr="006F1365">
              <w:t>Home enteral nutrition (HEN)</w:t>
            </w:r>
          </w:p>
        </w:tc>
        <w:tc>
          <w:tcPr>
            <w:tcW w:w="0" w:type="dxa"/>
          </w:tcPr>
          <w:p w14:paraId="33500E98" w14:textId="505372B4" w:rsidR="00003355" w:rsidRPr="006F1365" w:rsidRDefault="00003355" w:rsidP="00085C3D">
            <w:pPr>
              <w:pStyle w:val="Tabletext"/>
            </w:pPr>
            <w:r w:rsidRPr="006F1365">
              <w:t>Recall may apply for health services where reported HEN service events are below the target. Funding may be recalled based on the service events below target</w:t>
            </w:r>
          </w:p>
        </w:tc>
      </w:tr>
    </w:tbl>
    <w:p w14:paraId="13AAD392" w14:textId="5672D6C6" w:rsidR="00003355" w:rsidRPr="000244B9" w:rsidRDefault="00003355" w:rsidP="00003355">
      <w:pPr>
        <w:pStyle w:val="Heading4"/>
      </w:pPr>
      <w:r w:rsidRPr="000244B9">
        <w:t xml:space="preserve">Exceptional </w:t>
      </w:r>
      <w:r w:rsidR="00D95BA9">
        <w:t>E</w:t>
      </w:r>
      <w:r w:rsidRPr="000244B9">
        <w:t>vents</w:t>
      </w:r>
    </w:p>
    <w:p w14:paraId="1B833200" w14:textId="77777777" w:rsidR="00003355" w:rsidRPr="000244B9" w:rsidRDefault="00003355" w:rsidP="00003355">
      <w:pPr>
        <w:pStyle w:val="Body"/>
      </w:pPr>
      <w:r w:rsidRPr="000244B9">
        <w:t xml:space="preserve">There may be circumstances (including industrial action and natural disasters) beyond the reasonable control of health service management that prevent targeted throughput being met. At its discretion, and on a case-by-case basis, the department will consider submissions to adjust funding to health services, irrespective of throughput, for </w:t>
      </w:r>
      <w:r>
        <w:t>as</w:t>
      </w:r>
      <w:r w:rsidRPr="000244B9">
        <w:t xml:space="preserve"> long as such events continue.</w:t>
      </w:r>
    </w:p>
    <w:p w14:paraId="1321F90D" w14:textId="77777777" w:rsidR="00003355" w:rsidRPr="000244B9" w:rsidRDefault="00003355" w:rsidP="00003355">
      <w:pPr>
        <w:pStyle w:val="Body"/>
      </w:pPr>
      <w:r w:rsidRPr="000244B9">
        <w:t>Health services are expected to actively mitigate their financial exposure and throughput decline during and following such events.</w:t>
      </w:r>
    </w:p>
    <w:p w14:paraId="195C3367" w14:textId="4BA11D69" w:rsidR="00003355" w:rsidRPr="000244B9" w:rsidRDefault="00003355" w:rsidP="00003355">
      <w:pPr>
        <w:pStyle w:val="Body"/>
      </w:pPr>
      <w:r w:rsidRPr="000244B9">
        <w:t>The department will take into consideration the net change to health service finances and resources caused by exceptional events. However, health services will not receive additional funding for catch-up throughput</w:t>
      </w:r>
      <w:r>
        <w:t>,</w:t>
      </w:r>
      <w:r w:rsidRPr="000244B9">
        <w:t xml:space="preserve"> nor will health services receive funding for additional throughput in service areas not directly affected by these events. The department assesses the net impact of such events by assessing the data it collects on health service performance and other indicators.</w:t>
      </w:r>
    </w:p>
    <w:p w14:paraId="012CBB6E" w14:textId="4FF30BDF" w:rsidR="00003355" w:rsidRDefault="00003355" w:rsidP="00003355">
      <w:pPr>
        <w:pStyle w:val="Heading3"/>
        <w:spacing w:before="240"/>
      </w:pPr>
      <w:bookmarkStart w:id="411" w:name="_Toc418694971"/>
      <w:bookmarkStart w:id="412" w:name="_Toc6215625"/>
      <w:bookmarkStart w:id="413" w:name="_Toc10199698"/>
      <w:bookmarkStart w:id="414" w:name="_Toc52892598"/>
      <w:bookmarkStart w:id="415" w:name="_Toc100263331"/>
      <w:bookmarkStart w:id="416" w:name="_Toc127191978"/>
      <w:r>
        <w:t xml:space="preserve">Funding for </w:t>
      </w:r>
      <w:r w:rsidR="00D95BA9">
        <w:t>T</w:t>
      </w:r>
      <w:r>
        <w:t xml:space="preserve">hroughput </w:t>
      </w:r>
      <w:r w:rsidR="00D95BA9">
        <w:t>A</w:t>
      </w:r>
      <w:r>
        <w:t xml:space="preserve">bove </w:t>
      </w:r>
      <w:r w:rsidR="00D95BA9">
        <w:t>T</w:t>
      </w:r>
      <w:r>
        <w:t>arget</w:t>
      </w:r>
      <w:bookmarkEnd w:id="411"/>
      <w:bookmarkEnd w:id="412"/>
      <w:bookmarkEnd w:id="413"/>
      <w:bookmarkEnd w:id="414"/>
      <w:bookmarkEnd w:id="415"/>
      <w:bookmarkEnd w:id="416"/>
    </w:p>
    <w:p w14:paraId="2C1F299A" w14:textId="5542322F" w:rsidR="00003355" w:rsidRDefault="00003355" w:rsidP="00003355">
      <w:pPr>
        <w:pStyle w:val="Body"/>
      </w:pPr>
      <w:r>
        <w:t xml:space="preserve">Funding for health service throughput above target will be based on a proportion of the funding rate (see </w:t>
      </w:r>
      <w:r>
        <w:fldChar w:fldCharType="begin"/>
      </w:r>
      <w:r>
        <w:instrText xml:space="preserve"> REF _Ref108527161 \r \h </w:instrText>
      </w:r>
      <w:r>
        <w:fldChar w:fldCharType="separate"/>
      </w:r>
      <w:r w:rsidR="006D0756">
        <w:t>Table 1.6</w:t>
      </w:r>
      <w:r>
        <w:fldChar w:fldCharType="end"/>
      </w:r>
      <w:r w:rsidR="0096516E">
        <w:t xml:space="preserve"> ‘</w:t>
      </w:r>
      <w:r w:rsidR="0096516E">
        <w:fldChar w:fldCharType="begin"/>
      </w:r>
      <w:r w:rsidR="0096516E">
        <w:instrText xml:space="preserve"> REF _Ref111538969 \h </w:instrText>
      </w:r>
      <w:r w:rsidR="0096516E">
        <w:fldChar w:fldCharType="separate"/>
      </w:r>
      <w:r w:rsidR="0096516E" w:rsidRPr="006B33A3">
        <w:t xml:space="preserve">Funding for throughput above </w:t>
      </w:r>
      <w:r w:rsidR="0096516E" w:rsidRPr="0096516E">
        <w:t>target 2022–23</w:t>
      </w:r>
      <w:r w:rsidR="0096516E">
        <w:fldChar w:fldCharType="end"/>
      </w:r>
      <w:r w:rsidR="0096516E">
        <w:t>’</w:t>
      </w:r>
      <w:r w:rsidRPr="00801262">
        <w:t>).</w:t>
      </w:r>
    </w:p>
    <w:p w14:paraId="428BCD17" w14:textId="77777777" w:rsidR="00003355" w:rsidRDefault="00003355" w:rsidP="00003355">
      <w:pPr>
        <w:pStyle w:val="Body"/>
      </w:pPr>
      <w:r>
        <w:t xml:space="preserve">The </w:t>
      </w:r>
      <w:r w:rsidRPr="001A31E2">
        <w:t xml:space="preserve">Department of Veterans’ Affairs </w:t>
      </w:r>
      <w:r>
        <w:t>and the TAC will continue to be funded to actual activity and will therefore attract additional funding for throughout above target.</w:t>
      </w:r>
    </w:p>
    <w:p w14:paraId="0847D006" w14:textId="77777777" w:rsidR="00003355" w:rsidRDefault="00003355" w:rsidP="00003355">
      <w:pPr>
        <w:pStyle w:val="Body"/>
      </w:pPr>
      <w:r>
        <w:t>National Bowel Cancer Screening Program NWAU will be funded to actual activity and will therefore attract additional funding for throughout above target.</w:t>
      </w:r>
    </w:p>
    <w:p w14:paraId="2BCFA066" w14:textId="77777777" w:rsidR="00003355" w:rsidRPr="00A83472" w:rsidRDefault="00003355" w:rsidP="00003355">
      <w:pPr>
        <w:pStyle w:val="Body"/>
      </w:pPr>
      <w:r w:rsidRPr="00A83472">
        <w:t>For subacute admitted services, when determining how to apply funding for throughput, the department will consider throughput across the following subacute inpatient funding streams within a health service:</w:t>
      </w:r>
    </w:p>
    <w:p w14:paraId="574935EE" w14:textId="77777777" w:rsidR="00003355" w:rsidRPr="00A83472" w:rsidRDefault="00003355" w:rsidP="00003355">
      <w:pPr>
        <w:pStyle w:val="Bullet1"/>
      </w:pPr>
      <w:r w:rsidRPr="00A83472">
        <w:t>rehabilitation (including spinal and paediatric rehabilitation)</w:t>
      </w:r>
    </w:p>
    <w:p w14:paraId="2EA6D33D" w14:textId="77777777" w:rsidR="00003355" w:rsidRPr="00A83472" w:rsidRDefault="00003355" w:rsidP="00003355">
      <w:pPr>
        <w:pStyle w:val="Bullet1"/>
      </w:pPr>
      <w:r w:rsidRPr="00A83472">
        <w:t>geriatric evaluation and management</w:t>
      </w:r>
    </w:p>
    <w:p w14:paraId="51029497" w14:textId="77777777" w:rsidR="00003355" w:rsidRPr="00A83472" w:rsidRDefault="00003355" w:rsidP="00003355">
      <w:pPr>
        <w:pStyle w:val="Bullet1"/>
      </w:pPr>
      <w:r w:rsidRPr="00A83472">
        <w:t>palliative care</w:t>
      </w:r>
    </w:p>
    <w:p w14:paraId="6B0B3EFE" w14:textId="77777777" w:rsidR="00003355" w:rsidRPr="00A83472" w:rsidRDefault="00003355" w:rsidP="00003355">
      <w:pPr>
        <w:pStyle w:val="Bullet1"/>
      </w:pPr>
      <w:r w:rsidRPr="00A83472">
        <w:t>maintenance care.</w:t>
      </w:r>
    </w:p>
    <w:p w14:paraId="297C83D2" w14:textId="77777777" w:rsidR="00003355" w:rsidRDefault="00003355" w:rsidP="00003355">
      <w:pPr>
        <w:pStyle w:val="Bodyafterbullets"/>
      </w:pPr>
      <w:r>
        <w:t>Significant under- or over-activity in any stream should be discussed with the department. Transition Care Program, nursing home type activity and non-admitted services are not included in the subacute wrap.</w:t>
      </w:r>
    </w:p>
    <w:p w14:paraId="28D9D859" w14:textId="77777777" w:rsidR="00003355" w:rsidRDefault="00003355" w:rsidP="00003355">
      <w:pPr>
        <w:pStyle w:val="Body"/>
      </w:pPr>
      <w:r>
        <w:lastRenderedPageBreak/>
        <w:t>There is no funding for any over-activity for non-acute care (Home and Community Care Program for Younger People, Transition Care Program, or nursing home activity).</w:t>
      </w:r>
    </w:p>
    <w:p w14:paraId="484D85A1" w14:textId="705B4F85" w:rsidR="00003355" w:rsidRPr="00E7554A" w:rsidRDefault="00003355" w:rsidP="003C01AD">
      <w:pPr>
        <w:pStyle w:val="Tablecaption"/>
        <w:numPr>
          <w:ilvl w:val="0"/>
          <w:numId w:val="31"/>
        </w:numPr>
      </w:pPr>
      <w:bookmarkStart w:id="417" w:name="_Toc6215640"/>
      <w:bookmarkStart w:id="418" w:name="_Toc14194701"/>
      <w:bookmarkStart w:id="419" w:name="_Toc33715050"/>
      <w:bookmarkStart w:id="420" w:name="_Toc54261385"/>
      <w:bookmarkStart w:id="421" w:name="_Toc54616259"/>
      <w:bookmarkStart w:id="422" w:name="_Ref108527161"/>
      <w:bookmarkStart w:id="423" w:name="_Toc109894101"/>
      <w:bookmarkStart w:id="424" w:name="_Ref111538969"/>
      <w:bookmarkStart w:id="425" w:name="_Toc119500881"/>
      <w:r w:rsidRPr="006B33A3">
        <w:t xml:space="preserve">Funding for throughput above </w:t>
      </w:r>
      <w:r w:rsidRPr="0096516E">
        <w:t xml:space="preserve">target </w:t>
      </w:r>
      <w:bookmarkEnd w:id="417"/>
      <w:bookmarkEnd w:id="418"/>
      <w:bookmarkEnd w:id="419"/>
      <w:bookmarkEnd w:id="420"/>
      <w:bookmarkEnd w:id="421"/>
      <w:r w:rsidRPr="0096516E">
        <w:t>2022</w:t>
      </w:r>
      <w:r w:rsidR="00881D12" w:rsidRPr="0096516E">
        <w:t>–</w:t>
      </w:r>
      <w:r w:rsidRPr="0096516E">
        <w:t>23</w:t>
      </w:r>
      <w:bookmarkEnd w:id="422"/>
      <w:bookmarkEnd w:id="423"/>
      <w:bookmarkEnd w:id="424"/>
      <w:bookmarkEnd w:id="425"/>
    </w:p>
    <w:tbl>
      <w:tblPr>
        <w:tblStyle w:val="TableGrid1"/>
        <w:tblW w:w="9299" w:type="dxa"/>
        <w:tblLook w:val="06A0" w:firstRow="1" w:lastRow="0" w:firstColumn="1" w:lastColumn="0" w:noHBand="1" w:noVBand="1"/>
      </w:tblPr>
      <w:tblGrid>
        <w:gridCol w:w="2439"/>
        <w:gridCol w:w="6860"/>
      </w:tblGrid>
      <w:tr w:rsidR="00003355" w:rsidRPr="00CC47B2" w14:paraId="26EB76FC" w14:textId="77777777" w:rsidTr="00594350">
        <w:trPr>
          <w:cnfStyle w:val="100000000000" w:firstRow="1" w:lastRow="0" w:firstColumn="0" w:lastColumn="0" w:oddVBand="0" w:evenVBand="0" w:oddHBand="0" w:evenHBand="0" w:firstRowFirstColumn="0" w:firstRowLastColumn="0" w:lastRowFirstColumn="0" w:lastRowLastColumn="0"/>
          <w:tblHeader/>
        </w:trPr>
        <w:tc>
          <w:tcPr>
            <w:tcW w:w="2439" w:type="dxa"/>
          </w:tcPr>
          <w:p w14:paraId="610C4D46" w14:textId="77777777" w:rsidR="00003355" w:rsidRPr="00674F20" w:rsidRDefault="00003355" w:rsidP="00594350">
            <w:pPr>
              <w:pStyle w:val="Tablecolhead9pt"/>
              <w:keepNext/>
            </w:pPr>
            <w:r>
              <w:t>Service</w:t>
            </w:r>
          </w:p>
        </w:tc>
        <w:tc>
          <w:tcPr>
            <w:tcW w:w="6860" w:type="dxa"/>
          </w:tcPr>
          <w:p w14:paraId="2FFD63D4" w14:textId="77777777" w:rsidR="00003355" w:rsidRPr="00674F20" w:rsidRDefault="00003355" w:rsidP="00594350">
            <w:pPr>
              <w:pStyle w:val="Tablecolhead9pt"/>
              <w:keepNext/>
            </w:pPr>
            <w:r w:rsidRPr="00674F20">
              <w:t>Funding recall policy</w:t>
            </w:r>
          </w:p>
        </w:tc>
      </w:tr>
      <w:tr w:rsidR="00003355" w:rsidRPr="005D4304" w14:paraId="71C7C10D" w14:textId="77777777" w:rsidTr="00594350">
        <w:tc>
          <w:tcPr>
            <w:tcW w:w="2439" w:type="dxa"/>
          </w:tcPr>
          <w:p w14:paraId="32407984" w14:textId="77777777" w:rsidR="00003355" w:rsidRPr="00881D12" w:rsidRDefault="00003355" w:rsidP="004E4F39">
            <w:pPr>
              <w:pStyle w:val="Tabletext"/>
            </w:pPr>
            <w:r w:rsidRPr="00881D12">
              <w:t>Acute admitted services</w:t>
            </w:r>
          </w:p>
          <w:p w14:paraId="6E8279DE" w14:textId="77777777" w:rsidR="00003355" w:rsidRPr="00881D12" w:rsidRDefault="00003355" w:rsidP="00F5747B">
            <w:pPr>
              <w:pStyle w:val="Tabletext"/>
            </w:pPr>
            <w:r w:rsidRPr="00881D12">
              <w:t>Subacute admitted services (wrap includes GEM, rehabilitation, and palliative care)</w:t>
            </w:r>
          </w:p>
          <w:p w14:paraId="1E8A2D57" w14:textId="7FD349D3" w:rsidR="00003355" w:rsidRPr="00881D12" w:rsidRDefault="00003355" w:rsidP="00F5747B">
            <w:pPr>
              <w:pStyle w:val="Tabletext"/>
            </w:pPr>
            <w:r w:rsidRPr="00881D12">
              <w:t>Non-admitted services (includes H</w:t>
            </w:r>
            <w:r w:rsidR="004A3F81">
              <w:t>I</w:t>
            </w:r>
            <w:r w:rsidRPr="00881D12">
              <w:t xml:space="preserve">P and Specialist Clinics) </w:t>
            </w:r>
          </w:p>
          <w:p w14:paraId="35FA2777" w14:textId="1523AABC" w:rsidR="00003355" w:rsidRPr="00881D12" w:rsidRDefault="00003355" w:rsidP="00F5747B">
            <w:pPr>
              <w:pStyle w:val="Tabletext"/>
            </w:pPr>
            <w:r w:rsidRPr="00F5747B">
              <w:rPr>
                <w:rFonts w:eastAsia="Times New Roman" w:cs="Times New Roman"/>
                <w:szCs w:val="18"/>
              </w:rPr>
              <w:t>Emergency non-</w:t>
            </w:r>
            <w:r w:rsidRPr="00F5747B" w:rsidDel="00ED34E6">
              <w:rPr>
                <w:rFonts w:eastAsia="Times New Roman" w:cs="Times New Roman"/>
                <w:szCs w:val="18"/>
              </w:rPr>
              <w:t>admitted</w:t>
            </w:r>
            <w:r w:rsidR="00F5747B">
              <w:rPr>
                <w:rFonts w:eastAsia="Times New Roman" w:cs="Times New Roman"/>
                <w:szCs w:val="18"/>
              </w:rPr>
              <w:t xml:space="preserve"> </w:t>
            </w:r>
            <w:r w:rsidR="046BED8A" w:rsidRPr="046BED8A">
              <w:rPr>
                <w:rFonts w:eastAsia="Times New Roman" w:cs="Times New Roman"/>
                <w:szCs w:val="18"/>
              </w:rPr>
              <w:t>Elective surgery base activity</w:t>
            </w:r>
          </w:p>
        </w:tc>
        <w:tc>
          <w:tcPr>
            <w:tcW w:w="6860" w:type="dxa"/>
          </w:tcPr>
          <w:p w14:paraId="58C8D74C" w14:textId="5C54AB8B" w:rsidR="00003355" w:rsidRPr="004E4F39" w:rsidRDefault="00003355" w:rsidP="004E4F39">
            <w:pPr>
              <w:pStyle w:val="Tabletext9pt"/>
              <w:keepNext/>
              <w:rPr>
                <w:sz w:val="21"/>
              </w:rPr>
            </w:pPr>
            <w:r w:rsidRPr="004E4F39">
              <w:rPr>
                <w:sz w:val="21"/>
              </w:rPr>
              <w:t>Fifty</w:t>
            </w:r>
            <w:r w:rsidR="00887E93">
              <w:rPr>
                <w:sz w:val="21"/>
              </w:rPr>
              <w:t>%</w:t>
            </w:r>
            <w:r w:rsidRPr="004E4F39">
              <w:rPr>
                <w:sz w:val="21"/>
              </w:rPr>
              <w:t xml:space="preserve"> of the Victorian Efficient Price (VEP).</w:t>
            </w:r>
          </w:p>
          <w:p w14:paraId="2BF85AFF" w14:textId="100D9DF0" w:rsidR="00003355" w:rsidRPr="00881D12" w:rsidRDefault="00003355" w:rsidP="004E4F39">
            <w:pPr>
              <w:pStyle w:val="Tabletext"/>
            </w:pPr>
            <w:r w:rsidRPr="004E4F39">
              <w:t>Any activity above four</w:t>
            </w:r>
            <w:r w:rsidR="00887E93">
              <w:t>%</w:t>
            </w:r>
            <w:r w:rsidRPr="004E4F39">
              <w:t xml:space="preserve"> will not attract additional funds.</w:t>
            </w:r>
          </w:p>
        </w:tc>
      </w:tr>
      <w:tr w:rsidR="00003355" w:rsidRPr="00E63D9B" w14:paraId="62EA4400" w14:textId="77777777" w:rsidTr="00594350">
        <w:tc>
          <w:tcPr>
            <w:tcW w:w="2439" w:type="dxa"/>
          </w:tcPr>
          <w:p w14:paraId="1745F674" w14:textId="7A0682B8" w:rsidR="00003355" w:rsidRPr="00881D12" w:rsidRDefault="00003355" w:rsidP="004E4F39">
            <w:pPr>
              <w:pStyle w:val="Tabletext"/>
            </w:pPr>
            <w:r w:rsidRPr="00881D12">
              <w:t xml:space="preserve">Nationally </w:t>
            </w:r>
            <w:r w:rsidR="003D6EEE" w:rsidRPr="00881D12">
              <w:t>Funded Centres</w:t>
            </w:r>
            <w:r w:rsidRPr="00881D12">
              <w:t xml:space="preserve"> (NFC)</w:t>
            </w:r>
          </w:p>
        </w:tc>
        <w:tc>
          <w:tcPr>
            <w:tcW w:w="6860" w:type="dxa"/>
          </w:tcPr>
          <w:p w14:paraId="720C74D0" w14:textId="77777777" w:rsidR="00003355" w:rsidRPr="00881D12" w:rsidRDefault="00003355" w:rsidP="004E4F39">
            <w:pPr>
              <w:pStyle w:val="Tabletext"/>
            </w:pPr>
            <w:r w:rsidRPr="00881D12">
              <w:t>Funding will be reconciled to actual activity.</w:t>
            </w:r>
          </w:p>
        </w:tc>
      </w:tr>
      <w:tr w:rsidR="00003355" w:rsidRPr="00E63D9B" w14:paraId="6B6ABFF2" w14:textId="77777777" w:rsidTr="00594350">
        <w:tc>
          <w:tcPr>
            <w:tcW w:w="2439" w:type="dxa"/>
          </w:tcPr>
          <w:p w14:paraId="503F9854" w14:textId="77777777" w:rsidR="00003355" w:rsidRPr="00881D12" w:rsidRDefault="00003355" w:rsidP="00252924">
            <w:pPr>
              <w:pStyle w:val="Tabletext"/>
            </w:pPr>
            <w:r w:rsidRPr="00881D12">
              <w:t>Transport Accident Commission</w:t>
            </w:r>
          </w:p>
          <w:p w14:paraId="32C3B0AC" w14:textId="77777777" w:rsidR="00003355" w:rsidRPr="00674F20" w:rsidRDefault="00003355" w:rsidP="00252924">
            <w:pPr>
              <w:pStyle w:val="Tabletext"/>
            </w:pPr>
            <w:r w:rsidRPr="00881D12">
              <w:t>WorkSafe</w:t>
            </w:r>
          </w:p>
        </w:tc>
        <w:tc>
          <w:tcPr>
            <w:tcW w:w="6860" w:type="dxa"/>
          </w:tcPr>
          <w:p w14:paraId="185D8E61" w14:textId="77777777" w:rsidR="00003355" w:rsidRPr="00022E60" w:rsidRDefault="00003355" w:rsidP="00252924">
            <w:pPr>
              <w:pStyle w:val="Tabletext"/>
              <w:rPr>
                <w:color w:val="000000" w:themeColor="text1"/>
              </w:rPr>
            </w:pPr>
            <w:r>
              <w:t xml:space="preserve">Funding will be reconciled to actual activity </w:t>
            </w:r>
            <w:r w:rsidRPr="00022E60">
              <w:rPr>
                <w:color w:val="000000" w:themeColor="text1"/>
              </w:rPr>
              <w:t>for:</w:t>
            </w:r>
          </w:p>
          <w:p w14:paraId="582BD52F" w14:textId="7A688052" w:rsidR="00003355" w:rsidRPr="00252924" w:rsidRDefault="00881D12" w:rsidP="00252924">
            <w:pPr>
              <w:pStyle w:val="Tablebullet1"/>
            </w:pPr>
            <w:r>
              <w:t>a</w:t>
            </w:r>
            <w:r w:rsidRPr="00022E60">
              <w:t>cute</w:t>
            </w:r>
            <w:r w:rsidRPr="00252924">
              <w:t xml:space="preserve"> </w:t>
            </w:r>
            <w:r w:rsidR="00003355" w:rsidRPr="00252924">
              <w:t>admitted services</w:t>
            </w:r>
          </w:p>
          <w:p w14:paraId="249E63E3" w14:textId="160FC054" w:rsidR="00003355" w:rsidRPr="00252924" w:rsidRDefault="00881D12" w:rsidP="00252924">
            <w:pPr>
              <w:pStyle w:val="Tablebullet1"/>
            </w:pPr>
            <w:r>
              <w:t>s</w:t>
            </w:r>
            <w:r w:rsidRPr="00DB05D7">
              <w:t>ubacute</w:t>
            </w:r>
            <w:r w:rsidRPr="00252924">
              <w:t xml:space="preserve"> </w:t>
            </w:r>
            <w:r w:rsidR="00003355" w:rsidRPr="00252924">
              <w:t>admitted services (wrap includes GEM, rehabilitation, and palliative care)</w:t>
            </w:r>
          </w:p>
        </w:tc>
      </w:tr>
      <w:tr w:rsidR="00003355" w:rsidRPr="00022E60" w14:paraId="0866A634" w14:textId="77777777" w:rsidTr="00594350">
        <w:tc>
          <w:tcPr>
            <w:tcW w:w="2439" w:type="dxa"/>
          </w:tcPr>
          <w:p w14:paraId="7952A7DD" w14:textId="77777777" w:rsidR="00003355" w:rsidRPr="00252924" w:rsidRDefault="00003355" w:rsidP="00252924">
            <w:pPr>
              <w:pStyle w:val="Tabletext"/>
            </w:pPr>
            <w:r w:rsidRPr="00252924">
              <w:t>Department of Veterans’ Affairs</w:t>
            </w:r>
          </w:p>
          <w:p w14:paraId="72FEBA59" w14:textId="77777777" w:rsidR="00003355" w:rsidRPr="00022E60" w:rsidRDefault="00003355" w:rsidP="00594350">
            <w:pPr>
              <w:pStyle w:val="Tabletext9pt"/>
              <w:keepNext/>
              <w:rPr>
                <w:color w:val="000000" w:themeColor="text1"/>
              </w:rPr>
            </w:pPr>
          </w:p>
        </w:tc>
        <w:tc>
          <w:tcPr>
            <w:tcW w:w="6860" w:type="dxa"/>
          </w:tcPr>
          <w:p w14:paraId="313FEC48" w14:textId="77777777" w:rsidR="00003355" w:rsidRPr="00252924" w:rsidRDefault="00003355" w:rsidP="00252924">
            <w:pPr>
              <w:pStyle w:val="Tabletext"/>
            </w:pPr>
            <w:r w:rsidRPr="00252924">
              <w:t>Funding will be reconciled to actual activity for:</w:t>
            </w:r>
          </w:p>
          <w:p w14:paraId="7C585B0C" w14:textId="755217C6" w:rsidR="00003355" w:rsidRPr="00252924" w:rsidRDefault="00881D12" w:rsidP="00252924">
            <w:pPr>
              <w:pStyle w:val="Tablebullet1"/>
            </w:pPr>
            <w:r>
              <w:t>a</w:t>
            </w:r>
            <w:r w:rsidRPr="00022E60">
              <w:t>cute</w:t>
            </w:r>
            <w:r w:rsidRPr="00252924">
              <w:t xml:space="preserve"> </w:t>
            </w:r>
            <w:r w:rsidR="00003355" w:rsidRPr="00252924">
              <w:t>admitted services</w:t>
            </w:r>
          </w:p>
          <w:p w14:paraId="64A9D3D8" w14:textId="69670F26" w:rsidR="00003355" w:rsidRPr="00252924" w:rsidRDefault="00881D12" w:rsidP="00252924">
            <w:pPr>
              <w:pStyle w:val="Tablebullet1"/>
            </w:pPr>
            <w:r>
              <w:t>s</w:t>
            </w:r>
            <w:r w:rsidRPr="00022E60">
              <w:t>ubacute</w:t>
            </w:r>
            <w:r w:rsidRPr="00252924">
              <w:t xml:space="preserve"> </w:t>
            </w:r>
            <w:r w:rsidR="00003355" w:rsidRPr="00252924">
              <w:t>admitted services (wrap includes GEM, rehabilitation, and palliative care)</w:t>
            </w:r>
          </w:p>
          <w:p w14:paraId="6230E24E" w14:textId="31BD0756" w:rsidR="00003355" w:rsidRPr="00252924" w:rsidRDefault="00881D12" w:rsidP="00252924">
            <w:pPr>
              <w:pStyle w:val="Tablebullet1"/>
            </w:pPr>
            <w:r>
              <w:t>n</w:t>
            </w:r>
            <w:r w:rsidRPr="00022E60">
              <w:t>on</w:t>
            </w:r>
            <w:r w:rsidR="00003355" w:rsidRPr="00252924">
              <w:t>-admitted (acute) services</w:t>
            </w:r>
          </w:p>
        </w:tc>
      </w:tr>
      <w:tr w:rsidR="00003355" w:rsidRPr="006F501A" w14:paraId="76950DF3" w14:textId="77777777" w:rsidTr="00594350">
        <w:tc>
          <w:tcPr>
            <w:tcW w:w="2439" w:type="dxa"/>
          </w:tcPr>
          <w:p w14:paraId="6502C087" w14:textId="77777777" w:rsidR="00003355" w:rsidRPr="00674F20" w:rsidRDefault="00003355" w:rsidP="00252924">
            <w:pPr>
              <w:pStyle w:val="Tabletext"/>
            </w:pPr>
            <w:r>
              <w:t>National Bowel Cancer Screen Program NWAU</w:t>
            </w:r>
          </w:p>
        </w:tc>
        <w:tc>
          <w:tcPr>
            <w:tcW w:w="6860" w:type="dxa"/>
          </w:tcPr>
          <w:p w14:paraId="35A0D841" w14:textId="77777777" w:rsidR="00003355" w:rsidRPr="00AE6427" w:rsidRDefault="00003355" w:rsidP="00252924">
            <w:pPr>
              <w:pStyle w:val="Tabletext"/>
            </w:pPr>
            <w:r w:rsidRPr="00881D12">
              <w:t>Funding will be reconciled to actual activity.</w:t>
            </w:r>
          </w:p>
        </w:tc>
      </w:tr>
      <w:tr w:rsidR="00003355" w:rsidRPr="006F501A" w14:paraId="49B998CD" w14:textId="77777777" w:rsidTr="00594350">
        <w:tc>
          <w:tcPr>
            <w:tcW w:w="2439" w:type="dxa"/>
          </w:tcPr>
          <w:p w14:paraId="4F452966" w14:textId="77777777" w:rsidR="00003355" w:rsidRPr="00674F20" w:rsidRDefault="00003355" w:rsidP="00252924">
            <w:pPr>
              <w:pStyle w:val="Tabletext"/>
            </w:pPr>
            <w:r w:rsidRPr="00674F20">
              <w:t>Dialysis services</w:t>
            </w:r>
          </w:p>
        </w:tc>
        <w:tc>
          <w:tcPr>
            <w:tcW w:w="6860" w:type="dxa"/>
          </w:tcPr>
          <w:p w14:paraId="2B520D4A" w14:textId="77777777" w:rsidR="00003355" w:rsidRPr="00881D12" w:rsidRDefault="00003355" w:rsidP="00252924">
            <w:pPr>
              <w:pStyle w:val="Tabletext"/>
            </w:pPr>
            <w:r w:rsidRPr="00AE6427">
              <w:t>Admitted dialysis activity is incorporated within the total health service acute admitted activity. Payment from the dialysis provider to specialist service (hub) should be adjusted to actual by the end of the year.</w:t>
            </w:r>
          </w:p>
          <w:p w14:paraId="05D4A48E" w14:textId="77777777" w:rsidR="00003355" w:rsidRPr="00881D12" w:rsidRDefault="00003355" w:rsidP="00252924">
            <w:pPr>
              <w:pStyle w:val="Tabletext"/>
            </w:pPr>
            <w:r w:rsidRPr="00AE6427">
              <w:t>Home dialysis activity (determined on a monthly basis) over target will be paid to actual activity.</w:t>
            </w:r>
          </w:p>
        </w:tc>
      </w:tr>
      <w:tr w:rsidR="00003355" w:rsidRPr="006F501A" w14:paraId="1582415A" w14:textId="77777777" w:rsidTr="00594350">
        <w:tc>
          <w:tcPr>
            <w:tcW w:w="2439" w:type="dxa"/>
          </w:tcPr>
          <w:p w14:paraId="7027D9AB" w14:textId="77777777" w:rsidR="00003355" w:rsidRPr="00674F20" w:rsidRDefault="00003355" w:rsidP="00252924">
            <w:pPr>
              <w:pStyle w:val="Tabletext"/>
            </w:pPr>
            <w:r>
              <w:t>T</w:t>
            </w:r>
            <w:r w:rsidRPr="008446B2">
              <w:t>otal parenteral nutrition</w:t>
            </w:r>
            <w:r>
              <w:t xml:space="preserve"> (TPN)</w:t>
            </w:r>
          </w:p>
        </w:tc>
        <w:tc>
          <w:tcPr>
            <w:tcW w:w="6860" w:type="dxa"/>
          </w:tcPr>
          <w:p w14:paraId="43D67639" w14:textId="77777777" w:rsidR="00003355" w:rsidRPr="00AE6427" w:rsidRDefault="00003355" w:rsidP="00252924">
            <w:pPr>
              <w:pStyle w:val="Tabletext"/>
            </w:pPr>
            <w:r w:rsidRPr="00881D12">
              <w:t>Total parenteral nutrition</w:t>
            </w:r>
            <w:r w:rsidRPr="00AE6427">
              <w:t xml:space="preserve"> over target will be paid to actual activity.</w:t>
            </w:r>
          </w:p>
        </w:tc>
      </w:tr>
      <w:tr w:rsidR="00003355" w:rsidRPr="006F501A" w14:paraId="3A54E517" w14:textId="77777777" w:rsidTr="00594350">
        <w:tc>
          <w:tcPr>
            <w:tcW w:w="2439" w:type="dxa"/>
          </w:tcPr>
          <w:p w14:paraId="4111C89A" w14:textId="77777777" w:rsidR="00003355" w:rsidRPr="00674F20" w:rsidRDefault="00003355" w:rsidP="00252924">
            <w:pPr>
              <w:pStyle w:val="Tabletext"/>
            </w:pPr>
            <w:r>
              <w:t>Home enteral</w:t>
            </w:r>
            <w:r w:rsidRPr="008446B2">
              <w:t xml:space="preserve"> nutrition</w:t>
            </w:r>
            <w:r>
              <w:t xml:space="preserve"> (HEN)</w:t>
            </w:r>
          </w:p>
        </w:tc>
        <w:tc>
          <w:tcPr>
            <w:tcW w:w="6860" w:type="dxa"/>
          </w:tcPr>
          <w:p w14:paraId="62498A8B" w14:textId="77777777" w:rsidR="00003355" w:rsidRPr="00AE6427" w:rsidRDefault="00003355" w:rsidP="00252924">
            <w:pPr>
              <w:pStyle w:val="Tabletext"/>
            </w:pPr>
            <w:r w:rsidRPr="00881D12">
              <w:t>Home enteral nutrition</w:t>
            </w:r>
            <w:r w:rsidRPr="00AE6427">
              <w:t xml:space="preserve"> over target will be paid to actual activity.</w:t>
            </w:r>
          </w:p>
        </w:tc>
      </w:tr>
    </w:tbl>
    <w:p w14:paraId="2BB94A8D" w14:textId="166D6C6C" w:rsidR="003738CC" w:rsidRDefault="003738CC" w:rsidP="00077FFD">
      <w:pPr>
        <w:pStyle w:val="Heading3"/>
        <w:spacing w:before="240"/>
      </w:pPr>
      <w:bookmarkStart w:id="426" w:name="_Toc127191979"/>
      <w:bookmarkStart w:id="427" w:name="_Toc455836075"/>
      <w:bookmarkStart w:id="428" w:name="_Toc6215626"/>
      <w:bookmarkStart w:id="429" w:name="_Toc10199699"/>
      <w:bookmarkStart w:id="430" w:name="_Toc52892599"/>
      <w:bookmarkStart w:id="431" w:name="_Toc100263332"/>
      <w:r>
        <w:t xml:space="preserve">Recall with </w:t>
      </w:r>
      <w:r w:rsidR="00D95BA9">
        <w:t>R</w:t>
      </w:r>
      <w:r>
        <w:t xml:space="preserve">espect to </w:t>
      </w:r>
      <w:r w:rsidR="00D95BA9">
        <w:t>P</w:t>
      </w:r>
      <w:r>
        <w:t xml:space="preserve">ublic and </w:t>
      </w:r>
      <w:r w:rsidR="00D95BA9">
        <w:t>P</w:t>
      </w:r>
      <w:r>
        <w:t xml:space="preserve">rivate </w:t>
      </w:r>
      <w:r w:rsidR="00D95BA9">
        <w:t>A</w:t>
      </w:r>
      <w:r>
        <w:t xml:space="preserve">ctivity </w:t>
      </w:r>
      <w:r w:rsidR="00D95BA9">
        <w:t>M</w:t>
      </w:r>
      <w:r>
        <w:t xml:space="preserve">ix </w:t>
      </w:r>
      <w:r w:rsidR="00D95BA9">
        <w:t>C</w:t>
      </w:r>
      <w:r>
        <w:t>hanges</w:t>
      </w:r>
      <w:bookmarkEnd w:id="426"/>
    </w:p>
    <w:p w14:paraId="0503876A" w14:textId="70B7822C" w:rsidR="003738CC" w:rsidRDefault="003738CC" w:rsidP="008B1B99">
      <w:pPr>
        <w:pStyle w:val="Body"/>
      </w:pPr>
      <w:r w:rsidRPr="00E05D10">
        <w:t>The</w:t>
      </w:r>
      <w:r w:rsidR="00830D9C">
        <w:t xml:space="preserve"> </w:t>
      </w:r>
      <w:r w:rsidRPr="00E05D10">
        <w:t xml:space="preserve">recall and throughput </w:t>
      </w:r>
      <w:r w:rsidR="005D0BE3">
        <w:t xml:space="preserve">adjustment </w:t>
      </w:r>
      <w:r w:rsidRPr="00E05D10">
        <w:t>will no longer explicit</w:t>
      </w:r>
      <w:r w:rsidR="003D5A77">
        <w:t>ly</w:t>
      </w:r>
      <w:r w:rsidRPr="00E05D10">
        <w:t xml:space="preserve"> account for </w:t>
      </w:r>
      <w:r w:rsidR="00F10CC9">
        <w:t>chang</w:t>
      </w:r>
      <w:r w:rsidR="007928B9">
        <w:t>e</w:t>
      </w:r>
      <w:r w:rsidR="002323FA">
        <w:t>d levels of</w:t>
      </w:r>
      <w:r w:rsidR="00F10CC9">
        <w:t xml:space="preserve"> private patient activity</w:t>
      </w:r>
      <w:r w:rsidR="002323FA">
        <w:t xml:space="preserve"> relative to public activity</w:t>
      </w:r>
      <w:r w:rsidR="00925D4A">
        <w:t>.</w:t>
      </w:r>
      <w:r w:rsidR="002323FA">
        <w:t xml:space="preserve"> </w:t>
      </w:r>
      <w:r w:rsidRPr="00E05D10">
        <w:t xml:space="preserve">There is no </w:t>
      </w:r>
      <w:r w:rsidR="00C42B49">
        <w:t xml:space="preserve">differentiation </w:t>
      </w:r>
      <w:r w:rsidR="00CB02AA">
        <w:t xml:space="preserve">for </w:t>
      </w:r>
      <w:r w:rsidRPr="00E05D10">
        <w:t xml:space="preserve">public </w:t>
      </w:r>
      <w:r w:rsidR="00CB02AA">
        <w:t xml:space="preserve">and </w:t>
      </w:r>
      <w:r w:rsidRPr="00E05D10">
        <w:t xml:space="preserve">private activity in the </w:t>
      </w:r>
      <w:r w:rsidR="008D2345">
        <w:t xml:space="preserve">NWAU </w:t>
      </w:r>
      <w:r w:rsidRPr="00E05D10">
        <w:t xml:space="preserve">activity target, therefore a price based funding adjustment cannot apply. </w:t>
      </w:r>
    </w:p>
    <w:p w14:paraId="2A9EDE0C" w14:textId="122D25AA" w:rsidR="003738CC" w:rsidRDefault="003738CC" w:rsidP="008B1B99">
      <w:pPr>
        <w:pStyle w:val="Body"/>
      </w:pPr>
      <w:r w:rsidRPr="00E05D10">
        <w:t>If the public to private ratio of activity changes over the course of the year, the resultant impact is to the NWAU per separation yield. A change in yield will impact the speed at which a health services achieves thresholds associated with the throughput or recall policies.</w:t>
      </w:r>
      <w:bookmarkStart w:id="432" w:name="_Toc111713580"/>
      <w:bookmarkEnd w:id="432"/>
    </w:p>
    <w:p w14:paraId="65E58117" w14:textId="45F7B948" w:rsidR="00003355" w:rsidRDefault="425D520F" w:rsidP="00077FFD">
      <w:pPr>
        <w:pStyle w:val="Heading3"/>
        <w:spacing w:before="240"/>
      </w:pPr>
      <w:bookmarkStart w:id="433" w:name="_Toc127191980"/>
      <w:r>
        <w:lastRenderedPageBreak/>
        <w:t>Reconciliati</w:t>
      </w:r>
      <w:r w:rsidR="00323179">
        <w:t>o</w:t>
      </w:r>
      <w:r>
        <w:t>n of National Health Reform Commonwealth Contributions</w:t>
      </w:r>
      <w:bookmarkEnd w:id="433"/>
      <w:r>
        <w:t xml:space="preserve"> </w:t>
      </w:r>
      <w:bookmarkEnd w:id="427"/>
      <w:bookmarkEnd w:id="428"/>
      <w:bookmarkEnd w:id="429"/>
      <w:bookmarkEnd w:id="430"/>
      <w:bookmarkEnd w:id="431"/>
    </w:p>
    <w:p w14:paraId="156EC6F8" w14:textId="3BCF429D" w:rsidR="00003355" w:rsidRDefault="00003355" w:rsidP="00003355">
      <w:pPr>
        <w:pStyle w:val="Body"/>
      </w:pPr>
      <w:bookmarkStart w:id="434" w:name="_Toc100263333"/>
      <w:r>
        <w:t>The National Health Reform Agreement requires a six-month and annual reconciliation of Commonwealth contributions to activity-based funding. Monthly activity-based funding payments are based on estimated activity (</w:t>
      </w:r>
      <w:r w:rsidR="00881D12">
        <w:t xml:space="preserve">that is, </w:t>
      </w:r>
      <w:r>
        <w:t>LHN activity targets) with the reconciliation process determining funding adjustments to align to actual activity delivered by each local hospital network.</w:t>
      </w:r>
    </w:p>
    <w:p w14:paraId="55D3C2F4" w14:textId="77777777" w:rsidR="00003355" w:rsidRDefault="00003355" w:rsidP="00003355">
      <w:pPr>
        <w:pStyle w:val="Body"/>
      </w:pPr>
      <w:r>
        <w:t>The Administrator of the National Health Funding Pool calculates reconciliation adjustments and advises the Commonwealth Treasurer who makes a final determination of Commonwealth national health reform funding entitlements. Adjustment of Commonwealth national health reform funding is spread equally across payments for a subsequent quarter.</w:t>
      </w:r>
    </w:p>
    <w:p w14:paraId="512E081F" w14:textId="12E82C59" w:rsidR="00003355" w:rsidRDefault="47249A52" w:rsidP="00077FFD">
      <w:pPr>
        <w:pStyle w:val="Heading3"/>
        <w:spacing w:before="240"/>
      </w:pPr>
      <w:bookmarkStart w:id="435" w:name="_Toc455836076"/>
      <w:bookmarkStart w:id="436" w:name="_Toc6215627"/>
      <w:bookmarkStart w:id="437" w:name="_Toc10199700"/>
      <w:bookmarkStart w:id="438" w:name="_Toc52892600"/>
      <w:bookmarkStart w:id="439" w:name="_Toc127191981"/>
      <w:r>
        <w:t>Hospital</w:t>
      </w:r>
      <w:r w:rsidR="00323179">
        <w:t xml:space="preserve"> </w:t>
      </w:r>
      <w:r w:rsidR="00D95BA9">
        <w:t>A</w:t>
      </w:r>
      <w:r>
        <w:t xml:space="preserve">ctivity, NWAU and </w:t>
      </w:r>
      <w:r w:rsidR="00D95BA9">
        <w:t>S</w:t>
      </w:r>
      <w:r>
        <w:t xml:space="preserve">ubacute NWAU </w:t>
      </w:r>
      <w:r w:rsidR="00D95BA9">
        <w:t>R</w:t>
      </w:r>
      <w:r>
        <w:t>eports</w:t>
      </w:r>
      <w:bookmarkEnd w:id="434"/>
      <w:bookmarkEnd w:id="435"/>
      <w:bookmarkEnd w:id="436"/>
      <w:bookmarkEnd w:id="437"/>
      <w:bookmarkEnd w:id="438"/>
      <w:bookmarkEnd w:id="439"/>
    </w:p>
    <w:p w14:paraId="6DFA61B4" w14:textId="52E2C0CF" w:rsidR="00003355" w:rsidRDefault="00003355" w:rsidP="0085734C">
      <w:pPr>
        <w:pStyle w:val="Body"/>
      </w:pPr>
      <w:bookmarkStart w:id="440" w:name="_Toc418694972"/>
      <w:r>
        <w:t>The hospital activity report and the acute and subacute NWAU reports are provided to nominated public health services contacts by the department shortly after the VAED consolidation on the 10th day of each month. The reports contain a financial year-to-date summary by month of admitted patient separations, patient days, acute NWAU and subacute NWAU</w:t>
      </w:r>
      <w:r w:rsidR="00881D12">
        <w:t>.</w:t>
      </w:r>
    </w:p>
    <w:p w14:paraId="39832B6E" w14:textId="2F0C9557" w:rsidR="00003355" w:rsidRDefault="00003355" w:rsidP="00003355">
      <w:pPr>
        <w:pStyle w:val="Body"/>
      </w:pPr>
      <w:r>
        <w:t xml:space="preserve">Further information, including the report specifications, are available on the </w:t>
      </w:r>
      <w:hyperlink r:id="rId74" w:history="1">
        <w:r w:rsidRPr="00863D12">
          <w:rPr>
            <w:rStyle w:val="Hyperlink"/>
          </w:rPr>
          <w:t>Victorian Admitted Episodes Dataset webpage</w:t>
        </w:r>
      </w:hyperlink>
      <w:r>
        <w:t xml:space="preserve"> &lt;</w:t>
      </w:r>
      <w:r w:rsidRPr="00B471B5">
        <w:t>https://www.health.vic.gov.au/data-reporting/victorian-admitted-episodes-dataset</w:t>
      </w:r>
      <w:r>
        <w:t>&gt;.</w:t>
      </w:r>
    </w:p>
    <w:p w14:paraId="2B75D1D0" w14:textId="0F3BD3EC" w:rsidR="006F79FC" w:rsidRDefault="006F79FC" w:rsidP="00003355">
      <w:pPr>
        <w:pStyle w:val="Body"/>
      </w:pPr>
      <w:r>
        <w:br w:type="page"/>
      </w:r>
    </w:p>
    <w:p w14:paraId="2A644493" w14:textId="77777777" w:rsidR="001B1D6D" w:rsidRDefault="001B1D6D" w:rsidP="001B1D6D">
      <w:pPr>
        <w:pStyle w:val="Heading2"/>
        <w:spacing w:after="440" w:line="440" w:lineRule="atLeast"/>
        <w:ind w:left="1134" w:hanging="1134"/>
      </w:pPr>
      <w:bookmarkStart w:id="441" w:name="_Toc113357815"/>
      <w:bookmarkStart w:id="442" w:name="_Toc127191982"/>
      <w:r>
        <w:lastRenderedPageBreak/>
        <w:t>Elective Surgery B</w:t>
      </w:r>
      <w:r w:rsidRPr="008975B4">
        <w:t>i-</w:t>
      </w:r>
      <w:r>
        <w:t>A</w:t>
      </w:r>
      <w:r w:rsidRPr="008975B4">
        <w:t>nnual</w:t>
      </w:r>
      <w:r w:rsidRPr="00077FFD">
        <w:rPr>
          <w:vertAlign w:val="superscript"/>
        </w:rPr>
        <w:footnoteReference w:id="6"/>
      </w:r>
      <w:r w:rsidRPr="008975B4">
        <w:t xml:space="preserve"> </w:t>
      </w:r>
      <w:r>
        <w:t>R</w:t>
      </w:r>
      <w:r w:rsidRPr="008975B4">
        <w:t>ecall</w:t>
      </w:r>
      <w:r>
        <w:t xml:space="preserve"> Policy for 2022–23</w:t>
      </w:r>
      <w:bookmarkEnd w:id="441"/>
      <w:bookmarkEnd w:id="442"/>
      <w:r>
        <w:t xml:space="preserve"> </w:t>
      </w:r>
    </w:p>
    <w:p w14:paraId="63A79145" w14:textId="77777777" w:rsidR="001B1D6D" w:rsidRPr="00C71497" w:rsidRDefault="001B1D6D" w:rsidP="001B1D6D">
      <w:pPr>
        <w:pStyle w:val="Body"/>
      </w:pPr>
      <w:r>
        <w:t>Recall policy applied for additional elective surgery (ES) activity funded through the Surgery Recovery and Reform Strategy in 2022–23, will be distinct from the recall policy applied against the SOP Part C NWAU targets. This distinction is necessary to ensure accountability against government specific investment to deliver additional elective surgery over baseline elective surgery.</w:t>
      </w:r>
    </w:p>
    <w:p w14:paraId="2E7CE40D" w14:textId="77777777" w:rsidR="001B1D6D" w:rsidRDefault="001B1D6D" w:rsidP="001B1D6D">
      <w:pPr>
        <w:pStyle w:val="Heading4"/>
      </w:pPr>
      <w:r w:rsidRPr="00E84ECE">
        <w:t>Eligibility</w:t>
      </w:r>
    </w:p>
    <w:p w14:paraId="0845945A" w14:textId="77777777" w:rsidR="001B1D6D" w:rsidRDefault="001B1D6D" w:rsidP="001B1D6D">
      <w:pPr>
        <w:pStyle w:val="Body"/>
      </w:pPr>
      <w:r>
        <w:t>Health services in receipt of additional elective surgery funding though the Surgery Recovery and Reform Strategy will:</w:t>
      </w:r>
    </w:p>
    <w:p w14:paraId="7058FB10" w14:textId="77777777" w:rsidR="001B1D6D" w:rsidRDefault="001B1D6D" w:rsidP="001B1D6D">
      <w:pPr>
        <w:pStyle w:val="Bullet2"/>
        <w:numPr>
          <w:ilvl w:val="0"/>
          <w:numId w:val="53"/>
        </w:numPr>
      </w:pPr>
      <w:r>
        <w:t xml:space="preserve">have received base and additional planned surgery targets separately identified in their SOPs as NWAU and PS separations; and </w:t>
      </w:r>
    </w:p>
    <w:p w14:paraId="20A481C3" w14:textId="77777777" w:rsidR="001B1D6D" w:rsidRDefault="001B1D6D" w:rsidP="001B1D6D">
      <w:pPr>
        <w:pStyle w:val="Bullet2"/>
        <w:numPr>
          <w:ilvl w:val="0"/>
          <w:numId w:val="53"/>
        </w:numPr>
      </w:pPr>
      <w:r>
        <w:t>note that the additional activity targets may include an agreed number of procedures for public surgery completed in partnership with private providers.</w:t>
      </w:r>
    </w:p>
    <w:p w14:paraId="6212CD83" w14:textId="77777777" w:rsidR="001B1D6D" w:rsidRDefault="001B1D6D" w:rsidP="001B1D6D">
      <w:pPr>
        <w:pStyle w:val="Heading4"/>
      </w:pPr>
      <w:r>
        <w:t>Structure</w:t>
      </w:r>
    </w:p>
    <w:p w14:paraId="0662F2DC" w14:textId="572E2B7C" w:rsidR="001B1D6D" w:rsidRDefault="001B1D6D" w:rsidP="001B1D6D">
      <w:pPr>
        <w:pStyle w:val="Body"/>
      </w:pPr>
      <w:r>
        <w:t xml:space="preserve">Health services will be allocated a ‘growth ES NWAU target’ (reflective of the additional activity allocated). If the service does not meet the expected half-year base admissions, any under or over activity against growth is recallable </w:t>
      </w:r>
      <w:r w:rsidRPr="00937873">
        <w:t>at six months</w:t>
      </w:r>
      <w:r>
        <w:t>. Base elective surgery NWAU activity will not be recalled at six months and will be recalled as part of the end of year recall policy.</w:t>
      </w:r>
    </w:p>
    <w:p w14:paraId="1D0B945A" w14:textId="77777777" w:rsidR="001B1D6D" w:rsidRPr="001A46B2" w:rsidRDefault="001B1D6D" w:rsidP="001B1D6D">
      <w:pPr>
        <w:pStyle w:val="Body"/>
      </w:pPr>
      <w:r>
        <w:t>As part of the end-</w:t>
      </w:r>
      <w:r w:rsidRPr="001A46B2">
        <w:t>of-year recall policy:</w:t>
      </w:r>
    </w:p>
    <w:p w14:paraId="6046FD89" w14:textId="77777777" w:rsidR="001B1D6D" w:rsidRPr="001A46B2" w:rsidRDefault="001B1D6D" w:rsidP="001B1D6D">
      <w:pPr>
        <w:pStyle w:val="Bullet2"/>
        <w:numPr>
          <w:ilvl w:val="0"/>
          <w:numId w:val="53"/>
        </w:numPr>
      </w:pPr>
      <w:r w:rsidRPr="001A46B2">
        <w:t>the department will recall base planned elective surgery NWAU not delivered in line with annual recall policy as outlined at 1.16</w:t>
      </w:r>
      <w:r>
        <w:t>;</w:t>
      </w:r>
      <w:r w:rsidRPr="001A46B2">
        <w:t xml:space="preserve"> and</w:t>
      </w:r>
    </w:p>
    <w:p w14:paraId="1E795D7E" w14:textId="2147129C" w:rsidR="001B1D6D" w:rsidRDefault="001B1D6D" w:rsidP="001B1D6D">
      <w:pPr>
        <w:pStyle w:val="Bullet2"/>
        <w:numPr>
          <w:ilvl w:val="0"/>
          <w:numId w:val="53"/>
        </w:numPr>
        <w:spacing w:after="120"/>
        <w:ind w:left="357" w:hanging="357"/>
      </w:pPr>
      <w:r>
        <w:t>additional planned elective surgery activity, that is not delivered will be recallable at the rates outlined in Table 1.7.</w:t>
      </w:r>
    </w:p>
    <w:p w14:paraId="310473C1" w14:textId="77777777" w:rsidR="006F79FC" w:rsidRPr="003E65B5" w:rsidRDefault="006F79FC" w:rsidP="001B1D6D">
      <w:pPr>
        <w:pStyle w:val="Body"/>
      </w:pPr>
      <w:r>
        <w:t xml:space="preserve">Note for both biannual and annual recall, additional elective surgery targets will not be </w:t>
      </w:r>
      <w:r w:rsidRPr="003E65B5">
        <w:t>considered to have been achieved unless base target has been delivered.</w:t>
      </w:r>
    </w:p>
    <w:p w14:paraId="12D989CF" w14:textId="7961FA44" w:rsidR="001B1D6D" w:rsidRPr="003E65B5" w:rsidRDefault="001B1D6D" w:rsidP="001B1D6D">
      <w:pPr>
        <w:pStyle w:val="Body"/>
      </w:pPr>
      <w:r w:rsidRPr="00937873">
        <w:t>Where health services are likely to exceed or fall below their additional activit</w:t>
      </w:r>
      <w:r w:rsidRPr="00321897">
        <w:t>y targets, they are</w:t>
      </w:r>
      <w:r w:rsidRPr="00937873">
        <w:t xml:space="preserve"> encouraged to </w:t>
      </w:r>
      <w:r>
        <w:t xml:space="preserve">manage the additional activity </w:t>
      </w:r>
      <w:r w:rsidRPr="00B978AB">
        <w:t>at a health service partnership level in conjunction with the department.</w:t>
      </w:r>
    </w:p>
    <w:p w14:paraId="3E8883BF" w14:textId="77777777" w:rsidR="001B1D6D" w:rsidRPr="003E65B5" w:rsidRDefault="001B1D6D" w:rsidP="001B1D6D">
      <w:pPr>
        <w:pStyle w:val="Heading4"/>
      </w:pPr>
      <w:r w:rsidRPr="003E65B5">
        <w:t>End</w:t>
      </w:r>
      <w:r>
        <w:t>-</w:t>
      </w:r>
      <w:r w:rsidRPr="003E65B5">
        <w:t>of</w:t>
      </w:r>
      <w:r>
        <w:t>-</w:t>
      </w:r>
      <w:r w:rsidRPr="003E65B5">
        <w:t>year adjustments</w:t>
      </w:r>
    </w:p>
    <w:p w14:paraId="1632FD0C" w14:textId="6BCD832F" w:rsidR="001B1D6D" w:rsidRDefault="001B1D6D" w:rsidP="001B1D6D">
      <w:pPr>
        <w:pStyle w:val="Body"/>
      </w:pPr>
      <w:r>
        <w:t xml:space="preserve">The first application of this recall policy will be </w:t>
      </w:r>
      <w:r w:rsidR="00D83277">
        <w:t>considered from</w:t>
      </w:r>
      <w:r>
        <w:t xml:space="preserve"> December 2022. Year-end adjustment will be netted off against other recall / throughput amounts and form part of the overall prior year adjustment (PYA) process.</w:t>
      </w:r>
    </w:p>
    <w:p w14:paraId="3D2273DA" w14:textId="77777777" w:rsidR="001B1D6D" w:rsidRDefault="001B1D6D" w:rsidP="001B1D6D">
      <w:pPr>
        <w:pStyle w:val="Tablecaption"/>
        <w:spacing w:line="240" w:lineRule="auto"/>
      </w:pPr>
      <w:bookmarkStart w:id="443" w:name="_Toc111454808"/>
      <w:r>
        <w:lastRenderedPageBreak/>
        <w:t xml:space="preserve">Table </w:t>
      </w:r>
      <w:r>
        <w:fldChar w:fldCharType="begin"/>
      </w:r>
      <w:r>
        <w:instrText>STYLEREF 1 \s</w:instrText>
      </w:r>
      <w:r>
        <w:fldChar w:fldCharType="separate"/>
      </w:r>
      <w:r>
        <w:rPr>
          <w:noProof/>
        </w:rPr>
        <w:t>1</w:t>
      </w:r>
      <w:r>
        <w:fldChar w:fldCharType="end"/>
      </w:r>
      <w:r>
        <w:t>.7</w:t>
      </w:r>
      <w:r>
        <w:tab/>
        <w:t>Elective Surgery recall policy 2022–23</w:t>
      </w:r>
      <w:bookmarkEnd w:id="443"/>
    </w:p>
    <w:tbl>
      <w:tblPr>
        <w:tblStyle w:val="TableGrid"/>
        <w:tblW w:w="9615" w:type="dxa"/>
        <w:tblInd w:w="-118" w:type="dxa"/>
        <w:tblLayout w:type="fixed"/>
        <w:tblLook w:val="06A0" w:firstRow="1" w:lastRow="0" w:firstColumn="1" w:lastColumn="0" w:noHBand="1" w:noVBand="1"/>
      </w:tblPr>
      <w:tblGrid>
        <w:gridCol w:w="2994"/>
        <w:gridCol w:w="6612"/>
        <w:gridCol w:w="9"/>
      </w:tblGrid>
      <w:tr w:rsidR="001B1D6D" w:rsidRPr="003E65B5" w14:paraId="3EF48596" w14:textId="77777777" w:rsidTr="00193D98">
        <w:trPr>
          <w:tblHeader/>
        </w:trPr>
        <w:tc>
          <w:tcPr>
            <w:tcW w:w="2970" w:type="dxa"/>
            <w:tcBorders>
              <w:top w:val="single" w:sz="8" w:space="0" w:color="auto"/>
              <w:left w:val="single" w:sz="8" w:space="0" w:color="auto"/>
              <w:bottom w:val="single" w:sz="8" w:space="0" w:color="auto"/>
              <w:right w:val="single" w:sz="8" w:space="0" w:color="auto"/>
            </w:tcBorders>
            <w:shd w:val="clear" w:color="auto" w:fill="201547"/>
          </w:tcPr>
          <w:p w14:paraId="6DC33867" w14:textId="77777777" w:rsidR="001B1D6D" w:rsidRPr="00D27448" w:rsidRDefault="001B1D6D" w:rsidP="00193D98">
            <w:pPr>
              <w:pStyle w:val="Tabletext"/>
              <w:keepNext/>
              <w:rPr>
                <w:rFonts w:eastAsia="Arial"/>
              </w:rPr>
            </w:pPr>
            <w:r w:rsidRPr="007B446A">
              <w:rPr>
                <w:rFonts w:eastAsia="Arial"/>
                <w:b/>
                <w:color w:val="FFFFFF" w:themeColor="background1"/>
              </w:rPr>
              <w:t>Service</w:t>
            </w:r>
          </w:p>
        </w:tc>
        <w:tc>
          <w:tcPr>
            <w:tcW w:w="6645" w:type="dxa"/>
            <w:gridSpan w:val="2"/>
            <w:tcBorders>
              <w:top w:val="single" w:sz="8" w:space="0" w:color="auto"/>
              <w:left w:val="single" w:sz="8" w:space="0" w:color="auto"/>
              <w:bottom w:val="single" w:sz="8" w:space="0" w:color="auto"/>
              <w:right w:val="single" w:sz="8" w:space="0" w:color="auto"/>
            </w:tcBorders>
            <w:shd w:val="clear" w:color="auto" w:fill="201547"/>
          </w:tcPr>
          <w:p w14:paraId="7557A8D2" w14:textId="77777777" w:rsidR="001B1D6D" w:rsidRPr="00D27448" w:rsidRDefault="001B1D6D" w:rsidP="00193D98">
            <w:pPr>
              <w:pStyle w:val="Tablebullet1"/>
              <w:keepNext/>
              <w:numPr>
                <w:ilvl w:val="0"/>
                <w:numId w:val="0"/>
              </w:numPr>
              <w:ind w:left="227" w:hanging="227"/>
              <w:rPr>
                <w:rFonts w:eastAsia="Arial"/>
              </w:rPr>
            </w:pPr>
            <w:r w:rsidRPr="007B446A">
              <w:rPr>
                <w:rFonts w:eastAsia="Arial"/>
                <w:b/>
                <w:bCs/>
                <w:color w:val="FFFFFF" w:themeColor="background1"/>
              </w:rPr>
              <w:t xml:space="preserve">Recall </w:t>
            </w:r>
            <w:r>
              <w:rPr>
                <w:rFonts w:eastAsia="Arial"/>
                <w:b/>
                <w:bCs/>
                <w:color w:val="FFFFFF" w:themeColor="background1"/>
              </w:rPr>
              <w:t>p</w:t>
            </w:r>
            <w:r w:rsidRPr="007B446A">
              <w:rPr>
                <w:rFonts w:eastAsia="Arial"/>
                <w:b/>
                <w:bCs/>
                <w:color w:val="FFFFFF" w:themeColor="background1"/>
              </w:rPr>
              <w:t>olicy</w:t>
            </w:r>
          </w:p>
        </w:tc>
      </w:tr>
      <w:tr w:rsidR="001B1D6D" w:rsidRPr="003E65B5" w14:paraId="33BBE5BE" w14:textId="77777777" w:rsidTr="00193D98">
        <w:trPr>
          <w:gridAfter w:val="1"/>
          <w:wAfter w:w="9" w:type="dxa"/>
        </w:trPr>
        <w:tc>
          <w:tcPr>
            <w:tcW w:w="3004" w:type="dxa"/>
            <w:tcBorders>
              <w:top w:val="single" w:sz="8" w:space="0" w:color="auto"/>
              <w:left w:val="single" w:sz="8" w:space="0" w:color="auto"/>
              <w:bottom w:val="single" w:sz="8" w:space="0" w:color="auto"/>
              <w:right w:val="single" w:sz="8" w:space="0" w:color="auto"/>
            </w:tcBorders>
          </w:tcPr>
          <w:p w14:paraId="45B5AABA" w14:textId="77777777" w:rsidR="001B1D6D" w:rsidRPr="007C3555" w:rsidRDefault="001B1D6D" w:rsidP="00193D98">
            <w:pPr>
              <w:pStyle w:val="Tabletext"/>
              <w:keepNext/>
              <w:rPr>
                <w:rFonts w:eastAsia="Arial"/>
              </w:rPr>
            </w:pPr>
            <w:r w:rsidRPr="007C3555">
              <w:rPr>
                <w:rFonts w:eastAsia="Arial"/>
              </w:rPr>
              <w:t xml:space="preserve">Elective Surgery Activity – Additional </w:t>
            </w:r>
            <w:r w:rsidRPr="00D27448">
              <w:rPr>
                <w:rFonts w:eastAsia="Arial"/>
              </w:rPr>
              <w:t>(Mid-Year)</w:t>
            </w:r>
          </w:p>
        </w:tc>
        <w:tc>
          <w:tcPr>
            <w:tcW w:w="6636" w:type="dxa"/>
            <w:tcBorders>
              <w:top w:val="single" w:sz="8" w:space="0" w:color="auto"/>
              <w:left w:val="single" w:sz="8" w:space="0" w:color="auto"/>
              <w:bottom w:val="single" w:sz="8" w:space="0" w:color="auto"/>
              <w:right w:val="single" w:sz="8" w:space="0" w:color="auto"/>
            </w:tcBorders>
          </w:tcPr>
          <w:p w14:paraId="6563763D" w14:textId="006FA983" w:rsidR="001B1D6D" w:rsidRPr="004465E2" w:rsidRDefault="001B1D6D" w:rsidP="001B1D6D">
            <w:pPr>
              <w:pStyle w:val="ListParagraph"/>
              <w:numPr>
                <w:ilvl w:val="0"/>
                <w:numId w:val="38"/>
              </w:numPr>
              <w:ind w:left="426"/>
              <w:contextualSpacing/>
              <w:rPr>
                <w:rFonts w:ascii="Arial" w:eastAsia="Arial" w:hAnsi="Arial" w:cs="Arial"/>
                <w:strike/>
                <w:sz w:val="21"/>
                <w:szCs w:val="21"/>
              </w:rPr>
            </w:pPr>
            <w:r w:rsidRPr="00584BF7">
              <w:rPr>
                <w:rFonts w:ascii="Arial" w:eastAsia="Arial" w:hAnsi="Arial" w:cs="Arial"/>
                <w:sz w:val="21"/>
                <w:szCs w:val="21"/>
              </w:rPr>
              <w:t>Activity below target: recalled at 100</w:t>
            </w:r>
            <w:r w:rsidR="00887E93">
              <w:rPr>
                <w:rFonts w:ascii="Arial" w:eastAsia="Arial" w:hAnsi="Arial" w:cs="Arial"/>
                <w:sz w:val="21"/>
                <w:szCs w:val="21"/>
              </w:rPr>
              <w:t>%</w:t>
            </w:r>
            <w:r w:rsidRPr="00584BF7">
              <w:rPr>
                <w:rFonts w:ascii="Arial" w:eastAsia="Arial" w:hAnsi="Arial" w:cs="Arial"/>
                <w:sz w:val="21"/>
                <w:szCs w:val="21"/>
              </w:rPr>
              <w:t xml:space="preserve"> of the </w:t>
            </w:r>
            <w:r w:rsidRPr="57A0E6A6">
              <w:rPr>
                <w:rFonts w:ascii="Arial" w:eastAsia="Arial" w:hAnsi="Arial" w:cs="Arial"/>
                <w:sz w:val="21"/>
                <w:szCs w:val="21"/>
              </w:rPr>
              <w:t>Victorian Efficient Price (VEP).</w:t>
            </w:r>
          </w:p>
        </w:tc>
      </w:tr>
      <w:tr w:rsidR="001B1D6D" w14:paraId="03C49AD9" w14:textId="77777777" w:rsidTr="00193D98">
        <w:trPr>
          <w:gridAfter w:val="1"/>
          <w:wAfter w:w="9" w:type="dxa"/>
        </w:trPr>
        <w:tc>
          <w:tcPr>
            <w:tcW w:w="3004" w:type="dxa"/>
            <w:tcBorders>
              <w:top w:val="single" w:sz="8" w:space="0" w:color="auto"/>
              <w:left w:val="single" w:sz="8" w:space="0" w:color="auto"/>
              <w:bottom w:val="single" w:sz="8" w:space="0" w:color="auto"/>
              <w:right w:val="single" w:sz="8" w:space="0" w:color="auto"/>
            </w:tcBorders>
          </w:tcPr>
          <w:p w14:paraId="4A696CDC" w14:textId="77777777" w:rsidR="001B1D6D" w:rsidRPr="007C3555" w:rsidRDefault="001B1D6D" w:rsidP="00193D98">
            <w:pPr>
              <w:pStyle w:val="Tabletext"/>
              <w:rPr>
                <w:rFonts w:eastAsia="Arial"/>
              </w:rPr>
            </w:pPr>
            <w:r w:rsidRPr="007C3555">
              <w:rPr>
                <w:rFonts w:eastAsia="Arial"/>
              </w:rPr>
              <w:t xml:space="preserve">Elective Surgery Activity – Additional </w:t>
            </w:r>
            <w:r w:rsidRPr="00D27448">
              <w:rPr>
                <w:rFonts w:eastAsia="Arial"/>
              </w:rPr>
              <w:t>(End-Year)</w:t>
            </w:r>
          </w:p>
          <w:p w14:paraId="49820EA9" w14:textId="77777777" w:rsidR="001B1D6D" w:rsidRPr="007C3555" w:rsidRDefault="001B1D6D" w:rsidP="00193D98">
            <w:pPr>
              <w:pStyle w:val="Tabletext"/>
              <w:rPr>
                <w:rFonts w:eastAsia="Arial"/>
              </w:rPr>
            </w:pPr>
          </w:p>
        </w:tc>
        <w:tc>
          <w:tcPr>
            <w:tcW w:w="6636" w:type="dxa"/>
            <w:tcBorders>
              <w:top w:val="single" w:sz="8" w:space="0" w:color="auto"/>
              <w:left w:val="single" w:sz="8" w:space="0" w:color="auto"/>
              <w:bottom w:val="single" w:sz="8" w:space="0" w:color="auto"/>
              <w:right w:val="single" w:sz="8" w:space="0" w:color="auto"/>
            </w:tcBorders>
          </w:tcPr>
          <w:p w14:paraId="1D7941F6" w14:textId="2AC34659" w:rsidR="001B1D6D" w:rsidRPr="00D27448" w:rsidRDefault="001B1D6D" w:rsidP="001B1D6D">
            <w:pPr>
              <w:pStyle w:val="ListParagraph"/>
              <w:numPr>
                <w:ilvl w:val="0"/>
                <w:numId w:val="38"/>
              </w:numPr>
              <w:ind w:left="426"/>
              <w:contextualSpacing/>
              <w:rPr>
                <w:rFonts w:ascii="Arial" w:eastAsia="Arial" w:hAnsi="Arial" w:cs="Arial"/>
                <w:sz w:val="21"/>
                <w:szCs w:val="21"/>
              </w:rPr>
            </w:pPr>
            <w:r w:rsidRPr="00D27448">
              <w:rPr>
                <w:rFonts w:ascii="Arial" w:eastAsia="Arial" w:hAnsi="Arial" w:cs="Arial"/>
                <w:sz w:val="21"/>
                <w:szCs w:val="21"/>
              </w:rPr>
              <w:t>0–3</w:t>
            </w:r>
            <w:r w:rsidR="00887E93">
              <w:rPr>
                <w:rFonts w:ascii="Arial" w:eastAsia="Arial" w:hAnsi="Arial" w:cs="Arial"/>
                <w:sz w:val="21"/>
                <w:szCs w:val="21"/>
              </w:rPr>
              <w:t>%</w:t>
            </w:r>
            <w:r w:rsidRPr="00D27448">
              <w:rPr>
                <w:rFonts w:ascii="Arial" w:eastAsia="Arial" w:hAnsi="Arial" w:cs="Arial"/>
                <w:sz w:val="21"/>
                <w:szCs w:val="21"/>
              </w:rPr>
              <w:t xml:space="preserve"> below target: 50</w:t>
            </w:r>
            <w:r w:rsidR="00887E93">
              <w:rPr>
                <w:rFonts w:ascii="Arial" w:eastAsia="Arial" w:hAnsi="Arial" w:cs="Arial"/>
                <w:sz w:val="21"/>
                <w:szCs w:val="21"/>
              </w:rPr>
              <w:t>%</w:t>
            </w:r>
            <w:r w:rsidRPr="00D27448">
              <w:rPr>
                <w:rFonts w:ascii="Arial" w:eastAsia="Arial" w:hAnsi="Arial" w:cs="Arial"/>
                <w:sz w:val="21"/>
                <w:szCs w:val="21"/>
              </w:rPr>
              <w:t xml:space="preserve"> of the </w:t>
            </w:r>
            <w:r w:rsidRPr="7BD059CA">
              <w:rPr>
                <w:rFonts w:ascii="Arial" w:eastAsia="Arial" w:hAnsi="Arial" w:cs="Arial"/>
                <w:sz w:val="21"/>
                <w:szCs w:val="21"/>
              </w:rPr>
              <w:t>VEP</w:t>
            </w:r>
            <w:r w:rsidRPr="00D27448">
              <w:rPr>
                <w:rFonts w:ascii="Arial" w:eastAsia="Arial" w:hAnsi="Arial" w:cs="Arial"/>
                <w:sz w:val="21"/>
                <w:szCs w:val="21"/>
              </w:rPr>
              <w:t>.</w:t>
            </w:r>
          </w:p>
          <w:p w14:paraId="4FE448AB" w14:textId="7D0CC518" w:rsidR="001B1D6D" w:rsidRPr="00321897" w:rsidRDefault="001B1D6D" w:rsidP="001B1D6D">
            <w:pPr>
              <w:pStyle w:val="ListParagraph"/>
              <w:numPr>
                <w:ilvl w:val="0"/>
                <w:numId w:val="38"/>
              </w:numPr>
              <w:ind w:left="426"/>
              <w:contextualSpacing/>
              <w:rPr>
                <w:rFonts w:ascii="Arial" w:eastAsia="Arial" w:hAnsi="Arial" w:cs="Arial"/>
                <w:sz w:val="21"/>
                <w:szCs w:val="21"/>
              </w:rPr>
            </w:pPr>
            <w:r w:rsidRPr="00584BF7">
              <w:rPr>
                <w:rFonts w:ascii="Arial" w:eastAsia="Arial" w:hAnsi="Arial" w:cs="Arial"/>
                <w:sz w:val="21"/>
                <w:szCs w:val="21"/>
              </w:rPr>
              <w:t>&gt; 3</w:t>
            </w:r>
            <w:r w:rsidR="00887E93">
              <w:rPr>
                <w:rFonts w:ascii="Arial" w:eastAsia="Arial" w:hAnsi="Arial" w:cs="Arial"/>
                <w:sz w:val="21"/>
                <w:szCs w:val="21"/>
              </w:rPr>
              <w:t>%</w:t>
            </w:r>
            <w:r w:rsidRPr="00584BF7">
              <w:rPr>
                <w:rFonts w:ascii="Arial" w:eastAsia="Arial" w:hAnsi="Arial" w:cs="Arial"/>
                <w:sz w:val="21"/>
                <w:szCs w:val="21"/>
              </w:rPr>
              <w:t xml:space="preserve"> below target: 100</w:t>
            </w:r>
            <w:r w:rsidR="00887E93">
              <w:rPr>
                <w:rFonts w:ascii="Arial" w:eastAsia="Arial" w:hAnsi="Arial" w:cs="Arial"/>
                <w:sz w:val="21"/>
                <w:szCs w:val="21"/>
              </w:rPr>
              <w:t>%</w:t>
            </w:r>
            <w:r w:rsidRPr="00584BF7">
              <w:rPr>
                <w:rFonts w:ascii="Arial" w:eastAsia="Arial" w:hAnsi="Arial" w:cs="Arial"/>
                <w:sz w:val="21"/>
                <w:szCs w:val="21"/>
              </w:rPr>
              <w:t xml:space="preserve"> of the </w:t>
            </w:r>
            <w:r w:rsidRPr="7BD059CA">
              <w:rPr>
                <w:rFonts w:ascii="Arial" w:eastAsia="Arial" w:hAnsi="Arial" w:cs="Arial"/>
                <w:sz w:val="21"/>
                <w:szCs w:val="21"/>
              </w:rPr>
              <w:t>VEP</w:t>
            </w:r>
            <w:r w:rsidRPr="57A0E6A6">
              <w:rPr>
                <w:rFonts w:ascii="Arial" w:eastAsia="Arial" w:hAnsi="Arial" w:cs="Arial"/>
                <w:sz w:val="21"/>
                <w:szCs w:val="21"/>
              </w:rPr>
              <w:t>.</w:t>
            </w:r>
            <w:r>
              <w:rPr>
                <w:rFonts w:ascii="Arial" w:eastAsia="Arial" w:hAnsi="Arial" w:cs="Arial"/>
                <w:sz w:val="21"/>
                <w:szCs w:val="21"/>
              </w:rPr>
              <w:t xml:space="preserve"> </w:t>
            </w:r>
          </w:p>
        </w:tc>
      </w:tr>
      <w:tr w:rsidR="001B1D6D" w14:paraId="53FCD224" w14:textId="77777777" w:rsidTr="00193D98">
        <w:trPr>
          <w:gridAfter w:val="1"/>
          <w:wAfter w:w="9" w:type="dxa"/>
        </w:trPr>
        <w:tc>
          <w:tcPr>
            <w:tcW w:w="3004" w:type="dxa"/>
            <w:tcBorders>
              <w:top w:val="single" w:sz="8" w:space="0" w:color="auto"/>
              <w:left w:val="single" w:sz="8" w:space="0" w:color="auto"/>
              <w:bottom w:val="single" w:sz="8" w:space="0" w:color="auto"/>
              <w:right w:val="single" w:sz="8" w:space="0" w:color="auto"/>
            </w:tcBorders>
          </w:tcPr>
          <w:p w14:paraId="28751854" w14:textId="77777777" w:rsidR="001B1D6D" w:rsidRPr="007C3555" w:rsidRDefault="001B1D6D" w:rsidP="00193D98">
            <w:pPr>
              <w:pStyle w:val="Tabletext"/>
            </w:pPr>
            <w:r w:rsidRPr="007C3555">
              <w:t>Elective Surgery Activity</w:t>
            </w:r>
            <w:r>
              <w:t xml:space="preserve"> </w:t>
            </w:r>
            <w:r w:rsidRPr="007C3555">
              <w:rPr>
                <w:rFonts w:eastAsia="Arial"/>
              </w:rPr>
              <w:t xml:space="preserve">– </w:t>
            </w:r>
            <w:r w:rsidRPr="007C3555">
              <w:t>Base</w:t>
            </w:r>
          </w:p>
        </w:tc>
        <w:tc>
          <w:tcPr>
            <w:tcW w:w="6636" w:type="dxa"/>
            <w:tcBorders>
              <w:top w:val="single" w:sz="8" w:space="0" w:color="auto"/>
              <w:left w:val="single" w:sz="8" w:space="0" w:color="auto"/>
              <w:bottom w:val="single" w:sz="8" w:space="0" w:color="auto"/>
              <w:right w:val="single" w:sz="8" w:space="0" w:color="auto"/>
            </w:tcBorders>
          </w:tcPr>
          <w:p w14:paraId="2F330969" w14:textId="77777777" w:rsidR="001B1D6D" w:rsidRPr="00A83A84" w:rsidRDefault="001B1D6D" w:rsidP="001B1D6D">
            <w:pPr>
              <w:pStyle w:val="ListParagraph"/>
              <w:numPr>
                <w:ilvl w:val="0"/>
                <w:numId w:val="38"/>
              </w:numPr>
              <w:ind w:left="426"/>
              <w:contextualSpacing/>
              <w:rPr>
                <w:rFonts w:eastAsia="Arial"/>
              </w:rPr>
            </w:pPr>
            <w:r w:rsidRPr="17ADC289">
              <w:rPr>
                <w:rFonts w:ascii="Arial" w:eastAsia="Arial" w:hAnsi="Arial" w:cs="Arial"/>
                <w:sz w:val="21"/>
                <w:szCs w:val="21"/>
              </w:rPr>
              <w:t>To be managed as</w:t>
            </w:r>
            <w:r>
              <w:rPr>
                <w:rFonts w:ascii="Arial" w:eastAsia="Arial" w:hAnsi="Arial" w:cs="Arial"/>
                <w:sz w:val="21"/>
                <w:szCs w:val="21"/>
              </w:rPr>
              <w:t xml:space="preserve"> outlined in section 1.16 Prior-Year Adjustment: Activity-Based Funding</w:t>
            </w:r>
          </w:p>
        </w:tc>
      </w:tr>
    </w:tbl>
    <w:p w14:paraId="2516967B" w14:textId="77777777" w:rsidR="006F79FC" w:rsidRDefault="006D179F" w:rsidP="006F79FC">
      <w:pPr>
        <w:pStyle w:val="Heading4"/>
      </w:pPr>
      <w:r>
        <w:t>Throughput</w:t>
      </w:r>
    </w:p>
    <w:p w14:paraId="6E97B9A2" w14:textId="77777777" w:rsidR="00E26158" w:rsidRDefault="00E26158" w:rsidP="00E26158">
      <w:r w:rsidRPr="435566E8">
        <w:rPr>
          <w:rFonts w:eastAsia="Times"/>
        </w:rPr>
        <w:t xml:space="preserve">Funding for </w:t>
      </w:r>
      <w:r w:rsidR="007C3555" w:rsidRPr="435566E8">
        <w:rPr>
          <w:rFonts w:eastAsia="Times"/>
        </w:rPr>
        <w:t xml:space="preserve">elective surgery </w:t>
      </w:r>
      <w:r w:rsidRPr="435566E8">
        <w:rPr>
          <w:rFonts w:eastAsia="Times"/>
        </w:rPr>
        <w:t xml:space="preserve">throughput will be consistent with standard policy. Health </w:t>
      </w:r>
      <w:r w:rsidR="007C3555" w:rsidRPr="435566E8">
        <w:rPr>
          <w:rFonts w:eastAsia="Times"/>
        </w:rPr>
        <w:t xml:space="preserve">services should engage with the department if they are </w:t>
      </w:r>
      <w:r w:rsidRPr="435566E8">
        <w:rPr>
          <w:rFonts w:eastAsia="Times"/>
        </w:rPr>
        <w:t>likely to exceed their overall target rather than rely on throughput policy.</w:t>
      </w:r>
    </w:p>
    <w:p w14:paraId="4DB96A98" w14:textId="77777777" w:rsidR="00C162B4" w:rsidRPr="00E8045D" w:rsidRDefault="00C162B4" w:rsidP="00C162B4">
      <w:pPr>
        <w:pStyle w:val="Heading4"/>
      </w:pPr>
      <w:r>
        <w:t>Conditions</w:t>
      </w:r>
    </w:p>
    <w:p w14:paraId="5D3B350A" w14:textId="77777777" w:rsidR="006F79FC" w:rsidRDefault="006F79FC" w:rsidP="006F79FC">
      <w:pPr>
        <w:pStyle w:val="Body"/>
      </w:pPr>
      <w:r>
        <w:t xml:space="preserve">A condition of acceptance of funding to deliver additional elective surgery is that health services immediately identify operational risks with the department that arise during the year known to impact ability to deliver proposed targets. Adjustment to the target and funding may be more frequent on this basis. Health </w:t>
      </w:r>
      <w:r w:rsidR="007C3555">
        <w:t xml:space="preserve">services </w:t>
      </w:r>
      <w:r>
        <w:t>will also be required to provide monthly activity targets to support regular monitoring and review.</w:t>
      </w:r>
    </w:p>
    <w:p w14:paraId="053DCB65" w14:textId="77777777" w:rsidR="006F79FC" w:rsidRDefault="006F79FC" w:rsidP="00003355">
      <w:pPr>
        <w:pStyle w:val="Body"/>
      </w:pPr>
    </w:p>
    <w:p w14:paraId="6419C0CB" w14:textId="3DBE0B93" w:rsidR="000B27B9" w:rsidRDefault="000B27B9" w:rsidP="00077FFD">
      <w:pPr>
        <w:pStyle w:val="Heading2"/>
        <w:spacing w:after="440" w:line="440" w:lineRule="atLeast"/>
        <w:ind w:left="1134" w:hanging="1134"/>
      </w:pPr>
      <w:bookmarkStart w:id="444" w:name="_Toc52892601"/>
      <w:bookmarkStart w:id="445" w:name="_Toc100263334"/>
      <w:bookmarkStart w:id="446" w:name="_Toc127191983"/>
      <w:bookmarkEnd w:id="390"/>
      <w:bookmarkEnd w:id="391"/>
      <w:bookmarkEnd w:id="392"/>
      <w:bookmarkEnd w:id="393"/>
      <w:bookmarkEnd w:id="394"/>
      <w:bookmarkEnd w:id="395"/>
      <w:bookmarkEnd w:id="396"/>
      <w:bookmarkEnd w:id="440"/>
      <w:r>
        <w:lastRenderedPageBreak/>
        <w:t xml:space="preserve">Funding for </w:t>
      </w:r>
      <w:r w:rsidR="00D95BA9">
        <w:t>I</w:t>
      </w:r>
      <w:r>
        <w:t xml:space="preserve">nterstate and </w:t>
      </w:r>
      <w:r w:rsidR="00D95BA9">
        <w:t>I</w:t>
      </w:r>
      <w:r>
        <w:t xml:space="preserve">nternational </w:t>
      </w:r>
      <w:r w:rsidR="00D95BA9">
        <w:t>P</w:t>
      </w:r>
      <w:r>
        <w:t>atients</w:t>
      </w:r>
      <w:bookmarkEnd w:id="444"/>
      <w:bookmarkEnd w:id="445"/>
      <w:bookmarkEnd w:id="446"/>
    </w:p>
    <w:p w14:paraId="4B060848" w14:textId="14B687A1" w:rsidR="000B27B9" w:rsidRDefault="000B27B9" w:rsidP="009375E0">
      <w:pPr>
        <w:pStyle w:val="Heading3"/>
        <w:spacing w:before="240"/>
      </w:pPr>
      <w:bookmarkStart w:id="447" w:name="_Toc418694977"/>
      <w:bookmarkStart w:id="448" w:name="_Toc6215631"/>
      <w:bookmarkStart w:id="449" w:name="_Toc10199704"/>
      <w:bookmarkStart w:id="450" w:name="_Toc52892602"/>
      <w:bookmarkStart w:id="451" w:name="_Toc100263335"/>
      <w:bookmarkStart w:id="452" w:name="_Toc127191984"/>
      <w:r>
        <w:t xml:space="preserve">Compensable </w:t>
      </w:r>
      <w:r w:rsidR="00D95BA9">
        <w:t>P</w:t>
      </w:r>
      <w:r>
        <w:t>atients</w:t>
      </w:r>
      <w:bookmarkEnd w:id="447"/>
      <w:bookmarkEnd w:id="448"/>
      <w:bookmarkEnd w:id="449"/>
      <w:bookmarkEnd w:id="450"/>
      <w:bookmarkEnd w:id="451"/>
      <w:bookmarkEnd w:id="452"/>
    </w:p>
    <w:p w14:paraId="304B50C4" w14:textId="77777777" w:rsidR="00E678A6" w:rsidRDefault="000B27B9" w:rsidP="00E678A6">
      <w:pPr>
        <w:pStyle w:val="Heading4"/>
      </w:pPr>
      <w:bookmarkStart w:id="453" w:name="_Toc418694978"/>
      <w:bookmarkStart w:id="454" w:name="_Ref9932284"/>
      <w:bookmarkStart w:id="455" w:name="_Ref9932289"/>
      <w:r w:rsidRPr="001E7F44">
        <w:t xml:space="preserve">Department of Veterans’ </w:t>
      </w:r>
      <w:bookmarkEnd w:id="453"/>
      <w:bookmarkEnd w:id="454"/>
      <w:bookmarkEnd w:id="455"/>
      <w:r w:rsidR="00E678A6">
        <w:t>Affairs</w:t>
      </w:r>
    </w:p>
    <w:p w14:paraId="745AF3EB" w14:textId="4FCE6BF5" w:rsidR="00E678A6" w:rsidRDefault="00E678A6" w:rsidP="00E678A6">
      <w:pPr>
        <w:pStyle w:val="Body"/>
      </w:pPr>
      <w:r>
        <w:t>In March 2017</w:t>
      </w:r>
      <w:r w:rsidR="007C3555">
        <w:t>,</w:t>
      </w:r>
      <w:r>
        <w:t xml:space="preserve"> the Secretary to the Department of Veterans’ Affairs, delegates from the Military Rehabilitation and Compensation Commission and Repatriation Commission, and the Victorian Minister for Health, signed the Hospital Services Arrangement between the Commonwealth of Australia</w:t>
      </w:r>
      <w:r w:rsidR="3D070B9D">
        <w:t xml:space="preserve">, </w:t>
      </w:r>
      <w:r>
        <w:t>the Repatriation Commission and the Military Rehabilitation and compensation Commission</w:t>
      </w:r>
      <w:r w:rsidR="3D070B9D">
        <w:t>,</w:t>
      </w:r>
      <w:r>
        <w:t xml:space="preserve"> and the State of Victoria. The arrangement implement</w:t>
      </w:r>
      <w:r w:rsidR="3D070B9D">
        <w:t>ed</w:t>
      </w:r>
      <w:r>
        <w:t xml:space="preserve"> a uniform national purchasing arrangement for public hospital services provided to eligible veterans.</w:t>
      </w:r>
    </w:p>
    <w:p w14:paraId="604C6D90" w14:textId="7991D7A1" w:rsidR="00E678A6" w:rsidRPr="00546F54" w:rsidRDefault="00E678A6" w:rsidP="00E678A6">
      <w:pPr>
        <w:pStyle w:val="Body"/>
      </w:pPr>
      <w:r w:rsidRPr="00E446BC">
        <w:t xml:space="preserve">The </w:t>
      </w:r>
      <w:r w:rsidRPr="00546F54">
        <w:t xml:space="preserve">arrangement </w:t>
      </w:r>
      <w:r w:rsidR="3D070B9D">
        <w:t>has seen</w:t>
      </w:r>
      <w:r w:rsidRPr="00546F54">
        <w:t xml:space="preserve"> the Department of Veterans’ Affairs pay Victoria according to the Independent </w:t>
      </w:r>
      <w:r w:rsidR="00303B89" w:rsidRPr="00546F54">
        <w:t>H</w:t>
      </w:r>
      <w:r w:rsidR="00303B89">
        <w:t>ealth</w:t>
      </w:r>
      <w:r w:rsidR="00303B89" w:rsidRPr="00546F54">
        <w:t xml:space="preserve"> </w:t>
      </w:r>
      <w:r w:rsidRPr="00546F54">
        <w:t>Pricing Authority’s funding models, with modifications to reflect the contribution that the Department of Veterans’ Affairs makes separately to medical practitioners. As a result of th</w:t>
      </w:r>
      <w:r>
        <w:t>o</w:t>
      </w:r>
      <w:r w:rsidRPr="00546F54">
        <w:t xml:space="preserve">se new funding arrangements, the Department of Veterans’ Affairs </w:t>
      </w:r>
      <w:r>
        <w:t>now</w:t>
      </w:r>
      <w:r w:rsidRPr="00546F54">
        <w:t xml:space="preserve"> pay</w:t>
      </w:r>
      <w:r>
        <w:t>s</w:t>
      </w:r>
      <w:r w:rsidRPr="00546F54">
        <w:t xml:space="preserve"> the department </w:t>
      </w:r>
      <w:r>
        <w:t xml:space="preserve">based on </w:t>
      </w:r>
      <w:r w:rsidRPr="00546F54">
        <w:t xml:space="preserve">the </w:t>
      </w:r>
      <w:r w:rsidR="00C71497">
        <w:t>N</w:t>
      </w:r>
      <w:r w:rsidR="0074176B" w:rsidRPr="00546F54">
        <w:t xml:space="preserve">ational </w:t>
      </w:r>
      <w:r w:rsidR="00C71497">
        <w:t>E</w:t>
      </w:r>
      <w:r w:rsidR="0074176B" w:rsidRPr="00546F54">
        <w:t xml:space="preserve">fficient </w:t>
      </w:r>
      <w:r w:rsidR="00C71497">
        <w:t>P</w:t>
      </w:r>
      <w:r w:rsidR="0074176B" w:rsidRPr="00546F54">
        <w:t>rice</w:t>
      </w:r>
      <w:r w:rsidR="0074176B">
        <w:t xml:space="preserve"> </w:t>
      </w:r>
      <w:r>
        <w:t>on an NWAU basis</w:t>
      </w:r>
      <w:r w:rsidR="00B52718">
        <w:t>.</w:t>
      </w:r>
    </w:p>
    <w:p w14:paraId="6F141C6E" w14:textId="77777777" w:rsidR="00E678A6" w:rsidRDefault="00E678A6" w:rsidP="00E678A6">
      <w:pPr>
        <w:pStyle w:val="Body"/>
      </w:pPr>
      <w:r>
        <w:t>Funding for admitted acute and subacute services will continue to be paid to actuals, while the funding for emergency departments, acute non-admitted services and the Health Independence Program will continue to be provided on a block basis, with the available revenue from</w:t>
      </w:r>
      <w:r w:rsidRPr="453891C7">
        <w:t xml:space="preserve"> </w:t>
      </w:r>
      <w:r>
        <w:t>Department of Veterans’ Affairs allocated based on a health service’s share of the total weighted activity.</w:t>
      </w:r>
    </w:p>
    <w:p w14:paraId="7193901C" w14:textId="239CC3C1" w:rsidR="00ED32DF" w:rsidRPr="00AF169A" w:rsidRDefault="00ED32DF" w:rsidP="00CE39B6">
      <w:pPr>
        <w:pStyle w:val="Heading5"/>
        <w:numPr>
          <w:ilvl w:val="0"/>
          <w:numId w:val="0"/>
        </w:numPr>
        <w:ind w:left="964" w:hanging="964"/>
      </w:pPr>
      <w:r>
        <w:t xml:space="preserve">Department of Veterans’ Affairs </w:t>
      </w:r>
      <w:r w:rsidR="00D95BA9">
        <w:t>P</w:t>
      </w:r>
      <w:r>
        <w:t>atients</w:t>
      </w:r>
    </w:p>
    <w:p w14:paraId="450C6E98" w14:textId="77777777" w:rsidR="000C621B" w:rsidRDefault="00E36220" w:rsidP="00ED32DF">
      <w:pPr>
        <w:pStyle w:val="Body"/>
      </w:pPr>
      <w:r>
        <w:t xml:space="preserve">The Department of Veterans’ Affairs </w:t>
      </w:r>
      <w:r w:rsidR="006315B9">
        <w:t xml:space="preserve">Hospital Services Arrangements is an intergovernmental agreement between </w:t>
      </w:r>
      <w:r w:rsidR="00133EF1">
        <w:t>Victoria and the Commonwealth</w:t>
      </w:r>
      <w:r w:rsidR="006315B9">
        <w:t xml:space="preserve">. The current agreement is in effect </w:t>
      </w:r>
      <w:r w:rsidR="00A2097F">
        <w:t>from 1</w:t>
      </w:r>
      <w:r w:rsidR="006315B9">
        <w:t> </w:t>
      </w:r>
      <w:r w:rsidR="00A2097F">
        <w:t>July</w:t>
      </w:r>
      <w:r w:rsidR="006315B9">
        <w:t> </w:t>
      </w:r>
      <w:r w:rsidR="00A2097F">
        <w:t xml:space="preserve">2019 to </w:t>
      </w:r>
      <w:r w:rsidR="00654CE3">
        <w:t>30 June 2023</w:t>
      </w:r>
      <w:r w:rsidR="00A2097F">
        <w:t xml:space="preserve"> </w:t>
      </w:r>
      <w:r w:rsidR="006315B9">
        <w:t xml:space="preserve">and sets out </w:t>
      </w:r>
      <w:r w:rsidR="00A2097F">
        <w:t xml:space="preserve">arrangements </w:t>
      </w:r>
      <w:r w:rsidR="00352EC1">
        <w:t xml:space="preserve">for </w:t>
      </w:r>
      <w:r w:rsidR="006315B9">
        <w:t xml:space="preserve">provision of hospital services to </w:t>
      </w:r>
      <w:r w:rsidR="00352EC1">
        <w:t>eligible patients who elect to be treated under</w:t>
      </w:r>
      <w:r w:rsidR="006315B9">
        <w:t xml:space="preserve"> their</w:t>
      </w:r>
      <w:r w:rsidR="00352EC1">
        <w:t xml:space="preserve"> </w:t>
      </w:r>
      <w:r w:rsidR="00A2097F">
        <w:t xml:space="preserve">Department of Veterans’ Affairs </w:t>
      </w:r>
      <w:r w:rsidR="00EA0C08">
        <w:t>entitlements</w:t>
      </w:r>
      <w:r w:rsidR="00A2097F">
        <w:t>.</w:t>
      </w:r>
    </w:p>
    <w:p w14:paraId="08FB90C4" w14:textId="77777777" w:rsidR="000B27B9" w:rsidRPr="00D17F68" w:rsidRDefault="000B27B9" w:rsidP="00CE39B6">
      <w:pPr>
        <w:pStyle w:val="Heading5"/>
        <w:numPr>
          <w:ilvl w:val="0"/>
          <w:numId w:val="0"/>
        </w:numPr>
        <w:ind w:left="964" w:hanging="964"/>
      </w:pPr>
      <w:r w:rsidRPr="00D17F68">
        <w:t>Eligibility</w:t>
      </w:r>
    </w:p>
    <w:p w14:paraId="35ED76FC" w14:textId="3ECE9BA3" w:rsidR="000B27B9" w:rsidRDefault="000B27B9" w:rsidP="00B92CD4">
      <w:pPr>
        <w:pStyle w:val="Body"/>
      </w:pPr>
      <w:r>
        <w:t>Eligible veterans and war widows or widowers have access to a wide range of benefits and services through the Department of Veterans’ Affairs including hospital; medical and allied health services; respite and convalescent care; rehabilitation aids and appliances; and assistance with transport and accommodation.</w:t>
      </w:r>
    </w:p>
    <w:p w14:paraId="71FA7BD5" w14:textId="77777777" w:rsidR="000B27B9" w:rsidRDefault="000B27B9" w:rsidP="00B92CD4">
      <w:pPr>
        <w:pStyle w:val="Body"/>
      </w:pPr>
      <w:r>
        <w:t>Organisations must ensure that patients formally elect to be treated as a veteran at each admission and that they collect and provide to the department the eligible veteran’s name, their Department of Veterans’ Affairs unique identifier, their date of birth and their sex. Final payment will only be authorised after the veteran’s eligibility has been confirmed by the Department of Veterans’ Affairs.</w:t>
      </w:r>
    </w:p>
    <w:p w14:paraId="316D95DD" w14:textId="77777777" w:rsidR="000B27B9" w:rsidRDefault="000B27B9" w:rsidP="00B92CD4">
      <w:pPr>
        <w:pStyle w:val="Body"/>
      </w:pPr>
      <w:r>
        <w:t>Eligible veterans will not be covered under the Department of Veterans’ Affairs arrangement if they:</w:t>
      </w:r>
    </w:p>
    <w:p w14:paraId="541AFFF3" w14:textId="77777777" w:rsidR="000B27B9" w:rsidRPr="0074176B" w:rsidRDefault="000B27B9" w:rsidP="00D27448">
      <w:pPr>
        <w:pStyle w:val="Bullet1"/>
      </w:pPr>
      <w:r w:rsidRPr="0074176B">
        <w:t>do not elect to be treated as a Department of Veterans’ Affairs’ patient</w:t>
      </w:r>
    </w:p>
    <w:p w14:paraId="2AD9DDC0" w14:textId="77777777" w:rsidR="000B27B9" w:rsidRPr="0074176B" w:rsidRDefault="000B27B9" w:rsidP="00D27448">
      <w:pPr>
        <w:pStyle w:val="Bullet1"/>
      </w:pPr>
      <w:r w:rsidRPr="0074176B">
        <w:t>elect to be treated as a public patient</w:t>
      </w:r>
    </w:p>
    <w:p w14:paraId="031CEBBD" w14:textId="77777777" w:rsidR="000B27B9" w:rsidRPr="0074176B" w:rsidRDefault="000B27B9" w:rsidP="00D27448">
      <w:pPr>
        <w:pStyle w:val="Bullet1"/>
      </w:pPr>
      <w:r w:rsidRPr="0074176B">
        <w:t xml:space="preserve">are </w:t>
      </w:r>
      <w:r w:rsidR="00FE4871" w:rsidRPr="0074176B">
        <w:t>eligible under</w:t>
      </w:r>
      <w:r w:rsidRPr="0074176B">
        <w:t xml:space="preserve"> another category of compensable patient, such as a </w:t>
      </w:r>
      <w:r w:rsidR="00FE4871" w:rsidRPr="0074176B">
        <w:t xml:space="preserve">Traffic Accident Commission </w:t>
      </w:r>
      <w:r w:rsidRPr="0074176B">
        <w:t xml:space="preserve">or Victorian WorkCover Authority </w:t>
      </w:r>
    </w:p>
    <w:p w14:paraId="078C7519" w14:textId="77777777" w:rsidR="000B27B9" w:rsidRPr="0074176B" w:rsidRDefault="000B27B9" w:rsidP="00D27448">
      <w:pPr>
        <w:pStyle w:val="Bullet1"/>
      </w:pPr>
      <w:r w:rsidRPr="0074176B">
        <w:t xml:space="preserve">elect to </w:t>
      </w:r>
      <w:r w:rsidR="00FE4871" w:rsidRPr="0074176B">
        <w:t>be treated as a private patient</w:t>
      </w:r>
      <w:r w:rsidRPr="0074176B">
        <w:t>.</w:t>
      </w:r>
    </w:p>
    <w:p w14:paraId="327505D8" w14:textId="77777777" w:rsidR="000B27B9" w:rsidRDefault="000B27B9" w:rsidP="00B92CD4">
      <w:pPr>
        <w:pStyle w:val="Bodyafterbullets"/>
      </w:pPr>
      <w:r>
        <w:t xml:space="preserve">Health services will need to retrospectively reclassify patients as public patients in the event that the Department of Veterans’ Affairs eligibility criteria are not met and resubmit the rejected records to </w:t>
      </w:r>
      <w:r>
        <w:lastRenderedPageBreak/>
        <w:t>the department. The department will not accept any risk for assumed revenue lost because Department of Veterans’ Affairs eligibility requirements have not been met.</w:t>
      </w:r>
    </w:p>
    <w:p w14:paraId="4E6DFE0F" w14:textId="77777777" w:rsidR="000B27B9" w:rsidRDefault="000B27B9" w:rsidP="00B92CD4">
      <w:pPr>
        <w:pStyle w:val="Body"/>
      </w:pPr>
      <w:r>
        <w:t>Experience has shown that those health services that actively develop service quality and marketing plans and employ veteran or patient liaison officers are more likely to retain Department of Veterans’ Affairs patients.</w:t>
      </w:r>
    </w:p>
    <w:p w14:paraId="6CB864CB" w14:textId="59D94322" w:rsidR="000B27B9" w:rsidRDefault="000B27B9" w:rsidP="00CE39B6">
      <w:pPr>
        <w:pStyle w:val="Heading5"/>
        <w:numPr>
          <w:ilvl w:val="0"/>
          <w:numId w:val="0"/>
        </w:numPr>
        <w:ind w:left="964" w:hanging="964"/>
      </w:pPr>
      <w:r>
        <w:t xml:space="preserve">Admission </w:t>
      </w:r>
      <w:r w:rsidR="00D95BA9">
        <w:t>R</w:t>
      </w:r>
      <w:r>
        <w:t>equirements</w:t>
      </w:r>
    </w:p>
    <w:p w14:paraId="78FFB215" w14:textId="77777777" w:rsidR="000B27B9" w:rsidRDefault="000B27B9" w:rsidP="00B92CD4">
      <w:pPr>
        <w:pStyle w:val="Body"/>
      </w:pPr>
      <w:r w:rsidRPr="004B0AC8">
        <w:t xml:space="preserve">Within two days of admission to hospital, health services should complete a </w:t>
      </w:r>
      <w:r w:rsidRPr="00C956A4">
        <w:t>Department of Veterans’ Affairs</w:t>
      </w:r>
      <w:r w:rsidRPr="004B0AC8">
        <w:t xml:space="preserve"> Hospital Admission Voucher (or form </w:t>
      </w:r>
      <w:r>
        <w:t>that</w:t>
      </w:r>
      <w:r w:rsidRPr="004B0AC8">
        <w:t xml:space="preserve"> captures equivalent information) for each admitted </w:t>
      </w:r>
      <w:r>
        <w:t>eligible veteran</w:t>
      </w:r>
      <w:r w:rsidRPr="004B0AC8">
        <w:t xml:space="preserve">. Health services should ensure that the admission of </w:t>
      </w:r>
      <w:r>
        <w:t xml:space="preserve">eligible veterans </w:t>
      </w:r>
      <w:r w:rsidRPr="004B0AC8">
        <w:t>is in accordance with Victoria’s admission policy and other relevant policies and procedures.</w:t>
      </w:r>
    </w:p>
    <w:p w14:paraId="045FD707" w14:textId="77777777" w:rsidR="000B27B9" w:rsidRDefault="000B27B9" w:rsidP="00B92CD4">
      <w:pPr>
        <w:pStyle w:val="Body"/>
      </w:pPr>
      <w:r>
        <w:t>Eligible veterans will continue to be provided public health services on a private patient basis, which entitles them to a minimum of:</w:t>
      </w:r>
    </w:p>
    <w:p w14:paraId="6BC8E3B5" w14:textId="77777777" w:rsidR="000B27B9" w:rsidRDefault="000B27B9" w:rsidP="00E05C4E">
      <w:pPr>
        <w:pStyle w:val="Bullet1"/>
      </w:pPr>
      <w:r>
        <w:t>choice of doctor (subject to the doctor having rights of private practice)</w:t>
      </w:r>
    </w:p>
    <w:p w14:paraId="14D4917D" w14:textId="77777777" w:rsidR="000B27B9" w:rsidRDefault="000B27B9" w:rsidP="00E05C4E">
      <w:pPr>
        <w:pStyle w:val="Bullet1"/>
      </w:pPr>
      <w:r>
        <w:t>shared accommodation</w:t>
      </w:r>
    </w:p>
    <w:p w14:paraId="39DE3044" w14:textId="77777777" w:rsidR="000B27B9" w:rsidRDefault="000B27B9" w:rsidP="00E05C4E">
      <w:pPr>
        <w:pStyle w:val="Bullet1"/>
      </w:pPr>
      <w:r>
        <w:t>if medically necessary, private accommodation</w:t>
      </w:r>
    </w:p>
    <w:p w14:paraId="1BEE81F6" w14:textId="77777777" w:rsidR="000B27B9" w:rsidRDefault="000B27B9" w:rsidP="00E05C4E">
      <w:pPr>
        <w:pStyle w:val="Bullet1"/>
      </w:pPr>
      <w:r>
        <w:t>private accommodation, if available, where the patient or their private health insurer agrees to pay the difference between the shared and private accommodation.</w:t>
      </w:r>
    </w:p>
    <w:p w14:paraId="27FC8B5E" w14:textId="77777777" w:rsidR="000B27B9" w:rsidRPr="00CA47B9" w:rsidRDefault="000B27B9" w:rsidP="00B92CD4">
      <w:pPr>
        <w:pStyle w:val="Bodyafterbullets"/>
      </w:pPr>
      <w:r>
        <w:t>Eligible veterans are eligible to access convalescent care or respite care in public health services following an acute or subacute stay without the need for financial authorisation from Department of Veterans’ Affairs.</w:t>
      </w:r>
    </w:p>
    <w:p w14:paraId="1E7B5630" w14:textId="77777777" w:rsidR="000B27B9" w:rsidRDefault="000B27B9" w:rsidP="00CE39B6">
      <w:pPr>
        <w:pStyle w:val="Heading5"/>
        <w:numPr>
          <w:ilvl w:val="0"/>
          <w:numId w:val="0"/>
        </w:numPr>
        <w:ind w:left="964" w:hanging="964"/>
      </w:pPr>
      <w:r>
        <w:t>Pharmaceuticals</w:t>
      </w:r>
    </w:p>
    <w:p w14:paraId="7CA63C63" w14:textId="77777777" w:rsidR="000B27B9" w:rsidRDefault="000B27B9" w:rsidP="00B92CD4">
      <w:pPr>
        <w:pStyle w:val="Body"/>
      </w:pPr>
      <w:r>
        <w:t>Health services should ensure medication reviews (including self-management) are completed before discharge by the clinical pharmacist or doctor for patients:</w:t>
      </w:r>
    </w:p>
    <w:p w14:paraId="106790B6" w14:textId="77777777" w:rsidR="000B27B9" w:rsidRDefault="000B27B9" w:rsidP="00E05C4E">
      <w:pPr>
        <w:pStyle w:val="Bullet1"/>
      </w:pPr>
      <w:r>
        <w:t>who require administration of four or more different medications or more than 12 doses of medication daily</w:t>
      </w:r>
    </w:p>
    <w:p w14:paraId="70275B93" w14:textId="77777777" w:rsidR="000B27B9" w:rsidRDefault="000B27B9" w:rsidP="00E05C4E">
      <w:pPr>
        <w:pStyle w:val="Bullet1"/>
      </w:pPr>
      <w:r>
        <w:t>where a change in medication has occurred during the admission</w:t>
      </w:r>
    </w:p>
    <w:p w14:paraId="30F0FEDB" w14:textId="4CA51EE9" w:rsidR="000B27B9" w:rsidRDefault="000B27B9" w:rsidP="00E05C4E">
      <w:pPr>
        <w:pStyle w:val="Bullet1"/>
      </w:pPr>
      <w:r>
        <w:t>where anticoagulant therapy has commenced during the admission.</w:t>
      </w:r>
    </w:p>
    <w:p w14:paraId="286DD321" w14:textId="77777777" w:rsidR="000B27B9" w:rsidRDefault="000B27B9" w:rsidP="00B92CD4">
      <w:pPr>
        <w:pStyle w:val="Bodyafterbullets"/>
      </w:pPr>
      <w:r>
        <w:t>Medication reviews are to be documented on an appropriate approved form, be available to the patient and care providers on discharge and involve education as a component.</w:t>
      </w:r>
    </w:p>
    <w:p w14:paraId="18495BFA" w14:textId="77777777" w:rsidR="000B27B9" w:rsidRDefault="000B27B9" w:rsidP="00B92CD4">
      <w:pPr>
        <w:pStyle w:val="Body"/>
      </w:pPr>
      <w:r>
        <w:t>The Veteran Affairs Pharmaceutical Advisory Centre can be contacted on 1800 552 580.</w:t>
      </w:r>
    </w:p>
    <w:p w14:paraId="515A4822" w14:textId="4FB13ED4" w:rsidR="000B27B9" w:rsidRDefault="000B27B9" w:rsidP="00CE39B6">
      <w:pPr>
        <w:pStyle w:val="Heading5"/>
        <w:numPr>
          <w:ilvl w:val="0"/>
          <w:numId w:val="0"/>
        </w:numPr>
        <w:ind w:left="964" w:hanging="964"/>
      </w:pPr>
      <w:r>
        <w:t xml:space="preserve">Long </w:t>
      </w:r>
      <w:r w:rsidR="00D95BA9">
        <w:t>S</w:t>
      </w:r>
      <w:r>
        <w:t>tay</w:t>
      </w:r>
    </w:p>
    <w:p w14:paraId="0F8E10AE" w14:textId="77777777" w:rsidR="000B27B9" w:rsidRDefault="000B27B9" w:rsidP="00B92CD4">
      <w:pPr>
        <w:pStyle w:val="Body"/>
      </w:pPr>
      <w:r>
        <w:t>I</w:t>
      </w:r>
      <w:r w:rsidRPr="00C33741">
        <w:t>f the hospitalisation of an eligible veteran is likely to exceed a continuous period of 35 days in any care type other than nursing home type and palliative care, the Department of Veterans’ Affairs requires that health services ensure the veteran’s status is reviewed and that either:</w:t>
      </w:r>
    </w:p>
    <w:p w14:paraId="58228BE5" w14:textId="77777777" w:rsidR="000B27B9" w:rsidRDefault="000B27B9" w:rsidP="00E05C4E">
      <w:pPr>
        <w:pStyle w:val="Bullet1"/>
      </w:pPr>
      <w:r>
        <w:t xml:space="preserve">a certificate similar to that previously required under s. 3B of the </w:t>
      </w:r>
      <w:r w:rsidRPr="4DDFA079">
        <w:rPr>
          <w:i/>
          <w:iCs/>
        </w:rPr>
        <w:t>Health Insurance Act 1973</w:t>
      </w:r>
      <w:r>
        <w:t xml:space="preserve"> is completed by a medical practitioner and held on the patients file for audit purposes</w:t>
      </w:r>
    </w:p>
    <w:p w14:paraId="405DC23C" w14:textId="77777777" w:rsidR="000B27B9" w:rsidRDefault="000B27B9" w:rsidP="00E05C4E">
      <w:pPr>
        <w:pStyle w:val="Bullet1"/>
      </w:pPr>
      <w:r>
        <w:t>reclassifies the patient as either maintenance or, in the case of small rural health services, the eligible veteran is reclassified to a nursing home type patient and the changed status and payment adjusted accordingly. Where the patient is reclassified, the hospitals should use their best endeavours to ensure the patient is assessed and a discharge plan is developed.</w:t>
      </w:r>
    </w:p>
    <w:p w14:paraId="67F13CCE" w14:textId="65033160" w:rsidR="000B27B9" w:rsidRDefault="000B27B9" w:rsidP="00B92CD4">
      <w:pPr>
        <w:pStyle w:val="Bodyafterbullets"/>
      </w:pPr>
      <w:r>
        <w:t xml:space="preserve">Under </w:t>
      </w:r>
      <w:r w:rsidR="5A312A85">
        <w:t>current arrangements</w:t>
      </w:r>
      <w:r>
        <w:t xml:space="preserve">, the </w:t>
      </w:r>
      <w:r w:rsidRPr="00C33741">
        <w:t>Acute Care Certificate or equivalent</w:t>
      </w:r>
      <w:r>
        <w:t xml:space="preserve"> is no longer required to be sent to the Department of Veterans’ Affairs.</w:t>
      </w:r>
    </w:p>
    <w:p w14:paraId="2CB68FD7" w14:textId="7AD36746" w:rsidR="000B27B9" w:rsidRDefault="000B27B9" w:rsidP="00CE39B6">
      <w:pPr>
        <w:pStyle w:val="Heading5"/>
        <w:numPr>
          <w:ilvl w:val="0"/>
          <w:numId w:val="0"/>
        </w:numPr>
        <w:ind w:left="964" w:hanging="964"/>
      </w:pPr>
      <w:r>
        <w:lastRenderedPageBreak/>
        <w:t xml:space="preserve">Nursing </w:t>
      </w:r>
      <w:r w:rsidR="00D95BA9">
        <w:t>H</w:t>
      </w:r>
      <w:r>
        <w:t xml:space="preserve">ome </w:t>
      </w:r>
      <w:r w:rsidR="00D95BA9">
        <w:t>T</w:t>
      </w:r>
      <w:r>
        <w:t xml:space="preserve">ype </w:t>
      </w:r>
      <w:r w:rsidR="00D95BA9">
        <w:t>P</w:t>
      </w:r>
      <w:r>
        <w:t>atients</w:t>
      </w:r>
    </w:p>
    <w:p w14:paraId="72B8FF3F" w14:textId="77777777" w:rsidR="000B27B9" w:rsidRDefault="000B27B9" w:rsidP="00B92CD4">
      <w:pPr>
        <w:pStyle w:val="Body"/>
      </w:pPr>
      <w:r>
        <w:t>If eligible veterans are assessed as needing nursing home type or respite care and are at a multipurpose service (facilities that receive Commonwealth funding to operate residential care beds), then the health service must attempt to reclassify the patient from a hospital patient to a residential aged care recipient. If there are no residential aged care beds available, the patient should be reclassified as a nursing home type patient and Department of Veterans’ Affairs charged at the nursing home type patient rate. Department of Veterans’ Affairs will not pay for residential aged care under the arrangement.</w:t>
      </w:r>
    </w:p>
    <w:p w14:paraId="3E25136A" w14:textId="52F259E8" w:rsidR="000B27B9" w:rsidRDefault="000B27B9" w:rsidP="00B92CD4">
      <w:pPr>
        <w:pStyle w:val="Body"/>
      </w:pPr>
      <w:r>
        <w:t xml:space="preserve">Health services should collect any co-payment for nursing home type patient from the patient with the exception of Victoria Cross or </w:t>
      </w:r>
      <w:r w:rsidR="0074176B">
        <w:t>prisoners of war recipients</w:t>
      </w:r>
      <w:r>
        <w:t>. For this group, health services should make a claim directly based on prior approval to the Department of Veterans’ Affairs for reimbursement using MBS item number NH05.</w:t>
      </w:r>
    </w:p>
    <w:p w14:paraId="2F66A958" w14:textId="48823749" w:rsidR="000B27B9" w:rsidRDefault="000B27B9" w:rsidP="00CE39B6">
      <w:pPr>
        <w:pStyle w:val="Heading5"/>
        <w:numPr>
          <w:ilvl w:val="0"/>
          <w:numId w:val="0"/>
        </w:numPr>
        <w:ind w:left="964" w:hanging="964"/>
      </w:pPr>
      <w:r>
        <w:t xml:space="preserve">Discharge </w:t>
      </w:r>
      <w:r w:rsidR="00D95BA9">
        <w:t>P</w:t>
      </w:r>
      <w:r>
        <w:t>lanning</w:t>
      </w:r>
    </w:p>
    <w:p w14:paraId="107B54A9" w14:textId="77777777" w:rsidR="000B27B9" w:rsidRDefault="000B27B9" w:rsidP="00B92CD4">
      <w:pPr>
        <w:pStyle w:val="Body"/>
      </w:pPr>
      <w:r>
        <w:t>Health services will use their best endeavours to demonstrate effective discharge planning for Department of Veterans’ Affairs patients including the regular contribution of a multidisciplinary team, supporting documentation, discharge follow-up and communication with care providers and family and carers (with permission from the patient).</w:t>
      </w:r>
    </w:p>
    <w:p w14:paraId="666B9A01" w14:textId="074D66BB" w:rsidR="000B27B9" w:rsidRDefault="000B27B9" w:rsidP="00B92CD4">
      <w:pPr>
        <w:pStyle w:val="Body"/>
      </w:pPr>
      <w:r>
        <w:t xml:space="preserve">Written documentation in the form of a discharge plan should be provided to the patient or carer on the day of discharge. </w:t>
      </w:r>
      <w:r w:rsidR="00504638">
        <w:t xml:space="preserve">Use </w:t>
      </w:r>
      <w:r>
        <w:t>e</w:t>
      </w:r>
      <w:r w:rsidR="00504638">
        <w:t xml:space="preserve">lectronic discharge </w:t>
      </w:r>
      <w:r>
        <w:t xml:space="preserve">summaries </w:t>
      </w:r>
      <w:r w:rsidR="00504638">
        <w:t xml:space="preserve">if they are </w:t>
      </w:r>
      <w:r>
        <w:t xml:space="preserve">available. The Department of Veterans’ Affairs may request to see documentation of hospital discharge policies and procedures, as well as copies of the patient and hospital discharge plans. If the patient is enrolled in a Coordinated Veterans’ Care program, then the local medical officer or nurse coordinator must also receive a copy of the patient discharge plan (and </w:t>
      </w:r>
      <w:r w:rsidR="00504638">
        <w:t xml:space="preserve">be </w:t>
      </w:r>
      <w:r>
        <w:t>involved as appropriate).</w:t>
      </w:r>
    </w:p>
    <w:p w14:paraId="4900048F" w14:textId="77777777" w:rsidR="000B27B9" w:rsidRDefault="000B27B9" w:rsidP="00B92CD4">
      <w:pPr>
        <w:pStyle w:val="Body"/>
      </w:pPr>
      <w:r>
        <w:t>Health services should coordinate for a health professional to assess eligible veterans before discharge for community nursing, personal care, aids and appliances, home modifications or convalescent care. Any aids, equipment or modifications will be arranged through Department of Veterans’ Affairs services in a timely manner and be available to the patient prior to discharge. Public hospitals must provide a summary of discharge to the original referring doctor and local medical officer at, or within, 48 hours of discharge.</w:t>
      </w:r>
    </w:p>
    <w:p w14:paraId="20BBC6E1" w14:textId="77777777" w:rsidR="000B27B9" w:rsidRDefault="000B27B9" w:rsidP="00B92CD4">
      <w:pPr>
        <w:pStyle w:val="Body"/>
      </w:pPr>
      <w:r>
        <w:t>Referrals for community nursing services for Department of Veterans’ Affairs patients may be made to a Victorian or Commonwealth Government-funded program or to a Department of Veterans’ Affairs contracted provider.</w:t>
      </w:r>
    </w:p>
    <w:p w14:paraId="5EC972EA" w14:textId="6C83B712" w:rsidR="000B27B9" w:rsidRDefault="000B27B9" w:rsidP="00B92CD4">
      <w:pPr>
        <w:pStyle w:val="Body"/>
      </w:pPr>
      <w:r>
        <w:t>To arrange home and personal care services for eligible veterans, health services must contact the National Veterans’ Home Care assessment agency (1300 550 450). Discharge aids and equipment for veteran patients must be provided to facilitate safe discharge for a period of 30 days after discharge. For further information</w:t>
      </w:r>
      <w:r w:rsidR="00504638">
        <w:t>,</w:t>
      </w:r>
      <w:r>
        <w:t xml:space="preserve"> visit the </w:t>
      </w:r>
      <w:hyperlink r:id="rId75" w:history="1">
        <w:r w:rsidR="001B38D6">
          <w:rPr>
            <w:rStyle w:val="Hyperlink"/>
          </w:rPr>
          <w:t>Aids, appliances and home modifications webpage</w:t>
        </w:r>
      </w:hyperlink>
      <w:r>
        <w:t xml:space="preserve"> &lt;</w:t>
      </w:r>
      <w:r w:rsidRPr="00C91C6A">
        <w:t>https://www.dva.gov.au/health-and-wellbeing/home-and-care/rehabilitation-appliances-program-rap</w:t>
      </w:r>
      <w:r>
        <w:t>&gt; or</w:t>
      </w:r>
      <w:r w:rsidR="00B229F3">
        <w:t xml:space="preserve"> </w:t>
      </w:r>
      <w:r>
        <w:t>call 1300 550 457 (metro) or 1800 550 457 (rural).</w:t>
      </w:r>
    </w:p>
    <w:p w14:paraId="714A584A" w14:textId="1605FB6A" w:rsidR="000B27B9" w:rsidRDefault="000B27B9" w:rsidP="00CE39B6">
      <w:pPr>
        <w:pStyle w:val="Heading5"/>
        <w:numPr>
          <w:ilvl w:val="0"/>
          <w:numId w:val="0"/>
        </w:numPr>
        <w:ind w:left="964" w:hanging="964"/>
      </w:pPr>
      <w:r w:rsidRPr="00D17F68">
        <w:t xml:space="preserve">Funding </w:t>
      </w:r>
      <w:r w:rsidR="00D95BA9">
        <w:t>A</w:t>
      </w:r>
      <w:r w:rsidRPr="00D17F68">
        <w:t>rrangements</w:t>
      </w:r>
    </w:p>
    <w:p w14:paraId="4C2A148E" w14:textId="5A8231AD" w:rsidR="000B27B9" w:rsidRDefault="000B27B9" w:rsidP="00B92CD4">
      <w:pPr>
        <w:pStyle w:val="Body"/>
      </w:pPr>
      <w:r>
        <w:t xml:space="preserve">The </w:t>
      </w:r>
      <w:r w:rsidR="00BE0818">
        <w:t>Department of Veteran</w:t>
      </w:r>
      <w:r w:rsidR="00AB725C">
        <w:t>s’ Affairs Hospital Services Arrangements</w:t>
      </w:r>
      <w:r>
        <w:t xml:space="preserve"> will be based on the national funding model developed by the IH</w:t>
      </w:r>
      <w:r w:rsidR="006548D4">
        <w:t>AC</w:t>
      </w:r>
      <w:r>
        <w:t>PA, with modifications to reflect the contribution that the Department of Veterans’ Affairs provides to medical practitioners.</w:t>
      </w:r>
    </w:p>
    <w:p w14:paraId="0563673A" w14:textId="4FEF4F82" w:rsidR="000B27B9" w:rsidRDefault="000B27B9" w:rsidP="00B92CD4">
      <w:pPr>
        <w:pStyle w:val="Body"/>
      </w:pPr>
      <w:r w:rsidRPr="00FD0743">
        <w:t xml:space="preserve">Victoria will fund eligible veterans in alignment with revised Commonwealth revenue in </w:t>
      </w:r>
      <w:r w:rsidR="0097705A" w:rsidRPr="001B38D6">
        <w:rPr>
          <w:szCs w:val="21"/>
        </w:rPr>
        <w:t>2022</w:t>
      </w:r>
      <w:r w:rsidR="00504638">
        <w:rPr>
          <w:szCs w:val="21"/>
        </w:rPr>
        <w:t>–</w:t>
      </w:r>
      <w:r w:rsidR="0097705A" w:rsidRPr="001B38D6">
        <w:rPr>
          <w:szCs w:val="21"/>
        </w:rPr>
        <w:t>23</w:t>
      </w:r>
      <w:r>
        <w:t xml:space="preserve">. Funding for admitted acute and subacute services will continue to be paid to actual throughput based on the Victorian </w:t>
      </w:r>
      <w:r w:rsidR="765BB0B6">
        <w:t xml:space="preserve">NWAU </w:t>
      </w:r>
      <w:r>
        <w:t xml:space="preserve">and subacute </w:t>
      </w:r>
      <w:r w:rsidR="2BA3E1B6">
        <w:t xml:space="preserve">NWAU </w:t>
      </w:r>
      <w:r>
        <w:t>funding models. Funding for emergency departments (non-admitted presentations), acute non-admitted and HIP will be paid as a block grant and based on the health service’s activity share of total weighted activity.</w:t>
      </w:r>
    </w:p>
    <w:p w14:paraId="517BD52A" w14:textId="35CCCE52" w:rsidR="000B27B9" w:rsidRDefault="000B27B9" w:rsidP="00B92CD4">
      <w:pPr>
        <w:pStyle w:val="Body"/>
      </w:pPr>
      <w:r>
        <w:lastRenderedPageBreak/>
        <w:t>Funding arrangements for Department of Veterans’ Affairs patients are detailed in</w:t>
      </w:r>
      <w:r w:rsidR="00326253">
        <w:t xml:space="preserve"> </w:t>
      </w:r>
      <w:r w:rsidR="00326253">
        <w:fldChar w:fldCharType="begin"/>
      </w:r>
      <w:r w:rsidR="00326253">
        <w:instrText xml:space="preserve"> REF _Ref111539366 \r \h </w:instrText>
      </w:r>
      <w:r w:rsidR="00326253">
        <w:fldChar w:fldCharType="separate"/>
      </w:r>
      <w:r w:rsidR="00326253">
        <w:t>Table 1.8</w:t>
      </w:r>
      <w:r w:rsidR="00326253">
        <w:fldChar w:fldCharType="end"/>
      </w:r>
      <w:r w:rsidR="00CA556A">
        <w:t xml:space="preserve">. </w:t>
      </w:r>
      <w:r>
        <w:t>Throughput-based services will continue to attract a premium from the department for eligible veterans in recognition of the cost of treating these patients. Payment will be made on a reconcilable basis.</w:t>
      </w:r>
    </w:p>
    <w:p w14:paraId="16AD95D6" w14:textId="77777777" w:rsidR="000B27B9" w:rsidRDefault="000B27B9" w:rsidP="00B92CD4">
      <w:pPr>
        <w:pStyle w:val="Bodyafterbullets"/>
      </w:pPr>
      <w:r>
        <w:t>Payment for interfacility transport (excluding Secondary Aeromedical retrieval) is included in the payment arrangements for services.</w:t>
      </w:r>
    </w:p>
    <w:p w14:paraId="4B1DAE4A" w14:textId="21FD6689" w:rsidR="000B27B9" w:rsidRPr="00E7554A" w:rsidRDefault="000B27B9" w:rsidP="003C01AD">
      <w:pPr>
        <w:pStyle w:val="Tablecaption"/>
        <w:numPr>
          <w:ilvl w:val="0"/>
          <w:numId w:val="40"/>
        </w:numPr>
      </w:pPr>
      <w:bookmarkStart w:id="456" w:name="_Toc419623617"/>
      <w:bookmarkStart w:id="457" w:name="_Toc419623729"/>
      <w:bookmarkStart w:id="458" w:name="_Toc419644506"/>
      <w:bookmarkStart w:id="459" w:name="_Ref419714640"/>
      <w:bookmarkStart w:id="460" w:name="_Toc6215641"/>
      <w:bookmarkStart w:id="461" w:name="_Toc14194702"/>
      <w:bookmarkStart w:id="462" w:name="_Toc33715051"/>
      <w:bookmarkStart w:id="463" w:name="_Toc54261386"/>
      <w:bookmarkStart w:id="464" w:name="_Toc54616260"/>
      <w:bookmarkStart w:id="465" w:name="_Ref108527181"/>
      <w:bookmarkStart w:id="466" w:name="_Ref109157292"/>
      <w:bookmarkStart w:id="467" w:name="_Toc109894102"/>
      <w:bookmarkStart w:id="468" w:name="_Ref111539363"/>
      <w:bookmarkStart w:id="469" w:name="_Ref111539366"/>
      <w:bookmarkStart w:id="470" w:name="_Toc119500883"/>
      <w:r w:rsidRPr="00E7554A">
        <w:t>Funding arrangements for Department of Veterans’ Affairs patients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bl>
      <w:tblPr>
        <w:tblStyle w:val="TableGrid1"/>
        <w:tblW w:w="9299" w:type="dxa"/>
        <w:tblLook w:val="06A0" w:firstRow="1" w:lastRow="0" w:firstColumn="1" w:lastColumn="0" w:noHBand="1" w:noVBand="1"/>
      </w:tblPr>
      <w:tblGrid>
        <w:gridCol w:w="3080"/>
        <w:gridCol w:w="6219"/>
      </w:tblGrid>
      <w:tr w:rsidR="000B27B9" w:rsidRPr="0090298C" w14:paraId="6CC70EF1" w14:textId="77777777" w:rsidTr="006A7FA6">
        <w:trPr>
          <w:cnfStyle w:val="100000000000" w:firstRow="1" w:lastRow="0" w:firstColumn="0" w:lastColumn="0" w:oddVBand="0" w:evenVBand="0" w:oddHBand="0" w:evenHBand="0" w:firstRowFirstColumn="0" w:firstRowLastColumn="0" w:lastRowFirstColumn="0" w:lastRowLastColumn="0"/>
          <w:tblHeader/>
        </w:trPr>
        <w:tc>
          <w:tcPr>
            <w:tcW w:w="0" w:type="dxa"/>
          </w:tcPr>
          <w:p w14:paraId="3B784775" w14:textId="77777777" w:rsidR="000B27B9" w:rsidRPr="006A7FA6" w:rsidRDefault="000B27B9" w:rsidP="006A7FA6">
            <w:pPr>
              <w:pStyle w:val="Tablecolhead"/>
              <w:rPr>
                <w:color w:val="FFFFFF" w:themeColor="background1"/>
              </w:rPr>
            </w:pPr>
            <w:r w:rsidRPr="006A7FA6">
              <w:rPr>
                <w:color w:val="FFFFFF" w:themeColor="background1"/>
              </w:rPr>
              <w:t>Service</w:t>
            </w:r>
          </w:p>
        </w:tc>
        <w:tc>
          <w:tcPr>
            <w:tcW w:w="0" w:type="dxa"/>
          </w:tcPr>
          <w:p w14:paraId="105A2195" w14:textId="77777777" w:rsidR="000B27B9" w:rsidRPr="006A7FA6" w:rsidRDefault="000B27B9" w:rsidP="006A7FA6">
            <w:pPr>
              <w:pStyle w:val="Tablecolhead"/>
              <w:rPr>
                <w:color w:val="FFFFFF" w:themeColor="background1"/>
              </w:rPr>
            </w:pPr>
            <w:r w:rsidRPr="006A7FA6">
              <w:rPr>
                <w:color w:val="FFFFFF" w:themeColor="background1"/>
              </w:rPr>
              <w:t>Funding arrangements</w:t>
            </w:r>
          </w:p>
        </w:tc>
      </w:tr>
      <w:tr w:rsidR="000B27B9" w:rsidRPr="0066144B" w14:paraId="746CD5F7" w14:textId="77777777" w:rsidTr="006A7FA6">
        <w:tc>
          <w:tcPr>
            <w:tcW w:w="0" w:type="dxa"/>
          </w:tcPr>
          <w:p w14:paraId="2B952E23" w14:textId="77777777" w:rsidR="000B27B9" w:rsidRPr="00674F20" w:rsidRDefault="000B27B9" w:rsidP="006A7FA6">
            <w:pPr>
              <w:pStyle w:val="Tabletext"/>
            </w:pPr>
            <w:r w:rsidRPr="00674F20">
              <w:t>Admitted patient services</w:t>
            </w:r>
          </w:p>
        </w:tc>
        <w:tc>
          <w:tcPr>
            <w:tcW w:w="0" w:type="dxa"/>
          </w:tcPr>
          <w:p w14:paraId="1517AE7D" w14:textId="77777777" w:rsidR="000B27B9" w:rsidRPr="00674F20" w:rsidRDefault="000B27B9" w:rsidP="006A7FA6">
            <w:pPr>
              <w:pStyle w:val="Tabletext"/>
            </w:pPr>
            <w:r w:rsidRPr="00674F20">
              <w:t>Funding for the following services is based on throughput:</w:t>
            </w:r>
          </w:p>
          <w:p w14:paraId="488DA69C" w14:textId="77777777" w:rsidR="000B27B9" w:rsidRPr="00674F20" w:rsidRDefault="000B27B9" w:rsidP="006A7FA6">
            <w:pPr>
              <w:pStyle w:val="Tablebullet1"/>
            </w:pPr>
            <w:r w:rsidRPr="00674F20">
              <w:t xml:space="preserve">acute: health services receive </w:t>
            </w:r>
            <w:r>
              <w:t xml:space="preserve">the </w:t>
            </w:r>
            <w:r w:rsidRPr="00674F20">
              <w:t xml:space="preserve">Department of Veterans’ Affairs </w:t>
            </w:r>
            <w:r w:rsidR="2EF01711">
              <w:t xml:space="preserve">NWAU </w:t>
            </w:r>
            <w:r w:rsidRPr="00674F20">
              <w:t>throughput payments from the department</w:t>
            </w:r>
          </w:p>
          <w:p w14:paraId="7D3D8729" w14:textId="77777777" w:rsidR="000B27B9" w:rsidRPr="00674F20" w:rsidRDefault="000B27B9" w:rsidP="006A7FA6">
            <w:pPr>
              <w:pStyle w:val="Tablebullet1"/>
            </w:pPr>
            <w:r w:rsidRPr="00674F20">
              <w:t xml:space="preserve">subacute: categories for funding are palliative care, rehabilitation, </w:t>
            </w:r>
            <w:r>
              <w:t>GEM</w:t>
            </w:r>
            <w:r w:rsidRPr="00674F20">
              <w:t xml:space="preserve"> and maintenance care, and mirror funding and reporting arrangements for public patients</w:t>
            </w:r>
          </w:p>
          <w:p w14:paraId="3C771D97" w14:textId="77777777" w:rsidR="000B27B9" w:rsidRDefault="000B27B9" w:rsidP="006A7FA6">
            <w:pPr>
              <w:pStyle w:val="Tablebullet1"/>
            </w:pPr>
            <w:r>
              <w:t>maintenance</w:t>
            </w:r>
          </w:p>
          <w:p w14:paraId="40B700B3" w14:textId="77777777" w:rsidR="000B27B9" w:rsidRPr="00674F20" w:rsidRDefault="000B27B9" w:rsidP="006A7FA6">
            <w:pPr>
              <w:pStyle w:val="Tablebullet1"/>
            </w:pPr>
            <w:r>
              <w:t>admitted dialysis</w:t>
            </w:r>
          </w:p>
          <w:p w14:paraId="47A29A82" w14:textId="77777777" w:rsidR="000B27B9" w:rsidRPr="00674F20" w:rsidRDefault="000B27B9" w:rsidP="006A7FA6">
            <w:pPr>
              <w:pStyle w:val="Tablebullet1"/>
            </w:pPr>
            <w:r>
              <w:t>a</w:t>
            </w:r>
            <w:r w:rsidRPr="00674F20">
              <w:t>dmitted mental health services.</w:t>
            </w:r>
          </w:p>
          <w:p w14:paraId="440E5201" w14:textId="77777777" w:rsidR="000B27B9" w:rsidRPr="00674F20" w:rsidRDefault="000B27B9" w:rsidP="006A7FA6">
            <w:pPr>
              <w:pStyle w:val="Tabletext"/>
            </w:pPr>
            <w:r w:rsidRPr="00674F20">
              <w:t xml:space="preserve">Hospitals should bill </w:t>
            </w:r>
            <w:r>
              <w:t xml:space="preserve">the </w:t>
            </w:r>
            <w:r w:rsidRPr="00674F20">
              <w:t xml:space="preserve">Department of </w:t>
            </w:r>
            <w:r w:rsidRPr="00DA3183">
              <w:t>Veterans’</w:t>
            </w:r>
            <w:r w:rsidRPr="00674F20">
              <w:t xml:space="preserve"> Affairs separately for medical and diagnostic costs for admitted patients.</w:t>
            </w:r>
          </w:p>
        </w:tc>
      </w:tr>
      <w:tr w:rsidR="000B27B9" w:rsidRPr="0066144B" w14:paraId="38F1DE52" w14:textId="77777777" w:rsidTr="006A7FA6">
        <w:tc>
          <w:tcPr>
            <w:tcW w:w="0" w:type="dxa"/>
          </w:tcPr>
          <w:p w14:paraId="0E594A43" w14:textId="77777777" w:rsidR="000B27B9" w:rsidRPr="00674F20" w:rsidRDefault="000B27B9" w:rsidP="006A7FA6">
            <w:pPr>
              <w:pStyle w:val="Tabletext"/>
            </w:pPr>
            <w:r w:rsidRPr="00674F20">
              <w:t>E</w:t>
            </w:r>
            <w:r>
              <w:t>mergency department</w:t>
            </w:r>
            <w:r w:rsidRPr="00674F20">
              <w:t xml:space="preserve"> attendances</w:t>
            </w:r>
          </w:p>
        </w:tc>
        <w:tc>
          <w:tcPr>
            <w:tcW w:w="0" w:type="dxa"/>
          </w:tcPr>
          <w:p w14:paraId="1282A49D" w14:textId="77777777" w:rsidR="000B27B9" w:rsidRPr="00674F20" w:rsidRDefault="000B27B9" w:rsidP="006A7FA6">
            <w:pPr>
              <w:pStyle w:val="Tabletext"/>
            </w:pPr>
            <w:r w:rsidRPr="00674F20">
              <w:t>E</w:t>
            </w:r>
            <w:r>
              <w:t>mergency department</w:t>
            </w:r>
            <w:r w:rsidRPr="00674F20">
              <w:t xml:space="preserve"> services </w:t>
            </w:r>
            <w:r>
              <w:t xml:space="preserve">will receive a block grant that is based on the </w:t>
            </w:r>
            <w:r w:rsidRPr="00706F17">
              <w:t xml:space="preserve">health service’s proportionate share of the </w:t>
            </w:r>
            <w:r>
              <w:t xml:space="preserve">total non-admitted emergency </w:t>
            </w:r>
            <w:r w:rsidRPr="00706F17">
              <w:t>weighted activity.</w:t>
            </w:r>
            <w:r>
              <w:t xml:space="preserve"> </w:t>
            </w:r>
            <w:r w:rsidRPr="00674F20">
              <w:t>There will be no separate billing of medical and diagnostic costs.</w:t>
            </w:r>
            <w:r>
              <w:t xml:space="preserve"> </w:t>
            </w:r>
            <w:r w:rsidRPr="00674F20">
              <w:t>Veteran patients</w:t>
            </w:r>
            <w:r>
              <w:t xml:space="preserve"> who are subsequently admitted will be funded under the </w:t>
            </w:r>
            <w:r w:rsidR="6D11D871">
              <w:t xml:space="preserve">NWAU </w:t>
            </w:r>
            <w:r>
              <w:t>model.</w:t>
            </w:r>
          </w:p>
        </w:tc>
      </w:tr>
      <w:tr w:rsidR="000B27B9" w:rsidRPr="0066144B" w14:paraId="6E1BB6F1" w14:textId="77777777" w:rsidTr="006A7FA6">
        <w:tc>
          <w:tcPr>
            <w:tcW w:w="0" w:type="dxa"/>
          </w:tcPr>
          <w:p w14:paraId="31EACDFA" w14:textId="77777777" w:rsidR="000B27B9" w:rsidRPr="00DA3183" w:rsidRDefault="000B27B9" w:rsidP="006A7FA6">
            <w:pPr>
              <w:pStyle w:val="Tabletext"/>
            </w:pPr>
            <w:r w:rsidRPr="00DA3183">
              <w:t>Acute non-admitted</w:t>
            </w:r>
          </w:p>
        </w:tc>
        <w:tc>
          <w:tcPr>
            <w:tcW w:w="0" w:type="dxa"/>
          </w:tcPr>
          <w:p w14:paraId="17ECAFA9" w14:textId="77777777" w:rsidR="000B27B9" w:rsidRPr="00DA3183" w:rsidRDefault="000B27B9" w:rsidP="006A7FA6">
            <w:pPr>
              <w:pStyle w:val="Tabletext"/>
            </w:pPr>
            <w:r w:rsidRPr="00DA3183">
              <w:t>Acute non-admitted</w:t>
            </w:r>
            <w:r w:rsidRPr="00DA3183" w:rsidDel="00265950">
              <w:t xml:space="preserve"> </w:t>
            </w:r>
            <w:r w:rsidRPr="00DA3183">
              <w:t>services will receive a block grant that is based on the health service’s proportionate share of the total acute non-admitted weighted activity. Veteran patients may access all services, and funding and reporting arrangements mirror those for public patients. Where eligible veterans have been privately referred as a Privately Referred Non-Inpatient (PRNI) to a named specialist and consents to be treated as a private outpatient, the Department of Veterans’ Affairs will pay separately for specialist consultations and procedures, and associated pathology and radiology services.</w:t>
            </w:r>
          </w:p>
        </w:tc>
      </w:tr>
      <w:tr w:rsidR="000B27B9" w:rsidRPr="0066144B" w14:paraId="5369C35F" w14:textId="77777777" w:rsidTr="006A7FA6">
        <w:tc>
          <w:tcPr>
            <w:tcW w:w="0" w:type="dxa"/>
          </w:tcPr>
          <w:p w14:paraId="38461F82" w14:textId="77777777" w:rsidR="000B27B9" w:rsidRPr="00DA3183" w:rsidRDefault="000B27B9" w:rsidP="006A7FA6">
            <w:pPr>
              <w:pStyle w:val="Tabletext"/>
            </w:pPr>
            <w:r w:rsidRPr="00DA3183">
              <w:t>Subacute non-admitted</w:t>
            </w:r>
          </w:p>
        </w:tc>
        <w:tc>
          <w:tcPr>
            <w:tcW w:w="0" w:type="dxa"/>
          </w:tcPr>
          <w:p w14:paraId="75337DB0" w14:textId="77777777" w:rsidR="000B27B9" w:rsidRPr="00DA3183" w:rsidRDefault="000B27B9" w:rsidP="006A7FA6">
            <w:pPr>
              <w:pStyle w:val="Tabletext"/>
            </w:pPr>
            <w:r w:rsidRPr="00DA3183">
              <w:t>Subacute non-admitted</w:t>
            </w:r>
            <w:r w:rsidRPr="00DA3183" w:rsidDel="00265950">
              <w:t xml:space="preserve"> </w:t>
            </w:r>
            <w:r w:rsidRPr="00DA3183">
              <w:t>services will receive a block grant that is based on the health service’s proportionate share of the total subacute non-admitted weighted activity. Veteran patients may access all services, and funding and reporting arrangements mirror those for public patients. Where eligible veterans have been privately referred as a PRNI to a named specialist and consents to be treated as a private outpatient, the Department of Veterans’ Affairs will pay separately for specialist consultations and procedures, and associated pathology and radiology services.</w:t>
            </w:r>
          </w:p>
        </w:tc>
      </w:tr>
      <w:tr w:rsidR="000B27B9" w:rsidRPr="0066144B" w14:paraId="73A6FD78" w14:textId="77777777" w:rsidTr="006A7FA6">
        <w:tc>
          <w:tcPr>
            <w:tcW w:w="0" w:type="dxa"/>
          </w:tcPr>
          <w:p w14:paraId="1B78E5DC" w14:textId="77777777" w:rsidR="000B27B9" w:rsidRPr="00DA3183" w:rsidRDefault="000B27B9" w:rsidP="006A7FA6">
            <w:pPr>
              <w:pStyle w:val="Tabletext"/>
            </w:pPr>
            <w:r w:rsidRPr="00DA3183">
              <w:t>Non-admitted radiotherapy</w:t>
            </w:r>
          </w:p>
        </w:tc>
        <w:tc>
          <w:tcPr>
            <w:tcW w:w="0" w:type="dxa"/>
          </w:tcPr>
          <w:p w14:paraId="0816F44E" w14:textId="77777777" w:rsidR="000B27B9" w:rsidRPr="00DA3183" w:rsidRDefault="000B27B9" w:rsidP="006A7FA6">
            <w:pPr>
              <w:pStyle w:val="Tabletext"/>
            </w:pPr>
            <w:r w:rsidRPr="00DA3183">
              <w:t>Weighted activity units are funded on a throughput basis. Where eligible veterans have been privately referred as a PRNI to a named specialist and consents to be treated as a private outpatient, the Department of Veterans’ Affairs will pay separately for specialist consultations and procedures, and associated pathology and radiology services.</w:t>
            </w:r>
          </w:p>
        </w:tc>
      </w:tr>
      <w:tr w:rsidR="000B27B9" w:rsidRPr="0066144B" w14:paraId="7FD7A6AD" w14:textId="77777777" w:rsidTr="006A7FA6">
        <w:tc>
          <w:tcPr>
            <w:tcW w:w="0" w:type="dxa"/>
          </w:tcPr>
          <w:p w14:paraId="6856DA14" w14:textId="77777777" w:rsidR="000B27B9" w:rsidRPr="00DA3183" w:rsidRDefault="000B27B9" w:rsidP="006A7FA6">
            <w:pPr>
              <w:pStyle w:val="Tabletext"/>
            </w:pPr>
            <w:r w:rsidRPr="00DA3183">
              <w:lastRenderedPageBreak/>
              <w:t>Specialist mental health acute care</w:t>
            </w:r>
          </w:p>
        </w:tc>
        <w:tc>
          <w:tcPr>
            <w:tcW w:w="0" w:type="dxa"/>
          </w:tcPr>
          <w:p w14:paraId="66F92A46" w14:textId="77777777" w:rsidR="000B27B9" w:rsidRPr="00DA3183" w:rsidRDefault="000B27B9" w:rsidP="006A7FA6">
            <w:pPr>
              <w:pStyle w:val="Tabletext"/>
            </w:pPr>
            <w:r w:rsidRPr="00DA3183">
              <w:t>Funding for mental health services to eligible Veterans are funded within the total funding provided to services. Veteran patients may access all services, and funding and reporting arrangements mirror those for public patients.</w:t>
            </w:r>
          </w:p>
        </w:tc>
      </w:tr>
      <w:tr w:rsidR="000B27B9" w:rsidRPr="0066144B" w14:paraId="235F161E" w14:textId="77777777" w:rsidTr="006A7FA6">
        <w:tc>
          <w:tcPr>
            <w:tcW w:w="0" w:type="dxa"/>
          </w:tcPr>
          <w:p w14:paraId="0F224698" w14:textId="77777777" w:rsidR="000B27B9" w:rsidRPr="00DA3183" w:rsidRDefault="000B27B9" w:rsidP="006A7FA6">
            <w:pPr>
              <w:pStyle w:val="Tabletext"/>
            </w:pPr>
            <w:r w:rsidRPr="00DA3183">
              <w:t>Non-specialist mental health acute care</w:t>
            </w:r>
          </w:p>
        </w:tc>
        <w:tc>
          <w:tcPr>
            <w:tcW w:w="0" w:type="dxa"/>
          </w:tcPr>
          <w:p w14:paraId="30FADF8E" w14:textId="77777777" w:rsidR="000B27B9" w:rsidRPr="00DA3183" w:rsidRDefault="000B27B9" w:rsidP="006A7FA6">
            <w:pPr>
              <w:pStyle w:val="Tabletext"/>
            </w:pPr>
            <w:r w:rsidRPr="00DA3183">
              <w:t>Funding for mental health services to eligible Veterans are funded within the total funding provided to services. Veteran patients may access all services, and funding and reporting arrangements mirror those for public patients.</w:t>
            </w:r>
          </w:p>
        </w:tc>
      </w:tr>
      <w:tr w:rsidR="000B27B9" w:rsidRPr="0066144B" w14:paraId="07654301" w14:textId="77777777" w:rsidTr="006A7FA6">
        <w:tc>
          <w:tcPr>
            <w:tcW w:w="0" w:type="dxa"/>
          </w:tcPr>
          <w:p w14:paraId="11E033F9" w14:textId="77777777" w:rsidR="000B27B9" w:rsidRDefault="000B27B9" w:rsidP="006A7FA6">
            <w:pPr>
              <w:pStyle w:val="Tabletext"/>
            </w:pPr>
            <w:r>
              <w:t>Transition Care Program</w:t>
            </w:r>
          </w:p>
        </w:tc>
        <w:tc>
          <w:tcPr>
            <w:tcW w:w="0" w:type="dxa"/>
          </w:tcPr>
          <w:p w14:paraId="61369E56" w14:textId="0E5281E9" w:rsidR="000B27B9" w:rsidRPr="00674F20" w:rsidRDefault="000B27B9" w:rsidP="006A7FA6">
            <w:pPr>
              <w:pStyle w:val="Tabletext"/>
            </w:pPr>
            <w:r w:rsidRPr="00674F20">
              <w:t>The T</w:t>
            </w:r>
            <w:r>
              <w:t>ransition Care Program</w:t>
            </w:r>
            <w:r w:rsidRPr="00674F20">
              <w:t xml:space="preserve"> is available to all members of the Australian community, including </w:t>
            </w:r>
            <w:r w:rsidRPr="00DA3183">
              <w:t>veterans</w:t>
            </w:r>
            <w:r w:rsidRPr="00674F20">
              <w:t xml:space="preserve">. However, </w:t>
            </w:r>
            <w:r>
              <w:t xml:space="preserve">the </w:t>
            </w:r>
            <w:r w:rsidRPr="00674F20">
              <w:t xml:space="preserve">Department of Veterans’ Affairs will only fund the patient contribution for veterans who are former prisoners of war. Further details are available on the </w:t>
            </w:r>
            <w:hyperlink r:id="rId76" w:history="1">
              <w:r w:rsidR="00B90B10" w:rsidRPr="00FA43F8">
                <w:rPr>
                  <w:rStyle w:val="Hyperlink"/>
                </w:rPr>
                <w:t>Department of Veterans’ Affairs website</w:t>
              </w:r>
            </w:hyperlink>
            <w:r w:rsidRPr="00674F20">
              <w:t xml:space="preserve"> &lt;</w:t>
            </w:r>
            <w:r w:rsidRPr="00FA43F8">
              <w:t>http</w:t>
            </w:r>
            <w:r>
              <w:t>s</w:t>
            </w:r>
            <w:r w:rsidRPr="00FA43F8">
              <w:t>://www.dva.gov.au</w:t>
            </w:r>
            <w:r w:rsidRPr="00674F20">
              <w:t>&gt;.</w:t>
            </w:r>
          </w:p>
        </w:tc>
      </w:tr>
      <w:tr w:rsidR="000B27B9" w:rsidRPr="0066144B" w14:paraId="61DBC963" w14:textId="77777777" w:rsidTr="006A7FA6">
        <w:tc>
          <w:tcPr>
            <w:tcW w:w="0" w:type="dxa"/>
          </w:tcPr>
          <w:p w14:paraId="52C83735" w14:textId="77777777" w:rsidR="000B27B9" w:rsidRPr="00082CAB" w:rsidRDefault="000B27B9" w:rsidP="006A7FA6">
            <w:pPr>
              <w:pStyle w:val="Tabletext"/>
            </w:pPr>
            <w:r w:rsidRPr="00F43635">
              <w:t xml:space="preserve">Community </w:t>
            </w:r>
            <w:r w:rsidRPr="00DA3183">
              <w:t>Health</w:t>
            </w:r>
            <w:r w:rsidRPr="00F43635">
              <w:t xml:space="preserve"> Program</w:t>
            </w:r>
          </w:p>
        </w:tc>
        <w:tc>
          <w:tcPr>
            <w:tcW w:w="0" w:type="dxa"/>
          </w:tcPr>
          <w:p w14:paraId="65FACEC8" w14:textId="77777777" w:rsidR="000B27B9" w:rsidRPr="00082CAB" w:rsidRDefault="000B27B9" w:rsidP="006A7FA6">
            <w:pPr>
              <w:pStyle w:val="Tabletext"/>
            </w:pPr>
            <w:r w:rsidRPr="00F43635">
              <w:t xml:space="preserve">Community </w:t>
            </w:r>
            <w:r>
              <w:t>h</w:t>
            </w:r>
            <w:r w:rsidRPr="00F43635">
              <w:t>ealth services should bill the Department of Veterans’ Affairs directly for allied health and nursing services provided under the Community Health Program.</w:t>
            </w:r>
          </w:p>
        </w:tc>
      </w:tr>
    </w:tbl>
    <w:p w14:paraId="560B7D91" w14:textId="77777777" w:rsidR="000B27B9" w:rsidRDefault="000B27B9" w:rsidP="0064265C">
      <w:pPr>
        <w:pStyle w:val="Heading5"/>
        <w:spacing w:before="320"/>
      </w:pPr>
      <w:bookmarkStart w:id="471" w:name="_Toc418694979"/>
      <w:r w:rsidRPr="00D110BA">
        <w:t>Payments</w:t>
      </w:r>
    </w:p>
    <w:p w14:paraId="11DD01F0" w14:textId="77777777" w:rsidR="000B27B9" w:rsidRDefault="000B27B9" w:rsidP="00B92CD4">
      <w:pPr>
        <w:pStyle w:val="Body"/>
      </w:pPr>
      <w:r>
        <w:t>If a claim is not accepted by the Department of Veterans’ Affairs either:</w:t>
      </w:r>
    </w:p>
    <w:p w14:paraId="66A01AFE" w14:textId="77777777" w:rsidR="000B27B9" w:rsidRPr="00C574D3" w:rsidRDefault="000B27B9" w:rsidP="006A7FA6">
      <w:pPr>
        <w:pStyle w:val="Bullet1"/>
      </w:pPr>
      <w:r w:rsidRPr="00C574D3">
        <w:t>health services must transmit additional or corrected information to allow the claim to be accepted</w:t>
      </w:r>
    </w:p>
    <w:p w14:paraId="27387511" w14:textId="77777777" w:rsidR="000B27B9" w:rsidRPr="00C574D3" w:rsidRDefault="000B27B9" w:rsidP="006A7FA6">
      <w:pPr>
        <w:pStyle w:val="Bullet1"/>
      </w:pPr>
      <w:r w:rsidRPr="00C574D3">
        <w:t>claims should be retrospectively reclassified to reflect the patient’s changed care type or preferences.</w:t>
      </w:r>
    </w:p>
    <w:p w14:paraId="3BEFCB24" w14:textId="77777777" w:rsidR="000B27B9" w:rsidRDefault="000B27B9" w:rsidP="00B92CD4">
      <w:pPr>
        <w:pStyle w:val="Bodyafterbullets"/>
      </w:pPr>
      <w:r>
        <w:t xml:space="preserve">Health services are required to make changes before consolidating the VAED, otherwise funding will not be paid at either the </w:t>
      </w:r>
      <w:r w:rsidRPr="00674F20">
        <w:t xml:space="preserve">Department of Veterans’ Affairs </w:t>
      </w:r>
      <w:r>
        <w:t>or public rate.</w:t>
      </w:r>
    </w:p>
    <w:p w14:paraId="7951063B" w14:textId="17358366" w:rsidR="000B27B9" w:rsidRPr="00566453" w:rsidRDefault="000B27B9" w:rsidP="00B92CD4">
      <w:pPr>
        <w:pStyle w:val="Bodyafterbullets"/>
      </w:pPr>
      <w:r w:rsidRPr="00566453">
        <w:t>The Department of Veterans’ Affairs agreement prohibits organisations from raising any charges directly on an eligible veteran</w:t>
      </w:r>
      <w:r w:rsidR="00E05E4C">
        <w:t>,</w:t>
      </w:r>
      <w:r w:rsidRPr="00566453">
        <w:t xml:space="preserve"> except where provided for under </w:t>
      </w:r>
      <w:r>
        <w:t>C</w:t>
      </w:r>
      <w:r w:rsidRPr="00566453">
        <w:t>ommonwealth legislation. This prohibition does not, however, prevent organisations from charging a cost for providing personal services such as television access or telephone services at the facility.</w:t>
      </w:r>
    </w:p>
    <w:p w14:paraId="346903B0" w14:textId="77777777" w:rsidR="000B27B9" w:rsidRPr="009834E9" w:rsidRDefault="000B27B9" w:rsidP="00B92CD4">
      <w:pPr>
        <w:pStyle w:val="Bodyafterbullets"/>
      </w:pPr>
      <w:r w:rsidRPr="009834E9">
        <w:t xml:space="preserve">The Department of Veterans’ Affairs agreement recognises that treatment </w:t>
      </w:r>
      <w:r>
        <w:t>for</w:t>
      </w:r>
      <w:r w:rsidRPr="009834E9">
        <w:t xml:space="preserve"> Department of Veterans’ Affairs patients may occasionally be subcontracted to a private hospital or facility. Where that private hospital or facility is contracted to the Department of Veterans’ Affairs, and claims for the service, the Department of Veterans’ Affairs will pay the facility directly through their payment arrangements with Medicare Australia. Under these circumstances</w:t>
      </w:r>
      <w:r>
        <w:t>,</w:t>
      </w:r>
      <w:r w:rsidRPr="009834E9">
        <w:t xml:space="preserve"> the public hospital cannot also claim payment separately for the treatment provided.</w:t>
      </w:r>
    </w:p>
    <w:p w14:paraId="7D1F0FB0" w14:textId="501E0EC2" w:rsidR="000B27B9" w:rsidRPr="00566453" w:rsidRDefault="000B27B9" w:rsidP="00B92CD4">
      <w:pPr>
        <w:pStyle w:val="Bodyafterbullets"/>
      </w:pPr>
      <w:r w:rsidRPr="00566453">
        <w:t xml:space="preserve">Subcontracting for </w:t>
      </w:r>
      <w:r>
        <w:t>T</w:t>
      </w:r>
      <w:r w:rsidRPr="00566453">
        <w:t xml:space="preserve">ransition </w:t>
      </w:r>
      <w:r>
        <w:t>C</w:t>
      </w:r>
      <w:r w:rsidRPr="00566453">
        <w:t>are is exempt from this requirement</w:t>
      </w:r>
      <w:r>
        <w:t>, as public hospitals do not directly bill the Department of Veteran’s Affairs for this service</w:t>
      </w:r>
      <w:r w:rsidDel="00DD4958">
        <w:t xml:space="preserve"> </w:t>
      </w:r>
      <w:r w:rsidRPr="00566453">
        <w:t xml:space="preserve">(see </w:t>
      </w:r>
      <w:r w:rsidRPr="00821420">
        <w:fldChar w:fldCharType="begin"/>
      </w:r>
      <w:r>
        <w:instrText xml:space="preserve"> REF _Ref516165969 \h </w:instrText>
      </w:r>
      <w:r w:rsidR="00821420">
        <w:instrText xml:space="preserve"> \* MERGEFORMAT </w:instrText>
      </w:r>
      <w:r w:rsidR="00D36400">
        <w:fldChar w:fldCharType="separate"/>
      </w:r>
      <w:r w:rsidRPr="00821420">
        <w:fldChar w:fldCharType="end"/>
      </w:r>
      <w:r w:rsidR="00821420" w:rsidRPr="00821420">
        <w:fldChar w:fldCharType="begin"/>
      </w:r>
      <w:r w:rsidR="00821420" w:rsidRPr="00821420">
        <w:instrText xml:space="preserve"> REF _Ref108527181 \r \h </w:instrText>
      </w:r>
      <w:r w:rsidR="00821420">
        <w:instrText xml:space="preserve"> \* MERGEFORMAT </w:instrText>
      </w:r>
      <w:r w:rsidR="00821420" w:rsidRPr="00821420">
        <w:fldChar w:fldCharType="separate"/>
      </w:r>
      <w:r w:rsidR="006D0756">
        <w:t>Table 1.8</w:t>
      </w:r>
      <w:r w:rsidR="00821420" w:rsidRPr="00821420">
        <w:fldChar w:fldCharType="end"/>
      </w:r>
      <w:r w:rsidR="001957E6">
        <w:t>)</w:t>
      </w:r>
      <w:r>
        <w:t>.</w:t>
      </w:r>
    </w:p>
    <w:p w14:paraId="2BA9D983" w14:textId="77777777" w:rsidR="000B27B9" w:rsidRDefault="000B27B9" w:rsidP="000B27B9">
      <w:pPr>
        <w:pStyle w:val="Heading4"/>
      </w:pPr>
      <w:bookmarkStart w:id="472" w:name="_Hlk96978637"/>
      <w:r w:rsidRPr="001E7F44">
        <w:t xml:space="preserve">Transport </w:t>
      </w:r>
      <w:r w:rsidRPr="00E00A19">
        <w:t>A</w:t>
      </w:r>
      <w:r w:rsidRPr="000F0FC6">
        <w:t xml:space="preserve">ccident </w:t>
      </w:r>
      <w:r w:rsidRPr="00B42EEE">
        <w:t>C</w:t>
      </w:r>
      <w:r w:rsidRPr="00B74A4E">
        <w:t>ommission patients</w:t>
      </w:r>
      <w:bookmarkEnd w:id="471"/>
    </w:p>
    <w:bookmarkEnd w:id="472"/>
    <w:p w14:paraId="2E0A32C2" w14:textId="77777777" w:rsidR="000B27B9" w:rsidRPr="004D4780" w:rsidRDefault="000B27B9" w:rsidP="00F470B0">
      <w:pPr>
        <w:pStyle w:val="Heading5"/>
        <w:numPr>
          <w:ilvl w:val="0"/>
          <w:numId w:val="0"/>
        </w:numPr>
      </w:pPr>
      <w:r w:rsidRPr="004D4780">
        <w:t>Eligibility</w:t>
      </w:r>
    </w:p>
    <w:p w14:paraId="584A10D8" w14:textId="5262A318" w:rsidR="000B27B9" w:rsidRDefault="000B27B9" w:rsidP="00B92CD4">
      <w:pPr>
        <w:pStyle w:val="Body"/>
      </w:pPr>
      <w:r>
        <w:t xml:space="preserve">Patients are required to complete and sign a TAC claim form before the TAC will accept responsibility for payment. Health services should make themselves aware of the form’s specific requirements. If health services’ data does not exactly match the details a patient has entered on a claim form, there will be significant delays in payment from the TAC while the errors are addressed by health services, the </w:t>
      </w:r>
      <w:r w:rsidR="00E05DFC">
        <w:t>TAC,</w:t>
      </w:r>
      <w:r>
        <w:t xml:space="preserve"> and the department.</w:t>
      </w:r>
    </w:p>
    <w:p w14:paraId="2C751C8A" w14:textId="6C745E1E" w:rsidR="000B27B9" w:rsidRDefault="000B27B9" w:rsidP="00F470B0">
      <w:pPr>
        <w:pStyle w:val="Heading5"/>
        <w:numPr>
          <w:ilvl w:val="0"/>
          <w:numId w:val="0"/>
        </w:numPr>
        <w:ind w:left="964" w:hanging="964"/>
        <w:rPr>
          <w:szCs w:val="24"/>
        </w:rPr>
      </w:pPr>
      <w:r w:rsidRPr="004D4780">
        <w:lastRenderedPageBreak/>
        <w:t xml:space="preserve">Funding </w:t>
      </w:r>
      <w:r w:rsidR="00331D5D">
        <w:t>A</w:t>
      </w:r>
      <w:r w:rsidRPr="004D4780">
        <w:t>rrangements</w:t>
      </w:r>
    </w:p>
    <w:p w14:paraId="23D4AD75" w14:textId="2C3E7962" w:rsidR="000B27B9" w:rsidRDefault="39EEE182" w:rsidP="00B92CD4">
      <w:pPr>
        <w:pStyle w:val="Body"/>
      </w:pPr>
      <w:r>
        <w:t xml:space="preserve">View </w:t>
      </w:r>
      <w:r w:rsidRPr="00863D12">
        <w:t>TAC rates</w:t>
      </w:r>
      <w:r>
        <w:t xml:space="preserve"> </w:t>
      </w:r>
      <w:r w:rsidR="3C4E282B">
        <w:t>at</w:t>
      </w:r>
      <w:r w:rsidRPr="00674F20">
        <w:t xml:space="preserve"> the </w:t>
      </w:r>
      <w:hyperlink r:id="rId77">
        <w:r w:rsidR="3C4E282B" w:rsidRPr="1E17C801">
          <w:rPr>
            <w:rStyle w:val="Hyperlink"/>
          </w:rPr>
          <w:t>Transport Accident Commission patients webpage</w:t>
        </w:r>
      </w:hyperlink>
      <w:r w:rsidRPr="00EF2996">
        <w:t xml:space="preserve"> &lt;</w:t>
      </w:r>
      <w:r w:rsidR="00BB305A" w:rsidRPr="00BB305A">
        <w:t>https://www.health.vic.gov.au/patient-fees-charges/transport-accident-commission-patients</w:t>
      </w:r>
      <w:r w:rsidRPr="00EF2996">
        <w:t>&gt;.</w:t>
      </w:r>
    </w:p>
    <w:p w14:paraId="0AAD03C9" w14:textId="77777777" w:rsidR="000B27B9" w:rsidRDefault="000B27B9" w:rsidP="00F470B0">
      <w:pPr>
        <w:pStyle w:val="Heading5"/>
        <w:numPr>
          <w:ilvl w:val="0"/>
          <w:numId w:val="0"/>
        </w:numPr>
        <w:ind w:left="964" w:hanging="964"/>
        <w:rPr>
          <w:szCs w:val="24"/>
        </w:rPr>
      </w:pPr>
      <w:r w:rsidRPr="00EF2996">
        <w:t>Payments</w:t>
      </w:r>
    </w:p>
    <w:p w14:paraId="2A76E932" w14:textId="4072DB76" w:rsidR="000B27B9" w:rsidRDefault="000B27B9" w:rsidP="00B92CD4">
      <w:pPr>
        <w:pStyle w:val="Body"/>
      </w:pPr>
      <w:r>
        <w:t xml:space="preserve">The department will continue to provide health services payments based on </w:t>
      </w:r>
      <w:r w:rsidR="26A6B840">
        <w:t xml:space="preserve">NWAU </w:t>
      </w:r>
      <w:r>
        <w:t>throughput.</w:t>
      </w:r>
    </w:p>
    <w:p w14:paraId="2EDCFF54" w14:textId="6EFD6277" w:rsidR="000B27B9" w:rsidRDefault="000B27B9" w:rsidP="00B92CD4">
      <w:pPr>
        <w:pStyle w:val="Body"/>
      </w:pPr>
      <w:r>
        <w:t>Funding for TAC patients is provided to the department by the TAC. This is cash</w:t>
      </w:r>
      <w:r w:rsidR="00D9542F">
        <w:t>-</w:t>
      </w:r>
      <w:r>
        <w:t xml:space="preserve">flowed to health services throughout the year and adjusted to actual at year end based on data reconciled with the TAC. Separate uncapped TAC </w:t>
      </w:r>
      <w:r w:rsidR="2FACB545">
        <w:t xml:space="preserve">NWAU </w:t>
      </w:r>
      <w:r>
        <w:t xml:space="preserve">targets are incorporated into health service budgets for </w:t>
      </w:r>
      <w:r w:rsidR="0097705A" w:rsidRPr="000709F3">
        <w:t>2022-23</w:t>
      </w:r>
      <w:r w:rsidR="000709F3">
        <w:t>,</w:t>
      </w:r>
      <w:r>
        <w:t xml:space="preserve"> based on the latest available 12-month throughput reported.</w:t>
      </w:r>
    </w:p>
    <w:p w14:paraId="6F3BFD06" w14:textId="23FAF79A" w:rsidR="000B27B9" w:rsidRDefault="000B27B9" w:rsidP="00B92CD4">
      <w:pPr>
        <w:pStyle w:val="Body"/>
      </w:pPr>
      <w:r>
        <w:t>The department will only pay a rate applicable for all accepted TAC patients matched with TAC records including numbers in excess of the target. If health services do not achieve the TAC target, any funding that has been cash</w:t>
      </w:r>
      <w:r w:rsidR="00D9542F">
        <w:t>-</w:t>
      </w:r>
      <w:r>
        <w:t xml:space="preserve">flowed will be recalled at the full TAC rate. It is imperative that health services ensure their own records are complete, </w:t>
      </w:r>
      <w:r w:rsidR="00E05DFC">
        <w:t>comprehensive,</w:t>
      </w:r>
      <w:r>
        <w:t xml:space="preserve"> and timely.</w:t>
      </w:r>
    </w:p>
    <w:p w14:paraId="6B66C244" w14:textId="3D479F9B" w:rsidR="000B27B9" w:rsidRDefault="000B27B9" w:rsidP="00B92CD4">
      <w:pPr>
        <w:pStyle w:val="Body"/>
      </w:pPr>
      <w:r>
        <w:t>For the department to receive payment from the TAC, the TAC must accept the claim and issue a claim number. The patient information reported by health services to the department must match those held by the TAC for each admitted patient separation.</w:t>
      </w:r>
    </w:p>
    <w:p w14:paraId="6037AAE7" w14:textId="7FC2D1C0" w:rsidR="000B27B9" w:rsidRDefault="000B27B9" w:rsidP="00B92CD4">
      <w:pPr>
        <w:pStyle w:val="Body"/>
      </w:pPr>
      <w:r>
        <w:t>Health services should ensure their TAC records are updated, with TAC remittance advice fed back by the department. This will ensure updated records are accepted by the TAC and that delays in reconciling activity and payment for records are minimised.</w:t>
      </w:r>
    </w:p>
    <w:p w14:paraId="52A45807" w14:textId="1AF89949" w:rsidR="000B27B9" w:rsidRDefault="000B27B9" w:rsidP="00B92CD4">
      <w:pPr>
        <w:pStyle w:val="Body"/>
      </w:pPr>
      <w:r>
        <w:t xml:space="preserve">The department will </w:t>
      </w:r>
      <w:r w:rsidR="00C574D3">
        <w:t>cash-</w:t>
      </w:r>
      <w:r>
        <w:t xml:space="preserve">flow TAC funding to accepted TAC cases. If a TAC claim is later rejected, the department will automatically fund the claim using public </w:t>
      </w:r>
      <w:r w:rsidR="30230464">
        <w:t xml:space="preserve">NWAU </w:t>
      </w:r>
      <w:r>
        <w:t>in the prior</w:t>
      </w:r>
      <w:r w:rsidR="006B4DBF">
        <w:t>-</w:t>
      </w:r>
      <w:r>
        <w:t xml:space="preserve">year adjustment process unless the health service has exceeded its </w:t>
      </w:r>
      <w:r w:rsidR="4D3C9456">
        <w:t xml:space="preserve">NWAU </w:t>
      </w:r>
      <w:r>
        <w:t>target.</w:t>
      </w:r>
    </w:p>
    <w:p w14:paraId="05D1E4E8" w14:textId="37F65AB2" w:rsidR="000B27B9" w:rsidRDefault="000B27B9" w:rsidP="00B92CD4">
      <w:pPr>
        <w:pStyle w:val="Body"/>
      </w:pPr>
      <w:r>
        <w:t xml:space="preserve">To minimise errors and delays, health services are required to ensure that the information is entered accurately and to proactively identify and resolve errors before sending the data to the TAC or to the department. Errors that are not accurately corrected by health services, such as an incorrect date of birth, continually cycle through both the department and the TAC databases and remain unmatched and consequently unfunded. This requires additional review, reconciliation and problem solving by the health services, the </w:t>
      </w:r>
      <w:r w:rsidR="00E05DFC">
        <w:t>department,</w:t>
      </w:r>
      <w:r>
        <w:t xml:space="preserve"> and the TAC.</w:t>
      </w:r>
    </w:p>
    <w:p w14:paraId="60473C05" w14:textId="77777777" w:rsidR="000B27B9" w:rsidRDefault="000B27B9" w:rsidP="00B92CD4">
      <w:pPr>
        <w:pStyle w:val="Body"/>
      </w:pPr>
      <w:r>
        <w:t>If a claim is not accepted by the TAC, either:</w:t>
      </w:r>
    </w:p>
    <w:p w14:paraId="27D67E4F" w14:textId="77777777" w:rsidR="000B27B9" w:rsidRDefault="000B27B9" w:rsidP="00E05C4E">
      <w:pPr>
        <w:pStyle w:val="Bullet1"/>
      </w:pPr>
      <w:r>
        <w:t>health services must transmit additional or corrected information to allow the claim to be accepted</w:t>
      </w:r>
    </w:p>
    <w:p w14:paraId="6AB86527" w14:textId="77777777" w:rsidR="000B27B9" w:rsidRDefault="000B27B9" w:rsidP="00E05C4E">
      <w:pPr>
        <w:pStyle w:val="Bullet1"/>
      </w:pPr>
      <w:r>
        <w:t>claims should be retrospectively reclassified to reflect the patient’s changed care type or preferences.</w:t>
      </w:r>
    </w:p>
    <w:p w14:paraId="3F0D7BCF" w14:textId="4E1D3B64" w:rsidR="000B27B9" w:rsidRDefault="000B27B9" w:rsidP="00B92CD4">
      <w:pPr>
        <w:pStyle w:val="Bodyafterbullets"/>
      </w:pPr>
      <w:r>
        <w:t>The department will not make changes for denied or rejected claims after consolidation through the prior</w:t>
      </w:r>
      <w:r w:rsidR="006B4DBF">
        <w:t>-</w:t>
      </w:r>
      <w:r>
        <w:t xml:space="preserve">year’s adjustment. Health services are required to make changes before </w:t>
      </w:r>
      <w:r w:rsidR="3B5B08E1">
        <w:t>consolidation</w:t>
      </w:r>
      <w:r>
        <w:t>, otherwise funding will not be paid at either the TAC or public rate.</w:t>
      </w:r>
    </w:p>
    <w:p w14:paraId="03538A98" w14:textId="38F49BBB" w:rsidR="000B27B9" w:rsidRDefault="000B27B9" w:rsidP="00F470B0">
      <w:pPr>
        <w:pStyle w:val="Heading5"/>
        <w:numPr>
          <w:ilvl w:val="0"/>
          <w:numId w:val="0"/>
        </w:numPr>
        <w:ind w:left="964" w:hanging="964"/>
        <w:rPr>
          <w:szCs w:val="24"/>
        </w:rPr>
      </w:pPr>
      <w:r w:rsidRPr="004D4780">
        <w:t xml:space="preserve">Additional </w:t>
      </w:r>
      <w:r w:rsidR="00331D5D">
        <w:t>I</w:t>
      </w:r>
      <w:r w:rsidRPr="004D4780">
        <w:t>nformation</w:t>
      </w:r>
    </w:p>
    <w:p w14:paraId="36F8AD41" w14:textId="0DBE69CD" w:rsidR="000B27B9" w:rsidRDefault="000B27B9" w:rsidP="00B92CD4">
      <w:pPr>
        <w:pStyle w:val="Body"/>
      </w:pPr>
      <w:r>
        <w:t>More detailed information on the TAC’s</w:t>
      </w:r>
      <w:r w:rsidRPr="001D6BD3">
        <w:t xml:space="preserve"> policy</w:t>
      </w:r>
      <w:r>
        <w:t xml:space="preserve">, services and funding is available at </w:t>
      </w:r>
      <w:hyperlink r:id="rId78" w:history="1">
        <w:r w:rsidR="00EF2996">
          <w:rPr>
            <w:rStyle w:val="Hyperlink"/>
          </w:rPr>
          <w:t>TAC – For providers</w:t>
        </w:r>
      </w:hyperlink>
      <w:r>
        <w:t xml:space="preserve"> &lt;</w:t>
      </w:r>
      <w:r w:rsidRPr="00F472F9">
        <w:t>http</w:t>
      </w:r>
      <w:r>
        <w:t>s</w:t>
      </w:r>
      <w:r w:rsidRPr="00F472F9">
        <w:t>://www.tac.vic.gov.au/providers</w:t>
      </w:r>
      <w:r>
        <w:t>&gt;.</w:t>
      </w:r>
    </w:p>
    <w:p w14:paraId="7D1B6DC1" w14:textId="685F9C8B" w:rsidR="000B27B9" w:rsidRDefault="000B27B9" w:rsidP="00B92CD4">
      <w:pPr>
        <w:pStyle w:val="Body"/>
      </w:pPr>
      <w:r>
        <w:t>Agreed amendments to the current services and prices will be documented on the department’s fees and charges website</w:t>
      </w:r>
      <w:r w:rsidR="5A312A85">
        <w:t>.</w:t>
      </w:r>
    </w:p>
    <w:p w14:paraId="204E7F79" w14:textId="7C276448" w:rsidR="000B27B9" w:rsidRDefault="000B27B9" w:rsidP="000B27B9">
      <w:pPr>
        <w:pStyle w:val="Heading4"/>
      </w:pPr>
      <w:bookmarkStart w:id="473" w:name="_Toc418694980"/>
      <w:r w:rsidRPr="001E7F44">
        <w:lastRenderedPageBreak/>
        <w:t>Victorian WorkCover</w:t>
      </w:r>
      <w:r w:rsidRPr="00E00A19">
        <w:t xml:space="preserve"> Au</w:t>
      </w:r>
      <w:r w:rsidRPr="000F0FC6">
        <w:t>t</w:t>
      </w:r>
      <w:r w:rsidRPr="00B42EEE">
        <w:t>h</w:t>
      </w:r>
      <w:r w:rsidRPr="00B74A4E">
        <w:t>ority</w:t>
      </w:r>
      <w:r w:rsidRPr="00FE7B18">
        <w:t xml:space="preserve"> </w:t>
      </w:r>
      <w:r w:rsidR="00331D5D">
        <w:t>P</w:t>
      </w:r>
      <w:r w:rsidRPr="00FE7B18">
        <w:t>atients</w:t>
      </w:r>
      <w:bookmarkEnd w:id="473"/>
    </w:p>
    <w:p w14:paraId="7E7D1042" w14:textId="583AA550" w:rsidR="000B27B9" w:rsidRDefault="000B27B9" w:rsidP="00B92CD4">
      <w:pPr>
        <w:pStyle w:val="Body"/>
      </w:pPr>
      <w:bookmarkStart w:id="474" w:name="_Toc418694981"/>
      <w:r>
        <w:t xml:space="preserve">Victorian WorkCover Authority patients treated in Victorian health services are directly funded by Victorian WorkCover Authority insurers. This process will continue in </w:t>
      </w:r>
      <w:r w:rsidR="5A312A85">
        <w:t>2022–23</w:t>
      </w:r>
      <w:r>
        <w:t xml:space="preserve"> at the rates agreed between the authority and the department on behalf of health services.</w:t>
      </w:r>
    </w:p>
    <w:p w14:paraId="1EE5A2DF" w14:textId="77777777" w:rsidR="000B27B9" w:rsidRDefault="000B27B9" w:rsidP="00B92CD4">
      <w:pPr>
        <w:pStyle w:val="Body"/>
      </w:pPr>
      <w:r>
        <w:t>Patients treated in an emergency department only will continue to be directly billed to the Victorian WorkCover Authority at a flat rate per attendance. This rate will apply to all emergency department attendances (in lieu of the previously charged facility fee). Health services should also bill the Victorian WorkCover Authority directly for medical and diagnostic costs.</w:t>
      </w:r>
    </w:p>
    <w:p w14:paraId="6AA61841" w14:textId="5CEDA63A" w:rsidR="000B27B9" w:rsidRDefault="000B27B9" w:rsidP="00B92CD4">
      <w:pPr>
        <w:pStyle w:val="Body"/>
      </w:pPr>
      <w:r>
        <w:t xml:space="preserve">Read more about the </w:t>
      </w:r>
      <w:r w:rsidRPr="00863D12">
        <w:t>current services and prices</w:t>
      </w:r>
      <w:r>
        <w:t xml:space="preserve"> </w:t>
      </w:r>
      <w:r w:rsidR="00572AF9">
        <w:t>at</w:t>
      </w:r>
      <w:r>
        <w:t xml:space="preserve"> the </w:t>
      </w:r>
      <w:hyperlink r:id="rId79" w:history="1">
        <w:r w:rsidR="00572AF9" w:rsidRPr="00572AF9">
          <w:rPr>
            <w:rStyle w:val="Hyperlink"/>
          </w:rPr>
          <w:t>Worksafe patients webpage</w:t>
        </w:r>
      </w:hyperlink>
      <w:r>
        <w:t xml:space="preserve"> &lt;</w:t>
      </w:r>
      <w:r w:rsidR="00790F74" w:rsidRPr="00790F74">
        <w:t>https://www.health.vic.gov.au/patient-fees-charges/worksafe-patients</w:t>
      </w:r>
      <w:r>
        <w:t>&gt;.</w:t>
      </w:r>
    </w:p>
    <w:p w14:paraId="00FD6E41" w14:textId="77777777" w:rsidR="000B27B9" w:rsidRDefault="000B27B9" w:rsidP="000B27B9">
      <w:pPr>
        <w:pStyle w:val="Heading4"/>
      </w:pPr>
      <w:r>
        <w:t>Prisoners</w:t>
      </w:r>
      <w:bookmarkEnd w:id="474"/>
    </w:p>
    <w:p w14:paraId="157B51AA" w14:textId="77777777" w:rsidR="000B27B9" w:rsidRDefault="000B27B9" w:rsidP="00B92CD4">
      <w:pPr>
        <w:pStyle w:val="Body"/>
      </w:pPr>
      <w:bookmarkStart w:id="475" w:name="_Toc418694982"/>
      <w:r>
        <w:t>Prisoners receiving admitted, emergency department and specialist clinic services in Victorian public hospitals are treated and funded as public patients. The following arrangements apply:</w:t>
      </w:r>
    </w:p>
    <w:p w14:paraId="36F89404" w14:textId="527C5C2B" w:rsidR="000B27B9" w:rsidRPr="00A526A8" w:rsidRDefault="00C369DB" w:rsidP="00E05C4E">
      <w:pPr>
        <w:pStyle w:val="Bullet1"/>
      </w:pPr>
      <w:r>
        <w:t xml:space="preserve">acute </w:t>
      </w:r>
      <w:r w:rsidR="000B27B9">
        <w:t xml:space="preserve">admitted activity is funded at the public </w:t>
      </w:r>
      <w:r w:rsidR="2ED32608" w:rsidRPr="00082F60">
        <w:t>NWAU</w:t>
      </w:r>
      <w:r w:rsidR="000B27B9">
        <w:t xml:space="preserve"> price</w:t>
      </w:r>
    </w:p>
    <w:p w14:paraId="795337B3" w14:textId="07E8CC98" w:rsidR="000B27B9" w:rsidRPr="00A3032F" w:rsidRDefault="00C369DB" w:rsidP="00E05C4E">
      <w:pPr>
        <w:pStyle w:val="Bullet1"/>
      </w:pPr>
      <w:r>
        <w:t xml:space="preserve">admitted </w:t>
      </w:r>
      <w:r w:rsidR="000B27B9">
        <w:t xml:space="preserve">subacute services are funded at the public subacute </w:t>
      </w:r>
      <w:r w:rsidR="3E6E2B39" w:rsidRPr="00082F60">
        <w:t>NWAU</w:t>
      </w:r>
      <w:r w:rsidR="000B27B9">
        <w:t xml:space="preserve"> price</w:t>
      </w:r>
    </w:p>
    <w:p w14:paraId="088CD93F" w14:textId="08FD9713" w:rsidR="000B27B9" w:rsidRPr="00A3032F" w:rsidRDefault="00C369DB" w:rsidP="00E05C4E">
      <w:pPr>
        <w:pStyle w:val="Bullet1"/>
      </w:pPr>
      <w:r>
        <w:t xml:space="preserve">emergency </w:t>
      </w:r>
      <w:r w:rsidR="000B27B9">
        <w:t xml:space="preserve">department services are funded through the </w:t>
      </w:r>
      <w:r w:rsidR="69EF4F1B">
        <w:t>NWAU price</w:t>
      </w:r>
    </w:p>
    <w:p w14:paraId="1E770C3F" w14:textId="03995BB1" w:rsidR="000B27B9" w:rsidRPr="00A3032F" w:rsidRDefault="00C369DB" w:rsidP="00E05C4E">
      <w:pPr>
        <w:pStyle w:val="Bullet1"/>
      </w:pPr>
      <w:r>
        <w:t xml:space="preserve">specialist </w:t>
      </w:r>
      <w:r w:rsidR="000B27B9">
        <w:t>clinic services are funded through the Acute Specialist Clinics Grant</w:t>
      </w:r>
    </w:p>
    <w:p w14:paraId="581D95DE" w14:textId="2D5F5A16" w:rsidR="000B27B9" w:rsidRPr="00A3032F" w:rsidRDefault="00C369DB" w:rsidP="00E05C4E">
      <w:pPr>
        <w:pStyle w:val="Bullet1"/>
      </w:pPr>
      <w:r>
        <w:t xml:space="preserve">health </w:t>
      </w:r>
      <w:r w:rsidR="000B27B9">
        <w:t>services should not bill the Department of Justice and Regulation via primary care providers for these services provided to prisoners.</w:t>
      </w:r>
    </w:p>
    <w:p w14:paraId="020B3C58" w14:textId="77777777" w:rsidR="000B27B9" w:rsidRDefault="000B27B9" w:rsidP="00B92CD4">
      <w:pPr>
        <w:pStyle w:val="Bodyafterbullets"/>
      </w:pPr>
      <w:r>
        <w:t>Health services should ensure they:</w:t>
      </w:r>
    </w:p>
    <w:p w14:paraId="0416B585" w14:textId="77777777" w:rsidR="000B27B9" w:rsidRPr="00A3032F" w:rsidRDefault="000B27B9" w:rsidP="00E05C4E">
      <w:pPr>
        <w:pStyle w:val="Bullet1"/>
      </w:pPr>
      <w:r>
        <w:t>report all prisoners to the VAED with the account class ‘JP – Prisoner’ or ‘JN – Prisoner Non-Acute’ as relevant and a Medicare Suffix of P-N</w:t>
      </w:r>
    </w:p>
    <w:p w14:paraId="763E4F9C" w14:textId="77777777" w:rsidR="000B27B9" w:rsidRPr="00A3032F" w:rsidRDefault="000B27B9" w:rsidP="00E05C4E">
      <w:pPr>
        <w:pStyle w:val="Bullet1"/>
      </w:pPr>
      <w:r>
        <w:t>record the ‘type of usual accommodation’ data element in the VEMD as ‘prison/remand centre/youth training centre’ and a Medicare Suffix of P-N</w:t>
      </w:r>
    </w:p>
    <w:p w14:paraId="4F810F85" w14:textId="3E0FCE17" w:rsidR="000B27B9" w:rsidRDefault="000B27B9" w:rsidP="00E05C4E">
      <w:pPr>
        <w:pStyle w:val="Bullet1"/>
      </w:pPr>
      <w:r>
        <w:t xml:space="preserve">report all prisoners to </w:t>
      </w:r>
      <w:r w:rsidR="58CE1596">
        <w:t>the VINAH minimum dataset</w:t>
      </w:r>
      <w:r>
        <w:t xml:space="preserve"> with the contact account class ‘JP – Prisoner’ and Contact Client Medicare </w:t>
      </w:r>
      <w:r w:rsidR="58CE1596">
        <w:t>Suffix</w:t>
      </w:r>
      <w:r>
        <w:t xml:space="preserve"> of P-N.</w:t>
      </w:r>
    </w:p>
    <w:p w14:paraId="253D359D" w14:textId="420FCBD8" w:rsidR="000B27B9" w:rsidRPr="00FE3A80" w:rsidRDefault="000B27B9" w:rsidP="00B92CD4">
      <w:pPr>
        <w:pStyle w:val="Bodyafterbullets"/>
      </w:pPr>
      <w:r>
        <w:t xml:space="preserve">Health services are not permitted to raise additional fees or charges for pharmaceuticals or other items described in </w:t>
      </w:r>
      <w:r w:rsidRPr="008424C9">
        <w:t xml:space="preserve">section </w:t>
      </w:r>
      <w:r>
        <w:rPr>
          <w:color w:val="2B579A"/>
          <w:shd w:val="clear" w:color="auto" w:fill="E6E6E6"/>
        </w:rPr>
        <w:fldChar w:fldCharType="begin"/>
      </w:r>
      <w:r>
        <w:instrText xml:space="preserve"> REF _Ref9933660 \r \h </w:instrText>
      </w:r>
      <w:r>
        <w:rPr>
          <w:color w:val="2B579A"/>
          <w:shd w:val="clear" w:color="auto" w:fill="E6E6E6"/>
        </w:rPr>
      </w:r>
      <w:r>
        <w:rPr>
          <w:color w:val="2B579A"/>
          <w:shd w:val="clear" w:color="auto" w:fill="E6E6E6"/>
        </w:rPr>
        <w:fldChar w:fldCharType="separate"/>
      </w:r>
      <w:r w:rsidR="006D0756">
        <w:t>1.20.3</w:t>
      </w:r>
      <w:r>
        <w:rPr>
          <w:color w:val="2B579A"/>
          <w:shd w:val="clear" w:color="auto" w:fill="E6E6E6"/>
        </w:rPr>
        <w:fldChar w:fldCharType="end"/>
      </w:r>
      <w:r w:rsidRPr="008424C9">
        <w:t xml:space="preserve"> ‘</w:t>
      </w:r>
      <w:r>
        <w:rPr>
          <w:color w:val="2B579A"/>
          <w:shd w:val="clear" w:color="auto" w:fill="E6E6E6"/>
        </w:rPr>
        <w:fldChar w:fldCharType="begin"/>
      </w:r>
      <w:r>
        <w:instrText xml:space="preserve"> REF _Ref9933651 \h </w:instrText>
      </w:r>
      <w:r>
        <w:rPr>
          <w:color w:val="2B579A"/>
          <w:shd w:val="clear" w:color="auto" w:fill="E6E6E6"/>
        </w:rPr>
      </w:r>
      <w:r>
        <w:rPr>
          <w:color w:val="2B579A"/>
          <w:shd w:val="clear" w:color="auto" w:fill="E6E6E6"/>
        </w:rPr>
        <w:fldChar w:fldCharType="separate"/>
      </w:r>
      <w:r w:rsidR="006D0756">
        <w:t>Health Service Fees and Charges</w:t>
      </w:r>
      <w:r>
        <w:rPr>
          <w:color w:val="2B579A"/>
          <w:shd w:val="clear" w:color="auto" w:fill="E6E6E6"/>
        </w:rPr>
        <w:fldChar w:fldCharType="end"/>
      </w:r>
      <w:r w:rsidRPr="008424C9">
        <w:t>’.</w:t>
      </w:r>
    </w:p>
    <w:p w14:paraId="383E88C6" w14:textId="0F0FFA92" w:rsidR="000B27B9" w:rsidRDefault="000B27B9" w:rsidP="000B27B9">
      <w:pPr>
        <w:pStyle w:val="Heading4"/>
      </w:pPr>
      <w:r>
        <w:t xml:space="preserve">Direct </w:t>
      </w:r>
      <w:r w:rsidR="00331D5D">
        <w:t>B</w:t>
      </w:r>
      <w:r>
        <w:t xml:space="preserve">illing </w:t>
      </w:r>
      <w:r w:rsidR="00331D5D">
        <w:t>C</w:t>
      </w:r>
      <w:r>
        <w:t xml:space="preserve">ompensable </w:t>
      </w:r>
      <w:r w:rsidR="00331D5D">
        <w:t>P</w:t>
      </w:r>
      <w:r>
        <w:t>atients</w:t>
      </w:r>
      <w:bookmarkEnd w:id="475"/>
    </w:p>
    <w:p w14:paraId="5211EB5F" w14:textId="77777777" w:rsidR="000B27B9" w:rsidRDefault="000B27B9" w:rsidP="00B92CD4">
      <w:pPr>
        <w:pStyle w:val="Body"/>
      </w:pPr>
      <w:r>
        <w:t>For compensable patients who are directly billed, the following arrangements are in place:</w:t>
      </w:r>
    </w:p>
    <w:p w14:paraId="147F7461" w14:textId="432C7E52" w:rsidR="000B27B9" w:rsidRDefault="000B27B9" w:rsidP="00E05C4E">
      <w:pPr>
        <w:pStyle w:val="Bullet1"/>
      </w:pPr>
      <w:r>
        <w:t>armed services – paid by the Department of Defence and billed through BUPA – paid by private health insurers that cover care for international seafarers</w:t>
      </w:r>
    </w:p>
    <w:p w14:paraId="78A0710C" w14:textId="77777777" w:rsidR="000B27B9" w:rsidRDefault="000B27B9" w:rsidP="00E05C4E">
      <w:pPr>
        <w:pStyle w:val="Bullet1"/>
      </w:pPr>
      <w:r>
        <w:t>common law recoveries – paid by a third party where health costs are provided for under a common law damages claim</w:t>
      </w:r>
    </w:p>
    <w:p w14:paraId="3E1DC1F6" w14:textId="77777777" w:rsidR="000B27B9" w:rsidRDefault="000B27B9" w:rsidP="00E05C4E">
      <w:pPr>
        <w:pStyle w:val="Bullet1"/>
      </w:pPr>
      <w:r>
        <w:t>other compensables – paid by a third party where health costs are provided for under a public liability claim.</w:t>
      </w:r>
    </w:p>
    <w:p w14:paraId="16A6C3BA" w14:textId="730BE47F" w:rsidR="000B27B9" w:rsidRDefault="000B27B9" w:rsidP="00B92CD4">
      <w:pPr>
        <w:pStyle w:val="Bodyafterbullets"/>
      </w:pPr>
      <w:r>
        <w:t xml:space="preserve">For these patients, health services should directly bill the relevant organisation responsible for payment. Billing rates are as determined by health services and should be set to provide for full cost recovery. Recommended fees are outlined in the </w:t>
      </w:r>
      <w:r w:rsidR="00117767">
        <w:t xml:space="preserve">policies </w:t>
      </w:r>
      <w:r w:rsidR="00C369DB">
        <w:t>on the</w:t>
      </w:r>
      <w:r w:rsidR="00117767">
        <w:t xml:space="preserve"> </w:t>
      </w:r>
      <w:hyperlink r:id="rId80" w:history="1">
        <w:r w:rsidR="00117767" w:rsidRPr="00B75888">
          <w:rPr>
            <w:rStyle w:val="Hyperlink"/>
          </w:rPr>
          <w:t>Patient fees and charges for public health services</w:t>
        </w:r>
      </w:hyperlink>
      <w:r>
        <w:t xml:space="preserve"> </w:t>
      </w:r>
      <w:r w:rsidR="00C369DB">
        <w:t xml:space="preserve">website </w:t>
      </w:r>
      <w:r>
        <w:t>&lt;</w:t>
      </w:r>
      <w:r w:rsidR="00B71843" w:rsidRPr="00B71843">
        <w:t>https://www.health.vic.gov.au/hospitals-and-health-services/patient-fees-and-charges-for-public-health-services</w:t>
      </w:r>
      <w:r>
        <w:t>&gt;.</w:t>
      </w:r>
    </w:p>
    <w:p w14:paraId="202FE72E" w14:textId="77777777" w:rsidR="006A39E9" w:rsidRDefault="006A39E9" w:rsidP="00B92CD4">
      <w:pPr>
        <w:pStyle w:val="Bodyafterbullets"/>
      </w:pPr>
    </w:p>
    <w:p w14:paraId="1C294F84" w14:textId="10055777" w:rsidR="005743DF" w:rsidRDefault="5DB9F205" w:rsidP="00246276">
      <w:pPr>
        <w:pStyle w:val="Heading2"/>
        <w:ind w:left="1134" w:hanging="1134"/>
        <w:rPr>
          <w:rFonts w:eastAsia="Arial"/>
        </w:rPr>
      </w:pPr>
      <w:bookmarkStart w:id="476" w:name="_Toc127191985"/>
      <w:bookmarkStart w:id="477" w:name="_Toc100263336"/>
      <w:r>
        <w:lastRenderedPageBreak/>
        <w:t xml:space="preserve">Improving </w:t>
      </w:r>
      <w:r w:rsidR="00331D5D">
        <w:t>H</w:t>
      </w:r>
      <w:r>
        <w:t xml:space="preserve">ealth </w:t>
      </w:r>
      <w:r w:rsidR="00331D5D">
        <w:t>O</w:t>
      </w:r>
      <w:r>
        <w:t xml:space="preserve">utcomes </w:t>
      </w:r>
      <w:r w:rsidR="3E8E5914">
        <w:t xml:space="preserve">for Aboriginal and Torres Strait Islander </w:t>
      </w:r>
      <w:r w:rsidR="00331D5D">
        <w:t>P</w:t>
      </w:r>
      <w:r w:rsidR="3E8E5914">
        <w:t>atients</w:t>
      </w:r>
      <w:bookmarkEnd w:id="476"/>
      <w:r w:rsidR="0782DCF1">
        <w:t xml:space="preserve"> </w:t>
      </w:r>
      <w:r w:rsidR="7D83A60E">
        <w:t xml:space="preserve"> </w:t>
      </w:r>
      <w:bookmarkEnd w:id="477"/>
    </w:p>
    <w:p w14:paraId="3A0489A4" w14:textId="7B08F977" w:rsidR="00AC250F" w:rsidRPr="00A8503C" w:rsidRDefault="0729AFF2" w:rsidP="00B75888">
      <w:pPr>
        <w:pStyle w:val="Body"/>
      </w:pPr>
      <w:r w:rsidRPr="00AE6427">
        <w:t>All health services receive the Aboriginal loading of 4</w:t>
      </w:r>
      <w:r w:rsidR="00887E93">
        <w:t>%</w:t>
      </w:r>
      <w:r w:rsidRPr="00AE6427">
        <w:t xml:space="preserve"> using NWAU. In addition to this, health services with larger Ab</w:t>
      </w:r>
      <w:r w:rsidRPr="009E5137">
        <w:t xml:space="preserve">original populations across their catchment receive an </w:t>
      </w:r>
      <w:hyperlink r:id="rId81" w:history="1">
        <w:r w:rsidRPr="00C369DB">
          <w:rPr>
            <w:rStyle w:val="Hyperlink"/>
          </w:rPr>
          <w:t>Aboriginal cultural safety fixed grant</w:t>
        </w:r>
      </w:hyperlink>
      <w:r w:rsidRPr="00AE6427">
        <w:t xml:space="preserve"> </w:t>
      </w:r>
      <w:r w:rsidR="00A875A9" w:rsidRPr="009E5137">
        <w:t>&lt;https://</w:t>
      </w:r>
      <w:r w:rsidR="00C75D1B" w:rsidRPr="000F3F7F">
        <w:t>www</w:t>
      </w:r>
      <w:r w:rsidR="00A875A9" w:rsidRPr="00AA2842">
        <w:t>.health.vic.gov.au/publications/</w:t>
      </w:r>
      <w:r w:rsidR="00C75D1B" w:rsidRPr="00AA2842">
        <w:t>aboriginal-cultural-safety-fixed-grant-guidelines-cultural-safety-planning-and</w:t>
      </w:r>
      <w:r w:rsidR="00A875A9" w:rsidRPr="006214A1">
        <w:t>&gt;.</w:t>
      </w:r>
      <w:r w:rsidR="00DB71D3" w:rsidRPr="00F91AB2">
        <w:t xml:space="preserve"> This Aboriginal cultural safety funding is targeted to build health services’ responses to cultural safety</w:t>
      </w:r>
      <w:r w:rsidR="4EDA2ADB" w:rsidRPr="00F91AB2">
        <w:t xml:space="preserve"> and</w:t>
      </w:r>
      <w:r w:rsidR="00DB71D3" w:rsidRPr="001472D4">
        <w:t xml:space="preserve"> improve health outcomes for Aboriginal people attending Victorian public hospitals</w:t>
      </w:r>
      <w:r w:rsidR="4EDA2ADB" w:rsidRPr="005960F1">
        <w:t xml:space="preserve">. </w:t>
      </w:r>
    </w:p>
    <w:p w14:paraId="74DCC335" w14:textId="484EF472" w:rsidR="00AB23DA" w:rsidRPr="00AB23DA" w:rsidRDefault="0EDBA812" w:rsidP="006A39E9">
      <w:pPr>
        <w:pStyle w:val="Body"/>
      </w:pPr>
      <w:r>
        <w:t xml:space="preserve">All health services, regardless of funding arrangements, are required to deliver culturally safe services as articulated in the Statement of Priorities. This requires health services to build </w:t>
      </w:r>
      <w:r w:rsidR="00AB23DA" w:rsidRPr="00AB23DA">
        <w:t xml:space="preserve">relationships with Aboriginal stakeholders to create the conditions for Aboriginal self-determination. Health services </w:t>
      </w:r>
      <w:r>
        <w:t xml:space="preserve">in receipt of the Aboriginal cultural safety fixed grant </w:t>
      </w:r>
      <w:r w:rsidR="00AB23DA" w:rsidRPr="00AB23DA">
        <w:t>are required to</w:t>
      </w:r>
      <w:r>
        <w:t xml:space="preserve"> provide </w:t>
      </w:r>
      <w:r w:rsidR="00AB23DA" w:rsidRPr="00AB23DA">
        <w:t>cultural safety plans and progress reports</w:t>
      </w:r>
      <w:r>
        <w:t xml:space="preserve"> annually to the department. The p</w:t>
      </w:r>
      <w:r w:rsidR="00AB23DA" w:rsidRPr="00AB23DA">
        <w:t xml:space="preserve">lans and progress reports outline cultural safety activity, outcomes, and </w:t>
      </w:r>
      <w:r>
        <w:t>acquittal of</w:t>
      </w:r>
      <w:r w:rsidR="00AB23DA" w:rsidRPr="00AB23DA">
        <w:t xml:space="preserve"> the cultural safety funding</w:t>
      </w:r>
      <w:r>
        <w:t>.</w:t>
      </w:r>
      <w:r w:rsidR="00B3600E">
        <w:t xml:space="preserve"> </w:t>
      </w:r>
    </w:p>
    <w:p w14:paraId="5439CFB9" w14:textId="6DAC4481" w:rsidR="00AB23DA" w:rsidRPr="00AB23DA" w:rsidRDefault="00AB23DA" w:rsidP="006A39E9">
      <w:pPr>
        <w:pStyle w:val="Body"/>
      </w:pPr>
      <w:r>
        <w:t xml:space="preserve">The funding </w:t>
      </w:r>
      <w:r w:rsidR="00B3600E">
        <w:t xml:space="preserve">will </w:t>
      </w:r>
      <w:r>
        <w:t>drive cultural safety across the whole health service organisation as well as support the Improving Care for Aboriginal Patients (ICAP) program and the Koori Mental Health Liaison Officer programs.</w:t>
      </w:r>
    </w:p>
    <w:p w14:paraId="336394F1" w14:textId="1804A1F1" w:rsidR="000528E1" w:rsidRPr="00AB23DA" w:rsidRDefault="000528E1" w:rsidP="006A39E9">
      <w:pPr>
        <w:pStyle w:val="Body"/>
      </w:pPr>
      <w:r>
        <w:t>Th</w:t>
      </w:r>
      <w:r w:rsidR="00781D1F">
        <w:t xml:space="preserve">ere is </w:t>
      </w:r>
      <w:r w:rsidR="001C79DD">
        <w:t xml:space="preserve">new </w:t>
      </w:r>
      <w:r w:rsidR="00781D1F">
        <w:t>funding</w:t>
      </w:r>
      <w:r w:rsidR="00D95779">
        <w:t xml:space="preserve"> from 2022</w:t>
      </w:r>
      <w:r w:rsidR="00C369DB">
        <w:t>–</w:t>
      </w:r>
      <w:r w:rsidR="00D95779">
        <w:t>23</w:t>
      </w:r>
      <w:r w:rsidR="00781D1F">
        <w:t xml:space="preserve"> </w:t>
      </w:r>
      <w:r w:rsidR="00723B3E">
        <w:t xml:space="preserve">for phased recruitment of </w:t>
      </w:r>
      <w:r w:rsidR="005C7ADE">
        <w:t>dedicated</w:t>
      </w:r>
      <w:r w:rsidR="00781D1F">
        <w:t xml:space="preserve"> Koori Mental </w:t>
      </w:r>
      <w:r w:rsidR="009E08A6">
        <w:t>Health</w:t>
      </w:r>
      <w:r w:rsidR="00781D1F">
        <w:t xml:space="preserve"> </w:t>
      </w:r>
      <w:r w:rsidR="009E08A6">
        <w:t>Liaison Officers</w:t>
      </w:r>
      <w:r w:rsidR="00EB71D3">
        <w:t xml:space="preserve"> </w:t>
      </w:r>
      <w:r w:rsidR="00CB0BF0">
        <w:t>in Infant, Child and Youth Area Mental and Health Services</w:t>
      </w:r>
      <w:r w:rsidR="00661FCC">
        <w:t xml:space="preserve"> </w:t>
      </w:r>
      <w:r w:rsidR="001C79DD">
        <w:t>that will assist in support</w:t>
      </w:r>
      <w:r w:rsidR="00B31BCF">
        <w:t>ing Aboriginal children</w:t>
      </w:r>
      <w:r w:rsidR="007B1DFD">
        <w:t>,</w:t>
      </w:r>
      <w:r w:rsidR="00B31BCF">
        <w:t xml:space="preserve"> young people and families</w:t>
      </w:r>
      <w:r w:rsidR="00FF7742">
        <w:t xml:space="preserve"> with access to culturally safe services. </w:t>
      </w:r>
    </w:p>
    <w:p w14:paraId="48E2D5A2" w14:textId="388864AF" w:rsidR="00AB23DA" w:rsidRPr="00AB23DA" w:rsidRDefault="00AB23DA" w:rsidP="006A39E9">
      <w:pPr>
        <w:pStyle w:val="Body"/>
      </w:pPr>
      <w:r>
        <w:t xml:space="preserve">The employment of Aboriginal health staff is an </w:t>
      </w:r>
      <w:r w:rsidR="002247A2">
        <w:t>important</w:t>
      </w:r>
      <w:r w:rsidRPr="00AB23DA">
        <w:t xml:space="preserve"> enabler</w:t>
      </w:r>
      <w:r>
        <w:t xml:space="preserve"> of cultural safety. Aboriginal health staff includes those in </w:t>
      </w:r>
      <w:r w:rsidR="0EDBA812">
        <w:t xml:space="preserve">both </w:t>
      </w:r>
      <w:r>
        <w:t xml:space="preserve">leadership and client facing roles across the organisation. Health services are required to identify opportunities to employ Aboriginal health staff to meet patient and community demand including </w:t>
      </w:r>
      <w:r w:rsidR="3B535CF4">
        <w:t xml:space="preserve">for out of </w:t>
      </w:r>
      <w:r>
        <w:t>hours presentations.</w:t>
      </w:r>
    </w:p>
    <w:p w14:paraId="0D1F3F46" w14:textId="62327536" w:rsidR="005743DF" w:rsidRDefault="00AB23DA" w:rsidP="006A39E9">
      <w:pPr>
        <w:pStyle w:val="Body"/>
      </w:pPr>
      <w:r w:rsidRPr="00AB23DA">
        <w:t>The role of Aboriginal staff is crucial to enhancing the cultural safety of Aboriginal patients and their families</w:t>
      </w:r>
      <w:r w:rsidR="0064535C">
        <w:t>;</w:t>
      </w:r>
      <w:r w:rsidRPr="00AB23DA">
        <w:t xml:space="preserve"> however</w:t>
      </w:r>
      <w:r w:rsidR="0064535C">
        <w:t>,</w:t>
      </w:r>
      <w:r w:rsidRPr="00AB23DA">
        <w:t xml:space="preserve"> every area across the health service has responsibilities to providing culturally safe services.</w:t>
      </w:r>
      <w:bookmarkStart w:id="478" w:name="_Toc450303701"/>
      <w:bookmarkStart w:id="479" w:name="_Toc451364919"/>
      <w:bookmarkStart w:id="480" w:name="_Toc451453982"/>
      <w:bookmarkStart w:id="481" w:name="_Toc451516740"/>
      <w:bookmarkStart w:id="482" w:name="_Toc451800494"/>
      <w:bookmarkStart w:id="483" w:name="_Toc451801385"/>
      <w:bookmarkStart w:id="484" w:name="_Toc451802974"/>
      <w:bookmarkEnd w:id="478"/>
      <w:bookmarkEnd w:id="479"/>
      <w:bookmarkEnd w:id="480"/>
      <w:bookmarkEnd w:id="481"/>
      <w:bookmarkEnd w:id="482"/>
      <w:bookmarkEnd w:id="483"/>
      <w:bookmarkEnd w:id="484"/>
    </w:p>
    <w:p w14:paraId="2044D579" w14:textId="3D5293CC" w:rsidR="0048052F" w:rsidRPr="0048052F" w:rsidRDefault="2EB9143A" w:rsidP="007B5506">
      <w:pPr>
        <w:pStyle w:val="Heading3"/>
        <w:rPr>
          <w:rFonts w:eastAsia="Arial" w:cs="Arial"/>
        </w:rPr>
      </w:pPr>
      <w:bookmarkStart w:id="485" w:name="_Toc100263337"/>
      <w:bookmarkStart w:id="486" w:name="_Toc127191986"/>
      <w:r>
        <w:t xml:space="preserve">Aboriginal </w:t>
      </w:r>
      <w:r w:rsidR="00331D5D">
        <w:t>C</w:t>
      </w:r>
      <w:r w:rsidR="54D6F9E6">
        <w:t>ultural</w:t>
      </w:r>
      <w:r w:rsidR="22676BA2">
        <w:t xml:space="preserve"> </w:t>
      </w:r>
      <w:r w:rsidR="00331D5D">
        <w:t>S</w:t>
      </w:r>
      <w:r w:rsidR="54D6F9E6">
        <w:t>afety</w:t>
      </w:r>
      <w:r w:rsidR="22676BA2">
        <w:t xml:space="preserve"> </w:t>
      </w:r>
      <w:r w:rsidR="00331D5D">
        <w:t>P</w:t>
      </w:r>
      <w:r w:rsidR="0E6F41F8">
        <w:t xml:space="preserve">lanning and </w:t>
      </w:r>
      <w:r w:rsidR="00331D5D">
        <w:t>R</w:t>
      </w:r>
      <w:r w:rsidR="0E6F41F8">
        <w:t>eporting</w:t>
      </w:r>
      <w:r w:rsidR="47F5C204">
        <w:t xml:space="preserve"> </w:t>
      </w:r>
      <w:r w:rsidR="00331D5D">
        <w:t>R</w:t>
      </w:r>
      <w:r w:rsidR="47F5C204">
        <w:t>equirements</w:t>
      </w:r>
      <w:bookmarkEnd w:id="485"/>
      <w:bookmarkEnd w:id="486"/>
    </w:p>
    <w:p w14:paraId="0367EE9D" w14:textId="5031318C" w:rsidR="47F5C204" w:rsidRPr="00B75888" w:rsidRDefault="57E75C99" w:rsidP="00B75888">
      <w:pPr>
        <w:pStyle w:val="Body"/>
      </w:pPr>
      <w:r w:rsidRPr="00B75888">
        <w:t>Hospitals in receipt of the Aboriginal cultural safety fixed grant are required to submit an annual cultural safety plan and progress report</w:t>
      </w:r>
      <w:r w:rsidR="47F5C204" w:rsidRPr="00B75888">
        <w:t xml:space="preserve"> to the department. </w:t>
      </w:r>
    </w:p>
    <w:p w14:paraId="5BE7C9D0" w14:textId="6FB63A6B" w:rsidR="47F5C204" w:rsidRDefault="57E75C99" w:rsidP="73F6B7D2">
      <w:pPr>
        <w:pStyle w:val="Bodyafterbullets"/>
        <w:rPr>
          <w:rFonts w:eastAsia="Arial" w:cs="Arial"/>
          <w:color w:val="000000" w:themeColor="text1"/>
        </w:rPr>
      </w:pPr>
      <w:r w:rsidRPr="435566E8">
        <w:rPr>
          <w:rFonts w:eastAsia="Arial" w:cs="Arial"/>
          <w:color w:val="000000" w:themeColor="text1"/>
        </w:rPr>
        <w:t>Compliance with the planning and reporting requirements is an obligation of the funding</w:t>
      </w:r>
      <w:r w:rsidR="748B0196" w:rsidRPr="435566E8">
        <w:rPr>
          <w:rFonts w:eastAsia="Arial" w:cs="Arial"/>
          <w:color w:val="000000" w:themeColor="text1"/>
        </w:rPr>
        <w:t xml:space="preserve"> and </w:t>
      </w:r>
      <w:r w:rsidR="772D967E" w:rsidRPr="435566E8">
        <w:rPr>
          <w:rFonts w:eastAsia="Arial" w:cs="Arial"/>
          <w:color w:val="000000" w:themeColor="text1"/>
        </w:rPr>
        <w:t xml:space="preserve">the </w:t>
      </w:r>
      <w:hyperlink r:id="rId82">
        <w:r w:rsidR="772D967E" w:rsidRPr="435566E8">
          <w:rPr>
            <w:rStyle w:val="Hyperlink"/>
            <w:rFonts w:eastAsia="Arial" w:cs="Arial"/>
          </w:rPr>
          <w:t>Aboriginal Cultural Safety Fixed Grant Guidelines</w:t>
        </w:r>
      </w:hyperlink>
      <w:r w:rsidR="47F5C204" w:rsidRPr="435566E8">
        <w:rPr>
          <w:rFonts w:eastAsia="Arial" w:cs="Arial"/>
          <w:color w:val="000000" w:themeColor="text1"/>
        </w:rPr>
        <w:t xml:space="preserve"> </w:t>
      </w:r>
      <w:r w:rsidR="00427D29" w:rsidRPr="435566E8">
        <w:rPr>
          <w:rFonts w:eastAsia="Arial" w:cs="Arial"/>
          <w:color w:val="000000" w:themeColor="text1"/>
        </w:rPr>
        <w:t xml:space="preserve"> &lt;</w:t>
      </w:r>
      <w:r w:rsidR="00EE391C" w:rsidRPr="435566E8">
        <w:rPr>
          <w:rFonts w:eastAsia="Arial" w:cs="Arial"/>
          <w:color w:val="000000" w:themeColor="text1"/>
        </w:rPr>
        <w:t>https://</w:t>
      </w:r>
      <w:r w:rsidR="009B4099" w:rsidRPr="435566E8">
        <w:rPr>
          <w:rFonts w:eastAsia="Arial" w:cs="Arial"/>
          <w:color w:val="000000" w:themeColor="text1"/>
        </w:rPr>
        <w:t>www</w:t>
      </w:r>
      <w:r w:rsidR="00EE391C" w:rsidRPr="435566E8">
        <w:rPr>
          <w:rFonts w:eastAsia="Arial" w:cs="Arial"/>
          <w:color w:val="000000" w:themeColor="text1"/>
        </w:rPr>
        <w:t>.health.vic.gov.au/publications/</w:t>
      </w:r>
      <w:r w:rsidR="009B4099" w:rsidRPr="435566E8">
        <w:rPr>
          <w:rFonts w:eastAsia="Arial" w:cs="Arial"/>
          <w:color w:val="000000" w:themeColor="text1"/>
        </w:rPr>
        <w:t>aboriginal-cultural-safety-fixed-grant-guidelines-cultural-safety-planning-and</w:t>
      </w:r>
      <w:r w:rsidR="00427D29" w:rsidRPr="435566E8">
        <w:rPr>
          <w:rFonts w:eastAsia="Arial" w:cs="Arial"/>
          <w:color w:val="000000" w:themeColor="text1"/>
        </w:rPr>
        <w:t>&gt;</w:t>
      </w:r>
      <w:r w:rsidR="00EE391C" w:rsidRPr="435566E8">
        <w:rPr>
          <w:rFonts w:eastAsia="Arial" w:cs="Arial"/>
          <w:color w:val="000000" w:themeColor="text1"/>
        </w:rPr>
        <w:t xml:space="preserve"> </w:t>
      </w:r>
      <w:r w:rsidR="47F5C204" w:rsidRPr="435566E8">
        <w:rPr>
          <w:rFonts w:eastAsia="Arial" w:cs="Arial"/>
          <w:color w:val="000000" w:themeColor="text1"/>
        </w:rPr>
        <w:t xml:space="preserve">articulate the requirements and provide guidance for appropriate expenditure of funds towards improving Aboriginal cultural safety. </w:t>
      </w:r>
    </w:p>
    <w:p w14:paraId="7B53D282" w14:textId="18BB1DDF" w:rsidR="003B5014" w:rsidRDefault="00CB5503" w:rsidP="000471E2">
      <w:pPr>
        <w:pStyle w:val="Bodyafterbullets"/>
        <w:rPr>
          <w:rFonts w:asciiTheme="minorHAnsi" w:eastAsiaTheme="minorEastAsia" w:hAnsiTheme="minorHAnsi" w:cstheme="minorBidi"/>
          <w:color w:val="000000" w:themeColor="text1"/>
        </w:rPr>
      </w:pPr>
      <w:r>
        <w:rPr>
          <w:rFonts w:eastAsia="Arial" w:cs="Arial"/>
          <w:color w:val="000000" w:themeColor="text1"/>
          <w:szCs w:val="21"/>
        </w:rPr>
        <w:t xml:space="preserve">Refer to </w:t>
      </w:r>
      <w:r w:rsidR="002A5529">
        <w:rPr>
          <w:rFonts w:eastAsia="Arial" w:cs="Arial"/>
          <w:color w:val="000000" w:themeColor="text1"/>
          <w:szCs w:val="21"/>
        </w:rPr>
        <w:t>s</w:t>
      </w:r>
      <w:r w:rsidR="006D4600">
        <w:rPr>
          <w:rFonts w:eastAsia="Arial" w:cs="Arial"/>
          <w:color w:val="000000" w:themeColor="text1"/>
          <w:szCs w:val="21"/>
        </w:rPr>
        <w:t>ection 15.4</w:t>
      </w:r>
      <w:r w:rsidR="00682661">
        <w:rPr>
          <w:rFonts w:eastAsia="Arial" w:cs="Arial"/>
          <w:color w:val="000000" w:themeColor="text1"/>
          <w:szCs w:val="21"/>
        </w:rPr>
        <w:t xml:space="preserve"> of the </w:t>
      </w:r>
      <w:r w:rsidR="00682661" w:rsidRPr="00B75888">
        <w:rPr>
          <w:i/>
          <w:color w:val="000000" w:themeColor="text1"/>
        </w:rPr>
        <w:t xml:space="preserve">Policy </w:t>
      </w:r>
      <w:r w:rsidR="00AD74CD">
        <w:rPr>
          <w:rFonts w:eastAsia="Arial" w:cs="Arial"/>
          <w:i/>
          <w:iCs/>
          <w:color w:val="000000" w:themeColor="text1"/>
          <w:szCs w:val="21"/>
        </w:rPr>
        <w:t>G</w:t>
      </w:r>
      <w:r w:rsidR="00C369DB" w:rsidRPr="00AE6427">
        <w:rPr>
          <w:rFonts w:eastAsia="Arial" w:cs="Arial"/>
          <w:i/>
          <w:iCs/>
          <w:color w:val="000000" w:themeColor="text1"/>
          <w:szCs w:val="21"/>
        </w:rPr>
        <w:t>uide</w:t>
      </w:r>
      <w:r w:rsidR="00C369DB">
        <w:rPr>
          <w:rFonts w:eastAsia="Arial" w:cs="Arial"/>
          <w:color w:val="000000" w:themeColor="text1"/>
          <w:szCs w:val="21"/>
        </w:rPr>
        <w:t xml:space="preserve"> </w:t>
      </w:r>
      <w:r w:rsidR="00682661">
        <w:rPr>
          <w:rFonts w:eastAsia="Arial" w:cs="Arial"/>
          <w:color w:val="000000" w:themeColor="text1"/>
          <w:szCs w:val="21"/>
        </w:rPr>
        <w:t xml:space="preserve">for </w:t>
      </w:r>
      <w:r w:rsidR="002E54C3">
        <w:rPr>
          <w:rFonts w:eastAsia="Arial" w:cs="Arial"/>
          <w:color w:val="000000" w:themeColor="text1"/>
          <w:szCs w:val="21"/>
        </w:rPr>
        <w:t>additional</w:t>
      </w:r>
      <w:r w:rsidR="00682661">
        <w:rPr>
          <w:rFonts w:eastAsia="Arial" w:cs="Arial"/>
          <w:color w:val="000000" w:themeColor="text1"/>
          <w:szCs w:val="21"/>
        </w:rPr>
        <w:t xml:space="preserve"> reporting requirements</w:t>
      </w:r>
      <w:r w:rsidR="002E54C3">
        <w:rPr>
          <w:rFonts w:eastAsia="Arial" w:cs="Arial"/>
          <w:color w:val="000000" w:themeColor="text1"/>
          <w:szCs w:val="21"/>
        </w:rPr>
        <w:t xml:space="preserve"> </w:t>
      </w:r>
      <w:r w:rsidR="00BF2053">
        <w:rPr>
          <w:rFonts w:eastAsia="Arial" w:cs="Arial"/>
          <w:color w:val="000000" w:themeColor="text1"/>
          <w:szCs w:val="21"/>
        </w:rPr>
        <w:t>in relation to</w:t>
      </w:r>
      <w:r w:rsidR="47F5C204" w:rsidRPr="7659ABB4">
        <w:rPr>
          <w:rFonts w:eastAsia="Arial" w:cs="Arial"/>
          <w:color w:val="000000" w:themeColor="text1"/>
        </w:rPr>
        <w:t xml:space="preserve"> cultural safety action areas</w:t>
      </w:r>
      <w:r w:rsidR="00BF2053">
        <w:rPr>
          <w:rFonts w:eastAsia="Arial" w:cs="Arial"/>
          <w:color w:val="000000" w:themeColor="text1"/>
        </w:rPr>
        <w:t>.</w:t>
      </w:r>
    </w:p>
    <w:p w14:paraId="34C3A3A5" w14:textId="35B6E021" w:rsidR="54D6F9E6" w:rsidRDefault="46AE798A" w:rsidP="0E0C1206">
      <w:pPr>
        <w:pStyle w:val="Heading3"/>
      </w:pPr>
      <w:bookmarkStart w:id="487" w:name="_Toc127191987"/>
      <w:bookmarkStart w:id="488" w:name="_Toc100263338"/>
      <w:r>
        <w:lastRenderedPageBreak/>
        <w:t xml:space="preserve">Indicators and </w:t>
      </w:r>
      <w:r w:rsidR="00331D5D">
        <w:t>M</w:t>
      </w:r>
      <w:r>
        <w:t>onitoring</w:t>
      </w:r>
      <w:bookmarkEnd w:id="487"/>
      <w:r>
        <w:t xml:space="preserve"> </w:t>
      </w:r>
      <w:bookmarkEnd w:id="488"/>
    </w:p>
    <w:p w14:paraId="047461F7" w14:textId="5D75C23C" w:rsidR="00A90C61" w:rsidRPr="00A90C61" w:rsidRDefault="00A90C61" w:rsidP="000471E2">
      <w:pPr>
        <w:pStyle w:val="Body"/>
      </w:pPr>
      <w:r w:rsidRPr="00A90C61">
        <w:t>Aboriginal cultural safety proxy indicators for the acute setting include 'Discharge against medical advice</w:t>
      </w:r>
      <w:r w:rsidR="00AD74CD" w:rsidRPr="00077FFD">
        <w:rPr>
          <w:vertAlign w:val="superscript"/>
        </w:rPr>
        <w:footnoteReference w:id="7"/>
      </w:r>
      <w:r w:rsidRPr="00A90C61">
        <w:t xml:space="preserve">' (DAMA) for inpatients and 'Did </w:t>
      </w:r>
      <w:r w:rsidR="00C369DB">
        <w:t xml:space="preserve">not wait' </w:t>
      </w:r>
      <w:r w:rsidRPr="00A90C61">
        <w:t>(DNW) for emergency department presentations.</w:t>
      </w:r>
    </w:p>
    <w:p w14:paraId="7457D298" w14:textId="1CE6088D" w:rsidR="73F6B7D2" w:rsidRDefault="00A90C61" w:rsidP="000471E2">
      <w:pPr>
        <w:pStyle w:val="Body"/>
      </w:pPr>
      <w:r w:rsidRPr="00A90C61">
        <w:t>Since 2019</w:t>
      </w:r>
      <w:r w:rsidR="00C907BB">
        <w:t>–</w:t>
      </w:r>
      <w:r w:rsidRPr="00A90C61">
        <w:t xml:space="preserve">20, DAMA and DNW </w:t>
      </w:r>
      <w:r w:rsidR="7557EE76">
        <w:t>have been</w:t>
      </w:r>
      <w:r w:rsidRPr="00A90C61">
        <w:t xml:space="preserve"> shadow measures in the </w:t>
      </w:r>
      <w:r w:rsidRPr="00B75888">
        <w:rPr>
          <w:i/>
        </w:rPr>
        <w:t xml:space="preserve">Program </w:t>
      </w:r>
      <w:r w:rsidR="00C369DB" w:rsidRPr="00C369DB">
        <w:rPr>
          <w:i/>
          <w:iCs/>
        </w:rPr>
        <w:t>report</w:t>
      </w:r>
      <w:r w:rsidR="00C369DB" w:rsidRPr="00B75888">
        <w:rPr>
          <w:i/>
        </w:rPr>
        <w:t xml:space="preserve"> for </w:t>
      </w:r>
      <w:r w:rsidR="00C369DB" w:rsidRPr="00C369DB">
        <w:rPr>
          <w:i/>
          <w:iCs/>
        </w:rPr>
        <w:t>integrated service monitoring</w:t>
      </w:r>
      <w:r w:rsidR="00C369DB" w:rsidRPr="00A90C61">
        <w:t xml:space="preserve"> </w:t>
      </w:r>
      <w:r w:rsidRPr="00A90C61">
        <w:t xml:space="preserve">(PRISM). </w:t>
      </w:r>
      <w:r w:rsidR="7557EE76" w:rsidRPr="00CD1FC3">
        <w:t>In</w:t>
      </w:r>
      <w:r w:rsidR="7557EE76">
        <w:t xml:space="preserve"> </w:t>
      </w:r>
      <w:r w:rsidR="36520B13" w:rsidRPr="00CD1FC3">
        <w:t>2022</w:t>
      </w:r>
      <w:r w:rsidR="00C369DB">
        <w:t>–</w:t>
      </w:r>
      <w:r w:rsidR="36520B13" w:rsidRPr="00CD1FC3">
        <w:t>23</w:t>
      </w:r>
      <w:r w:rsidR="7557EE76">
        <w:t xml:space="preserve">, these measures will shift from shadow measures into the </w:t>
      </w:r>
      <w:r w:rsidR="7557EE76" w:rsidRPr="00B75888">
        <w:rPr>
          <w:i/>
        </w:rPr>
        <w:t xml:space="preserve">Performance Monitoring Framework </w:t>
      </w:r>
      <w:r w:rsidR="00733AE0" w:rsidRPr="00B75888">
        <w:rPr>
          <w:i/>
        </w:rPr>
        <w:t>2022</w:t>
      </w:r>
      <w:r w:rsidR="00C369DB" w:rsidRPr="00AE6427">
        <w:rPr>
          <w:i/>
          <w:iCs/>
        </w:rPr>
        <w:t>–</w:t>
      </w:r>
      <w:r w:rsidR="00733AE0" w:rsidRPr="00B75888">
        <w:rPr>
          <w:i/>
        </w:rPr>
        <w:t>23</w:t>
      </w:r>
      <w:r w:rsidR="00733AE0">
        <w:t xml:space="preserve"> </w:t>
      </w:r>
      <w:r w:rsidR="7557EE76">
        <w:t xml:space="preserve">with established targets. </w:t>
      </w:r>
      <w:r w:rsidRPr="00A90C61">
        <w:t xml:space="preserve">Additional </w:t>
      </w:r>
      <w:r w:rsidR="7557EE76">
        <w:t>measures for Aboriginal health workforce and outpatient data will be established in 2022</w:t>
      </w:r>
      <w:r w:rsidR="00C369DB">
        <w:t>–</w:t>
      </w:r>
      <w:r w:rsidR="7557EE76">
        <w:t xml:space="preserve">23. </w:t>
      </w:r>
    </w:p>
    <w:p w14:paraId="67A9D94A" w14:textId="4FFA360D" w:rsidR="73F6B7D2" w:rsidRDefault="7557EE76" w:rsidP="000471E2">
      <w:pPr>
        <w:pStyle w:val="Body"/>
      </w:pPr>
      <w:r>
        <w:t xml:space="preserve">Aboriginal </w:t>
      </w:r>
      <w:r w:rsidR="00A90C61" w:rsidRPr="00A90C61">
        <w:t xml:space="preserve">cultural safety </w:t>
      </w:r>
      <w:r>
        <w:t>data will inform quarter 1 and 3</w:t>
      </w:r>
      <w:r w:rsidR="00A90C61" w:rsidRPr="00A90C61">
        <w:t xml:space="preserve"> performance meetings between the department and health services</w:t>
      </w:r>
      <w:r>
        <w:t>.</w:t>
      </w:r>
    </w:p>
    <w:p w14:paraId="7570FEBE" w14:textId="277976C3" w:rsidR="000B27B9" w:rsidRDefault="000B27B9" w:rsidP="000B27B9">
      <w:pPr>
        <w:pStyle w:val="Heading2"/>
        <w:spacing w:after="440" w:line="440" w:lineRule="atLeast"/>
      </w:pPr>
      <w:bookmarkStart w:id="489" w:name="_Toc59472682"/>
      <w:bookmarkStart w:id="490" w:name="_Toc5810315"/>
      <w:bookmarkStart w:id="491" w:name="_Toc5810484"/>
      <w:bookmarkStart w:id="492" w:name="_Toc5871391"/>
      <w:bookmarkStart w:id="493" w:name="_Toc5871662"/>
      <w:bookmarkStart w:id="494" w:name="_Toc5810316"/>
      <w:bookmarkStart w:id="495" w:name="_Toc5810485"/>
      <w:bookmarkStart w:id="496" w:name="_Toc5871392"/>
      <w:bookmarkStart w:id="497" w:name="_Toc5871663"/>
      <w:bookmarkStart w:id="498" w:name="_Toc5810317"/>
      <w:bookmarkStart w:id="499" w:name="_Toc5810486"/>
      <w:bookmarkStart w:id="500" w:name="_Toc5871393"/>
      <w:bookmarkStart w:id="501" w:name="_Toc5871664"/>
      <w:bookmarkStart w:id="502" w:name="_Toc5810318"/>
      <w:bookmarkStart w:id="503" w:name="_Toc5810487"/>
      <w:bookmarkStart w:id="504" w:name="_Toc5871394"/>
      <w:bookmarkStart w:id="505" w:name="_Toc5871665"/>
      <w:bookmarkStart w:id="506" w:name="_Toc51061162"/>
      <w:bookmarkStart w:id="507" w:name="_Toc51062423"/>
      <w:bookmarkStart w:id="508" w:name="_Toc51082066"/>
      <w:bookmarkStart w:id="509" w:name="_Toc52897457"/>
      <w:bookmarkStart w:id="510" w:name="_Toc52898836"/>
      <w:bookmarkStart w:id="511" w:name="_Toc52900291"/>
      <w:bookmarkStart w:id="512" w:name="_Toc52901634"/>
      <w:bookmarkStart w:id="513" w:name="_Toc52903097"/>
      <w:bookmarkStart w:id="514" w:name="_Toc53058074"/>
      <w:bookmarkStart w:id="515" w:name="_Toc53059418"/>
      <w:bookmarkStart w:id="516" w:name="_Toc53060760"/>
      <w:bookmarkStart w:id="517" w:name="_Toc53062223"/>
      <w:bookmarkStart w:id="518" w:name="_Toc53063600"/>
      <w:bookmarkStart w:id="519" w:name="_Toc53064978"/>
      <w:bookmarkStart w:id="520" w:name="_Toc54261562"/>
      <w:bookmarkStart w:id="521" w:name="_Toc54615378"/>
      <w:bookmarkStart w:id="522" w:name="_Toc55380961"/>
      <w:bookmarkStart w:id="523" w:name="_Toc51061230"/>
      <w:bookmarkStart w:id="524" w:name="_Toc51062491"/>
      <w:bookmarkStart w:id="525" w:name="_Toc51082134"/>
      <w:bookmarkStart w:id="526" w:name="_Toc51061313"/>
      <w:bookmarkStart w:id="527" w:name="_Toc51062574"/>
      <w:bookmarkStart w:id="528" w:name="_Toc51082217"/>
      <w:bookmarkStart w:id="529" w:name="_Toc52897600"/>
      <w:bookmarkStart w:id="530" w:name="_Toc52898979"/>
      <w:bookmarkStart w:id="531" w:name="_Toc52900434"/>
      <w:bookmarkStart w:id="532" w:name="_Toc52901777"/>
      <w:bookmarkStart w:id="533" w:name="_Toc52903240"/>
      <w:bookmarkStart w:id="534" w:name="_Toc53058217"/>
      <w:bookmarkStart w:id="535" w:name="_Toc53059561"/>
      <w:bookmarkStart w:id="536" w:name="_Toc53060903"/>
      <w:bookmarkStart w:id="537" w:name="_Toc53062366"/>
      <w:bookmarkStart w:id="538" w:name="_Toc53063743"/>
      <w:bookmarkStart w:id="539" w:name="_Toc53065121"/>
      <w:bookmarkStart w:id="540" w:name="_Toc53387630"/>
      <w:bookmarkStart w:id="541" w:name="_Toc51062183"/>
      <w:bookmarkStart w:id="542" w:name="_Toc51063444"/>
      <w:bookmarkStart w:id="543" w:name="_Toc51083087"/>
      <w:bookmarkStart w:id="544" w:name="_Toc52898470"/>
      <w:bookmarkStart w:id="545" w:name="_Toc52899849"/>
      <w:bookmarkStart w:id="546" w:name="_Toc52901304"/>
      <w:bookmarkStart w:id="547" w:name="_Toc52902647"/>
      <w:bookmarkStart w:id="548" w:name="_Toc52904110"/>
      <w:bookmarkStart w:id="549" w:name="_Toc53059087"/>
      <w:bookmarkStart w:id="550" w:name="_Toc53060431"/>
      <w:bookmarkStart w:id="551" w:name="_Toc53061773"/>
      <w:bookmarkStart w:id="552" w:name="_Toc53063236"/>
      <w:bookmarkStart w:id="553" w:name="_Toc53064613"/>
      <w:bookmarkStart w:id="554" w:name="_Toc53065991"/>
      <w:bookmarkStart w:id="555" w:name="_Toc6408403"/>
      <w:bookmarkStart w:id="556" w:name="_Toc10199774"/>
      <w:bookmarkStart w:id="557" w:name="_Toc37862571"/>
      <w:bookmarkStart w:id="558" w:name="_Toc52892655"/>
      <w:bookmarkStart w:id="559" w:name="_Toc100263339"/>
      <w:bookmarkStart w:id="560" w:name="_Toc1271919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lastRenderedPageBreak/>
        <w:t xml:space="preserve">Payments and </w:t>
      </w:r>
      <w:r w:rsidR="00331D5D">
        <w:t>C</w:t>
      </w:r>
      <w:r>
        <w:t xml:space="preserve">ash </w:t>
      </w:r>
      <w:r w:rsidR="00331D5D">
        <w:t>F</w:t>
      </w:r>
      <w:r>
        <w:t>low</w:t>
      </w:r>
      <w:bookmarkEnd w:id="555"/>
      <w:bookmarkEnd w:id="556"/>
      <w:bookmarkEnd w:id="557"/>
      <w:bookmarkEnd w:id="558"/>
      <w:bookmarkEnd w:id="559"/>
      <w:bookmarkEnd w:id="560"/>
    </w:p>
    <w:p w14:paraId="0AE9C839" w14:textId="5D2C58C5" w:rsidR="000B27B9" w:rsidRDefault="000B27B9" w:rsidP="00B20B99">
      <w:pPr>
        <w:pStyle w:val="Heading3"/>
        <w:ind w:left="1418" w:hanging="1418"/>
      </w:pPr>
      <w:bookmarkStart w:id="561" w:name="_Toc100263340"/>
      <w:bookmarkStart w:id="562" w:name="_Toc127191989"/>
      <w:r>
        <w:t xml:space="preserve">Interim </w:t>
      </w:r>
      <w:r w:rsidR="00331D5D">
        <w:t>P</w:t>
      </w:r>
      <w:r>
        <w:t xml:space="preserve">ayments for </w:t>
      </w:r>
      <w:r w:rsidR="00331D5D">
        <w:t>L</w:t>
      </w:r>
      <w:r>
        <w:t>ong-</w:t>
      </w:r>
      <w:r w:rsidR="00331D5D">
        <w:t>S</w:t>
      </w:r>
      <w:r>
        <w:t xml:space="preserve">tay, </w:t>
      </w:r>
      <w:r w:rsidR="00331D5D">
        <w:t>H</w:t>
      </w:r>
      <w:r>
        <w:t>igh-</w:t>
      </w:r>
      <w:r w:rsidR="00331D5D">
        <w:t>C</w:t>
      </w:r>
      <w:r>
        <w:t xml:space="preserve">ost </w:t>
      </w:r>
      <w:r w:rsidR="00331D5D">
        <w:t>P</w:t>
      </w:r>
      <w:r>
        <w:t>atients</w:t>
      </w:r>
      <w:bookmarkEnd w:id="561"/>
      <w:bookmarkEnd w:id="562"/>
    </w:p>
    <w:p w14:paraId="45B2D64C" w14:textId="564A423A" w:rsidR="000B27B9" w:rsidRPr="00ED7452" w:rsidRDefault="000B27B9" w:rsidP="00B92CD4">
      <w:pPr>
        <w:pStyle w:val="Body"/>
      </w:pPr>
      <w:r w:rsidRPr="00B61A4E">
        <w:t xml:space="preserve">The department will consider interim payments (both cash flow and recorded </w:t>
      </w:r>
      <w:r w:rsidR="00E678A6">
        <w:t>NWAU</w:t>
      </w:r>
      <w:r w:rsidRPr="00B61A4E">
        <w:t xml:space="preserve"> revenue) for long-stay </w:t>
      </w:r>
      <w:r w:rsidRPr="00ED7452">
        <w:t xml:space="preserve">patients who have accumulated significant amounts of </w:t>
      </w:r>
      <w:r w:rsidR="00E678A6" w:rsidRPr="00ED7452">
        <w:t>NWAU</w:t>
      </w:r>
      <w:r w:rsidRPr="00ED7452">
        <w:t>, and who remain admitted at 30 June 202</w:t>
      </w:r>
      <w:r w:rsidR="0003441E" w:rsidRPr="00ED7452">
        <w:t>2</w:t>
      </w:r>
      <w:r w:rsidRPr="00ED7452">
        <w:t>.</w:t>
      </w:r>
    </w:p>
    <w:p w14:paraId="30E33C8F" w14:textId="3E9E3ABB" w:rsidR="00E678A6" w:rsidRPr="00ED7452" w:rsidRDefault="00E678A6" w:rsidP="00E678A6">
      <w:pPr>
        <w:pStyle w:val="Body"/>
      </w:pPr>
      <w:r w:rsidRPr="00ED7452">
        <w:t>Health services may apply to the department for special consideration for individual admitted patient episodes. Applications for special consideration must indicate the number of NWAU</w:t>
      </w:r>
      <w:r w:rsidR="0039467C" w:rsidRPr="00ED7452">
        <w:t>.</w:t>
      </w:r>
      <w:r w:rsidRPr="00ED7452">
        <w:t xml:space="preserve"> For </w:t>
      </w:r>
      <w:r w:rsidR="1BA12B9F" w:rsidRPr="00ED7452">
        <w:t>NWAU</w:t>
      </w:r>
      <w:r w:rsidRPr="00ED7452">
        <w:t xml:space="preserve">-funded episodes, the interim diagnostic-related group (DRG) must also be indicated. For Subacute </w:t>
      </w:r>
      <w:r w:rsidR="7731BB95" w:rsidRPr="00ED7452">
        <w:t>NWAU</w:t>
      </w:r>
      <w:r w:rsidRPr="00ED7452">
        <w:t>-funded episodes, the AN-SNAP V4.0 must also be indicated. Under no circumstances should agreement to fund an interim payment result in a statistical separation.</w:t>
      </w:r>
    </w:p>
    <w:p w14:paraId="18970EFF" w14:textId="77777777" w:rsidR="00E678A6" w:rsidRPr="00ED7452" w:rsidRDefault="00E678A6" w:rsidP="00E678A6">
      <w:pPr>
        <w:pStyle w:val="Body"/>
      </w:pPr>
      <w:r w:rsidRPr="00ED7452">
        <w:t>If the department agrees to provide an interim payment, the health service will be asked to designate the episode as a contracted patient using a specific contract/spoke identification code. When the patient is finally separated, the payment will be adjusted accordingly. For example, the interim amount will be deducted from the final payment. The final DRG may differ from the interim DRG, due to the addition of further complications, comorbidities and procedures, in which case the payments will be adjusted to reflect actual activity.</w:t>
      </w:r>
    </w:p>
    <w:p w14:paraId="280B079C" w14:textId="3D357D77" w:rsidR="000B27B9" w:rsidRPr="00ED7452" w:rsidRDefault="00E678A6" w:rsidP="00E678A6">
      <w:pPr>
        <w:pStyle w:val="Body"/>
      </w:pPr>
      <w:r w:rsidRPr="00ED7452">
        <w:t xml:space="preserve">Interim payments for long-stay, high-cost patients will be considered on a case-by-case basis. While interim payments are not governed by strict length of stay (LOS) or </w:t>
      </w:r>
      <w:r w:rsidR="20BF0297" w:rsidRPr="00ED7452">
        <w:t xml:space="preserve">NWAU </w:t>
      </w:r>
      <w:r w:rsidRPr="00ED7452">
        <w:t xml:space="preserve">criteria, a patient might be recognised as a long-stay, high-cost patient if the patient </w:t>
      </w:r>
      <w:r w:rsidR="000B27B9" w:rsidRPr="00ED7452">
        <w:t>is:</w:t>
      </w:r>
    </w:p>
    <w:p w14:paraId="4A2FA9CA" w14:textId="08805F5B" w:rsidR="000B27B9" w:rsidRPr="00ED7452" w:rsidRDefault="000B27B9" w:rsidP="00E05C4E">
      <w:pPr>
        <w:pStyle w:val="Bullet1"/>
      </w:pPr>
      <w:r w:rsidRPr="00ED7452">
        <w:t xml:space="preserve">still admitted at 30 June </w:t>
      </w:r>
      <w:r w:rsidR="00956C74" w:rsidRPr="00ED7452">
        <w:t>2022</w:t>
      </w:r>
      <w:r w:rsidR="00834282" w:rsidRPr="00ED7452">
        <w:t>,</w:t>
      </w:r>
      <w:r w:rsidRPr="00ED7452">
        <w:t xml:space="preserve"> and their LOS already exceeds a year</w:t>
      </w:r>
    </w:p>
    <w:p w14:paraId="2191741D" w14:textId="7B7AC841" w:rsidR="000B27B9" w:rsidRPr="00ED7452" w:rsidRDefault="000B27B9" w:rsidP="00E05C4E">
      <w:pPr>
        <w:pStyle w:val="Bullet1"/>
      </w:pPr>
      <w:r w:rsidRPr="00ED7452">
        <w:t xml:space="preserve">still admitted at 30 June </w:t>
      </w:r>
      <w:r w:rsidR="00956C74" w:rsidRPr="00ED7452">
        <w:t>2022</w:t>
      </w:r>
      <w:r w:rsidRPr="00ED7452">
        <w:t xml:space="preserve">, their LOS already exceeds six months and the patient might reasonably be expected to still be in the hospital at 31 December </w:t>
      </w:r>
      <w:r w:rsidR="00834282" w:rsidRPr="00ED7452">
        <w:t>2021</w:t>
      </w:r>
    </w:p>
    <w:p w14:paraId="64204C2F" w14:textId="5FFCFF8D" w:rsidR="000B27B9" w:rsidRPr="00ED7452" w:rsidRDefault="000B27B9" w:rsidP="00E05C4E">
      <w:pPr>
        <w:pStyle w:val="Bullet1"/>
      </w:pPr>
      <w:r w:rsidRPr="00ED7452">
        <w:t xml:space="preserve">still admitted at 30 June </w:t>
      </w:r>
      <w:r w:rsidR="00956C74" w:rsidRPr="00ED7452">
        <w:t>2022</w:t>
      </w:r>
      <w:r w:rsidRPr="00ED7452">
        <w:t>, their LOS already exceeds six months and the patient is receiving significant mechanical ventilation.</w:t>
      </w:r>
    </w:p>
    <w:p w14:paraId="46178423" w14:textId="021703A3" w:rsidR="000B27B9" w:rsidRDefault="000B27B9" w:rsidP="009375E0">
      <w:pPr>
        <w:pStyle w:val="Heading3"/>
        <w:spacing w:before="240"/>
      </w:pPr>
      <w:bookmarkStart w:id="563" w:name="_Toc100263341"/>
      <w:bookmarkStart w:id="564" w:name="_Toc127191990"/>
      <w:bookmarkStart w:id="565" w:name="_Toc6408406"/>
      <w:bookmarkStart w:id="566" w:name="_Toc10199777"/>
      <w:bookmarkStart w:id="567" w:name="_Toc37862574"/>
      <w:bookmarkStart w:id="568" w:name="_Toc52892658"/>
      <w:r>
        <w:t xml:space="preserve">Use of </w:t>
      </w:r>
      <w:r w:rsidR="00331D5D">
        <w:t>C</w:t>
      </w:r>
      <w:r>
        <w:t>ontract</w:t>
      </w:r>
      <w:r w:rsidR="00E678A6">
        <w:t>s</w:t>
      </w:r>
      <w:bookmarkEnd w:id="563"/>
      <w:bookmarkEnd w:id="564"/>
      <w:r>
        <w:t xml:space="preserve"> </w:t>
      </w:r>
      <w:bookmarkEnd w:id="565"/>
      <w:bookmarkEnd w:id="566"/>
      <w:bookmarkEnd w:id="567"/>
      <w:bookmarkEnd w:id="568"/>
    </w:p>
    <w:p w14:paraId="0F34FD1F" w14:textId="77777777" w:rsidR="000B27B9" w:rsidRDefault="000B27B9" w:rsidP="00B92CD4">
      <w:pPr>
        <w:pStyle w:val="Body"/>
      </w:pPr>
      <w:r>
        <w:t>On occasion, where a health service has reduced capacity (for example, due to workforce shortages or capital works) it may contract with another service to undertake activity for a time-limited period. Contract arrangements of this type must be approved in advance by the health service Performance Lead/Regional Manager.</w:t>
      </w:r>
    </w:p>
    <w:p w14:paraId="7EDF4FE5" w14:textId="3CEC051F" w:rsidR="000B27B9" w:rsidRDefault="000B27B9" w:rsidP="00B92CD4">
      <w:pPr>
        <w:pStyle w:val="Body"/>
      </w:pPr>
      <w:r>
        <w:t xml:space="preserve">Applications can be received by </w:t>
      </w:r>
      <w:hyperlink r:id="rId83" w:history="1">
        <w:r>
          <w:rPr>
            <w:rStyle w:val="Hyperlink"/>
          </w:rPr>
          <w:t>emailing the HDSS helpdesk</w:t>
        </w:r>
      </w:hyperlink>
      <w:r>
        <w:t xml:space="preserve"> &lt;</w:t>
      </w:r>
      <w:r w:rsidR="00CD4BC1" w:rsidRPr="00CD4BC1">
        <w:t>hdss.helpdesk@health.vic.gov.au</w:t>
      </w:r>
      <w:r>
        <w:t>&gt;.</w:t>
      </w:r>
    </w:p>
    <w:p w14:paraId="580908E3" w14:textId="62488A84" w:rsidR="000B27B9" w:rsidRDefault="00E678A6" w:rsidP="00B92CD4">
      <w:pPr>
        <w:pStyle w:val="Body"/>
      </w:pPr>
      <w:r w:rsidRPr="00E678A6">
        <w:t>Approval will only be granted where the health service can demonstrate that the capacity reduction is temporary and that the contract is an appropriate use of allocated NWAU, taking into account local demand for services. Technical information for recording and reporting contract NWAU is available in the VAED manual</w:t>
      </w:r>
      <w:r w:rsidR="000B27B9">
        <w:t>.</w:t>
      </w:r>
    </w:p>
    <w:p w14:paraId="6DA6E0AD" w14:textId="3A219078" w:rsidR="000B27B9" w:rsidRDefault="000B27B9" w:rsidP="009375E0">
      <w:pPr>
        <w:pStyle w:val="Heading3"/>
        <w:spacing w:before="240"/>
      </w:pPr>
      <w:bookmarkStart w:id="569" w:name="_Toc6408407"/>
      <w:bookmarkStart w:id="570" w:name="_Ref9933651"/>
      <w:bookmarkStart w:id="571" w:name="_Ref9933660"/>
      <w:bookmarkStart w:id="572" w:name="_Toc10199778"/>
      <w:bookmarkStart w:id="573" w:name="_Toc37862575"/>
      <w:bookmarkStart w:id="574" w:name="_Toc52892659"/>
      <w:bookmarkStart w:id="575" w:name="_Toc100263342"/>
      <w:bookmarkStart w:id="576" w:name="_Toc127191991"/>
      <w:r>
        <w:t xml:space="preserve">Health </w:t>
      </w:r>
      <w:r w:rsidR="00331D5D">
        <w:t>S</w:t>
      </w:r>
      <w:r>
        <w:t xml:space="preserve">ervice </w:t>
      </w:r>
      <w:r w:rsidR="00331D5D">
        <w:t>F</w:t>
      </w:r>
      <w:r>
        <w:t xml:space="preserve">ees and </w:t>
      </w:r>
      <w:r w:rsidR="00331D5D">
        <w:t>C</w:t>
      </w:r>
      <w:r>
        <w:t>harges</w:t>
      </w:r>
      <w:bookmarkEnd w:id="569"/>
      <w:bookmarkEnd w:id="570"/>
      <w:bookmarkEnd w:id="571"/>
      <w:bookmarkEnd w:id="572"/>
      <w:bookmarkEnd w:id="573"/>
      <w:bookmarkEnd w:id="574"/>
      <w:bookmarkEnd w:id="575"/>
      <w:bookmarkEnd w:id="576"/>
    </w:p>
    <w:p w14:paraId="3606427C" w14:textId="77777777" w:rsidR="000B27B9" w:rsidRPr="00D20B88" w:rsidRDefault="000B27B9" w:rsidP="00B92CD4">
      <w:pPr>
        <w:pStyle w:val="Body"/>
        <w:rPr>
          <w:rStyle w:val="Emphasis"/>
        </w:rPr>
      </w:pPr>
      <w:r w:rsidRPr="00B61A4E">
        <w:t xml:space="preserve">Any fees and charges raised by health services must be in accordance with the department’s manual, </w:t>
      </w:r>
      <w:r w:rsidRPr="00D20B88">
        <w:rPr>
          <w:rStyle w:val="Emphasis"/>
        </w:rPr>
        <w:t>Fees and charges for acute health services in Victoria: a handbook for public hospitals.</w:t>
      </w:r>
    </w:p>
    <w:p w14:paraId="29316FC8" w14:textId="458D3F9E" w:rsidR="000B27B9" w:rsidRPr="00B61A4E" w:rsidRDefault="000B27B9" w:rsidP="00B92CD4">
      <w:pPr>
        <w:pStyle w:val="Body"/>
      </w:pPr>
      <w:r w:rsidRPr="00B61A4E">
        <w:t xml:space="preserve">The fees are available in the </w:t>
      </w:r>
      <w:r w:rsidRPr="0038163D">
        <w:t xml:space="preserve">department’s </w:t>
      </w:r>
      <w:hyperlink r:id="rId84" w:history="1">
        <w:r w:rsidRPr="00940EE5">
          <w:rPr>
            <w:rStyle w:val="Hyperlinkitalic"/>
          </w:rPr>
          <w:t>Fees manual</w:t>
        </w:r>
      </w:hyperlink>
      <w:r w:rsidRPr="00940EE5">
        <w:rPr>
          <w:rStyle w:val="Hyperlinkitalic"/>
        </w:rPr>
        <w:t xml:space="preserve"> </w:t>
      </w:r>
      <w:r w:rsidRPr="00940EE5">
        <w:t>&lt;</w:t>
      </w:r>
      <w:r w:rsidR="000878F4" w:rsidRPr="00940EE5">
        <w:t>https://www.health.vic.gov.au/hospitals-and-health-services/patient-fees-and-charges-for-public-health-services</w:t>
      </w:r>
      <w:r w:rsidRPr="00940EE5">
        <w:t>&gt;.</w:t>
      </w:r>
    </w:p>
    <w:p w14:paraId="689A123D" w14:textId="77777777" w:rsidR="000B27B9" w:rsidRPr="00B61A4E" w:rsidRDefault="000B27B9" w:rsidP="000F22A3">
      <w:pPr>
        <w:pStyle w:val="Body"/>
        <w:keepNext/>
      </w:pPr>
      <w:r w:rsidRPr="00B61A4E">
        <w:t>Health services are permitted to raise fees for the following non-admitted patient services:</w:t>
      </w:r>
    </w:p>
    <w:p w14:paraId="79BA8C0B" w14:textId="77777777" w:rsidR="000B27B9" w:rsidRPr="00B61A4E" w:rsidRDefault="000B27B9" w:rsidP="00E05C4E">
      <w:pPr>
        <w:pStyle w:val="Bullet1"/>
      </w:pPr>
      <w:r>
        <w:t>dental services</w:t>
      </w:r>
    </w:p>
    <w:p w14:paraId="049B72B1" w14:textId="77777777" w:rsidR="000B27B9" w:rsidRPr="00B61A4E" w:rsidRDefault="000B27B9" w:rsidP="00E05C4E">
      <w:pPr>
        <w:pStyle w:val="Bullet1"/>
      </w:pPr>
      <w:r>
        <w:lastRenderedPageBreak/>
        <w:t>spectacles and hearing aids</w:t>
      </w:r>
    </w:p>
    <w:p w14:paraId="5A8BAAF8" w14:textId="77777777" w:rsidR="000B27B9" w:rsidRPr="00B61A4E" w:rsidRDefault="000B27B9" w:rsidP="00E05C4E">
      <w:pPr>
        <w:pStyle w:val="Bullet1"/>
      </w:pPr>
      <w:r>
        <w:t>surgical supplies</w:t>
      </w:r>
    </w:p>
    <w:p w14:paraId="3B2ACE8D" w14:textId="77777777" w:rsidR="000B27B9" w:rsidRPr="00B61A4E" w:rsidRDefault="000B27B9" w:rsidP="00E05C4E">
      <w:pPr>
        <w:pStyle w:val="Bullet1"/>
      </w:pPr>
      <w:r>
        <w:t>prostheses, however, the following categories of prostheses must be provided free of charge:</w:t>
      </w:r>
    </w:p>
    <w:p w14:paraId="7442C49F" w14:textId="77777777" w:rsidR="000B27B9" w:rsidRPr="00AE6427" w:rsidRDefault="000B27B9" w:rsidP="00B75888">
      <w:pPr>
        <w:pStyle w:val="Bullet2"/>
      </w:pPr>
      <w:r w:rsidRPr="00C369DB">
        <w:t>artificial limbs</w:t>
      </w:r>
    </w:p>
    <w:p w14:paraId="407DF9F4" w14:textId="77777777" w:rsidR="000B27B9" w:rsidRPr="00AE6427" w:rsidRDefault="000B27B9" w:rsidP="00B75888">
      <w:pPr>
        <w:pStyle w:val="Bullet2"/>
      </w:pPr>
      <w:r w:rsidRPr="00C369DB">
        <w:t>prostheses that are surgically implanted, either permanently or temporarily, or are directly related to a clinically necessary surgical procedure</w:t>
      </w:r>
    </w:p>
    <w:p w14:paraId="3BEAD896" w14:textId="77777777" w:rsidR="000B27B9" w:rsidRPr="00B61A4E" w:rsidRDefault="000B27B9" w:rsidP="00E05C4E">
      <w:pPr>
        <w:pStyle w:val="Bullet1"/>
      </w:pPr>
      <w:r>
        <w:t>external breast prostheses funded by the National External Breast Prostheses Reimbursement Program</w:t>
      </w:r>
    </w:p>
    <w:p w14:paraId="3B83CF41" w14:textId="3BEFE6FC" w:rsidR="000B27B9" w:rsidRPr="000B2822" w:rsidRDefault="000B27B9" w:rsidP="00E05C4E">
      <w:pPr>
        <w:pStyle w:val="Bullet1"/>
      </w:pPr>
      <w:r w:rsidRPr="000B2822">
        <w:t>pharmaceuticals at a level consistent with the PBS statutory co-payments</w:t>
      </w:r>
    </w:p>
    <w:p w14:paraId="4AB2C582" w14:textId="5535C265" w:rsidR="000B27B9" w:rsidRPr="000B2822" w:rsidRDefault="000B27B9" w:rsidP="00E05C4E">
      <w:pPr>
        <w:pStyle w:val="Bullet1"/>
      </w:pPr>
      <w:r w:rsidRPr="000B2822">
        <w:t xml:space="preserve">aids, </w:t>
      </w:r>
      <w:r w:rsidR="000B2822" w:rsidRPr="000B2822">
        <w:t>appliances,</w:t>
      </w:r>
      <w:r w:rsidRPr="000B2822">
        <w:t xml:space="preserve"> and home modifications and</w:t>
      </w:r>
    </w:p>
    <w:p w14:paraId="474FDE59" w14:textId="77777777" w:rsidR="000B27B9" w:rsidRPr="000B2822" w:rsidRDefault="000B27B9" w:rsidP="00E05C4E">
      <w:pPr>
        <w:pStyle w:val="Bullet1"/>
      </w:pPr>
      <w:r w:rsidRPr="000B2822">
        <w:t>other services, as agreed between the Commonwealth and Victoria.</w:t>
      </w:r>
    </w:p>
    <w:p w14:paraId="5E11D92B" w14:textId="77777777" w:rsidR="000B27B9" w:rsidRPr="000B2822" w:rsidRDefault="000B27B9" w:rsidP="0043627E">
      <w:pPr>
        <w:pStyle w:val="Bodyafterbullets"/>
      </w:pPr>
      <w:r w:rsidRPr="000B2822">
        <w:t>This is set out in the business rules schedule of the National Health Reform Agreement.</w:t>
      </w:r>
    </w:p>
    <w:p w14:paraId="6DC5227B" w14:textId="2CB25D83" w:rsidR="000B27B9" w:rsidRDefault="000B27B9" w:rsidP="009375E0">
      <w:pPr>
        <w:pStyle w:val="Heading3"/>
        <w:spacing w:before="240"/>
      </w:pPr>
      <w:bookmarkStart w:id="577" w:name="_Toc37862576"/>
      <w:bookmarkStart w:id="578" w:name="_Toc37862577"/>
      <w:bookmarkStart w:id="579" w:name="_Toc37862578"/>
      <w:bookmarkStart w:id="580" w:name="_Toc37862579"/>
      <w:bookmarkStart w:id="581" w:name="_Toc37862580"/>
      <w:bookmarkStart w:id="582" w:name="_Toc6408408"/>
      <w:bookmarkStart w:id="583" w:name="_Toc10199779"/>
      <w:bookmarkStart w:id="584" w:name="_Toc37862581"/>
      <w:bookmarkStart w:id="585" w:name="_Toc52892660"/>
      <w:bookmarkStart w:id="586" w:name="_Toc100263343"/>
      <w:bookmarkStart w:id="587" w:name="_Toc127191992"/>
      <w:bookmarkEnd w:id="577"/>
      <w:bookmarkEnd w:id="578"/>
      <w:bookmarkEnd w:id="579"/>
      <w:bookmarkEnd w:id="580"/>
      <w:bookmarkEnd w:id="581"/>
      <w:r>
        <w:t xml:space="preserve">Private </w:t>
      </w:r>
      <w:r w:rsidR="00331D5D">
        <w:t>P</w:t>
      </w:r>
      <w:r>
        <w:t xml:space="preserve">atient </w:t>
      </w:r>
      <w:r w:rsidR="00331D5D">
        <w:t>A</w:t>
      </w:r>
      <w:r>
        <w:t xml:space="preserve">ccommodation </w:t>
      </w:r>
      <w:r w:rsidR="00331D5D">
        <w:t>C</w:t>
      </w:r>
      <w:r>
        <w:t>harges</w:t>
      </w:r>
      <w:bookmarkEnd w:id="582"/>
      <w:bookmarkEnd w:id="583"/>
      <w:bookmarkEnd w:id="584"/>
      <w:bookmarkEnd w:id="585"/>
      <w:bookmarkEnd w:id="586"/>
      <w:bookmarkEnd w:id="587"/>
    </w:p>
    <w:p w14:paraId="3EC8BD0C" w14:textId="77777777" w:rsidR="000B27B9" w:rsidRPr="00B61A4E" w:rsidRDefault="000B27B9" w:rsidP="00B92CD4">
      <w:pPr>
        <w:pStyle w:val="Body"/>
      </w:pPr>
      <w:r w:rsidRPr="00B61A4E">
        <w:t xml:space="preserve">Section 72.1(2) of the </w:t>
      </w:r>
      <w:r w:rsidRPr="00D20B88">
        <w:rPr>
          <w:rStyle w:val="Emphasis"/>
        </w:rPr>
        <w:t>Private Health Insurance Act 2007</w:t>
      </w:r>
      <w:r w:rsidRPr="00B61A4E">
        <w:t xml:space="preserve"> states that an insurance policy covering hospital treatment must provide at least the ‘minimum benefit’ for that treatment. The Commonwealth Minister for Health stipulates the minimum benefits payable by private health insurers for shared ward accommodation in public hospitals through the private health insurance (benefit requirements) rules. The </w:t>
      </w:r>
      <w:r>
        <w:t>C</w:t>
      </w:r>
      <w:r w:rsidRPr="00B61A4E">
        <w:t>ommonwealth does not set a minimum benefit for single room accommodation.</w:t>
      </w:r>
    </w:p>
    <w:p w14:paraId="360952A5" w14:textId="77777777" w:rsidR="000B27B9" w:rsidRPr="00B61A4E" w:rsidRDefault="000B27B9" w:rsidP="00B92CD4">
      <w:pPr>
        <w:pStyle w:val="Body"/>
      </w:pPr>
      <w:r w:rsidRPr="00B61A4E">
        <w:t>Health services are able to make their own determination on accommodation fees to be charged to private patients who receive treatment at their campuses. In coming to this decision, health services should consider:</w:t>
      </w:r>
    </w:p>
    <w:p w14:paraId="1EB46341" w14:textId="77777777" w:rsidR="000B27B9" w:rsidRPr="00B61A4E" w:rsidRDefault="000B27B9" w:rsidP="00E05C4E">
      <w:pPr>
        <w:pStyle w:val="Bullet1"/>
      </w:pPr>
      <w:r>
        <w:t>the benefit that private health insurance funds will assign to the public hospital in their health insurance products</w:t>
      </w:r>
    </w:p>
    <w:p w14:paraId="095069E4" w14:textId="77777777" w:rsidR="000B27B9" w:rsidRPr="00B61A4E" w:rsidRDefault="000B27B9" w:rsidP="00E05C4E">
      <w:pPr>
        <w:pStyle w:val="Bullet1"/>
      </w:pPr>
      <w:r>
        <w:t>any co-payment a patient may be willing to pay as a private patient</w:t>
      </w:r>
    </w:p>
    <w:p w14:paraId="6CFB08EC" w14:textId="77777777" w:rsidR="000B27B9" w:rsidRPr="00B61A4E" w:rsidRDefault="000B27B9" w:rsidP="00E05C4E">
      <w:pPr>
        <w:pStyle w:val="Bullet1"/>
      </w:pPr>
      <w:r>
        <w:t>the amount of any co-payment or excess the hospital can viably forego.</w:t>
      </w:r>
    </w:p>
    <w:p w14:paraId="75922F4E" w14:textId="56CE6391" w:rsidR="000B27B9" w:rsidRPr="00B61A4E" w:rsidRDefault="000B27B9" w:rsidP="00B92CD4">
      <w:pPr>
        <w:pStyle w:val="Bodyafterbullets"/>
      </w:pPr>
      <w:r w:rsidRPr="00B61A4E">
        <w:t xml:space="preserve">To assist health services with this decision, the department provides a guide to average costs and nominal cost recovery rates for private patient accommodation in the </w:t>
      </w:r>
      <w:r w:rsidRPr="0038163D">
        <w:t xml:space="preserve">department’s </w:t>
      </w:r>
      <w:hyperlink r:id="rId85" w:history="1">
        <w:r w:rsidRPr="0003441E">
          <w:rPr>
            <w:rStyle w:val="Hyperlinkitalic"/>
          </w:rPr>
          <w:t>Fees manual</w:t>
        </w:r>
      </w:hyperlink>
      <w:r w:rsidRPr="00B61A4E">
        <w:t xml:space="preserve"> &lt;</w:t>
      </w:r>
      <w:r w:rsidR="00FD7C25" w:rsidRPr="0003441E">
        <w:t>https</w:t>
      </w:r>
      <w:r w:rsidRPr="003513C7">
        <w:t>://www.hea</w:t>
      </w:r>
      <w:r>
        <w:t>lth.vic.gov.au/</w:t>
      </w:r>
      <w:r w:rsidR="00FD7C25" w:rsidRPr="0003441E">
        <w:t>patient-fees-charges/private-patients</w:t>
      </w:r>
      <w:r w:rsidRPr="00B61A4E">
        <w:t>&gt;.</w:t>
      </w:r>
    </w:p>
    <w:p w14:paraId="042DC0FF" w14:textId="77777777" w:rsidR="000B27B9" w:rsidRPr="00B61A4E" w:rsidRDefault="000B27B9" w:rsidP="00B92CD4">
      <w:pPr>
        <w:pStyle w:val="Body"/>
      </w:pPr>
      <w:r w:rsidRPr="00B61A4E">
        <w:t>At a minimum, these rates would be reasonable to apply to private patient charges.</w:t>
      </w:r>
    </w:p>
    <w:p w14:paraId="6A519B46" w14:textId="7A7ED8E6" w:rsidR="000B27B9" w:rsidRPr="00B61A4E" w:rsidRDefault="000B27B9" w:rsidP="00B92CD4">
      <w:pPr>
        <w:pStyle w:val="Body"/>
      </w:pPr>
      <w:r w:rsidRPr="00B61A4E">
        <w:t>Health services should note the</w:t>
      </w:r>
      <w:r w:rsidRPr="00D20B88">
        <w:rPr>
          <w:rStyle w:val="Emphasis"/>
        </w:rPr>
        <w:t xml:space="preserve"> Private health insurance (health insurance business) rules 2007</w:t>
      </w:r>
      <w:r w:rsidRPr="00B61A4E">
        <w:t xml:space="preserve"> Part 3 s. 8(b), which </w:t>
      </w:r>
      <w:r w:rsidR="00C369DB">
        <w:t>s</w:t>
      </w:r>
      <w:r w:rsidR="00C369DB" w:rsidRPr="00B61A4E">
        <w:t xml:space="preserve">tate </w:t>
      </w:r>
      <w:r w:rsidRPr="00B61A4E">
        <w:t>that treatment provided to a person at an emergency department is excluded treatment for the purposes of private health insurance. Health services should ensure that private health funds are not billed for accommodation or services provided to admitted private patients at an emergency department.</w:t>
      </w:r>
    </w:p>
    <w:p w14:paraId="57BEC5D0" w14:textId="6F75FD6F" w:rsidR="000B27B9" w:rsidRDefault="000B27B9" w:rsidP="009375E0">
      <w:pPr>
        <w:pStyle w:val="Heading3"/>
        <w:spacing w:before="240"/>
      </w:pPr>
      <w:bookmarkStart w:id="588" w:name="_Toc6408409"/>
      <w:bookmarkStart w:id="589" w:name="_Toc10199780"/>
      <w:bookmarkStart w:id="590" w:name="_Toc37862582"/>
      <w:bookmarkStart w:id="591" w:name="_Toc52892661"/>
      <w:bookmarkStart w:id="592" w:name="_Toc100263344"/>
      <w:bookmarkStart w:id="593" w:name="_Toc127191993"/>
      <w:r>
        <w:t xml:space="preserve">Redirection of </w:t>
      </w:r>
      <w:r w:rsidR="00331D5D">
        <w:t>F</w:t>
      </w:r>
      <w:r>
        <w:t>unds</w:t>
      </w:r>
      <w:bookmarkEnd w:id="588"/>
      <w:bookmarkEnd w:id="589"/>
      <w:bookmarkEnd w:id="590"/>
      <w:bookmarkEnd w:id="591"/>
      <w:bookmarkEnd w:id="592"/>
      <w:bookmarkEnd w:id="593"/>
    </w:p>
    <w:p w14:paraId="4CB7A04B" w14:textId="77777777" w:rsidR="000B27B9" w:rsidRPr="00B61A4E" w:rsidRDefault="000B27B9" w:rsidP="00B92CD4">
      <w:pPr>
        <w:pStyle w:val="Body"/>
      </w:pPr>
      <w:r w:rsidRPr="00B61A4E">
        <w:t xml:space="preserve">If </w:t>
      </w:r>
      <w:r>
        <w:t xml:space="preserve">the </w:t>
      </w:r>
      <w:r w:rsidRPr="00B61A4E">
        <w:t xml:space="preserve">total revenue for a funded program exceeds the expenses incurred in delivering the full quantity of services specified in the </w:t>
      </w:r>
      <w:r>
        <w:t>SOP</w:t>
      </w:r>
      <w:r w:rsidRPr="00B61A4E">
        <w:t xml:space="preserve"> or service agreement, the surplus may be used by the funded organisation for any purpose connected with its agreed function. This clause does not apply if there is a contrary arrangement regarding unexpended funding provided for a specially identified purpose.</w:t>
      </w:r>
    </w:p>
    <w:p w14:paraId="3B8D2E05" w14:textId="616D30B3" w:rsidR="000B27B9" w:rsidRDefault="000B27B9" w:rsidP="009375E0">
      <w:pPr>
        <w:pStyle w:val="Heading3"/>
        <w:spacing w:before="240"/>
      </w:pPr>
      <w:bookmarkStart w:id="594" w:name="_Toc6408410"/>
      <w:bookmarkStart w:id="595" w:name="_Toc10199781"/>
      <w:bookmarkStart w:id="596" w:name="_Toc37862583"/>
      <w:bookmarkStart w:id="597" w:name="_Toc52892662"/>
      <w:bookmarkStart w:id="598" w:name="_Toc100263345"/>
      <w:bookmarkStart w:id="599" w:name="_Toc127191994"/>
      <w:r>
        <w:lastRenderedPageBreak/>
        <w:t xml:space="preserve">Doctors in </w:t>
      </w:r>
      <w:r w:rsidR="00331D5D">
        <w:t>T</w:t>
      </w:r>
      <w:r>
        <w:t xml:space="preserve">raining </w:t>
      </w:r>
      <w:r w:rsidR="00331D5D">
        <w:t>S</w:t>
      </w:r>
      <w:r>
        <w:t xml:space="preserve">econdment </w:t>
      </w:r>
      <w:r w:rsidR="00331D5D">
        <w:t>A</w:t>
      </w:r>
      <w:r>
        <w:t>rrangements</w:t>
      </w:r>
      <w:bookmarkEnd w:id="594"/>
      <w:bookmarkEnd w:id="595"/>
      <w:bookmarkEnd w:id="596"/>
      <w:bookmarkEnd w:id="597"/>
      <w:bookmarkEnd w:id="598"/>
      <w:bookmarkEnd w:id="599"/>
    </w:p>
    <w:p w14:paraId="322B4850" w14:textId="6E054AE8" w:rsidR="000B27B9" w:rsidRPr="00B61A4E" w:rsidRDefault="000B27B9" w:rsidP="00B92CD4">
      <w:pPr>
        <w:pStyle w:val="Body"/>
        <w:rPr>
          <w:lang w:eastAsia="en-AU"/>
        </w:rPr>
      </w:pPr>
      <w:r w:rsidRPr="66DFC114">
        <w:rPr>
          <w:lang w:eastAsia="en-AU"/>
        </w:rPr>
        <w:t xml:space="preserve">Many training programs for junior doctors involve a rotation to a site other than their parent hospital. The parent hospital is responsible for managing and paying the annual leave of doctors in training while on rotation, and where annual (or other) leave is planned within the rotation period, both hospitals should approve this leave. Only the parent hospital is to pay out annual leave, as this is included in the overheads paid to the parent hospital (refer to </w:t>
      </w:r>
      <w:r w:rsidRPr="005A4D8B">
        <w:rPr>
          <w:rStyle w:val="Emphasis"/>
          <w:i w:val="0"/>
        </w:rPr>
        <w:t>Hospital Circular</w:t>
      </w:r>
      <w:r w:rsidR="005A4D8B">
        <w:rPr>
          <w:rStyle w:val="FootnoteReference"/>
        </w:rPr>
        <w:footnoteReference w:id="8"/>
      </w:r>
      <w:r w:rsidRPr="005A4D8B">
        <w:rPr>
          <w:i/>
          <w:lang w:eastAsia="en-AU"/>
        </w:rPr>
        <w:t xml:space="preserve"> </w:t>
      </w:r>
      <w:r w:rsidRPr="66DFC114">
        <w:rPr>
          <w:lang w:eastAsia="en-AU"/>
        </w:rPr>
        <w:t>6/2013 or a successor circular where relevant).</w:t>
      </w:r>
    </w:p>
    <w:p w14:paraId="4181FE61" w14:textId="58F0DB95" w:rsidR="000B27B9" w:rsidRDefault="000B27B9" w:rsidP="00B92CD4">
      <w:pPr>
        <w:pStyle w:val="Body"/>
        <w:rPr>
          <w:lang w:eastAsia="en-AU"/>
        </w:rPr>
      </w:pPr>
      <w:r w:rsidRPr="00B61A4E">
        <w:rPr>
          <w:lang w:eastAsia="en-AU"/>
        </w:rPr>
        <w:t>The parent hospital will make every endeavour to organise suitable relief when a doctor in training takes other leave (either planned or unexpected) for a period longer than one week. The parent hospital should also make every endeavour to ensure the relieving doctor has commensurate experience and skills to ensure the expected level of service in the external hospital can continue to be provided.</w:t>
      </w:r>
      <w:r w:rsidR="00FC4EB9">
        <w:rPr>
          <w:lang w:eastAsia="en-AU"/>
        </w:rPr>
        <w:t xml:space="preserve"> </w:t>
      </w:r>
    </w:p>
    <w:p w14:paraId="23E18891" w14:textId="77777777" w:rsidR="00F208E0" w:rsidRPr="00B61A4E" w:rsidRDefault="00F208E0" w:rsidP="00B92CD4">
      <w:pPr>
        <w:pStyle w:val="Body"/>
        <w:rPr>
          <w:lang w:eastAsia="en-AU"/>
        </w:rPr>
      </w:pPr>
      <w:bookmarkStart w:id="600" w:name="_Toc450839104"/>
      <w:bookmarkStart w:id="601" w:name="_Toc451801406"/>
      <w:bookmarkStart w:id="602" w:name="_Toc451802013"/>
      <w:bookmarkStart w:id="603" w:name="_Toc452211490"/>
      <w:bookmarkStart w:id="604" w:name="_Toc452227856"/>
      <w:bookmarkEnd w:id="600"/>
      <w:bookmarkEnd w:id="601"/>
      <w:bookmarkEnd w:id="602"/>
      <w:bookmarkEnd w:id="603"/>
      <w:bookmarkEnd w:id="604"/>
    </w:p>
    <w:p w14:paraId="6B825602" w14:textId="487DD47B" w:rsidR="000B27B9" w:rsidRDefault="000B27B9" w:rsidP="000B27B9">
      <w:pPr>
        <w:pStyle w:val="Heading2"/>
        <w:spacing w:after="440" w:line="440" w:lineRule="atLeast"/>
      </w:pPr>
      <w:bookmarkStart w:id="605" w:name="_Toc13040179"/>
      <w:bookmarkStart w:id="606" w:name="_Toc13040180"/>
      <w:bookmarkStart w:id="607" w:name="_Toc13040181"/>
      <w:bookmarkStart w:id="608" w:name="_Toc13040182"/>
      <w:bookmarkStart w:id="609" w:name="_Toc13040183"/>
      <w:bookmarkStart w:id="610" w:name="_Toc13040184"/>
      <w:bookmarkStart w:id="611" w:name="_Toc13040185"/>
      <w:bookmarkStart w:id="612" w:name="_Toc13040186"/>
      <w:bookmarkStart w:id="613" w:name="_Toc13040187"/>
      <w:bookmarkStart w:id="614" w:name="_Toc13040188"/>
      <w:bookmarkStart w:id="615" w:name="_Toc13040189"/>
      <w:bookmarkStart w:id="616" w:name="_Toc13040190"/>
      <w:bookmarkStart w:id="617" w:name="_Toc13040191"/>
      <w:bookmarkStart w:id="618" w:name="_Toc13040192"/>
      <w:bookmarkStart w:id="619" w:name="_Toc13040193"/>
      <w:bookmarkStart w:id="620" w:name="_Toc13040194"/>
      <w:bookmarkStart w:id="621" w:name="_Toc13040195"/>
      <w:bookmarkStart w:id="622" w:name="_Toc13040196"/>
      <w:bookmarkStart w:id="623" w:name="_Toc13040197"/>
      <w:bookmarkStart w:id="624" w:name="_Toc13040198"/>
      <w:bookmarkStart w:id="625" w:name="_Toc13040199"/>
      <w:bookmarkStart w:id="626" w:name="_Toc13040200"/>
      <w:bookmarkStart w:id="627" w:name="_Toc13040201"/>
      <w:bookmarkStart w:id="628" w:name="_Toc13040202"/>
      <w:bookmarkStart w:id="629" w:name="_Toc13040203"/>
      <w:bookmarkStart w:id="630" w:name="_Toc13040204"/>
      <w:bookmarkStart w:id="631" w:name="_Toc13040205"/>
      <w:bookmarkStart w:id="632" w:name="_Toc13040206"/>
      <w:bookmarkStart w:id="633" w:name="_Toc13040213"/>
      <w:bookmarkStart w:id="634" w:name="_Toc13040214"/>
      <w:bookmarkStart w:id="635" w:name="_Toc13040215"/>
      <w:bookmarkStart w:id="636" w:name="_Toc13040216"/>
      <w:bookmarkStart w:id="637" w:name="_Toc13040217"/>
      <w:bookmarkStart w:id="638" w:name="_Toc13040218"/>
      <w:bookmarkStart w:id="639" w:name="_Toc13040219"/>
      <w:bookmarkStart w:id="640" w:name="_Toc13040220"/>
      <w:bookmarkStart w:id="641" w:name="_Toc13040271"/>
      <w:bookmarkStart w:id="642" w:name="_Toc13040272"/>
      <w:bookmarkStart w:id="643" w:name="_Toc13040273"/>
      <w:bookmarkStart w:id="644" w:name="_Toc13040274"/>
      <w:bookmarkStart w:id="645" w:name="_Toc13040275"/>
      <w:bookmarkStart w:id="646" w:name="_Toc13040276"/>
      <w:bookmarkStart w:id="647" w:name="_Toc13040277"/>
      <w:bookmarkStart w:id="648" w:name="_Toc13040278"/>
      <w:bookmarkStart w:id="649" w:name="_Toc13040279"/>
      <w:bookmarkStart w:id="650" w:name="_Toc13040280"/>
      <w:bookmarkStart w:id="651" w:name="_Toc13040281"/>
      <w:bookmarkStart w:id="652" w:name="_Toc13040282"/>
      <w:bookmarkStart w:id="653" w:name="_Toc13040283"/>
      <w:bookmarkStart w:id="654" w:name="_Toc13040284"/>
      <w:bookmarkStart w:id="655" w:name="_Toc13040285"/>
      <w:bookmarkStart w:id="656" w:name="_Toc13040286"/>
      <w:bookmarkStart w:id="657" w:name="_Toc13040287"/>
      <w:bookmarkStart w:id="658" w:name="_Toc13040288"/>
      <w:bookmarkStart w:id="659" w:name="_Toc13040289"/>
      <w:bookmarkStart w:id="660" w:name="_Toc13040290"/>
      <w:bookmarkStart w:id="661" w:name="_Toc13040291"/>
      <w:bookmarkStart w:id="662" w:name="_Toc13040292"/>
      <w:bookmarkStart w:id="663" w:name="_Toc13040293"/>
      <w:bookmarkStart w:id="664" w:name="_Toc13040294"/>
      <w:bookmarkStart w:id="665" w:name="_Toc13040295"/>
      <w:bookmarkStart w:id="666" w:name="_Toc13040296"/>
      <w:bookmarkStart w:id="667" w:name="_Toc13040297"/>
      <w:bookmarkStart w:id="668" w:name="_Toc13040298"/>
      <w:bookmarkStart w:id="669" w:name="_Toc13040299"/>
      <w:bookmarkStart w:id="670" w:name="_Toc13040300"/>
      <w:bookmarkStart w:id="671" w:name="_Toc13040301"/>
      <w:bookmarkStart w:id="672" w:name="_Toc13040302"/>
      <w:bookmarkStart w:id="673" w:name="_Toc13040303"/>
      <w:bookmarkStart w:id="674" w:name="_Toc13040304"/>
      <w:bookmarkStart w:id="675" w:name="_Toc13040305"/>
      <w:bookmarkStart w:id="676" w:name="_Toc13040306"/>
      <w:bookmarkStart w:id="677" w:name="_Toc13040307"/>
      <w:bookmarkStart w:id="678" w:name="_Toc13040308"/>
      <w:bookmarkStart w:id="679" w:name="_Toc13040309"/>
      <w:bookmarkStart w:id="680" w:name="_Toc13040310"/>
      <w:bookmarkStart w:id="681" w:name="_Toc13040311"/>
      <w:bookmarkStart w:id="682" w:name="_Toc13040312"/>
      <w:bookmarkStart w:id="683" w:name="_Toc13040313"/>
      <w:bookmarkStart w:id="684" w:name="_Toc13040314"/>
      <w:bookmarkStart w:id="685" w:name="_Toc13040315"/>
      <w:bookmarkStart w:id="686" w:name="_Toc13040316"/>
      <w:bookmarkStart w:id="687" w:name="_Toc13040317"/>
      <w:bookmarkStart w:id="688" w:name="_Toc13040318"/>
      <w:bookmarkStart w:id="689" w:name="_Toc13040376"/>
      <w:bookmarkStart w:id="690" w:name="_Toc13040385"/>
      <w:bookmarkStart w:id="691" w:name="_Toc13040398"/>
      <w:bookmarkStart w:id="692" w:name="_Toc13040407"/>
      <w:bookmarkStart w:id="693" w:name="_Toc13040416"/>
      <w:bookmarkStart w:id="694" w:name="_Toc13040417"/>
      <w:bookmarkStart w:id="695" w:name="_Toc13040418"/>
      <w:bookmarkStart w:id="696" w:name="_Toc13040419"/>
      <w:bookmarkStart w:id="697" w:name="_Toc13040420"/>
      <w:bookmarkStart w:id="698" w:name="_Toc418694984"/>
      <w:bookmarkStart w:id="699" w:name="_Ref423019815"/>
      <w:bookmarkStart w:id="700" w:name="_Ref423019825"/>
      <w:bookmarkStart w:id="701" w:name="_Ref423019949"/>
      <w:bookmarkStart w:id="702" w:name="_Ref423019957"/>
      <w:bookmarkStart w:id="703" w:name="_Ref423020094"/>
      <w:bookmarkStart w:id="704" w:name="_Ref423020103"/>
      <w:bookmarkStart w:id="705" w:name="_Toc487742005"/>
      <w:bookmarkStart w:id="706" w:name="_Ref12022946"/>
      <w:bookmarkStart w:id="707" w:name="_Ref12022951"/>
      <w:bookmarkStart w:id="708" w:name="_Ref12023799"/>
      <w:bookmarkStart w:id="709" w:name="_Toc14172235"/>
      <w:bookmarkStart w:id="710" w:name="_Ref70881789"/>
      <w:bookmarkStart w:id="711" w:name="_Ref70881795"/>
      <w:bookmarkStart w:id="712" w:name="_Ref70881989"/>
      <w:bookmarkStart w:id="713" w:name="_Ref70881998"/>
      <w:bookmarkStart w:id="714" w:name="_Ref70882094"/>
      <w:bookmarkStart w:id="715" w:name="_Ref70882107"/>
      <w:bookmarkStart w:id="716" w:name="_Ref70882154"/>
      <w:bookmarkStart w:id="717" w:name="_Ref70882163"/>
      <w:bookmarkStart w:id="718" w:name="_Ref70960639"/>
      <w:bookmarkStart w:id="719" w:name="_Ref70960640"/>
      <w:bookmarkStart w:id="720" w:name="_Ref77777659"/>
      <w:bookmarkStart w:id="721" w:name="_Ref77777682"/>
      <w:bookmarkStart w:id="722" w:name="_Ref88483663"/>
      <w:bookmarkStart w:id="723" w:name="_Ref96635540"/>
      <w:bookmarkStart w:id="724" w:name="_Toc100263346"/>
      <w:bookmarkStart w:id="725" w:name="_Toc127191995"/>
      <w:bookmarkEnd w:id="67"/>
      <w:bookmarkEnd w:id="68"/>
      <w:bookmarkEnd w:id="69"/>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lastRenderedPageBreak/>
        <w:t xml:space="preserve">Price </w:t>
      </w:r>
      <w:r w:rsidR="00331D5D">
        <w:t>T</w:t>
      </w:r>
      <w:r>
        <w:t>ables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022A7CB2" w14:textId="6F53F84C" w:rsidR="000B27B9" w:rsidRPr="007E1AE2" w:rsidRDefault="009B61BF" w:rsidP="009375E0">
      <w:pPr>
        <w:pStyle w:val="Heading3"/>
        <w:spacing w:before="240"/>
      </w:pPr>
      <w:bookmarkStart w:id="726" w:name="_Toc100263347"/>
      <w:bookmarkStart w:id="727" w:name="_Toc127191996"/>
      <w:r w:rsidRPr="007E1AE2">
        <w:t xml:space="preserve">NWAU </w:t>
      </w:r>
      <w:r w:rsidR="009F259A" w:rsidRPr="00DA49B0">
        <w:t>2022</w:t>
      </w:r>
      <w:r w:rsidR="00C369DB" w:rsidRPr="00DA49B0">
        <w:rPr>
          <w:szCs w:val="32"/>
        </w:rPr>
        <w:t>–</w:t>
      </w:r>
      <w:r w:rsidR="009F259A" w:rsidRPr="007E1AE2">
        <w:t>23</w:t>
      </w:r>
      <w:bookmarkEnd w:id="726"/>
      <w:bookmarkEnd w:id="727"/>
    </w:p>
    <w:p w14:paraId="671FA063" w14:textId="3337B786" w:rsidR="000B27B9" w:rsidRPr="007E1AE2" w:rsidRDefault="00723E77" w:rsidP="003C01AD">
      <w:pPr>
        <w:pStyle w:val="Tablecaption"/>
        <w:numPr>
          <w:ilvl w:val="0"/>
          <w:numId w:val="40"/>
        </w:numPr>
      </w:pPr>
      <w:bookmarkStart w:id="728" w:name="_Toc419644509"/>
      <w:bookmarkStart w:id="729" w:name="_Toc487742065"/>
      <w:bookmarkStart w:id="730" w:name="_Toc14194731"/>
      <w:bookmarkStart w:id="731" w:name="_Toc54261388"/>
      <w:bookmarkStart w:id="732" w:name="_Toc54616262"/>
      <w:bookmarkStart w:id="733" w:name="_Ref108526914"/>
      <w:bookmarkStart w:id="734" w:name="_Toc109894103"/>
      <w:bookmarkStart w:id="735" w:name="_Toc119500884"/>
      <w:r w:rsidRPr="007E1AE2">
        <w:t xml:space="preserve">NWAU </w:t>
      </w:r>
      <w:r w:rsidR="00B85512" w:rsidRPr="007E1AE2">
        <w:t xml:space="preserve">Victorian </w:t>
      </w:r>
      <w:r w:rsidR="00D023FD">
        <w:t>E</w:t>
      </w:r>
      <w:r w:rsidR="00C369DB" w:rsidRPr="007E1AE2">
        <w:t xml:space="preserve">fficient </w:t>
      </w:r>
      <w:r w:rsidR="00D023FD">
        <w:t>P</w:t>
      </w:r>
      <w:r w:rsidR="00C369DB" w:rsidRPr="007E1AE2">
        <w:t xml:space="preserve">rice for </w:t>
      </w:r>
      <w:r w:rsidR="00C369DB" w:rsidRPr="00015BCA">
        <w:t>growth</w:t>
      </w:r>
      <w:r w:rsidR="00C369DB" w:rsidRPr="00DA49B0" w:rsidDel="00B85512">
        <w:t xml:space="preserve"> </w:t>
      </w:r>
      <w:bookmarkEnd w:id="728"/>
      <w:bookmarkEnd w:id="729"/>
      <w:bookmarkEnd w:id="730"/>
      <w:bookmarkEnd w:id="731"/>
      <w:bookmarkEnd w:id="732"/>
      <w:r w:rsidR="009F259A" w:rsidRPr="00DA49B0">
        <w:t>2022</w:t>
      </w:r>
      <w:r w:rsidR="00C369DB" w:rsidRPr="00DA49B0">
        <w:rPr>
          <w:szCs w:val="21"/>
        </w:rPr>
        <w:t>–</w:t>
      </w:r>
      <w:r w:rsidR="009F259A" w:rsidRPr="00DA49B0">
        <w:t>23</w:t>
      </w:r>
      <w:bookmarkEnd w:id="733"/>
      <w:bookmarkEnd w:id="734"/>
      <w:bookmarkEnd w:id="735"/>
    </w:p>
    <w:tbl>
      <w:tblPr>
        <w:tblStyle w:val="TableGrid"/>
        <w:tblW w:w="0" w:type="auto"/>
        <w:tblLayout w:type="fixed"/>
        <w:tblLook w:val="06A0" w:firstRow="1" w:lastRow="0" w:firstColumn="1" w:lastColumn="0" w:noHBand="1" w:noVBand="1"/>
      </w:tblPr>
      <w:tblGrid>
        <w:gridCol w:w="2825"/>
        <w:gridCol w:w="1701"/>
        <w:gridCol w:w="1560"/>
        <w:gridCol w:w="1559"/>
      </w:tblGrid>
      <w:tr w:rsidR="00AE6427" w:rsidRPr="00DA49B0" w14:paraId="0D800720" w14:textId="77777777" w:rsidTr="008E2DC9">
        <w:trPr>
          <w:trHeight w:val="623"/>
          <w:tblHeader/>
        </w:trPr>
        <w:tc>
          <w:tcPr>
            <w:tcW w:w="2825" w:type="dxa"/>
            <w:tcBorders>
              <w:top w:val="single" w:sz="8" w:space="0" w:color="auto"/>
              <w:left w:val="single" w:sz="8" w:space="0" w:color="auto"/>
              <w:bottom w:val="single" w:sz="8" w:space="0" w:color="auto"/>
              <w:right w:val="single" w:sz="8" w:space="0" w:color="auto"/>
            </w:tcBorders>
            <w:shd w:val="clear" w:color="auto" w:fill="201547"/>
          </w:tcPr>
          <w:p w14:paraId="6C31D075" w14:textId="0D5D5249" w:rsidR="139BB5A8" w:rsidRPr="00015BCA" w:rsidRDefault="139BB5A8" w:rsidP="00B75888">
            <w:pPr>
              <w:pStyle w:val="Tablecolhead9pt"/>
              <w:rPr>
                <w:szCs w:val="18"/>
              </w:rPr>
            </w:pPr>
            <w:r w:rsidRPr="00330D5B">
              <w:rPr>
                <w:rFonts w:eastAsia="Arial"/>
                <w:szCs w:val="18"/>
              </w:rPr>
              <w:t>Payment</w:t>
            </w:r>
          </w:p>
        </w:tc>
        <w:tc>
          <w:tcPr>
            <w:tcW w:w="1701" w:type="dxa"/>
            <w:tcBorders>
              <w:top w:val="single" w:sz="8" w:space="0" w:color="auto"/>
              <w:left w:val="single" w:sz="8" w:space="0" w:color="auto"/>
              <w:bottom w:val="single" w:sz="8" w:space="0" w:color="auto"/>
              <w:right w:val="single" w:sz="8" w:space="0" w:color="auto"/>
            </w:tcBorders>
            <w:shd w:val="clear" w:color="auto" w:fill="201547"/>
          </w:tcPr>
          <w:p w14:paraId="7421A5ED" w14:textId="77EA0FE8" w:rsidR="139BB5A8" w:rsidRPr="00DA49B0" w:rsidRDefault="139BB5A8" w:rsidP="00B75888">
            <w:pPr>
              <w:pStyle w:val="Tablecolhead9pt"/>
              <w:rPr>
                <w:rFonts w:eastAsia="Arial"/>
                <w:szCs w:val="18"/>
              </w:rPr>
            </w:pPr>
            <w:r w:rsidRPr="00DA49B0">
              <w:rPr>
                <w:rFonts w:eastAsia="Arial"/>
                <w:szCs w:val="18"/>
              </w:rPr>
              <w:t xml:space="preserve">Metropolitan ($) </w:t>
            </w:r>
          </w:p>
        </w:tc>
        <w:tc>
          <w:tcPr>
            <w:tcW w:w="1560" w:type="dxa"/>
            <w:tcBorders>
              <w:top w:val="single" w:sz="8" w:space="0" w:color="auto"/>
              <w:left w:val="single" w:sz="8" w:space="0" w:color="auto"/>
              <w:bottom w:val="single" w:sz="8" w:space="0" w:color="auto"/>
              <w:right w:val="single" w:sz="8" w:space="0" w:color="auto"/>
            </w:tcBorders>
            <w:shd w:val="clear" w:color="auto" w:fill="201547"/>
          </w:tcPr>
          <w:p w14:paraId="3DC0AC14" w14:textId="4E3A56C8" w:rsidR="139BB5A8" w:rsidRPr="00DA49B0" w:rsidRDefault="139BB5A8" w:rsidP="00B75888">
            <w:pPr>
              <w:pStyle w:val="Tablecolhead9pt"/>
              <w:rPr>
                <w:rFonts w:eastAsia="Arial"/>
                <w:szCs w:val="18"/>
              </w:rPr>
            </w:pPr>
            <w:r w:rsidRPr="00DA49B0">
              <w:rPr>
                <w:rFonts w:eastAsia="Arial"/>
                <w:szCs w:val="18"/>
              </w:rPr>
              <w:t>Regional ($)</w:t>
            </w:r>
          </w:p>
        </w:tc>
        <w:tc>
          <w:tcPr>
            <w:tcW w:w="1559" w:type="dxa"/>
            <w:tcBorders>
              <w:top w:val="single" w:sz="8" w:space="0" w:color="auto"/>
              <w:left w:val="single" w:sz="8" w:space="0" w:color="auto"/>
              <w:bottom w:val="single" w:sz="8" w:space="0" w:color="auto"/>
              <w:right w:val="single" w:sz="8" w:space="0" w:color="auto"/>
            </w:tcBorders>
            <w:shd w:val="clear" w:color="auto" w:fill="201547"/>
          </w:tcPr>
          <w:p w14:paraId="6796BF9A" w14:textId="2F7CDAFC" w:rsidR="139BB5A8" w:rsidRPr="00DA49B0" w:rsidRDefault="139BB5A8" w:rsidP="00B75888">
            <w:pPr>
              <w:pStyle w:val="Tablecolhead9pt"/>
              <w:rPr>
                <w:rFonts w:eastAsia="Arial"/>
                <w:szCs w:val="18"/>
              </w:rPr>
            </w:pPr>
            <w:r w:rsidRPr="00DA49B0">
              <w:rPr>
                <w:rFonts w:eastAsia="Arial"/>
                <w:szCs w:val="18"/>
              </w:rPr>
              <w:t>Subregional ($)</w:t>
            </w:r>
          </w:p>
        </w:tc>
      </w:tr>
      <w:tr w:rsidR="00F74554" w:rsidRPr="00DA49B0" w14:paraId="3F00D85C" w14:textId="77777777" w:rsidTr="008E2DC9">
        <w:tc>
          <w:tcPr>
            <w:tcW w:w="2825" w:type="dxa"/>
            <w:tcBorders>
              <w:top w:val="single" w:sz="8" w:space="0" w:color="auto"/>
              <w:left w:val="single" w:sz="8" w:space="0" w:color="auto"/>
              <w:bottom w:val="single" w:sz="8" w:space="0" w:color="auto"/>
              <w:right w:val="single" w:sz="8" w:space="0" w:color="auto"/>
            </w:tcBorders>
          </w:tcPr>
          <w:p w14:paraId="7BE05872" w14:textId="52EF8065" w:rsidR="139BB5A8" w:rsidRPr="00DA49B0" w:rsidRDefault="139BB5A8" w:rsidP="00B75888">
            <w:pPr>
              <w:pStyle w:val="Tabletext9pt"/>
              <w:rPr>
                <w:szCs w:val="18"/>
              </w:rPr>
            </w:pPr>
            <w:r w:rsidRPr="00330D5B">
              <w:rPr>
                <w:rFonts w:eastAsia="Arial"/>
                <w:szCs w:val="18"/>
              </w:rPr>
              <w:t xml:space="preserve">Victorian </w:t>
            </w:r>
            <w:r w:rsidR="00D023FD">
              <w:rPr>
                <w:rFonts w:eastAsia="Arial"/>
                <w:szCs w:val="18"/>
              </w:rPr>
              <w:t>E</w:t>
            </w:r>
            <w:r w:rsidR="00C369DB" w:rsidRPr="00015BCA">
              <w:rPr>
                <w:rFonts w:eastAsia="Arial"/>
                <w:szCs w:val="18"/>
              </w:rPr>
              <w:t xml:space="preserve">fficient </w:t>
            </w:r>
            <w:r w:rsidR="00D023FD">
              <w:rPr>
                <w:rFonts w:eastAsia="Arial"/>
                <w:szCs w:val="18"/>
              </w:rPr>
              <w:t>P</w:t>
            </w:r>
            <w:r w:rsidR="00C369DB" w:rsidRPr="00015BCA">
              <w:rPr>
                <w:rFonts w:eastAsia="Arial"/>
                <w:szCs w:val="18"/>
              </w:rPr>
              <w:t>rice</w:t>
            </w:r>
            <w:r w:rsidR="00C369DB" w:rsidRPr="00DA49B0">
              <w:rPr>
                <w:rFonts w:eastAsia="Arial"/>
                <w:szCs w:val="18"/>
              </w:rPr>
              <w:t xml:space="preserve"> </w:t>
            </w:r>
            <w:r w:rsidRPr="00DA49B0">
              <w:rPr>
                <w:rFonts w:eastAsia="Arial"/>
                <w:szCs w:val="18"/>
              </w:rPr>
              <w:t>NWAU</w:t>
            </w:r>
          </w:p>
        </w:tc>
        <w:tc>
          <w:tcPr>
            <w:tcW w:w="1701" w:type="dxa"/>
            <w:tcBorders>
              <w:top w:val="single" w:sz="8" w:space="0" w:color="auto"/>
              <w:left w:val="single" w:sz="8" w:space="0" w:color="auto"/>
              <w:bottom w:val="single" w:sz="8" w:space="0" w:color="auto"/>
              <w:right w:val="single" w:sz="8" w:space="0" w:color="auto"/>
            </w:tcBorders>
          </w:tcPr>
          <w:p w14:paraId="5A489AB1" w14:textId="59BAB76B" w:rsidR="139BB5A8" w:rsidRPr="00330D5B" w:rsidRDefault="00C526BA" w:rsidP="00396EA4">
            <w:pPr>
              <w:jc w:val="right"/>
              <w:rPr>
                <w:rFonts w:eastAsia="Arial"/>
                <w:sz w:val="18"/>
                <w:szCs w:val="18"/>
                <w:highlight w:val="yellow"/>
              </w:rPr>
            </w:pPr>
            <w:r w:rsidRPr="00DA49B0">
              <w:rPr>
                <w:rFonts w:eastAsia="Arial" w:cs="Arial"/>
                <w:sz w:val="18"/>
                <w:szCs w:val="18"/>
              </w:rPr>
              <w:t>4</w:t>
            </w:r>
            <w:r w:rsidR="00952C0E" w:rsidRPr="00DA49B0">
              <w:rPr>
                <w:rFonts w:eastAsia="Arial" w:cs="Arial"/>
                <w:sz w:val="18"/>
                <w:szCs w:val="18"/>
              </w:rPr>
              <w:t>,</w:t>
            </w:r>
            <w:r w:rsidR="00E019DA" w:rsidRPr="00DA49B0">
              <w:rPr>
                <w:rFonts w:eastAsia="Arial" w:cs="Arial"/>
                <w:sz w:val="18"/>
                <w:szCs w:val="18"/>
              </w:rPr>
              <w:t>500</w:t>
            </w:r>
          </w:p>
        </w:tc>
        <w:tc>
          <w:tcPr>
            <w:tcW w:w="1560" w:type="dxa"/>
            <w:tcBorders>
              <w:top w:val="single" w:sz="8" w:space="0" w:color="auto"/>
              <w:left w:val="single" w:sz="8" w:space="0" w:color="auto"/>
              <w:bottom w:val="single" w:sz="8" w:space="0" w:color="auto"/>
              <w:right w:val="single" w:sz="8" w:space="0" w:color="auto"/>
            </w:tcBorders>
          </w:tcPr>
          <w:p w14:paraId="3B06840A" w14:textId="6B1B56AA" w:rsidR="139BB5A8" w:rsidRPr="00DA49B0" w:rsidRDefault="00714B02" w:rsidP="00396EA4">
            <w:pPr>
              <w:jc w:val="right"/>
              <w:rPr>
                <w:rFonts w:eastAsia="Arial"/>
                <w:sz w:val="18"/>
                <w:szCs w:val="18"/>
                <w:highlight w:val="yellow"/>
              </w:rPr>
            </w:pPr>
            <w:r w:rsidRPr="00DA49B0">
              <w:rPr>
                <w:rFonts w:eastAsia="Arial" w:cs="Arial"/>
                <w:sz w:val="18"/>
                <w:szCs w:val="18"/>
              </w:rPr>
              <w:t>4,541</w:t>
            </w:r>
          </w:p>
        </w:tc>
        <w:tc>
          <w:tcPr>
            <w:tcW w:w="1559" w:type="dxa"/>
            <w:tcBorders>
              <w:top w:val="single" w:sz="8" w:space="0" w:color="auto"/>
              <w:left w:val="single" w:sz="8" w:space="0" w:color="auto"/>
              <w:bottom w:val="single" w:sz="8" w:space="0" w:color="auto"/>
              <w:right w:val="single" w:sz="8" w:space="0" w:color="auto"/>
            </w:tcBorders>
          </w:tcPr>
          <w:p w14:paraId="77D8F9D5" w14:textId="12D8ACF3" w:rsidR="139BB5A8" w:rsidRPr="00DA49B0" w:rsidRDefault="00EC7AD8" w:rsidP="00396EA4">
            <w:pPr>
              <w:jc w:val="right"/>
              <w:rPr>
                <w:rFonts w:eastAsia="Arial"/>
                <w:sz w:val="18"/>
                <w:szCs w:val="18"/>
                <w:highlight w:val="yellow"/>
              </w:rPr>
            </w:pPr>
            <w:r w:rsidRPr="00DA49B0">
              <w:rPr>
                <w:rFonts w:eastAsia="Arial" w:cs="Arial"/>
                <w:sz w:val="18"/>
                <w:szCs w:val="18"/>
              </w:rPr>
              <w:t>4,827</w:t>
            </w:r>
          </w:p>
        </w:tc>
      </w:tr>
    </w:tbl>
    <w:p w14:paraId="106836A5" w14:textId="757BBCC7" w:rsidR="000226D9" w:rsidRDefault="00193592" w:rsidP="003C01AD">
      <w:pPr>
        <w:pStyle w:val="Tablecaption"/>
        <w:numPr>
          <w:ilvl w:val="0"/>
          <w:numId w:val="40"/>
        </w:numPr>
      </w:pPr>
      <w:bookmarkStart w:id="736" w:name="_Toc110944644"/>
      <w:bookmarkStart w:id="737" w:name="_Hlk96635816"/>
      <w:bookmarkStart w:id="738" w:name="_Toc109894104"/>
      <w:bookmarkStart w:id="739" w:name="_Toc119500885"/>
      <w:bookmarkEnd w:id="736"/>
      <w:r>
        <w:t xml:space="preserve">NWAU Compensable Price </w:t>
      </w:r>
      <w:r w:rsidRPr="007E1AE2">
        <w:t xml:space="preserve">Rates </w:t>
      </w:r>
      <w:bookmarkEnd w:id="737"/>
      <w:r w:rsidR="009F259A" w:rsidRPr="007E1AE2">
        <w:t>2022</w:t>
      </w:r>
      <w:r w:rsidR="00C369DB" w:rsidRPr="00015BCA">
        <w:t>–</w:t>
      </w:r>
      <w:r w:rsidR="009F259A" w:rsidRPr="007E1AE2">
        <w:t>23</w:t>
      </w:r>
      <w:bookmarkEnd w:id="738"/>
      <w:bookmarkEnd w:id="739"/>
    </w:p>
    <w:tbl>
      <w:tblPr>
        <w:tblStyle w:val="TableGrid1"/>
        <w:tblW w:w="6258" w:type="dxa"/>
        <w:tblLook w:val="06A0" w:firstRow="1" w:lastRow="0" w:firstColumn="1" w:lastColumn="0" w:noHBand="1" w:noVBand="1"/>
      </w:tblPr>
      <w:tblGrid>
        <w:gridCol w:w="2972"/>
        <w:gridCol w:w="3286"/>
      </w:tblGrid>
      <w:tr w:rsidR="00285E8F" w:rsidRPr="0090298C" w14:paraId="0FBB40EE" w14:textId="77777777" w:rsidTr="001F505A">
        <w:trPr>
          <w:cnfStyle w:val="100000000000" w:firstRow="1" w:lastRow="0" w:firstColumn="0" w:lastColumn="0" w:oddVBand="0" w:evenVBand="0" w:oddHBand="0" w:evenHBand="0" w:firstRowFirstColumn="0" w:firstRowLastColumn="0" w:lastRowFirstColumn="0" w:lastRowLastColumn="0"/>
          <w:tblHeader/>
        </w:trPr>
        <w:tc>
          <w:tcPr>
            <w:tcW w:w="2972" w:type="dxa"/>
          </w:tcPr>
          <w:p w14:paraId="322313FB" w14:textId="77777777" w:rsidR="00285E8F" w:rsidRPr="00E423D4" w:rsidRDefault="00285E8F" w:rsidP="00E423D4">
            <w:pPr>
              <w:pStyle w:val="Tablecolhead9pt"/>
            </w:pPr>
            <w:r w:rsidRPr="00E423D4">
              <w:t>Payment</w:t>
            </w:r>
          </w:p>
        </w:tc>
        <w:tc>
          <w:tcPr>
            <w:tcW w:w="3286" w:type="dxa"/>
          </w:tcPr>
          <w:p w14:paraId="06C263A5" w14:textId="77777777" w:rsidR="00285E8F" w:rsidRPr="00E423D4" w:rsidRDefault="00285E8F" w:rsidP="00015BCA">
            <w:pPr>
              <w:pStyle w:val="Tablecolhead9pt"/>
            </w:pPr>
            <w:r w:rsidRPr="00E423D4">
              <w:t>All health services ($)</w:t>
            </w:r>
          </w:p>
        </w:tc>
      </w:tr>
      <w:tr w:rsidR="001F505A" w:rsidRPr="00100C88" w14:paraId="19DB7D8C" w14:textId="77777777" w:rsidTr="001F505A">
        <w:tc>
          <w:tcPr>
            <w:tcW w:w="2972" w:type="dxa"/>
            <w:noWrap/>
          </w:tcPr>
          <w:p w14:paraId="56C922BD" w14:textId="15D52A9E" w:rsidR="001F505A" w:rsidRDefault="001F505A" w:rsidP="001F505A">
            <w:pPr>
              <w:pStyle w:val="Tabletext9pt"/>
            </w:pPr>
            <w:r w:rsidRPr="31E98B47">
              <w:rPr>
                <w:rFonts w:eastAsia="Arial" w:cs="Arial"/>
                <w:szCs w:val="18"/>
              </w:rPr>
              <w:t>Department of Veterans’ Affairs</w:t>
            </w:r>
            <w:r w:rsidR="003366A0">
              <w:rPr>
                <w:rFonts w:eastAsia="Arial" w:cs="Arial"/>
                <w:szCs w:val="18"/>
              </w:rPr>
              <w:t>: Acute and Subacute</w:t>
            </w:r>
            <w:r w:rsidRPr="31E98B47">
              <w:rPr>
                <w:rFonts w:eastAsia="Arial" w:cs="Arial"/>
                <w:szCs w:val="18"/>
              </w:rPr>
              <w:t xml:space="preserve"> NWAU </w:t>
            </w:r>
          </w:p>
        </w:tc>
        <w:tc>
          <w:tcPr>
            <w:tcW w:w="3286" w:type="dxa"/>
          </w:tcPr>
          <w:p w14:paraId="7D46A2AB" w14:textId="04700311" w:rsidR="001F505A" w:rsidRPr="139BB5A8" w:rsidRDefault="00015BCA" w:rsidP="001F505A">
            <w:pPr>
              <w:pStyle w:val="Tabletext9pt"/>
              <w:jc w:val="right"/>
              <w:rPr>
                <w:rFonts w:eastAsia="Arial" w:cs="Arial"/>
                <w:sz w:val="21"/>
                <w:szCs w:val="21"/>
              </w:rPr>
            </w:pPr>
            <w:r>
              <w:rPr>
                <w:rFonts w:eastAsia="Arial" w:cs="Arial"/>
                <w:szCs w:val="18"/>
              </w:rPr>
              <w:t>5,797</w:t>
            </w:r>
          </w:p>
        </w:tc>
      </w:tr>
      <w:tr w:rsidR="001F505A" w:rsidRPr="00100C88" w14:paraId="5990080A" w14:textId="77777777" w:rsidTr="001F505A">
        <w:tc>
          <w:tcPr>
            <w:tcW w:w="2972" w:type="dxa"/>
            <w:noWrap/>
          </w:tcPr>
          <w:p w14:paraId="02BCBA53" w14:textId="183C19BA" w:rsidR="001F505A" w:rsidRPr="003A53CD" w:rsidRDefault="001F505A" w:rsidP="001F505A">
            <w:pPr>
              <w:pStyle w:val="Tabletext9pt"/>
              <w:rPr>
                <w:szCs w:val="18"/>
                <w:lang w:eastAsia="en-AU"/>
              </w:rPr>
            </w:pPr>
            <w:r w:rsidRPr="31E98B47">
              <w:rPr>
                <w:rFonts w:eastAsia="Arial" w:cs="Arial"/>
                <w:szCs w:val="18"/>
              </w:rPr>
              <w:t xml:space="preserve">Transport Accident Commission Admitted NWAU </w:t>
            </w:r>
          </w:p>
        </w:tc>
        <w:tc>
          <w:tcPr>
            <w:tcW w:w="3286" w:type="dxa"/>
          </w:tcPr>
          <w:p w14:paraId="1D44B5A1" w14:textId="5CD1CAF2" w:rsidR="001F505A" w:rsidRPr="00AA4546" w:rsidRDefault="001F505A" w:rsidP="001F505A">
            <w:pPr>
              <w:pStyle w:val="Tabletext9pt"/>
              <w:jc w:val="right"/>
              <w:rPr>
                <w:rFonts w:eastAsia="Arial" w:cs="Arial"/>
                <w:lang w:eastAsia="en-AU"/>
              </w:rPr>
            </w:pPr>
            <w:r w:rsidRPr="0FEE2278">
              <w:rPr>
                <w:rFonts w:eastAsia="Arial" w:cs="Arial"/>
              </w:rPr>
              <w:t>5,</w:t>
            </w:r>
            <w:r w:rsidRPr="094986AD">
              <w:rPr>
                <w:rFonts w:eastAsia="Arial" w:cs="Arial"/>
              </w:rPr>
              <w:t>320</w:t>
            </w:r>
          </w:p>
        </w:tc>
      </w:tr>
      <w:tr w:rsidR="008F7C04" w:rsidRPr="00100C88" w14:paraId="23CF3FFD" w14:textId="77777777" w:rsidTr="001F505A">
        <w:tc>
          <w:tcPr>
            <w:tcW w:w="2972" w:type="dxa"/>
            <w:noWrap/>
          </w:tcPr>
          <w:p w14:paraId="32902452" w14:textId="583256E0" w:rsidR="008F7C04" w:rsidRPr="31E98B47" w:rsidRDefault="008F7C04" w:rsidP="001F505A">
            <w:pPr>
              <w:pStyle w:val="Tabletext9pt"/>
              <w:rPr>
                <w:rFonts w:eastAsia="Arial" w:cs="Arial"/>
                <w:szCs w:val="18"/>
              </w:rPr>
            </w:pPr>
            <w:r>
              <w:rPr>
                <w:rFonts w:eastAsia="Arial" w:cs="Arial"/>
                <w:szCs w:val="18"/>
              </w:rPr>
              <w:t>Work</w:t>
            </w:r>
            <w:r w:rsidR="000B1C45">
              <w:rPr>
                <w:rFonts w:eastAsia="Arial" w:cs="Arial"/>
                <w:szCs w:val="18"/>
              </w:rPr>
              <w:t>S</w:t>
            </w:r>
            <w:r>
              <w:rPr>
                <w:rFonts w:eastAsia="Arial" w:cs="Arial"/>
                <w:szCs w:val="18"/>
              </w:rPr>
              <w:t>afe NWAU</w:t>
            </w:r>
          </w:p>
        </w:tc>
        <w:tc>
          <w:tcPr>
            <w:tcW w:w="3286" w:type="dxa"/>
          </w:tcPr>
          <w:p w14:paraId="5ECE1A2E" w14:textId="65116ED6" w:rsidR="008F7C04" w:rsidRPr="61404400" w:rsidRDefault="000C34BF" w:rsidP="001F505A">
            <w:pPr>
              <w:pStyle w:val="Tabletext9pt"/>
              <w:jc w:val="right"/>
              <w:rPr>
                <w:rFonts w:eastAsia="Arial" w:cs="Arial"/>
              </w:rPr>
            </w:pPr>
            <w:r w:rsidRPr="094986AD">
              <w:rPr>
                <w:rFonts w:eastAsia="Arial" w:cs="Arial"/>
              </w:rPr>
              <w:t>5</w:t>
            </w:r>
            <w:r w:rsidRPr="05681215">
              <w:rPr>
                <w:rFonts w:eastAsia="Arial" w:cs="Arial"/>
              </w:rPr>
              <w:t>,000</w:t>
            </w:r>
          </w:p>
        </w:tc>
      </w:tr>
    </w:tbl>
    <w:p w14:paraId="30DBA471" w14:textId="1E3BB5F4" w:rsidR="007A418E" w:rsidRPr="00A510B3" w:rsidRDefault="007A418E" w:rsidP="003C01AD">
      <w:pPr>
        <w:pStyle w:val="Caption"/>
        <w:numPr>
          <w:ilvl w:val="0"/>
          <w:numId w:val="40"/>
        </w:numPr>
        <w:rPr>
          <w:sz w:val="21"/>
          <w:szCs w:val="21"/>
        </w:rPr>
      </w:pPr>
      <w:r w:rsidRPr="00A510B3">
        <w:rPr>
          <w:sz w:val="21"/>
          <w:szCs w:val="21"/>
        </w:rPr>
        <w:t xml:space="preserve">Transitional Care </w:t>
      </w:r>
      <w:r w:rsidRPr="007E1AE2">
        <w:rPr>
          <w:sz w:val="21"/>
          <w:szCs w:val="21"/>
        </w:rPr>
        <w:t xml:space="preserve">Program </w:t>
      </w:r>
      <w:r w:rsidR="009F259A" w:rsidRPr="007E1AE2">
        <w:rPr>
          <w:sz w:val="21"/>
        </w:rPr>
        <w:t>2022</w:t>
      </w:r>
      <w:r w:rsidR="00E423D4" w:rsidRPr="00DA49B0">
        <w:rPr>
          <w:sz w:val="21"/>
          <w:szCs w:val="21"/>
        </w:rPr>
        <w:t>–</w:t>
      </w:r>
      <w:r w:rsidR="009F259A" w:rsidRPr="007E1AE2">
        <w:rPr>
          <w:sz w:val="21"/>
        </w:rPr>
        <w:t>23</w:t>
      </w:r>
    </w:p>
    <w:tbl>
      <w:tblPr>
        <w:tblStyle w:val="TableGrid1"/>
        <w:tblW w:w="4313" w:type="dxa"/>
        <w:tblLook w:val="06A0" w:firstRow="1" w:lastRow="0" w:firstColumn="1" w:lastColumn="0" w:noHBand="1" w:noVBand="1"/>
      </w:tblPr>
      <w:tblGrid>
        <w:gridCol w:w="2195"/>
        <w:gridCol w:w="2118"/>
      </w:tblGrid>
      <w:tr w:rsidR="00B53A8B" w14:paraId="2515DBB3" w14:textId="77777777" w:rsidTr="00DA49B0">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hideMark/>
          </w:tcPr>
          <w:p w14:paraId="6ED9FA3A" w14:textId="77777777" w:rsidR="00B53A8B" w:rsidRPr="00E423D4" w:rsidRDefault="00B53A8B" w:rsidP="00E423D4">
            <w:pPr>
              <w:pStyle w:val="Tablecolhead9pt"/>
            </w:pPr>
            <w:r w:rsidRPr="00E423D4">
              <w:t>Payment</w:t>
            </w:r>
          </w:p>
        </w:tc>
        <w:tc>
          <w:tcPr>
            <w:tcW w:w="0" w:type="dxa"/>
            <w:tcBorders>
              <w:top w:val="single" w:sz="4" w:space="0" w:color="auto"/>
              <w:left w:val="single" w:sz="4" w:space="0" w:color="auto"/>
              <w:bottom w:val="single" w:sz="4" w:space="0" w:color="auto"/>
              <w:right w:val="single" w:sz="4" w:space="0" w:color="auto"/>
            </w:tcBorders>
            <w:hideMark/>
          </w:tcPr>
          <w:p w14:paraId="3B6176C3" w14:textId="77777777" w:rsidR="00B53A8B" w:rsidRPr="00E423D4" w:rsidRDefault="00B53A8B" w:rsidP="00DA49B0">
            <w:pPr>
              <w:pStyle w:val="Tablecolhead9pt"/>
            </w:pPr>
            <w:r w:rsidRPr="00E423D4">
              <w:t>All health services ($)</w:t>
            </w:r>
          </w:p>
        </w:tc>
      </w:tr>
      <w:tr w:rsidR="00B53A8B" w14:paraId="1F95263A" w14:textId="77777777" w:rsidTr="00B53A8B">
        <w:tc>
          <w:tcPr>
            <w:tcW w:w="6" w:type="dxa"/>
            <w:tcBorders>
              <w:top w:val="single" w:sz="4" w:space="0" w:color="auto"/>
              <w:left w:val="single" w:sz="4" w:space="0" w:color="auto"/>
              <w:bottom w:val="single" w:sz="4" w:space="0" w:color="auto"/>
              <w:right w:val="single" w:sz="4" w:space="0" w:color="auto"/>
            </w:tcBorders>
            <w:noWrap/>
            <w:hideMark/>
          </w:tcPr>
          <w:p w14:paraId="529A3918" w14:textId="77777777" w:rsidR="00B53A8B" w:rsidRDefault="00B53A8B">
            <w:pPr>
              <w:pStyle w:val="Tabletext9pt"/>
              <w:rPr>
                <w:lang w:eastAsia="en-AU"/>
              </w:rPr>
            </w:pPr>
            <w:r>
              <w:rPr>
                <w:lang w:eastAsia="en-AU"/>
              </w:rPr>
              <w:t>TCP bed places</w:t>
            </w:r>
            <w:r>
              <w:rPr>
                <w:rStyle w:val="FootnoteReference"/>
                <w:szCs w:val="18"/>
                <w:lang w:eastAsia="en-AU"/>
              </w:rPr>
              <w:footnoteReference w:id="9"/>
            </w:r>
            <w:r>
              <w:rPr>
                <w:lang w:eastAsia="en-AU"/>
              </w:rPr>
              <w:t xml:space="preserve"> (per diem rate)</w:t>
            </w:r>
          </w:p>
        </w:tc>
        <w:tc>
          <w:tcPr>
            <w:tcW w:w="6" w:type="dxa"/>
            <w:tcBorders>
              <w:top w:val="single" w:sz="4" w:space="0" w:color="auto"/>
              <w:left w:val="single" w:sz="4" w:space="0" w:color="auto"/>
              <w:bottom w:val="single" w:sz="4" w:space="0" w:color="auto"/>
              <w:right w:val="single" w:sz="4" w:space="0" w:color="auto"/>
            </w:tcBorders>
            <w:hideMark/>
          </w:tcPr>
          <w:p w14:paraId="018D2A1C" w14:textId="16DD9EDB" w:rsidR="00B53A8B" w:rsidRDefault="006E348B">
            <w:pPr>
              <w:pStyle w:val="Tabletext9pt"/>
              <w:jc w:val="right"/>
            </w:pPr>
            <w:r w:rsidRPr="00C13E0B">
              <w:rPr>
                <w:rFonts w:eastAsia="Times New Roman" w:cs="Times New Roman"/>
                <w:szCs w:val="20"/>
              </w:rPr>
              <w:t>165.63</w:t>
            </w:r>
          </w:p>
        </w:tc>
      </w:tr>
      <w:tr w:rsidR="00B53A8B" w14:paraId="33F1FA1A" w14:textId="77777777" w:rsidTr="00B53A8B">
        <w:tc>
          <w:tcPr>
            <w:tcW w:w="6" w:type="dxa"/>
            <w:tcBorders>
              <w:top w:val="single" w:sz="4" w:space="0" w:color="auto"/>
              <w:left w:val="single" w:sz="4" w:space="0" w:color="auto"/>
              <w:bottom w:val="single" w:sz="4" w:space="0" w:color="auto"/>
              <w:right w:val="single" w:sz="4" w:space="0" w:color="auto"/>
            </w:tcBorders>
            <w:noWrap/>
            <w:hideMark/>
          </w:tcPr>
          <w:p w14:paraId="37E83F70" w14:textId="7F156A85" w:rsidR="00B53A8B" w:rsidRDefault="00B53A8B">
            <w:pPr>
              <w:pStyle w:val="Tabletext9pt"/>
              <w:rPr>
                <w:lang w:eastAsia="en-AU"/>
              </w:rPr>
            </w:pPr>
            <w:r>
              <w:rPr>
                <w:lang w:eastAsia="en-AU"/>
              </w:rPr>
              <w:t>TCP home places (per diem rate)</w:t>
            </w:r>
          </w:p>
        </w:tc>
        <w:tc>
          <w:tcPr>
            <w:tcW w:w="6" w:type="dxa"/>
            <w:tcBorders>
              <w:top w:val="single" w:sz="4" w:space="0" w:color="auto"/>
              <w:left w:val="single" w:sz="4" w:space="0" w:color="auto"/>
              <w:bottom w:val="single" w:sz="4" w:space="0" w:color="auto"/>
              <w:right w:val="single" w:sz="4" w:space="0" w:color="auto"/>
            </w:tcBorders>
            <w:hideMark/>
          </w:tcPr>
          <w:p w14:paraId="63D66BC9" w14:textId="73A45D7C" w:rsidR="00B53A8B" w:rsidRDefault="006E348B">
            <w:pPr>
              <w:pStyle w:val="Tabletext9pt"/>
              <w:jc w:val="right"/>
            </w:pPr>
            <w:r w:rsidRPr="00C13E0B">
              <w:rPr>
                <w:rFonts w:eastAsia="Times New Roman" w:cs="Times New Roman"/>
                <w:szCs w:val="20"/>
              </w:rPr>
              <w:t>60.74</w:t>
            </w:r>
          </w:p>
        </w:tc>
      </w:tr>
    </w:tbl>
    <w:p w14:paraId="27BABE1B" w14:textId="33D27B55" w:rsidR="000B27B9" w:rsidRPr="007E1AE2" w:rsidRDefault="000B27B9" w:rsidP="003C01AD">
      <w:pPr>
        <w:pStyle w:val="Tablecaption"/>
        <w:numPr>
          <w:ilvl w:val="0"/>
          <w:numId w:val="40"/>
        </w:numPr>
      </w:pPr>
      <w:bookmarkStart w:id="740" w:name="_Toc110944646"/>
      <w:bookmarkStart w:id="741" w:name="_Toc14194733"/>
      <w:bookmarkStart w:id="742" w:name="_Toc54261390"/>
      <w:bookmarkStart w:id="743" w:name="_Toc54616264"/>
      <w:bookmarkStart w:id="744" w:name="_Toc109894105"/>
      <w:bookmarkStart w:id="745" w:name="_Toc119500886"/>
      <w:bookmarkEnd w:id="740"/>
      <w:r w:rsidRPr="007E1AE2">
        <w:t xml:space="preserve">Non-admitted radiotherapy </w:t>
      </w:r>
      <w:bookmarkStart w:id="746" w:name="_Toc419644511"/>
      <w:bookmarkStart w:id="747" w:name="_Toc487742067"/>
      <w:bookmarkEnd w:id="741"/>
      <w:bookmarkEnd w:id="742"/>
      <w:bookmarkEnd w:id="743"/>
      <w:r w:rsidR="009F259A" w:rsidRPr="007E1AE2">
        <w:t>2022</w:t>
      </w:r>
      <w:r w:rsidR="00E423D4" w:rsidRPr="00DA49B0">
        <w:rPr>
          <w:szCs w:val="21"/>
        </w:rPr>
        <w:t>–</w:t>
      </w:r>
      <w:r w:rsidR="004A3F81" w:rsidRPr="007E1AE2">
        <w:t>2</w:t>
      </w:r>
      <w:r w:rsidR="009F259A" w:rsidRPr="007E1AE2">
        <w:t>3</w:t>
      </w:r>
      <w:bookmarkEnd w:id="744"/>
      <w:bookmarkEnd w:id="745"/>
    </w:p>
    <w:tbl>
      <w:tblPr>
        <w:tblStyle w:val="TableGrid"/>
        <w:tblW w:w="5565" w:type="dxa"/>
        <w:tblLayout w:type="fixed"/>
        <w:tblLook w:val="06A0" w:firstRow="1" w:lastRow="0" w:firstColumn="1" w:lastColumn="0" w:noHBand="1" w:noVBand="1"/>
      </w:tblPr>
      <w:tblGrid>
        <w:gridCol w:w="3905"/>
        <w:gridCol w:w="1660"/>
      </w:tblGrid>
      <w:tr w:rsidR="004609B6" w14:paraId="38CA9DEF" w14:textId="77777777" w:rsidTr="004609B6">
        <w:trPr>
          <w:tblHeader/>
        </w:trPr>
        <w:tc>
          <w:tcPr>
            <w:tcW w:w="3909" w:type="dxa"/>
            <w:tcBorders>
              <w:top w:val="single" w:sz="8" w:space="0" w:color="auto"/>
              <w:left w:val="single" w:sz="8" w:space="0" w:color="auto"/>
              <w:bottom w:val="single" w:sz="8" w:space="0" w:color="auto"/>
              <w:right w:val="single" w:sz="8" w:space="0" w:color="auto"/>
            </w:tcBorders>
            <w:shd w:val="clear" w:color="auto" w:fill="201547"/>
            <w:hideMark/>
          </w:tcPr>
          <w:p w14:paraId="4AE386FB" w14:textId="77777777" w:rsidR="004609B6" w:rsidRDefault="004609B6">
            <w:pPr>
              <w:pStyle w:val="Tablecolhead9pt"/>
            </w:pPr>
            <w:r>
              <w:rPr>
                <w:rFonts w:eastAsia="Arial"/>
              </w:rPr>
              <w:t>Payment</w:t>
            </w:r>
          </w:p>
        </w:tc>
        <w:tc>
          <w:tcPr>
            <w:tcW w:w="1662" w:type="dxa"/>
            <w:tcBorders>
              <w:top w:val="single" w:sz="8" w:space="0" w:color="auto"/>
              <w:left w:val="single" w:sz="8" w:space="0" w:color="auto"/>
              <w:bottom w:val="single" w:sz="8" w:space="0" w:color="auto"/>
              <w:right w:val="single" w:sz="8" w:space="0" w:color="auto"/>
            </w:tcBorders>
            <w:shd w:val="clear" w:color="auto" w:fill="201547"/>
            <w:hideMark/>
          </w:tcPr>
          <w:p w14:paraId="15BE18D0" w14:textId="77777777" w:rsidR="004609B6" w:rsidRDefault="004609B6">
            <w:pPr>
              <w:pStyle w:val="Tablecolhead9pt"/>
              <w:jc w:val="right"/>
              <w:rPr>
                <w:rFonts w:eastAsia="Arial"/>
                <w:b w:val="0"/>
              </w:rPr>
            </w:pPr>
            <w:r>
              <w:rPr>
                <w:rFonts w:eastAsia="Arial"/>
              </w:rPr>
              <w:t>All health services ($)</w:t>
            </w:r>
          </w:p>
        </w:tc>
      </w:tr>
      <w:tr w:rsidR="004609B6" w14:paraId="5CCCD173" w14:textId="77777777" w:rsidTr="004609B6">
        <w:tc>
          <w:tcPr>
            <w:tcW w:w="3909" w:type="dxa"/>
            <w:tcBorders>
              <w:top w:val="single" w:sz="8" w:space="0" w:color="auto"/>
              <w:left w:val="single" w:sz="8" w:space="0" w:color="auto"/>
              <w:bottom w:val="single" w:sz="8" w:space="0" w:color="auto"/>
              <w:right w:val="single" w:sz="8" w:space="0" w:color="auto"/>
            </w:tcBorders>
            <w:hideMark/>
          </w:tcPr>
          <w:p w14:paraId="5019A068" w14:textId="77777777" w:rsidR="004609B6" w:rsidRDefault="004609B6">
            <w:pPr>
              <w:pStyle w:val="Tabletext9pt"/>
            </w:pPr>
            <w:r>
              <w:rPr>
                <w:rFonts w:eastAsia="Arial"/>
              </w:rPr>
              <w:t>WAU</w:t>
            </w:r>
          </w:p>
        </w:tc>
        <w:tc>
          <w:tcPr>
            <w:tcW w:w="1662" w:type="dxa"/>
            <w:tcBorders>
              <w:top w:val="single" w:sz="8" w:space="0" w:color="auto"/>
              <w:left w:val="single" w:sz="8" w:space="0" w:color="auto"/>
              <w:bottom w:val="single" w:sz="8" w:space="0" w:color="auto"/>
              <w:right w:val="single" w:sz="8" w:space="0" w:color="auto"/>
            </w:tcBorders>
            <w:hideMark/>
          </w:tcPr>
          <w:p w14:paraId="022B93AC" w14:textId="2CD23C0E" w:rsidR="004609B6" w:rsidRDefault="00DF733A">
            <w:pPr>
              <w:pStyle w:val="Tabletext9pt"/>
              <w:jc w:val="right"/>
              <w:rPr>
                <w:rFonts w:eastAsia="Arial"/>
              </w:rPr>
            </w:pPr>
            <w:r>
              <w:rPr>
                <w:rFonts w:eastAsia="Arial"/>
              </w:rPr>
              <w:t>252.88</w:t>
            </w:r>
          </w:p>
        </w:tc>
      </w:tr>
      <w:tr w:rsidR="004609B6" w14:paraId="016D6EBC" w14:textId="77777777" w:rsidTr="004609B6">
        <w:tc>
          <w:tcPr>
            <w:tcW w:w="3909" w:type="dxa"/>
            <w:tcBorders>
              <w:top w:val="single" w:sz="8" w:space="0" w:color="auto"/>
              <w:left w:val="single" w:sz="8" w:space="0" w:color="auto"/>
              <w:bottom w:val="single" w:sz="8" w:space="0" w:color="auto"/>
              <w:right w:val="single" w:sz="8" w:space="0" w:color="auto"/>
            </w:tcBorders>
            <w:hideMark/>
          </w:tcPr>
          <w:p w14:paraId="388C09D0" w14:textId="77777777" w:rsidR="004609B6" w:rsidRDefault="004609B6">
            <w:pPr>
              <w:pStyle w:val="Tabletext9pt"/>
            </w:pPr>
            <w:r>
              <w:rPr>
                <w:rFonts w:eastAsia="Arial"/>
              </w:rPr>
              <w:t>Department of Veterans’ Affairs WAU</w:t>
            </w:r>
          </w:p>
        </w:tc>
        <w:tc>
          <w:tcPr>
            <w:tcW w:w="1662" w:type="dxa"/>
            <w:tcBorders>
              <w:top w:val="single" w:sz="8" w:space="0" w:color="auto"/>
              <w:left w:val="single" w:sz="8" w:space="0" w:color="auto"/>
              <w:bottom w:val="single" w:sz="8" w:space="0" w:color="auto"/>
              <w:right w:val="single" w:sz="8" w:space="0" w:color="auto"/>
            </w:tcBorders>
            <w:hideMark/>
          </w:tcPr>
          <w:p w14:paraId="6F6143A8" w14:textId="1856A634" w:rsidR="004609B6" w:rsidRDefault="004A3ECF">
            <w:pPr>
              <w:pStyle w:val="Tabletext9pt"/>
              <w:jc w:val="right"/>
              <w:rPr>
                <w:rFonts w:eastAsia="Arial"/>
              </w:rPr>
            </w:pPr>
            <w:r>
              <w:rPr>
                <w:rFonts w:eastAsia="Arial"/>
              </w:rPr>
              <w:t>312.50</w:t>
            </w:r>
          </w:p>
        </w:tc>
      </w:tr>
      <w:tr w:rsidR="004609B6" w14:paraId="0785D20C" w14:textId="77777777" w:rsidTr="004609B6">
        <w:tc>
          <w:tcPr>
            <w:tcW w:w="3909" w:type="dxa"/>
            <w:tcBorders>
              <w:top w:val="single" w:sz="8" w:space="0" w:color="auto"/>
              <w:left w:val="single" w:sz="8" w:space="0" w:color="auto"/>
              <w:bottom w:val="single" w:sz="8" w:space="0" w:color="auto"/>
              <w:right w:val="single" w:sz="8" w:space="0" w:color="auto"/>
            </w:tcBorders>
            <w:hideMark/>
          </w:tcPr>
          <w:p w14:paraId="5E3DC895" w14:textId="77777777" w:rsidR="004609B6" w:rsidRDefault="004609B6">
            <w:pPr>
              <w:pStyle w:val="Tabletext9pt"/>
            </w:pPr>
            <w:r>
              <w:rPr>
                <w:rFonts w:eastAsia="Arial"/>
              </w:rPr>
              <w:t>Shared care</w:t>
            </w:r>
          </w:p>
        </w:tc>
        <w:tc>
          <w:tcPr>
            <w:tcW w:w="1662" w:type="dxa"/>
            <w:tcBorders>
              <w:top w:val="single" w:sz="8" w:space="0" w:color="auto"/>
              <w:left w:val="single" w:sz="8" w:space="0" w:color="auto"/>
              <w:bottom w:val="single" w:sz="8" w:space="0" w:color="auto"/>
              <w:right w:val="single" w:sz="8" w:space="0" w:color="auto"/>
            </w:tcBorders>
            <w:hideMark/>
          </w:tcPr>
          <w:p w14:paraId="0344F55E" w14:textId="4F32C672" w:rsidR="004609B6" w:rsidRDefault="004609B6">
            <w:pPr>
              <w:pStyle w:val="Tabletext9pt"/>
              <w:jc w:val="right"/>
              <w:rPr>
                <w:rFonts w:eastAsia="Arial"/>
              </w:rPr>
            </w:pPr>
            <w:r>
              <w:rPr>
                <w:rFonts w:eastAsia="Arial"/>
              </w:rPr>
              <w:t>1,7</w:t>
            </w:r>
            <w:r w:rsidR="004A3ECF">
              <w:rPr>
                <w:rFonts w:eastAsia="Arial"/>
              </w:rPr>
              <w:t>99</w:t>
            </w:r>
            <w:r>
              <w:rPr>
                <w:rFonts w:eastAsia="Arial"/>
              </w:rPr>
              <w:t xml:space="preserve"> </w:t>
            </w:r>
          </w:p>
        </w:tc>
      </w:tr>
    </w:tbl>
    <w:p w14:paraId="2751A83C" w14:textId="0FFD70EB" w:rsidR="000B27B9" w:rsidRDefault="000B27B9" w:rsidP="003C01AD">
      <w:pPr>
        <w:pStyle w:val="Tablecaption"/>
        <w:numPr>
          <w:ilvl w:val="0"/>
          <w:numId w:val="40"/>
        </w:numPr>
      </w:pPr>
      <w:bookmarkStart w:id="748" w:name="_Toc110944648"/>
      <w:bookmarkStart w:id="749" w:name="_Toc110944649"/>
      <w:bookmarkStart w:id="750" w:name="_Toc14194735"/>
      <w:bookmarkStart w:id="751" w:name="_Toc54261392"/>
      <w:bookmarkStart w:id="752" w:name="_Toc54616266"/>
      <w:bookmarkStart w:id="753" w:name="_Toc109894106"/>
      <w:bookmarkStart w:id="754" w:name="_Toc119500887"/>
      <w:bookmarkStart w:id="755" w:name="_Toc487742069"/>
      <w:bookmarkStart w:id="756" w:name="_Toc418694986"/>
      <w:bookmarkEnd w:id="746"/>
      <w:bookmarkEnd w:id="747"/>
      <w:bookmarkEnd w:id="748"/>
      <w:bookmarkEnd w:id="749"/>
      <w:r w:rsidRPr="005D4343">
        <w:t>Nationally</w:t>
      </w:r>
      <w:r>
        <w:t xml:space="preserve"> </w:t>
      </w:r>
      <w:r w:rsidR="00284238">
        <w:t>F</w:t>
      </w:r>
      <w:r>
        <w:t xml:space="preserve">unded </w:t>
      </w:r>
      <w:r w:rsidR="00284238">
        <w:t>C</w:t>
      </w:r>
      <w:r>
        <w:t xml:space="preserve">entres </w:t>
      </w:r>
      <w:r w:rsidR="00284238">
        <w:t>P</w:t>
      </w:r>
      <w:r>
        <w:t xml:space="preserve">rogram </w:t>
      </w:r>
      <w:bookmarkEnd w:id="750"/>
      <w:bookmarkEnd w:id="751"/>
      <w:bookmarkEnd w:id="752"/>
      <w:r w:rsidR="009F259A" w:rsidRPr="008F2ED0">
        <w:t>2022</w:t>
      </w:r>
      <w:r w:rsidR="00E423D4" w:rsidRPr="008F2ED0">
        <w:rPr>
          <w:szCs w:val="21"/>
        </w:rPr>
        <w:t>–</w:t>
      </w:r>
      <w:r w:rsidR="009F259A" w:rsidRPr="008F2ED0">
        <w:t>23</w:t>
      </w:r>
      <w:bookmarkEnd w:id="753"/>
      <w:bookmarkEnd w:id="754"/>
    </w:p>
    <w:tbl>
      <w:tblPr>
        <w:tblStyle w:val="TableGrid1"/>
        <w:tblW w:w="9299" w:type="dxa"/>
        <w:tblLook w:val="06A0" w:firstRow="1" w:lastRow="0" w:firstColumn="1" w:lastColumn="0" w:noHBand="1" w:noVBand="1"/>
      </w:tblPr>
      <w:tblGrid>
        <w:gridCol w:w="5449"/>
        <w:gridCol w:w="3850"/>
      </w:tblGrid>
      <w:tr w:rsidR="004609B6" w14:paraId="46DBC959" w14:textId="77777777" w:rsidTr="008F2ED0">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hideMark/>
          </w:tcPr>
          <w:p w14:paraId="73F4E920" w14:textId="77777777" w:rsidR="004609B6" w:rsidRDefault="004609B6">
            <w:pPr>
              <w:pStyle w:val="Tablecolhead9pt"/>
              <w:rPr>
                <w:szCs w:val="18"/>
              </w:rPr>
            </w:pPr>
            <w:r>
              <w:t>Payment</w:t>
            </w:r>
          </w:p>
        </w:tc>
        <w:tc>
          <w:tcPr>
            <w:tcW w:w="0" w:type="dxa"/>
            <w:tcBorders>
              <w:top w:val="single" w:sz="4" w:space="0" w:color="auto"/>
              <w:left w:val="single" w:sz="4" w:space="0" w:color="auto"/>
              <w:bottom w:val="single" w:sz="4" w:space="0" w:color="auto"/>
              <w:right w:val="single" w:sz="4" w:space="0" w:color="auto"/>
            </w:tcBorders>
            <w:hideMark/>
          </w:tcPr>
          <w:p w14:paraId="15A06F55" w14:textId="77777777" w:rsidR="004609B6" w:rsidRDefault="004609B6">
            <w:pPr>
              <w:pStyle w:val="Tablecolhead9pt"/>
              <w:jc w:val="right"/>
              <w:rPr>
                <w:szCs w:val="18"/>
              </w:rPr>
            </w:pPr>
            <w:r>
              <w:t>Hosting health service ($)</w:t>
            </w:r>
          </w:p>
        </w:tc>
      </w:tr>
      <w:tr w:rsidR="004609B6" w14:paraId="38F134AD" w14:textId="77777777" w:rsidTr="004609B6">
        <w:tc>
          <w:tcPr>
            <w:tcW w:w="6" w:type="dxa"/>
            <w:tcBorders>
              <w:top w:val="single" w:sz="4" w:space="0" w:color="auto"/>
              <w:left w:val="single" w:sz="4" w:space="0" w:color="auto"/>
              <w:bottom w:val="single" w:sz="4" w:space="0" w:color="auto"/>
              <w:right w:val="single" w:sz="4" w:space="0" w:color="auto"/>
            </w:tcBorders>
            <w:noWrap/>
            <w:hideMark/>
          </w:tcPr>
          <w:p w14:paraId="78C84162" w14:textId="77777777" w:rsidR="004609B6" w:rsidRDefault="004609B6">
            <w:pPr>
              <w:pStyle w:val="Tabletext9pt"/>
              <w:rPr>
                <w:szCs w:val="18"/>
                <w:lang w:eastAsia="en-AU"/>
              </w:rPr>
            </w:pPr>
            <w:r>
              <w:rPr>
                <w:szCs w:val="18"/>
              </w:rPr>
              <w:t>Islet cell transplantation</w:t>
            </w:r>
          </w:p>
        </w:tc>
        <w:tc>
          <w:tcPr>
            <w:tcW w:w="6" w:type="dxa"/>
            <w:tcBorders>
              <w:top w:val="single" w:sz="4" w:space="0" w:color="auto"/>
              <w:left w:val="single" w:sz="4" w:space="0" w:color="auto"/>
              <w:bottom w:val="single" w:sz="4" w:space="0" w:color="auto"/>
              <w:right w:val="single" w:sz="4" w:space="0" w:color="auto"/>
            </w:tcBorders>
            <w:hideMark/>
          </w:tcPr>
          <w:p w14:paraId="35813594" w14:textId="77777777" w:rsidR="004609B6" w:rsidRDefault="004609B6">
            <w:pPr>
              <w:pStyle w:val="Tabletext9pt"/>
              <w:jc w:val="right"/>
              <w:rPr>
                <w:lang w:eastAsia="en-AU"/>
              </w:rPr>
            </w:pPr>
            <w:r>
              <w:rPr>
                <w:lang w:eastAsia="en-AU"/>
              </w:rPr>
              <w:t>212,979</w:t>
            </w:r>
          </w:p>
        </w:tc>
      </w:tr>
      <w:tr w:rsidR="004609B6" w14:paraId="221268B2" w14:textId="77777777" w:rsidTr="004609B6">
        <w:tc>
          <w:tcPr>
            <w:tcW w:w="6" w:type="dxa"/>
            <w:tcBorders>
              <w:top w:val="single" w:sz="4" w:space="0" w:color="auto"/>
              <w:left w:val="single" w:sz="4" w:space="0" w:color="auto"/>
              <w:bottom w:val="single" w:sz="4" w:space="0" w:color="auto"/>
              <w:right w:val="single" w:sz="4" w:space="0" w:color="auto"/>
            </w:tcBorders>
            <w:noWrap/>
            <w:hideMark/>
          </w:tcPr>
          <w:p w14:paraId="187E9662" w14:textId="77777777" w:rsidR="004609B6" w:rsidRDefault="004609B6">
            <w:pPr>
              <w:pStyle w:val="Tabletext9pt"/>
              <w:rPr>
                <w:szCs w:val="18"/>
                <w:lang w:eastAsia="en-AU"/>
              </w:rPr>
            </w:pPr>
            <w:r>
              <w:rPr>
                <w:szCs w:val="18"/>
              </w:rPr>
              <w:t>Paediatric heart transplantation – no ventricular assist device</w:t>
            </w:r>
          </w:p>
        </w:tc>
        <w:tc>
          <w:tcPr>
            <w:tcW w:w="6" w:type="dxa"/>
            <w:tcBorders>
              <w:top w:val="single" w:sz="4" w:space="0" w:color="auto"/>
              <w:left w:val="single" w:sz="4" w:space="0" w:color="auto"/>
              <w:bottom w:val="single" w:sz="4" w:space="0" w:color="auto"/>
              <w:right w:val="single" w:sz="4" w:space="0" w:color="auto"/>
            </w:tcBorders>
            <w:hideMark/>
          </w:tcPr>
          <w:p w14:paraId="4B5BF6A8" w14:textId="77777777" w:rsidR="004609B6" w:rsidRDefault="004609B6">
            <w:pPr>
              <w:pStyle w:val="Tabletext9pt"/>
              <w:jc w:val="right"/>
              <w:rPr>
                <w:lang w:eastAsia="en-AU"/>
              </w:rPr>
            </w:pPr>
            <w:r>
              <w:rPr>
                <w:lang w:eastAsia="en-AU"/>
              </w:rPr>
              <w:t>437,829</w:t>
            </w:r>
          </w:p>
        </w:tc>
      </w:tr>
      <w:tr w:rsidR="004609B6" w14:paraId="1F58664D" w14:textId="77777777" w:rsidTr="004609B6">
        <w:tc>
          <w:tcPr>
            <w:tcW w:w="6" w:type="dxa"/>
            <w:tcBorders>
              <w:top w:val="single" w:sz="4" w:space="0" w:color="auto"/>
              <w:left w:val="single" w:sz="4" w:space="0" w:color="auto"/>
              <w:bottom w:val="single" w:sz="4" w:space="0" w:color="auto"/>
              <w:right w:val="single" w:sz="4" w:space="0" w:color="auto"/>
            </w:tcBorders>
            <w:noWrap/>
            <w:hideMark/>
          </w:tcPr>
          <w:p w14:paraId="37472A17" w14:textId="77777777" w:rsidR="004609B6" w:rsidRDefault="004609B6">
            <w:pPr>
              <w:pStyle w:val="Tabletext9pt"/>
              <w:rPr>
                <w:szCs w:val="18"/>
                <w:lang w:eastAsia="en-AU"/>
              </w:rPr>
            </w:pPr>
            <w:r>
              <w:rPr>
                <w:szCs w:val="18"/>
              </w:rPr>
              <w:t>Paediatric heart transplantation – with ventricular assist device</w:t>
            </w:r>
          </w:p>
        </w:tc>
        <w:tc>
          <w:tcPr>
            <w:tcW w:w="6" w:type="dxa"/>
            <w:tcBorders>
              <w:top w:val="single" w:sz="4" w:space="0" w:color="auto"/>
              <w:left w:val="single" w:sz="4" w:space="0" w:color="auto"/>
              <w:bottom w:val="single" w:sz="4" w:space="0" w:color="auto"/>
              <w:right w:val="single" w:sz="4" w:space="0" w:color="auto"/>
            </w:tcBorders>
            <w:hideMark/>
          </w:tcPr>
          <w:p w14:paraId="40267B63" w14:textId="77777777" w:rsidR="004609B6" w:rsidRDefault="004609B6">
            <w:pPr>
              <w:pStyle w:val="Tabletext9pt"/>
              <w:jc w:val="right"/>
              <w:rPr>
                <w:lang w:eastAsia="en-AU"/>
              </w:rPr>
            </w:pPr>
            <w:r>
              <w:rPr>
                <w:lang w:eastAsia="en-AU"/>
              </w:rPr>
              <w:t>1,015,013</w:t>
            </w:r>
          </w:p>
        </w:tc>
      </w:tr>
      <w:tr w:rsidR="004609B6" w14:paraId="129159E7" w14:textId="77777777" w:rsidTr="004609B6">
        <w:tc>
          <w:tcPr>
            <w:tcW w:w="6" w:type="dxa"/>
            <w:tcBorders>
              <w:top w:val="single" w:sz="4" w:space="0" w:color="auto"/>
              <w:left w:val="single" w:sz="4" w:space="0" w:color="auto"/>
              <w:bottom w:val="single" w:sz="4" w:space="0" w:color="auto"/>
              <w:right w:val="single" w:sz="4" w:space="0" w:color="auto"/>
            </w:tcBorders>
            <w:noWrap/>
            <w:hideMark/>
          </w:tcPr>
          <w:p w14:paraId="1D594994" w14:textId="77777777" w:rsidR="004609B6" w:rsidRDefault="004609B6">
            <w:pPr>
              <w:pStyle w:val="Tabletext9pt"/>
              <w:rPr>
                <w:szCs w:val="18"/>
                <w:lang w:eastAsia="en-AU"/>
              </w:rPr>
            </w:pPr>
            <w:r>
              <w:rPr>
                <w:szCs w:val="18"/>
              </w:rPr>
              <w:t>Paediatric liver transplantation</w:t>
            </w:r>
          </w:p>
        </w:tc>
        <w:tc>
          <w:tcPr>
            <w:tcW w:w="6" w:type="dxa"/>
            <w:tcBorders>
              <w:top w:val="single" w:sz="4" w:space="0" w:color="auto"/>
              <w:left w:val="single" w:sz="4" w:space="0" w:color="auto"/>
              <w:bottom w:val="single" w:sz="4" w:space="0" w:color="auto"/>
              <w:right w:val="single" w:sz="4" w:space="0" w:color="auto"/>
            </w:tcBorders>
            <w:hideMark/>
          </w:tcPr>
          <w:p w14:paraId="05686FB0" w14:textId="77777777" w:rsidR="004609B6" w:rsidRDefault="004609B6">
            <w:pPr>
              <w:pStyle w:val="Tabletext9pt"/>
              <w:jc w:val="right"/>
              <w:rPr>
                <w:lang w:eastAsia="en-AU"/>
              </w:rPr>
            </w:pPr>
            <w:r>
              <w:rPr>
                <w:lang w:eastAsia="en-AU"/>
              </w:rPr>
              <w:t>357,548</w:t>
            </w:r>
          </w:p>
        </w:tc>
      </w:tr>
      <w:tr w:rsidR="004609B6" w14:paraId="059CB9F6" w14:textId="77777777" w:rsidTr="004609B6">
        <w:tc>
          <w:tcPr>
            <w:tcW w:w="6" w:type="dxa"/>
            <w:tcBorders>
              <w:top w:val="single" w:sz="4" w:space="0" w:color="auto"/>
              <w:left w:val="single" w:sz="4" w:space="0" w:color="auto"/>
              <w:bottom w:val="single" w:sz="4" w:space="0" w:color="auto"/>
              <w:right w:val="single" w:sz="4" w:space="0" w:color="auto"/>
            </w:tcBorders>
            <w:noWrap/>
            <w:hideMark/>
          </w:tcPr>
          <w:p w14:paraId="6D32B7C6" w14:textId="77777777" w:rsidR="004609B6" w:rsidRDefault="004609B6">
            <w:pPr>
              <w:pStyle w:val="Tabletext9pt"/>
              <w:rPr>
                <w:szCs w:val="18"/>
              </w:rPr>
            </w:pPr>
            <w:r>
              <w:rPr>
                <w:szCs w:val="18"/>
              </w:rPr>
              <w:t>Paediatric lung/heart-lung transplantation</w:t>
            </w:r>
          </w:p>
        </w:tc>
        <w:tc>
          <w:tcPr>
            <w:tcW w:w="6" w:type="dxa"/>
            <w:tcBorders>
              <w:top w:val="single" w:sz="4" w:space="0" w:color="auto"/>
              <w:left w:val="single" w:sz="4" w:space="0" w:color="auto"/>
              <w:bottom w:val="single" w:sz="4" w:space="0" w:color="auto"/>
              <w:right w:val="single" w:sz="4" w:space="0" w:color="auto"/>
            </w:tcBorders>
            <w:hideMark/>
          </w:tcPr>
          <w:p w14:paraId="4DC1245C" w14:textId="77777777" w:rsidR="004609B6" w:rsidRDefault="004609B6">
            <w:pPr>
              <w:pStyle w:val="Tabletext9pt"/>
              <w:jc w:val="right"/>
              <w:rPr>
                <w:lang w:eastAsia="en-AU"/>
              </w:rPr>
            </w:pPr>
            <w:r>
              <w:rPr>
                <w:lang w:eastAsia="en-AU"/>
              </w:rPr>
              <w:t>312,175</w:t>
            </w:r>
          </w:p>
        </w:tc>
      </w:tr>
      <w:tr w:rsidR="004609B6" w14:paraId="085D6F36" w14:textId="77777777" w:rsidTr="004609B6">
        <w:tc>
          <w:tcPr>
            <w:tcW w:w="6" w:type="dxa"/>
            <w:tcBorders>
              <w:top w:val="single" w:sz="4" w:space="0" w:color="auto"/>
              <w:left w:val="single" w:sz="4" w:space="0" w:color="auto"/>
              <w:bottom w:val="single" w:sz="4" w:space="0" w:color="auto"/>
              <w:right w:val="single" w:sz="4" w:space="0" w:color="auto"/>
            </w:tcBorders>
            <w:noWrap/>
            <w:hideMark/>
          </w:tcPr>
          <w:p w14:paraId="6896D25B" w14:textId="77777777" w:rsidR="004609B6" w:rsidRDefault="004609B6">
            <w:pPr>
              <w:pStyle w:val="Tabletext9pt"/>
              <w:rPr>
                <w:szCs w:val="18"/>
              </w:rPr>
            </w:pPr>
            <w:r>
              <w:rPr>
                <w:szCs w:val="18"/>
              </w:rPr>
              <w:t>Pancreas transplantation</w:t>
            </w:r>
          </w:p>
        </w:tc>
        <w:tc>
          <w:tcPr>
            <w:tcW w:w="6" w:type="dxa"/>
            <w:tcBorders>
              <w:top w:val="single" w:sz="4" w:space="0" w:color="auto"/>
              <w:left w:val="single" w:sz="4" w:space="0" w:color="auto"/>
              <w:bottom w:val="single" w:sz="4" w:space="0" w:color="auto"/>
              <w:right w:val="single" w:sz="4" w:space="0" w:color="auto"/>
            </w:tcBorders>
            <w:hideMark/>
          </w:tcPr>
          <w:p w14:paraId="7D10CB8A" w14:textId="77777777" w:rsidR="004609B6" w:rsidRDefault="004609B6">
            <w:pPr>
              <w:pStyle w:val="Tabletext9pt"/>
              <w:jc w:val="right"/>
              <w:rPr>
                <w:lang w:eastAsia="en-AU"/>
              </w:rPr>
            </w:pPr>
            <w:r>
              <w:rPr>
                <w:lang w:eastAsia="en-AU"/>
              </w:rPr>
              <w:t>196,551</w:t>
            </w:r>
          </w:p>
        </w:tc>
      </w:tr>
    </w:tbl>
    <w:p w14:paraId="0E046147" w14:textId="53B156FD" w:rsidR="0F71FB16" w:rsidRDefault="0F71FB16"/>
    <w:p w14:paraId="3E417275" w14:textId="6E55AD84" w:rsidR="000B27B9" w:rsidRPr="00C70724" w:rsidRDefault="000B27B9" w:rsidP="009375E0">
      <w:pPr>
        <w:pStyle w:val="Heading3"/>
        <w:spacing w:before="240"/>
      </w:pPr>
      <w:bookmarkStart w:id="757" w:name="_Toc487742007"/>
      <w:bookmarkStart w:id="758" w:name="_Toc14172237"/>
      <w:bookmarkStart w:id="759" w:name="_Toc100263348"/>
      <w:bookmarkStart w:id="760" w:name="_Toc127191997"/>
      <w:bookmarkEnd w:id="755"/>
      <w:r w:rsidRPr="00C70724">
        <w:lastRenderedPageBreak/>
        <w:t xml:space="preserve">Mental </w:t>
      </w:r>
      <w:r w:rsidR="00331D5D">
        <w:t>H</w:t>
      </w:r>
      <w:r w:rsidRPr="00C70724">
        <w:t xml:space="preserve">ealth </w:t>
      </w:r>
      <w:r w:rsidR="00331D5D">
        <w:t>S</w:t>
      </w:r>
      <w:r w:rsidRPr="00C70724">
        <w:t>ervices</w:t>
      </w:r>
      <w:bookmarkEnd w:id="756"/>
      <w:bookmarkEnd w:id="757"/>
      <w:bookmarkEnd w:id="758"/>
      <w:bookmarkEnd w:id="759"/>
      <w:bookmarkEnd w:id="760"/>
    </w:p>
    <w:p w14:paraId="6FD0CCA4" w14:textId="0541A1BF" w:rsidR="000B27B9" w:rsidRPr="00710043" w:rsidRDefault="000B27B9" w:rsidP="003C01AD">
      <w:pPr>
        <w:pStyle w:val="Tablecaption"/>
        <w:numPr>
          <w:ilvl w:val="0"/>
          <w:numId w:val="40"/>
        </w:numPr>
      </w:pPr>
      <w:bookmarkStart w:id="761" w:name="_Toc14194736"/>
      <w:bookmarkStart w:id="762" w:name="_Ref14204260"/>
      <w:bookmarkStart w:id="763" w:name="_Toc54261393"/>
      <w:bookmarkStart w:id="764" w:name="_Toc54616267"/>
      <w:bookmarkStart w:id="765" w:name="_Toc109894107"/>
      <w:bookmarkStart w:id="766" w:name="_Toc119500888"/>
      <w:bookmarkStart w:id="767" w:name="_Toc419644512"/>
      <w:bookmarkStart w:id="768" w:name="_Toc487742070"/>
      <w:r w:rsidRPr="004B2BBB">
        <w:t xml:space="preserve">Mental health – funded units </w:t>
      </w:r>
      <w:r w:rsidRPr="00710043">
        <w:t xml:space="preserve">applicable to clinical bed-based services </w:t>
      </w:r>
      <w:r w:rsidR="005D1FCB" w:rsidRPr="00710043">
        <w:t>2022</w:t>
      </w:r>
      <w:r w:rsidR="00E423D4" w:rsidRPr="00710043">
        <w:rPr>
          <w:szCs w:val="21"/>
        </w:rPr>
        <w:t>–</w:t>
      </w:r>
      <w:r w:rsidR="005D1FCB" w:rsidRPr="004B2BBB">
        <w:t>23</w:t>
      </w:r>
      <w:r w:rsidR="00EA68DE" w:rsidRPr="004B2BBB">
        <w:t xml:space="preserve"> </w:t>
      </w:r>
      <w:r w:rsidRPr="00710043">
        <w:t>– a</w:t>
      </w:r>
      <w:r w:rsidRPr="00710043">
        <w:rPr>
          <w:lang w:eastAsia="en-AU"/>
        </w:rPr>
        <w:t>dmitted care</w:t>
      </w:r>
      <w:bookmarkEnd w:id="761"/>
      <w:bookmarkEnd w:id="762"/>
      <w:bookmarkEnd w:id="763"/>
      <w:bookmarkEnd w:id="764"/>
      <w:bookmarkEnd w:id="765"/>
      <w:bookmarkEnd w:id="766"/>
    </w:p>
    <w:tbl>
      <w:tblPr>
        <w:tblStyle w:val="TableGrid"/>
        <w:tblW w:w="0" w:type="auto"/>
        <w:tblLayout w:type="fixed"/>
        <w:tblLook w:val="06A0" w:firstRow="1" w:lastRow="0" w:firstColumn="1" w:lastColumn="0" w:noHBand="1" w:noVBand="1"/>
      </w:tblPr>
      <w:tblGrid>
        <w:gridCol w:w="4268"/>
        <w:gridCol w:w="2696"/>
        <w:gridCol w:w="2321"/>
      </w:tblGrid>
      <w:tr w:rsidR="004609B6" w14:paraId="6C52CE9C" w14:textId="77777777" w:rsidTr="004609B6">
        <w:trPr>
          <w:tblHeader/>
        </w:trPr>
        <w:tc>
          <w:tcPr>
            <w:tcW w:w="4268" w:type="dxa"/>
            <w:tcBorders>
              <w:top w:val="single" w:sz="8" w:space="0" w:color="auto"/>
              <w:left w:val="single" w:sz="8" w:space="0" w:color="auto"/>
              <w:bottom w:val="single" w:sz="8" w:space="0" w:color="auto"/>
              <w:right w:val="single" w:sz="8" w:space="0" w:color="auto"/>
            </w:tcBorders>
            <w:shd w:val="clear" w:color="auto" w:fill="201547"/>
            <w:hideMark/>
          </w:tcPr>
          <w:p w14:paraId="676BE9E5" w14:textId="77777777" w:rsidR="004609B6" w:rsidRDefault="004609B6">
            <w:pPr>
              <w:pStyle w:val="Tablecolhead9pt"/>
            </w:pPr>
            <w:bookmarkStart w:id="769" w:name="_Hlk12609501"/>
            <w:r>
              <w:rPr>
                <w:rFonts w:eastAsia="Arial"/>
              </w:rPr>
              <w:t>Service element</w:t>
            </w:r>
          </w:p>
        </w:tc>
        <w:tc>
          <w:tcPr>
            <w:tcW w:w="2696" w:type="dxa"/>
            <w:tcBorders>
              <w:top w:val="single" w:sz="8" w:space="0" w:color="auto"/>
              <w:left w:val="single" w:sz="8" w:space="0" w:color="auto"/>
              <w:bottom w:val="single" w:sz="8" w:space="0" w:color="auto"/>
              <w:right w:val="single" w:sz="8" w:space="0" w:color="auto"/>
            </w:tcBorders>
            <w:shd w:val="clear" w:color="auto" w:fill="201547"/>
            <w:hideMark/>
          </w:tcPr>
          <w:p w14:paraId="31F8D9FF" w14:textId="77777777" w:rsidR="004609B6" w:rsidRDefault="004609B6">
            <w:pPr>
              <w:pStyle w:val="Tablecolhead9pt"/>
            </w:pPr>
            <w:r>
              <w:rPr>
                <w:rFonts w:eastAsia="Arial"/>
              </w:rPr>
              <w:t>Funded unit</w:t>
            </w:r>
          </w:p>
        </w:tc>
        <w:tc>
          <w:tcPr>
            <w:tcW w:w="2321" w:type="dxa"/>
            <w:tcBorders>
              <w:top w:val="single" w:sz="8" w:space="0" w:color="auto"/>
              <w:left w:val="single" w:sz="8" w:space="0" w:color="auto"/>
              <w:bottom w:val="single" w:sz="8" w:space="0" w:color="auto"/>
              <w:right w:val="single" w:sz="8" w:space="0" w:color="auto"/>
            </w:tcBorders>
            <w:shd w:val="clear" w:color="auto" w:fill="201547"/>
            <w:hideMark/>
          </w:tcPr>
          <w:p w14:paraId="32CFE361" w14:textId="77777777" w:rsidR="004609B6" w:rsidRDefault="004609B6">
            <w:pPr>
              <w:pStyle w:val="Tablecolhead9pt"/>
              <w:jc w:val="right"/>
              <w:rPr>
                <w:rFonts w:eastAsia="Arial"/>
              </w:rPr>
            </w:pPr>
            <w:r>
              <w:rPr>
                <w:rFonts w:eastAsia="Arial"/>
              </w:rPr>
              <w:t>All health services ($)</w:t>
            </w:r>
          </w:p>
        </w:tc>
      </w:tr>
      <w:tr w:rsidR="004609B6" w14:paraId="0A5C1777" w14:textId="77777777" w:rsidTr="004609B6">
        <w:tc>
          <w:tcPr>
            <w:tcW w:w="4268" w:type="dxa"/>
            <w:tcBorders>
              <w:top w:val="single" w:sz="8" w:space="0" w:color="auto"/>
              <w:left w:val="single" w:sz="8" w:space="0" w:color="auto"/>
              <w:bottom w:val="single" w:sz="8" w:space="0" w:color="auto"/>
              <w:right w:val="single" w:sz="8" w:space="0" w:color="auto"/>
            </w:tcBorders>
            <w:hideMark/>
          </w:tcPr>
          <w:p w14:paraId="3FCD36BA" w14:textId="46CEA358" w:rsidR="004609B6" w:rsidRDefault="004609B6">
            <w:pPr>
              <w:pStyle w:val="Tabletext9pt"/>
            </w:pPr>
            <w:r>
              <w:rPr>
                <w:rFonts w:eastAsia="Arial"/>
              </w:rPr>
              <w:t>Acute care – child/adolescent, adult, aged</w:t>
            </w:r>
            <w:hyperlink r:id="rId86" w:anchor="_ftn1" w:history="1">
              <w:r>
                <w:rPr>
                  <w:rStyle w:val="Hyperlink"/>
                  <w:rFonts w:eastAsia="Arial"/>
                  <w:vertAlign w:val="superscript"/>
                </w:rPr>
                <w:t>[1]</w:t>
              </w:r>
            </w:hyperlink>
          </w:p>
        </w:tc>
        <w:tc>
          <w:tcPr>
            <w:tcW w:w="2696" w:type="dxa"/>
            <w:tcBorders>
              <w:top w:val="single" w:sz="8" w:space="0" w:color="auto"/>
              <w:left w:val="single" w:sz="8" w:space="0" w:color="auto"/>
              <w:bottom w:val="single" w:sz="8" w:space="0" w:color="auto"/>
              <w:right w:val="single" w:sz="8" w:space="0" w:color="auto"/>
            </w:tcBorders>
            <w:hideMark/>
          </w:tcPr>
          <w:p w14:paraId="3EB94161" w14:textId="77777777" w:rsidR="004609B6" w:rsidRDefault="004609B6">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640E0ED6" w14:textId="2A43D8C3" w:rsidR="004609B6" w:rsidRDefault="00796D1B">
            <w:pPr>
              <w:jc w:val="right"/>
              <w:rPr>
                <w:rFonts w:eastAsia="Arial" w:cs="Arial"/>
                <w:sz w:val="18"/>
                <w:szCs w:val="18"/>
              </w:rPr>
            </w:pPr>
            <w:r>
              <w:rPr>
                <w:rFonts w:eastAsia="Arial" w:cs="Arial"/>
                <w:sz w:val="18"/>
                <w:szCs w:val="18"/>
              </w:rPr>
              <w:t>883.06</w:t>
            </w:r>
          </w:p>
        </w:tc>
      </w:tr>
      <w:tr w:rsidR="004609B6" w14:paraId="1EAA3417" w14:textId="77777777" w:rsidTr="004609B6">
        <w:tc>
          <w:tcPr>
            <w:tcW w:w="4268" w:type="dxa"/>
            <w:tcBorders>
              <w:top w:val="single" w:sz="8" w:space="0" w:color="auto"/>
              <w:left w:val="single" w:sz="8" w:space="0" w:color="auto"/>
              <w:bottom w:val="single" w:sz="8" w:space="0" w:color="auto"/>
              <w:right w:val="single" w:sz="8" w:space="0" w:color="auto"/>
            </w:tcBorders>
            <w:hideMark/>
          </w:tcPr>
          <w:p w14:paraId="09FCDD0B" w14:textId="77777777" w:rsidR="004609B6" w:rsidRDefault="004609B6">
            <w:pPr>
              <w:pStyle w:val="Tabletext9pt"/>
            </w:pPr>
            <w:r>
              <w:rPr>
                <w:rFonts w:eastAsia="Arial"/>
              </w:rPr>
              <w:t>Acute care specialist5</w:t>
            </w:r>
          </w:p>
        </w:tc>
        <w:tc>
          <w:tcPr>
            <w:tcW w:w="2696" w:type="dxa"/>
            <w:tcBorders>
              <w:top w:val="single" w:sz="8" w:space="0" w:color="auto"/>
              <w:left w:val="single" w:sz="8" w:space="0" w:color="auto"/>
              <w:bottom w:val="single" w:sz="8" w:space="0" w:color="auto"/>
              <w:right w:val="single" w:sz="8" w:space="0" w:color="auto"/>
            </w:tcBorders>
            <w:hideMark/>
          </w:tcPr>
          <w:p w14:paraId="44B893F0" w14:textId="77777777" w:rsidR="004609B6" w:rsidRDefault="004609B6">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781026B7" w14:textId="07DF7CE5" w:rsidR="004609B6" w:rsidRDefault="004609B6">
            <w:pPr>
              <w:jc w:val="right"/>
              <w:rPr>
                <w:rFonts w:eastAsia="Arial" w:cs="Arial"/>
                <w:sz w:val="18"/>
                <w:szCs w:val="18"/>
              </w:rPr>
            </w:pPr>
            <w:r>
              <w:rPr>
                <w:rFonts w:eastAsia="Arial" w:cs="Arial"/>
                <w:sz w:val="18"/>
                <w:szCs w:val="18"/>
              </w:rPr>
              <w:t>8</w:t>
            </w:r>
            <w:r w:rsidR="00796D1B">
              <w:rPr>
                <w:rFonts w:eastAsia="Arial" w:cs="Arial"/>
                <w:sz w:val="18"/>
                <w:szCs w:val="18"/>
              </w:rPr>
              <w:t>83.06</w:t>
            </w:r>
          </w:p>
        </w:tc>
      </w:tr>
      <w:tr w:rsidR="004609B6" w14:paraId="784CFF4D" w14:textId="77777777" w:rsidTr="004609B6">
        <w:tc>
          <w:tcPr>
            <w:tcW w:w="4268" w:type="dxa"/>
            <w:tcBorders>
              <w:top w:val="single" w:sz="8" w:space="0" w:color="auto"/>
              <w:left w:val="single" w:sz="8" w:space="0" w:color="auto"/>
              <w:bottom w:val="single" w:sz="8" w:space="0" w:color="auto"/>
              <w:right w:val="single" w:sz="8" w:space="0" w:color="auto"/>
            </w:tcBorders>
            <w:hideMark/>
          </w:tcPr>
          <w:p w14:paraId="029D28B5" w14:textId="77777777" w:rsidR="004609B6" w:rsidRDefault="004609B6">
            <w:pPr>
              <w:pStyle w:val="Tabletext9pt"/>
            </w:pPr>
            <w:r>
              <w:rPr>
                <w:rFonts w:eastAsia="Arial"/>
              </w:rPr>
              <w:t>Extended care – adult</w:t>
            </w:r>
          </w:p>
        </w:tc>
        <w:tc>
          <w:tcPr>
            <w:tcW w:w="2696" w:type="dxa"/>
            <w:tcBorders>
              <w:top w:val="single" w:sz="8" w:space="0" w:color="auto"/>
              <w:left w:val="single" w:sz="8" w:space="0" w:color="auto"/>
              <w:bottom w:val="single" w:sz="8" w:space="0" w:color="auto"/>
              <w:right w:val="single" w:sz="8" w:space="0" w:color="auto"/>
            </w:tcBorders>
            <w:hideMark/>
          </w:tcPr>
          <w:p w14:paraId="622F4CC4" w14:textId="77777777" w:rsidR="004609B6" w:rsidRDefault="004609B6">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4BA0F111" w14:textId="3937EBB9" w:rsidR="004609B6" w:rsidRDefault="00704A67">
            <w:pPr>
              <w:jc w:val="right"/>
              <w:rPr>
                <w:rFonts w:eastAsia="Arial" w:cs="Arial"/>
                <w:sz w:val="18"/>
                <w:szCs w:val="18"/>
              </w:rPr>
            </w:pPr>
            <w:r>
              <w:rPr>
                <w:rFonts w:eastAsia="Arial" w:cs="Arial"/>
                <w:sz w:val="18"/>
                <w:szCs w:val="18"/>
              </w:rPr>
              <w:t>611.75</w:t>
            </w:r>
          </w:p>
        </w:tc>
      </w:tr>
      <w:tr w:rsidR="004609B6" w14:paraId="2B041D43" w14:textId="77777777" w:rsidTr="004609B6">
        <w:tc>
          <w:tcPr>
            <w:tcW w:w="4268" w:type="dxa"/>
            <w:tcBorders>
              <w:top w:val="single" w:sz="8" w:space="0" w:color="auto"/>
              <w:left w:val="single" w:sz="8" w:space="0" w:color="auto"/>
              <w:bottom w:val="single" w:sz="8" w:space="0" w:color="auto"/>
              <w:right w:val="single" w:sz="8" w:space="0" w:color="auto"/>
            </w:tcBorders>
            <w:hideMark/>
          </w:tcPr>
          <w:p w14:paraId="3CEB1CEB" w14:textId="77777777" w:rsidR="004609B6" w:rsidRDefault="004609B6">
            <w:pPr>
              <w:pStyle w:val="Tabletext9pt"/>
            </w:pPr>
            <w:r>
              <w:rPr>
                <w:rFonts w:eastAsia="Arial"/>
              </w:rPr>
              <w:t>Transition support unit</w:t>
            </w:r>
          </w:p>
        </w:tc>
        <w:tc>
          <w:tcPr>
            <w:tcW w:w="2696" w:type="dxa"/>
            <w:tcBorders>
              <w:top w:val="single" w:sz="8" w:space="0" w:color="auto"/>
              <w:left w:val="single" w:sz="8" w:space="0" w:color="auto"/>
              <w:bottom w:val="single" w:sz="8" w:space="0" w:color="auto"/>
              <w:right w:val="single" w:sz="8" w:space="0" w:color="auto"/>
            </w:tcBorders>
            <w:hideMark/>
          </w:tcPr>
          <w:p w14:paraId="22C1253C" w14:textId="77777777" w:rsidR="004609B6" w:rsidRDefault="004609B6">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66BE3BAC" w14:textId="315AD8F3" w:rsidR="004609B6" w:rsidRDefault="00704A67">
            <w:pPr>
              <w:jc w:val="right"/>
              <w:rPr>
                <w:rFonts w:eastAsia="Arial" w:cs="Arial"/>
                <w:sz w:val="18"/>
                <w:szCs w:val="18"/>
              </w:rPr>
            </w:pPr>
            <w:r>
              <w:rPr>
                <w:rFonts w:eastAsia="Arial" w:cs="Arial"/>
                <w:sz w:val="18"/>
                <w:szCs w:val="18"/>
              </w:rPr>
              <w:t>611.75</w:t>
            </w:r>
          </w:p>
        </w:tc>
      </w:tr>
    </w:tbl>
    <w:p w14:paraId="5654C05E" w14:textId="005D2F81" w:rsidR="0F71FB16" w:rsidRDefault="00D36400">
      <w:hyperlink r:id="rId87" w:anchor="_ftnref1" w:history="1">
        <w:r w:rsidR="2012C161" w:rsidRPr="139BB5A8">
          <w:rPr>
            <w:rStyle w:val="Hyperlink"/>
            <w:rFonts w:eastAsia="Arial" w:cs="Arial"/>
            <w:sz w:val="18"/>
            <w:szCs w:val="18"/>
            <w:vertAlign w:val="superscript"/>
          </w:rPr>
          <w:t>[1]</w:t>
        </w:r>
      </w:hyperlink>
      <w:r w:rsidR="2012C161" w:rsidRPr="139BB5A8">
        <w:rPr>
          <w:rFonts w:eastAsia="Arial" w:cs="Arial"/>
          <w:sz w:val="18"/>
          <w:szCs w:val="18"/>
        </w:rPr>
        <w:t xml:space="preserve"> </w:t>
      </w:r>
      <w:r w:rsidR="2012C161" w:rsidRPr="139BB5A8">
        <w:rPr>
          <w:rFonts w:eastAsia="Arial" w:cs="Arial"/>
          <w:sz w:val="16"/>
          <w:szCs w:val="16"/>
        </w:rPr>
        <w:t>Supplement grant provided to support the acute care unit price.</w:t>
      </w:r>
    </w:p>
    <w:p w14:paraId="2A0B0E49" w14:textId="4344B8BC" w:rsidR="000B27B9" w:rsidRPr="00710043" w:rsidRDefault="000B27B9" w:rsidP="003C01AD">
      <w:pPr>
        <w:pStyle w:val="Tablecaption"/>
        <w:numPr>
          <w:ilvl w:val="0"/>
          <w:numId w:val="40"/>
        </w:numPr>
      </w:pPr>
      <w:bookmarkStart w:id="770" w:name="_Toc110944652"/>
      <w:bookmarkStart w:id="771" w:name="_Toc14194737"/>
      <w:bookmarkStart w:id="772" w:name="_Toc54261394"/>
      <w:bookmarkStart w:id="773" w:name="_Toc54616268"/>
      <w:bookmarkStart w:id="774" w:name="_Toc109894108"/>
      <w:bookmarkStart w:id="775" w:name="_Toc119500889"/>
      <w:bookmarkEnd w:id="770"/>
      <w:r w:rsidRPr="004B2BBB">
        <w:t xml:space="preserve">Mental health – funded units </w:t>
      </w:r>
      <w:r w:rsidRPr="00710043">
        <w:t xml:space="preserve">applicable to clinical bed-based services </w:t>
      </w:r>
      <w:r w:rsidR="005D1FCB" w:rsidRPr="00710043">
        <w:t>2022</w:t>
      </w:r>
      <w:r w:rsidR="00E423D4" w:rsidRPr="00710043">
        <w:rPr>
          <w:szCs w:val="21"/>
        </w:rPr>
        <w:t>–</w:t>
      </w:r>
      <w:r w:rsidR="005D1FCB" w:rsidRPr="004B2BBB">
        <w:t>23</w:t>
      </w:r>
      <w:r w:rsidR="00E423D4" w:rsidRPr="00710043">
        <w:rPr>
          <w:szCs w:val="21"/>
        </w:rPr>
        <w:t xml:space="preserve"> </w:t>
      </w:r>
      <w:r w:rsidRPr="00710043">
        <w:t>– n</w:t>
      </w:r>
      <w:r w:rsidRPr="00710043">
        <w:rPr>
          <w:lang w:eastAsia="en-AU"/>
        </w:rPr>
        <w:t>on-admitted care</w:t>
      </w:r>
      <w:bookmarkEnd w:id="771"/>
      <w:bookmarkEnd w:id="772"/>
      <w:bookmarkEnd w:id="773"/>
      <w:bookmarkEnd w:id="774"/>
      <w:bookmarkEnd w:id="775"/>
    </w:p>
    <w:tbl>
      <w:tblPr>
        <w:tblStyle w:val="TableGrid"/>
        <w:tblW w:w="9285" w:type="dxa"/>
        <w:tblLayout w:type="fixed"/>
        <w:tblLook w:val="06A0" w:firstRow="1" w:lastRow="0" w:firstColumn="1" w:lastColumn="0" w:noHBand="1" w:noVBand="1"/>
      </w:tblPr>
      <w:tblGrid>
        <w:gridCol w:w="4268"/>
        <w:gridCol w:w="2696"/>
        <w:gridCol w:w="2321"/>
      </w:tblGrid>
      <w:tr w:rsidR="001F628C" w14:paraId="6193F641" w14:textId="77777777" w:rsidTr="001F628C">
        <w:tc>
          <w:tcPr>
            <w:tcW w:w="4268" w:type="dxa"/>
            <w:tcBorders>
              <w:top w:val="single" w:sz="8" w:space="0" w:color="auto"/>
              <w:left w:val="single" w:sz="8" w:space="0" w:color="auto"/>
              <w:bottom w:val="single" w:sz="8" w:space="0" w:color="auto"/>
              <w:right w:val="single" w:sz="8" w:space="0" w:color="auto"/>
            </w:tcBorders>
            <w:shd w:val="clear" w:color="auto" w:fill="201547"/>
            <w:hideMark/>
          </w:tcPr>
          <w:p w14:paraId="2BC9DF9D" w14:textId="77777777" w:rsidR="001F628C" w:rsidRDefault="001F628C">
            <w:pPr>
              <w:pStyle w:val="Tablecolhead9pt"/>
            </w:pPr>
            <w:r>
              <w:rPr>
                <w:rFonts w:eastAsia="Arial"/>
              </w:rPr>
              <w:t>Service element</w:t>
            </w:r>
          </w:p>
        </w:tc>
        <w:tc>
          <w:tcPr>
            <w:tcW w:w="2696" w:type="dxa"/>
            <w:tcBorders>
              <w:top w:val="single" w:sz="8" w:space="0" w:color="auto"/>
              <w:left w:val="single" w:sz="8" w:space="0" w:color="auto"/>
              <w:bottom w:val="single" w:sz="8" w:space="0" w:color="auto"/>
              <w:right w:val="single" w:sz="8" w:space="0" w:color="auto"/>
            </w:tcBorders>
            <w:shd w:val="clear" w:color="auto" w:fill="201547"/>
            <w:hideMark/>
          </w:tcPr>
          <w:p w14:paraId="7A94441A" w14:textId="77777777" w:rsidR="001F628C" w:rsidRDefault="001F628C">
            <w:pPr>
              <w:pStyle w:val="Tablecolhead9pt"/>
            </w:pPr>
            <w:r>
              <w:rPr>
                <w:rFonts w:eastAsia="Arial"/>
              </w:rPr>
              <w:t>Funded unit</w:t>
            </w:r>
          </w:p>
        </w:tc>
        <w:tc>
          <w:tcPr>
            <w:tcW w:w="2321" w:type="dxa"/>
            <w:tcBorders>
              <w:top w:val="single" w:sz="8" w:space="0" w:color="auto"/>
              <w:left w:val="single" w:sz="8" w:space="0" w:color="auto"/>
              <w:bottom w:val="single" w:sz="8" w:space="0" w:color="auto"/>
              <w:right w:val="single" w:sz="8" w:space="0" w:color="auto"/>
            </w:tcBorders>
            <w:shd w:val="clear" w:color="auto" w:fill="201547"/>
            <w:hideMark/>
          </w:tcPr>
          <w:p w14:paraId="250590E2" w14:textId="77777777" w:rsidR="001F628C" w:rsidRDefault="001F628C">
            <w:pPr>
              <w:pStyle w:val="Tablecolhead9pt"/>
              <w:jc w:val="right"/>
              <w:rPr>
                <w:rFonts w:eastAsia="Arial"/>
              </w:rPr>
            </w:pPr>
            <w:r>
              <w:rPr>
                <w:rFonts w:eastAsia="Arial"/>
              </w:rPr>
              <w:t>All health services ($)</w:t>
            </w:r>
          </w:p>
        </w:tc>
      </w:tr>
      <w:tr w:rsidR="001F628C" w14:paraId="4BBA365E" w14:textId="77777777" w:rsidTr="001F628C">
        <w:tc>
          <w:tcPr>
            <w:tcW w:w="4268" w:type="dxa"/>
            <w:tcBorders>
              <w:top w:val="single" w:sz="8" w:space="0" w:color="auto"/>
              <w:left w:val="single" w:sz="8" w:space="0" w:color="auto"/>
              <w:bottom w:val="single" w:sz="8" w:space="0" w:color="auto"/>
              <w:right w:val="single" w:sz="8" w:space="0" w:color="auto"/>
            </w:tcBorders>
            <w:hideMark/>
          </w:tcPr>
          <w:p w14:paraId="045B18BF" w14:textId="77777777" w:rsidR="001F628C" w:rsidRDefault="001F628C">
            <w:pPr>
              <w:pStyle w:val="Tabletext9pt"/>
            </w:pPr>
            <w:r>
              <w:rPr>
                <w:rFonts w:eastAsia="Arial"/>
              </w:rPr>
              <w:t>Community care unit</w:t>
            </w:r>
          </w:p>
        </w:tc>
        <w:tc>
          <w:tcPr>
            <w:tcW w:w="2696" w:type="dxa"/>
            <w:tcBorders>
              <w:top w:val="single" w:sz="8" w:space="0" w:color="auto"/>
              <w:left w:val="single" w:sz="8" w:space="0" w:color="auto"/>
              <w:bottom w:val="single" w:sz="8" w:space="0" w:color="auto"/>
              <w:right w:val="single" w:sz="8" w:space="0" w:color="auto"/>
            </w:tcBorders>
            <w:hideMark/>
          </w:tcPr>
          <w:p w14:paraId="35D117E7" w14:textId="77777777" w:rsidR="001F628C" w:rsidRDefault="001F628C">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318EBB75" w14:textId="77777777" w:rsidR="001F628C" w:rsidRDefault="001F628C">
            <w:pPr>
              <w:jc w:val="right"/>
              <w:rPr>
                <w:rFonts w:eastAsia="Arial" w:cs="Arial"/>
                <w:sz w:val="18"/>
                <w:szCs w:val="18"/>
              </w:rPr>
            </w:pPr>
            <w:r>
              <w:rPr>
                <w:rFonts w:eastAsia="Arial" w:cs="Arial"/>
                <w:sz w:val="18"/>
                <w:szCs w:val="18"/>
              </w:rPr>
              <w:t>4</w:t>
            </w:r>
            <w:r w:rsidR="00421C45">
              <w:rPr>
                <w:rFonts w:eastAsia="Arial" w:cs="Arial"/>
                <w:sz w:val="18"/>
                <w:szCs w:val="18"/>
              </w:rPr>
              <w:t>21.80</w:t>
            </w:r>
          </w:p>
        </w:tc>
      </w:tr>
      <w:tr w:rsidR="001F628C" w14:paraId="2EFC42B4" w14:textId="77777777" w:rsidTr="001F628C">
        <w:tc>
          <w:tcPr>
            <w:tcW w:w="4268" w:type="dxa"/>
            <w:tcBorders>
              <w:top w:val="single" w:sz="8" w:space="0" w:color="auto"/>
              <w:left w:val="single" w:sz="8" w:space="0" w:color="auto"/>
              <w:bottom w:val="single" w:sz="8" w:space="0" w:color="auto"/>
              <w:right w:val="single" w:sz="8" w:space="0" w:color="auto"/>
            </w:tcBorders>
            <w:hideMark/>
          </w:tcPr>
          <w:p w14:paraId="41C49D33" w14:textId="77777777" w:rsidR="001F628C" w:rsidRDefault="001F628C">
            <w:pPr>
              <w:pStyle w:val="Tabletext9pt"/>
            </w:pPr>
            <w:r>
              <w:rPr>
                <w:rFonts w:eastAsia="Arial"/>
              </w:rPr>
              <w:t>Adult PARC</w:t>
            </w:r>
          </w:p>
        </w:tc>
        <w:tc>
          <w:tcPr>
            <w:tcW w:w="2696" w:type="dxa"/>
            <w:tcBorders>
              <w:top w:val="single" w:sz="8" w:space="0" w:color="auto"/>
              <w:left w:val="single" w:sz="8" w:space="0" w:color="auto"/>
              <w:bottom w:val="single" w:sz="8" w:space="0" w:color="auto"/>
              <w:right w:val="single" w:sz="8" w:space="0" w:color="auto"/>
            </w:tcBorders>
            <w:hideMark/>
          </w:tcPr>
          <w:p w14:paraId="2ECF7A55" w14:textId="77777777" w:rsidR="001F628C" w:rsidRDefault="001F628C">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6894C952" w14:textId="77777777" w:rsidR="001F628C" w:rsidRDefault="001F628C">
            <w:pPr>
              <w:jc w:val="right"/>
              <w:rPr>
                <w:rFonts w:eastAsia="Arial" w:cs="Arial"/>
                <w:sz w:val="18"/>
                <w:szCs w:val="18"/>
              </w:rPr>
            </w:pPr>
            <w:r>
              <w:rPr>
                <w:rFonts w:eastAsia="Arial" w:cs="Arial"/>
                <w:sz w:val="18"/>
                <w:szCs w:val="18"/>
              </w:rPr>
              <w:t>5</w:t>
            </w:r>
            <w:r w:rsidR="00A17847">
              <w:rPr>
                <w:rFonts w:eastAsia="Arial" w:cs="Arial"/>
                <w:sz w:val="18"/>
                <w:szCs w:val="18"/>
              </w:rPr>
              <w:t>55.48</w:t>
            </w:r>
          </w:p>
        </w:tc>
      </w:tr>
      <w:tr w:rsidR="001F628C" w14:paraId="6FCF058C" w14:textId="77777777" w:rsidTr="001F628C">
        <w:tc>
          <w:tcPr>
            <w:tcW w:w="4268" w:type="dxa"/>
            <w:tcBorders>
              <w:top w:val="single" w:sz="8" w:space="0" w:color="auto"/>
              <w:left w:val="single" w:sz="8" w:space="0" w:color="auto"/>
              <w:bottom w:val="single" w:sz="8" w:space="0" w:color="auto"/>
              <w:right w:val="single" w:sz="8" w:space="0" w:color="auto"/>
            </w:tcBorders>
            <w:hideMark/>
          </w:tcPr>
          <w:p w14:paraId="1E97CD28" w14:textId="77777777" w:rsidR="001F628C" w:rsidRDefault="001F628C">
            <w:pPr>
              <w:pStyle w:val="Tabletext9pt"/>
            </w:pPr>
            <w:r>
              <w:rPr>
                <w:rFonts w:eastAsia="Arial"/>
              </w:rPr>
              <w:t>Youth PARC</w:t>
            </w:r>
          </w:p>
        </w:tc>
        <w:tc>
          <w:tcPr>
            <w:tcW w:w="2696" w:type="dxa"/>
            <w:tcBorders>
              <w:top w:val="single" w:sz="8" w:space="0" w:color="auto"/>
              <w:left w:val="single" w:sz="8" w:space="0" w:color="auto"/>
              <w:bottom w:val="single" w:sz="8" w:space="0" w:color="auto"/>
              <w:right w:val="single" w:sz="8" w:space="0" w:color="auto"/>
            </w:tcBorders>
            <w:hideMark/>
          </w:tcPr>
          <w:p w14:paraId="40A6423C" w14:textId="77777777" w:rsidR="001F628C" w:rsidRDefault="001F628C">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4547D54F" w14:textId="77777777" w:rsidR="001F628C" w:rsidRDefault="001F628C">
            <w:pPr>
              <w:jc w:val="right"/>
              <w:rPr>
                <w:rFonts w:eastAsia="Arial" w:cs="Arial"/>
                <w:sz w:val="18"/>
                <w:szCs w:val="18"/>
              </w:rPr>
            </w:pPr>
            <w:r>
              <w:rPr>
                <w:rFonts w:eastAsia="Arial" w:cs="Arial"/>
                <w:sz w:val="18"/>
                <w:szCs w:val="18"/>
              </w:rPr>
              <w:t>6</w:t>
            </w:r>
            <w:r w:rsidR="00A1442A">
              <w:rPr>
                <w:rFonts w:eastAsia="Arial" w:cs="Arial"/>
                <w:sz w:val="18"/>
                <w:szCs w:val="18"/>
              </w:rPr>
              <w:t>62.63</w:t>
            </w:r>
          </w:p>
        </w:tc>
      </w:tr>
      <w:tr w:rsidR="001F628C" w14:paraId="56B93EF9" w14:textId="77777777" w:rsidTr="001F628C">
        <w:tc>
          <w:tcPr>
            <w:tcW w:w="4268" w:type="dxa"/>
            <w:tcBorders>
              <w:top w:val="single" w:sz="8" w:space="0" w:color="auto"/>
              <w:left w:val="single" w:sz="8" w:space="0" w:color="auto"/>
              <w:bottom w:val="single" w:sz="8" w:space="0" w:color="auto"/>
              <w:right w:val="single" w:sz="8" w:space="0" w:color="auto"/>
            </w:tcBorders>
            <w:hideMark/>
          </w:tcPr>
          <w:p w14:paraId="7414C17E" w14:textId="77777777" w:rsidR="001F628C" w:rsidRDefault="001F628C">
            <w:pPr>
              <w:pStyle w:val="Tabletext9pt"/>
            </w:pPr>
            <w:r>
              <w:rPr>
                <w:rFonts w:eastAsia="Arial"/>
              </w:rPr>
              <w:t>Aged persons nursing home supplement</w:t>
            </w:r>
          </w:p>
        </w:tc>
        <w:tc>
          <w:tcPr>
            <w:tcW w:w="2696" w:type="dxa"/>
            <w:tcBorders>
              <w:top w:val="single" w:sz="8" w:space="0" w:color="auto"/>
              <w:left w:val="single" w:sz="8" w:space="0" w:color="auto"/>
              <w:bottom w:val="single" w:sz="8" w:space="0" w:color="auto"/>
              <w:right w:val="single" w:sz="8" w:space="0" w:color="auto"/>
            </w:tcBorders>
            <w:hideMark/>
          </w:tcPr>
          <w:p w14:paraId="5B5005DE" w14:textId="77777777" w:rsidR="001F628C" w:rsidRDefault="001F628C">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27FE02AC" w14:textId="77777777" w:rsidR="001F628C" w:rsidRDefault="001F628C">
            <w:pPr>
              <w:jc w:val="right"/>
              <w:rPr>
                <w:rFonts w:eastAsia="Arial" w:cs="Arial"/>
                <w:sz w:val="18"/>
                <w:szCs w:val="18"/>
              </w:rPr>
            </w:pPr>
            <w:r>
              <w:rPr>
                <w:rFonts w:eastAsia="Arial" w:cs="Arial"/>
                <w:sz w:val="18"/>
                <w:szCs w:val="18"/>
              </w:rPr>
              <w:t>10</w:t>
            </w:r>
            <w:r w:rsidR="00A1442A">
              <w:rPr>
                <w:rFonts w:eastAsia="Arial" w:cs="Arial"/>
                <w:sz w:val="18"/>
                <w:szCs w:val="18"/>
              </w:rPr>
              <w:t>8.</w:t>
            </w:r>
            <w:r w:rsidR="00582DB3">
              <w:rPr>
                <w:rFonts w:eastAsia="Arial" w:cs="Arial"/>
                <w:sz w:val="18"/>
                <w:szCs w:val="18"/>
              </w:rPr>
              <w:t>21</w:t>
            </w:r>
          </w:p>
        </w:tc>
      </w:tr>
      <w:tr w:rsidR="001F628C" w14:paraId="498B5FC7" w14:textId="77777777" w:rsidTr="001F628C">
        <w:tc>
          <w:tcPr>
            <w:tcW w:w="4268" w:type="dxa"/>
            <w:tcBorders>
              <w:top w:val="single" w:sz="8" w:space="0" w:color="auto"/>
              <w:left w:val="single" w:sz="8" w:space="0" w:color="auto"/>
              <w:bottom w:val="single" w:sz="8" w:space="0" w:color="auto"/>
              <w:right w:val="single" w:sz="8" w:space="0" w:color="auto"/>
            </w:tcBorders>
            <w:hideMark/>
          </w:tcPr>
          <w:p w14:paraId="1BB1C308" w14:textId="77777777" w:rsidR="001F628C" w:rsidRDefault="001F628C">
            <w:pPr>
              <w:pStyle w:val="Tabletext9pt"/>
            </w:pPr>
            <w:r>
              <w:rPr>
                <w:rFonts w:eastAsia="Arial"/>
              </w:rPr>
              <w:t>Aged persons hostel supplement</w:t>
            </w:r>
          </w:p>
        </w:tc>
        <w:tc>
          <w:tcPr>
            <w:tcW w:w="2696" w:type="dxa"/>
            <w:tcBorders>
              <w:top w:val="single" w:sz="8" w:space="0" w:color="auto"/>
              <w:left w:val="single" w:sz="8" w:space="0" w:color="auto"/>
              <w:bottom w:val="single" w:sz="8" w:space="0" w:color="auto"/>
              <w:right w:val="single" w:sz="8" w:space="0" w:color="auto"/>
            </w:tcBorders>
            <w:hideMark/>
          </w:tcPr>
          <w:p w14:paraId="0D93C4F4" w14:textId="77777777" w:rsidR="001F628C" w:rsidRDefault="001F628C">
            <w:pPr>
              <w:pStyle w:val="Tabletext9pt"/>
            </w:pPr>
            <w:r>
              <w:rPr>
                <w:rFonts w:eastAsia="Arial"/>
              </w:rPr>
              <w:t>Available bed day</w:t>
            </w:r>
          </w:p>
        </w:tc>
        <w:tc>
          <w:tcPr>
            <w:tcW w:w="2321" w:type="dxa"/>
            <w:tcBorders>
              <w:top w:val="single" w:sz="8" w:space="0" w:color="auto"/>
              <w:left w:val="single" w:sz="8" w:space="0" w:color="auto"/>
              <w:bottom w:val="single" w:sz="8" w:space="0" w:color="auto"/>
              <w:right w:val="single" w:sz="8" w:space="0" w:color="auto"/>
            </w:tcBorders>
            <w:hideMark/>
          </w:tcPr>
          <w:p w14:paraId="78F77D35" w14:textId="77777777" w:rsidR="001F628C" w:rsidRDefault="001F628C">
            <w:pPr>
              <w:jc w:val="right"/>
              <w:rPr>
                <w:rFonts w:eastAsia="Arial" w:cs="Arial"/>
                <w:sz w:val="18"/>
                <w:szCs w:val="18"/>
              </w:rPr>
            </w:pPr>
            <w:r>
              <w:rPr>
                <w:rFonts w:eastAsia="Arial" w:cs="Arial"/>
                <w:sz w:val="18"/>
                <w:szCs w:val="18"/>
              </w:rPr>
              <w:t>9</w:t>
            </w:r>
            <w:r w:rsidR="00582DB3">
              <w:rPr>
                <w:rFonts w:eastAsia="Arial" w:cs="Arial"/>
                <w:sz w:val="18"/>
                <w:szCs w:val="18"/>
              </w:rPr>
              <w:t>6.08</w:t>
            </w:r>
          </w:p>
        </w:tc>
      </w:tr>
    </w:tbl>
    <w:p w14:paraId="51DF11B7" w14:textId="77777777" w:rsidR="000B27B9" w:rsidRPr="00251766" w:rsidRDefault="000B27B9" w:rsidP="003C01AD">
      <w:pPr>
        <w:pStyle w:val="Tablecaption"/>
        <w:numPr>
          <w:ilvl w:val="0"/>
          <w:numId w:val="40"/>
        </w:numPr>
      </w:pPr>
      <w:bookmarkStart w:id="776" w:name="_Toc109894109"/>
      <w:bookmarkStart w:id="777" w:name="_Toc119500890"/>
      <w:r w:rsidRPr="00251766">
        <w:t xml:space="preserve">Mental health – funded units applicable to clinical bed-based services </w:t>
      </w:r>
      <w:r w:rsidR="005D1FCB" w:rsidRPr="00251766">
        <w:rPr>
          <w:szCs w:val="21"/>
        </w:rPr>
        <w:t>2022-23</w:t>
      </w:r>
      <w:r w:rsidR="00EA68DE" w:rsidRPr="00251766">
        <w:t xml:space="preserve"> </w:t>
      </w:r>
      <w:r w:rsidRPr="00251766">
        <w:t>– c</w:t>
      </w:r>
      <w:r w:rsidRPr="00251766">
        <w:rPr>
          <w:lang w:eastAsia="en-AU"/>
        </w:rPr>
        <w:t xml:space="preserve">linical </w:t>
      </w:r>
      <w:r w:rsidRPr="00251766">
        <w:t>community</w:t>
      </w:r>
      <w:r w:rsidRPr="00251766">
        <w:rPr>
          <w:lang w:eastAsia="en-AU"/>
        </w:rPr>
        <w:t xml:space="preserve"> care</w:t>
      </w:r>
      <w:bookmarkEnd w:id="776"/>
      <w:bookmarkEnd w:id="777"/>
    </w:p>
    <w:tbl>
      <w:tblPr>
        <w:tblStyle w:val="TableGrid"/>
        <w:tblW w:w="9295" w:type="dxa"/>
        <w:tblInd w:w="-10" w:type="dxa"/>
        <w:tblLayout w:type="fixed"/>
        <w:tblLook w:val="06A0" w:firstRow="1" w:lastRow="0" w:firstColumn="1" w:lastColumn="0" w:noHBand="1" w:noVBand="1"/>
      </w:tblPr>
      <w:tblGrid>
        <w:gridCol w:w="4278"/>
        <w:gridCol w:w="2696"/>
        <w:gridCol w:w="2321"/>
      </w:tblGrid>
      <w:tr w:rsidR="00AE6427" w14:paraId="22AB29BB" w14:textId="77777777" w:rsidTr="00B93455">
        <w:trPr>
          <w:tblHeader/>
        </w:trPr>
        <w:tc>
          <w:tcPr>
            <w:tcW w:w="4278" w:type="dxa"/>
            <w:tcBorders>
              <w:top w:val="single" w:sz="8" w:space="0" w:color="auto"/>
              <w:left w:val="single" w:sz="8" w:space="0" w:color="auto"/>
              <w:bottom w:val="single" w:sz="8" w:space="0" w:color="auto"/>
              <w:right w:val="single" w:sz="8" w:space="0" w:color="auto"/>
            </w:tcBorders>
            <w:shd w:val="clear" w:color="auto" w:fill="201547"/>
            <w:hideMark/>
          </w:tcPr>
          <w:p w14:paraId="58484458" w14:textId="77777777" w:rsidR="001F628C" w:rsidRDefault="001F628C">
            <w:pPr>
              <w:pStyle w:val="Tablecolhead9pt"/>
            </w:pPr>
            <w:r>
              <w:rPr>
                <w:rFonts w:eastAsia="Arial"/>
              </w:rPr>
              <w:t>Service element</w:t>
            </w:r>
          </w:p>
        </w:tc>
        <w:tc>
          <w:tcPr>
            <w:tcW w:w="2696" w:type="dxa"/>
            <w:tcBorders>
              <w:top w:val="single" w:sz="8" w:space="0" w:color="auto"/>
              <w:left w:val="single" w:sz="8" w:space="0" w:color="auto"/>
              <w:bottom w:val="single" w:sz="8" w:space="0" w:color="auto"/>
              <w:right w:val="single" w:sz="8" w:space="0" w:color="auto"/>
            </w:tcBorders>
            <w:shd w:val="clear" w:color="auto" w:fill="201547"/>
            <w:hideMark/>
          </w:tcPr>
          <w:p w14:paraId="6772BD95" w14:textId="77777777" w:rsidR="001F628C" w:rsidRDefault="001F628C">
            <w:pPr>
              <w:pStyle w:val="Tablecolhead9pt"/>
            </w:pPr>
            <w:r>
              <w:rPr>
                <w:rFonts w:eastAsia="Arial"/>
              </w:rPr>
              <w:t>Funded unit</w:t>
            </w:r>
          </w:p>
        </w:tc>
        <w:tc>
          <w:tcPr>
            <w:tcW w:w="2321" w:type="dxa"/>
            <w:tcBorders>
              <w:top w:val="single" w:sz="8" w:space="0" w:color="auto"/>
              <w:left w:val="single" w:sz="8" w:space="0" w:color="auto"/>
              <w:bottom w:val="single" w:sz="8" w:space="0" w:color="auto"/>
              <w:right w:val="single" w:sz="8" w:space="0" w:color="auto"/>
            </w:tcBorders>
            <w:shd w:val="clear" w:color="auto" w:fill="201547"/>
            <w:hideMark/>
          </w:tcPr>
          <w:p w14:paraId="37DFE043" w14:textId="77777777" w:rsidR="001F628C" w:rsidRDefault="001F628C">
            <w:pPr>
              <w:pStyle w:val="Tablecolhead9pt"/>
              <w:jc w:val="right"/>
              <w:rPr>
                <w:rFonts w:eastAsia="Arial"/>
              </w:rPr>
            </w:pPr>
            <w:r>
              <w:rPr>
                <w:rFonts w:eastAsia="Arial"/>
              </w:rPr>
              <w:t>All health services ($)</w:t>
            </w:r>
          </w:p>
        </w:tc>
      </w:tr>
    </w:tbl>
    <w:tbl>
      <w:tblPr>
        <w:tblStyle w:val="TableGrid1"/>
        <w:tblW w:w="9299" w:type="dxa"/>
        <w:tblLook w:val="06A0" w:firstRow="1" w:lastRow="0" w:firstColumn="1" w:lastColumn="0" w:noHBand="1" w:noVBand="1"/>
      </w:tblPr>
      <w:tblGrid>
        <w:gridCol w:w="4281"/>
        <w:gridCol w:w="2699"/>
        <w:gridCol w:w="2319"/>
      </w:tblGrid>
      <w:tr w:rsidR="00B93455" w14:paraId="1F8C8100" w14:textId="77777777" w:rsidTr="00B93455">
        <w:trPr>
          <w:cnfStyle w:val="100000000000" w:firstRow="1" w:lastRow="0" w:firstColumn="0" w:lastColumn="0" w:oddVBand="0" w:evenVBand="0" w:oddHBand="0" w:evenHBand="0" w:firstRowFirstColumn="0" w:firstRowLastColumn="0" w:lastRowFirstColumn="0" w:lastRowLastColumn="0"/>
        </w:trPr>
        <w:tc>
          <w:tcPr>
            <w:tcW w:w="4281" w:type="dxa"/>
            <w:tcBorders>
              <w:top w:val="single" w:sz="4" w:space="0" w:color="auto"/>
              <w:left w:val="single" w:sz="4" w:space="0" w:color="auto"/>
              <w:bottom w:val="single" w:sz="4" w:space="0" w:color="auto"/>
              <w:right w:val="single" w:sz="4" w:space="0" w:color="auto"/>
            </w:tcBorders>
            <w:shd w:val="clear" w:color="auto" w:fill="auto"/>
            <w:hideMark/>
          </w:tcPr>
          <w:p w14:paraId="1B6CB80A" w14:textId="110E190E" w:rsidR="001F628C" w:rsidRDefault="001F628C" w:rsidP="00B93455">
            <w:pPr>
              <w:pStyle w:val="Tabletext9pt"/>
              <w:spacing w:before="70" w:after="50"/>
            </w:pPr>
            <w:r>
              <w:t>Ambulatory</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34DD0797" w14:textId="5B613DD7" w:rsidR="001F628C" w:rsidRDefault="001F628C" w:rsidP="00B93455">
            <w:pPr>
              <w:pStyle w:val="Tabletext9pt"/>
              <w:spacing w:before="70" w:after="50"/>
            </w:pPr>
            <w:r>
              <w:rPr>
                <w:szCs w:val="18"/>
                <w:lang w:eastAsia="en-AU"/>
              </w:rPr>
              <w:t>Community service hour</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14:paraId="1E78E8ED" w14:textId="369AD18B" w:rsidR="001F628C" w:rsidRPr="00B93455" w:rsidRDefault="001F628C" w:rsidP="00B93455">
            <w:pPr>
              <w:pStyle w:val="Tabletext9pt"/>
              <w:spacing w:before="70" w:after="50"/>
              <w:jc w:val="right"/>
            </w:pPr>
            <w:r>
              <w:rPr>
                <w:lang w:eastAsia="en-AU"/>
              </w:rPr>
              <w:t>4</w:t>
            </w:r>
            <w:r w:rsidR="00E017EE">
              <w:rPr>
                <w:lang w:eastAsia="en-AU"/>
              </w:rPr>
              <w:t>30.65</w:t>
            </w:r>
          </w:p>
        </w:tc>
      </w:tr>
    </w:tbl>
    <w:p w14:paraId="0C7E635B" w14:textId="4EA2CF2B" w:rsidR="000B27B9" w:rsidRDefault="000B27B9" w:rsidP="003C01AD">
      <w:pPr>
        <w:pStyle w:val="Tablecaption"/>
        <w:numPr>
          <w:ilvl w:val="0"/>
          <w:numId w:val="40"/>
        </w:numPr>
      </w:pPr>
      <w:bookmarkStart w:id="778" w:name="_Toc110944654"/>
      <w:bookmarkStart w:id="779" w:name="_Toc14194738"/>
      <w:bookmarkStart w:id="780" w:name="_Toc54261395"/>
      <w:bookmarkStart w:id="781" w:name="_Toc54616269"/>
      <w:bookmarkStart w:id="782" w:name="_Toc109894110"/>
      <w:bookmarkStart w:id="783" w:name="_Toc119500891"/>
      <w:bookmarkEnd w:id="778"/>
      <w:r w:rsidRPr="00E7554A">
        <w:t xml:space="preserve">Mental health </w:t>
      </w:r>
      <w:r w:rsidRPr="00251766">
        <w:t>community support</w:t>
      </w:r>
      <w:r w:rsidRPr="00E7554A">
        <w:t xml:space="preserve"> services </w:t>
      </w:r>
      <w:r w:rsidRPr="00251766">
        <w:t xml:space="preserve">unit prices </w:t>
      </w:r>
      <w:r w:rsidR="005D1FCB" w:rsidRPr="00AF0023">
        <w:t>2022</w:t>
      </w:r>
      <w:r w:rsidR="005D1FCB" w:rsidRPr="00251766">
        <w:rPr>
          <w:szCs w:val="21"/>
        </w:rPr>
        <w:t>-</w:t>
      </w:r>
      <w:r w:rsidR="005D1FCB" w:rsidRPr="00AF0023">
        <w:t>23</w:t>
      </w:r>
      <w:r w:rsidR="00EA68DE">
        <w:t xml:space="preserve"> </w:t>
      </w:r>
      <w:r>
        <w:t xml:space="preserve">– </w:t>
      </w:r>
      <w:r w:rsidRPr="00FC1466">
        <w:t>community</w:t>
      </w:r>
      <w:r w:rsidRPr="00FC1466">
        <w:rPr>
          <w:lang w:eastAsia="en-AU"/>
        </w:rPr>
        <w:t xml:space="preserve"> </w:t>
      </w:r>
      <w:r w:rsidRPr="00251766">
        <w:rPr>
          <w:lang w:eastAsia="en-AU"/>
        </w:rPr>
        <w:t>sup</w:t>
      </w:r>
      <w:r w:rsidR="00AD03A1" w:rsidRPr="00251766">
        <w:rPr>
          <w:lang w:eastAsia="en-AU"/>
        </w:rPr>
        <w:t>port services</w:t>
      </w:r>
      <w:bookmarkEnd w:id="779"/>
      <w:bookmarkEnd w:id="780"/>
      <w:bookmarkEnd w:id="781"/>
      <w:bookmarkEnd w:id="782"/>
      <w:bookmarkEnd w:id="783"/>
    </w:p>
    <w:tbl>
      <w:tblPr>
        <w:tblStyle w:val="TableGrid1"/>
        <w:tblW w:w="9299" w:type="dxa"/>
        <w:tblLook w:val="06A0" w:firstRow="1" w:lastRow="0" w:firstColumn="1" w:lastColumn="0" w:noHBand="1" w:noVBand="1"/>
      </w:tblPr>
      <w:tblGrid>
        <w:gridCol w:w="4281"/>
        <w:gridCol w:w="2699"/>
        <w:gridCol w:w="2319"/>
      </w:tblGrid>
      <w:tr w:rsidR="00AE6427" w14:paraId="17BF02E1" w14:textId="77777777" w:rsidTr="001F628C">
        <w:trPr>
          <w:cnfStyle w:val="100000000000" w:firstRow="1" w:lastRow="0" w:firstColumn="0" w:lastColumn="0" w:oddVBand="0" w:evenVBand="0" w:oddHBand="0" w:evenHBand="0" w:firstRowFirstColumn="0" w:firstRowLastColumn="0" w:lastRowFirstColumn="0" w:lastRowLastColumn="0"/>
          <w:tblHeader/>
        </w:trPr>
        <w:tc>
          <w:tcPr>
            <w:tcW w:w="4281" w:type="dxa"/>
            <w:tcBorders>
              <w:top w:val="single" w:sz="4" w:space="0" w:color="auto"/>
              <w:left w:val="single" w:sz="4" w:space="0" w:color="auto"/>
              <w:bottom w:val="single" w:sz="4" w:space="0" w:color="auto"/>
              <w:right w:val="single" w:sz="4" w:space="0" w:color="auto"/>
            </w:tcBorders>
            <w:hideMark/>
          </w:tcPr>
          <w:p w14:paraId="1E07B312" w14:textId="77777777" w:rsidR="001F628C" w:rsidRDefault="001F628C">
            <w:pPr>
              <w:pStyle w:val="Tablecolhead9pt"/>
              <w:rPr>
                <w:lang w:eastAsia="en-AU"/>
              </w:rPr>
            </w:pPr>
            <w:r>
              <w:t>Service element</w:t>
            </w:r>
          </w:p>
        </w:tc>
        <w:tc>
          <w:tcPr>
            <w:tcW w:w="2699" w:type="dxa"/>
            <w:tcBorders>
              <w:top w:val="single" w:sz="4" w:space="0" w:color="auto"/>
              <w:left w:val="single" w:sz="4" w:space="0" w:color="auto"/>
              <w:bottom w:val="single" w:sz="4" w:space="0" w:color="auto"/>
              <w:right w:val="single" w:sz="4" w:space="0" w:color="auto"/>
            </w:tcBorders>
            <w:hideMark/>
          </w:tcPr>
          <w:p w14:paraId="286D7555" w14:textId="77777777" w:rsidR="001F628C" w:rsidRDefault="001F628C">
            <w:pPr>
              <w:pStyle w:val="Tablecolhead9pt"/>
              <w:rPr>
                <w:lang w:eastAsia="en-AU"/>
              </w:rPr>
            </w:pPr>
            <w:r>
              <w:t>Funded unit</w:t>
            </w:r>
          </w:p>
        </w:tc>
        <w:tc>
          <w:tcPr>
            <w:tcW w:w="2319" w:type="dxa"/>
            <w:tcBorders>
              <w:top w:val="single" w:sz="4" w:space="0" w:color="auto"/>
              <w:left w:val="single" w:sz="4" w:space="0" w:color="auto"/>
              <w:bottom w:val="single" w:sz="4" w:space="0" w:color="auto"/>
              <w:right w:val="single" w:sz="4" w:space="0" w:color="auto"/>
            </w:tcBorders>
            <w:hideMark/>
          </w:tcPr>
          <w:p w14:paraId="0A3B15C6" w14:textId="77777777" w:rsidR="001F628C" w:rsidRDefault="001F628C">
            <w:pPr>
              <w:pStyle w:val="Tablecolhead9pt"/>
              <w:jc w:val="right"/>
              <w:rPr>
                <w:lang w:eastAsia="en-AU"/>
              </w:rPr>
            </w:pPr>
            <w:r>
              <w:t>All health services ($)</w:t>
            </w:r>
          </w:p>
        </w:tc>
      </w:tr>
    </w:tbl>
    <w:tbl>
      <w:tblPr>
        <w:tblStyle w:val="TableGrid"/>
        <w:tblW w:w="0" w:type="auto"/>
        <w:tblLayout w:type="fixed"/>
        <w:tblLook w:val="06A0" w:firstRow="1" w:lastRow="0" w:firstColumn="1" w:lastColumn="0" w:noHBand="1" w:noVBand="1"/>
      </w:tblPr>
      <w:tblGrid>
        <w:gridCol w:w="4957"/>
        <w:gridCol w:w="2321"/>
        <w:gridCol w:w="2007"/>
      </w:tblGrid>
      <w:tr w:rsidR="00AD03A1" w14:paraId="38685622" w14:textId="77777777" w:rsidTr="00AD03A1">
        <w:tc>
          <w:tcPr>
            <w:tcW w:w="4957" w:type="dxa"/>
            <w:tcBorders>
              <w:top w:val="single" w:sz="8" w:space="0" w:color="auto"/>
              <w:left w:val="single" w:sz="8" w:space="0" w:color="auto"/>
              <w:bottom w:val="single" w:sz="8" w:space="0" w:color="auto"/>
              <w:right w:val="single" w:sz="8" w:space="0" w:color="auto"/>
            </w:tcBorders>
            <w:hideMark/>
          </w:tcPr>
          <w:p w14:paraId="345D9DCA" w14:textId="77777777" w:rsidR="00AD03A1" w:rsidRDefault="00AD03A1">
            <w:pPr>
              <w:pStyle w:val="Tabletext9pt"/>
            </w:pPr>
            <w:r>
              <w:rPr>
                <w:rFonts w:eastAsia="Arial"/>
              </w:rPr>
              <w:t>Individualised client support packages</w:t>
            </w:r>
          </w:p>
        </w:tc>
        <w:tc>
          <w:tcPr>
            <w:tcW w:w="2321" w:type="dxa"/>
            <w:tcBorders>
              <w:top w:val="single" w:sz="8" w:space="0" w:color="auto"/>
              <w:left w:val="single" w:sz="8" w:space="0" w:color="auto"/>
              <w:bottom w:val="single" w:sz="8" w:space="0" w:color="auto"/>
              <w:right w:val="single" w:sz="8" w:space="0" w:color="auto"/>
            </w:tcBorders>
            <w:hideMark/>
          </w:tcPr>
          <w:p w14:paraId="067B0E86" w14:textId="77777777" w:rsidR="00AD03A1" w:rsidRDefault="00AD03A1">
            <w:pPr>
              <w:pStyle w:val="Tabletext9pt"/>
            </w:pPr>
            <w:r>
              <w:rPr>
                <w:rFonts w:eastAsia="Arial"/>
              </w:rPr>
              <w:t>Client support unit</w:t>
            </w:r>
          </w:p>
        </w:tc>
        <w:tc>
          <w:tcPr>
            <w:tcW w:w="2007" w:type="dxa"/>
            <w:tcBorders>
              <w:top w:val="single" w:sz="8" w:space="0" w:color="auto"/>
              <w:left w:val="single" w:sz="8" w:space="0" w:color="auto"/>
              <w:bottom w:val="single" w:sz="8" w:space="0" w:color="auto"/>
              <w:right w:val="single" w:sz="8" w:space="0" w:color="auto"/>
            </w:tcBorders>
            <w:hideMark/>
          </w:tcPr>
          <w:p w14:paraId="39E8F0BD" w14:textId="77777777" w:rsidR="00AD03A1" w:rsidRDefault="00AD03A1">
            <w:pPr>
              <w:pStyle w:val="Tabletext9pt"/>
              <w:jc w:val="right"/>
              <w:rPr>
                <w:rFonts w:eastAsia="Arial"/>
              </w:rPr>
            </w:pPr>
            <w:r>
              <w:rPr>
                <w:rFonts w:eastAsia="Arial"/>
              </w:rPr>
              <w:t>1</w:t>
            </w:r>
            <w:r w:rsidR="00674A86">
              <w:rPr>
                <w:rFonts w:eastAsia="Arial"/>
              </w:rPr>
              <w:t>11.06</w:t>
            </w:r>
          </w:p>
        </w:tc>
      </w:tr>
      <w:tr w:rsidR="00AF0023" w14:paraId="38293EC8" w14:textId="77777777" w:rsidTr="00AF0023">
        <w:tc>
          <w:tcPr>
            <w:tcW w:w="4957" w:type="dxa"/>
            <w:tcBorders>
              <w:top w:val="single" w:sz="8" w:space="0" w:color="auto"/>
              <w:left w:val="single" w:sz="8" w:space="0" w:color="auto"/>
              <w:bottom w:val="single" w:sz="8" w:space="0" w:color="auto"/>
              <w:right w:val="single" w:sz="8" w:space="0" w:color="auto"/>
            </w:tcBorders>
            <w:hideMark/>
          </w:tcPr>
          <w:p w14:paraId="15DE4330" w14:textId="6352A616" w:rsidR="001F628C" w:rsidRDefault="00AD03A1" w:rsidP="00AF0023">
            <w:pPr>
              <w:pStyle w:val="Tabletext9pt"/>
            </w:pPr>
            <w:r>
              <w:rPr>
                <w:rFonts w:eastAsia="Arial"/>
              </w:rPr>
              <w:t>Youth residential rehabilitation – 24-hour</w:t>
            </w:r>
          </w:p>
        </w:tc>
        <w:tc>
          <w:tcPr>
            <w:tcW w:w="2321" w:type="dxa"/>
            <w:tcBorders>
              <w:top w:val="single" w:sz="8" w:space="0" w:color="auto"/>
              <w:left w:val="single" w:sz="8" w:space="0" w:color="auto"/>
              <w:bottom w:val="single" w:sz="8" w:space="0" w:color="auto"/>
              <w:right w:val="single" w:sz="8" w:space="0" w:color="auto"/>
            </w:tcBorders>
            <w:hideMark/>
          </w:tcPr>
          <w:p w14:paraId="0AC44CED" w14:textId="3C8E352D" w:rsidR="001F628C" w:rsidRDefault="00AD03A1" w:rsidP="00AF0023">
            <w:pPr>
              <w:pStyle w:val="Tabletext9pt"/>
              <w:rPr>
                <w:szCs w:val="18"/>
                <w:lang w:eastAsia="en-AU"/>
              </w:rPr>
            </w:pPr>
            <w:r>
              <w:rPr>
                <w:rFonts w:eastAsia="Arial"/>
              </w:rPr>
              <w:t>Bed day</w:t>
            </w:r>
          </w:p>
        </w:tc>
        <w:tc>
          <w:tcPr>
            <w:tcW w:w="2007" w:type="dxa"/>
            <w:tcBorders>
              <w:top w:val="single" w:sz="8" w:space="0" w:color="auto"/>
              <w:left w:val="single" w:sz="8" w:space="0" w:color="auto"/>
              <w:bottom w:val="single" w:sz="8" w:space="0" w:color="auto"/>
              <w:right w:val="single" w:sz="8" w:space="0" w:color="auto"/>
            </w:tcBorders>
            <w:hideMark/>
          </w:tcPr>
          <w:p w14:paraId="27C7D453" w14:textId="7005622A" w:rsidR="001F628C" w:rsidRDefault="00AD03A1" w:rsidP="00AF0023">
            <w:pPr>
              <w:pStyle w:val="Tabletext9pt"/>
              <w:jc w:val="right"/>
              <w:rPr>
                <w:lang w:eastAsia="en-AU"/>
              </w:rPr>
            </w:pPr>
            <w:r>
              <w:rPr>
                <w:rFonts w:eastAsia="Arial"/>
              </w:rPr>
              <w:t>26</w:t>
            </w:r>
            <w:r w:rsidR="00446284">
              <w:rPr>
                <w:rFonts w:eastAsia="Arial"/>
              </w:rPr>
              <w:t>7.14</w:t>
            </w:r>
          </w:p>
        </w:tc>
      </w:tr>
      <w:tr w:rsidR="00AD03A1" w14:paraId="02D6D972" w14:textId="77777777" w:rsidTr="00AD03A1">
        <w:tc>
          <w:tcPr>
            <w:tcW w:w="4957" w:type="dxa"/>
            <w:tcBorders>
              <w:top w:val="single" w:sz="8" w:space="0" w:color="auto"/>
              <w:left w:val="single" w:sz="8" w:space="0" w:color="auto"/>
              <w:bottom w:val="single" w:sz="8" w:space="0" w:color="auto"/>
              <w:right w:val="single" w:sz="8" w:space="0" w:color="auto"/>
            </w:tcBorders>
            <w:hideMark/>
          </w:tcPr>
          <w:p w14:paraId="4757D0D5" w14:textId="77777777" w:rsidR="00AD03A1" w:rsidRDefault="00AD03A1">
            <w:pPr>
              <w:pStyle w:val="Tabletext9pt"/>
            </w:pPr>
            <w:bookmarkStart w:id="784" w:name="_Toc110944656"/>
            <w:bookmarkStart w:id="785" w:name="_Toc14194739"/>
            <w:bookmarkStart w:id="786" w:name="_Toc54261396"/>
            <w:bookmarkStart w:id="787" w:name="_Toc54616270"/>
            <w:bookmarkStart w:id="788" w:name="_Toc419623619"/>
            <w:bookmarkStart w:id="789" w:name="_Toc419623731"/>
            <w:bookmarkStart w:id="790" w:name="_Toc419644513"/>
            <w:bookmarkStart w:id="791" w:name="_Toc487742071"/>
            <w:bookmarkEnd w:id="767"/>
            <w:bookmarkEnd w:id="768"/>
            <w:bookmarkEnd w:id="769"/>
            <w:bookmarkEnd w:id="784"/>
            <w:r>
              <w:rPr>
                <w:rFonts w:eastAsia="Arial"/>
              </w:rPr>
              <w:t>Youth residential rehabilitation – non-24-hour</w:t>
            </w:r>
          </w:p>
        </w:tc>
        <w:tc>
          <w:tcPr>
            <w:tcW w:w="2321" w:type="dxa"/>
            <w:tcBorders>
              <w:top w:val="single" w:sz="8" w:space="0" w:color="auto"/>
              <w:left w:val="single" w:sz="8" w:space="0" w:color="auto"/>
              <w:bottom w:val="single" w:sz="8" w:space="0" w:color="auto"/>
              <w:right w:val="single" w:sz="8" w:space="0" w:color="auto"/>
            </w:tcBorders>
            <w:hideMark/>
          </w:tcPr>
          <w:p w14:paraId="0EF36076" w14:textId="77777777" w:rsidR="00AD03A1" w:rsidRDefault="00AD03A1">
            <w:pPr>
              <w:pStyle w:val="Tabletext9pt"/>
            </w:pPr>
            <w:r>
              <w:rPr>
                <w:rFonts w:eastAsia="Arial"/>
              </w:rPr>
              <w:t>Bed day</w:t>
            </w:r>
          </w:p>
        </w:tc>
        <w:tc>
          <w:tcPr>
            <w:tcW w:w="2007" w:type="dxa"/>
            <w:tcBorders>
              <w:top w:val="single" w:sz="8" w:space="0" w:color="auto"/>
              <w:left w:val="single" w:sz="8" w:space="0" w:color="auto"/>
              <w:bottom w:val="single" w:sz="8" w:space="0" w:color="auto"/>
              <w:right w:val="single" w:sz="8" w:space="0" w:color="auto"/>
            </w:tcBorders>
            <w:hideMark/>
          </w:tcPr>
          <w:p w14:paraId="29C8439E" w14:textId="77777777" w:rsidR="00AD03A1" w:rsidRDefault="00AD03A1">
            <w:pPr>
              <w:pStyle w:val="Tabletext9pt"/>
              <w:jc w:val="right"/>
              <w:rPr>
                <w:rFonts w:eastAsia="Arial"/>
              </w:rPr>
            </w:pPr>
            <w:r>
              <w:rPr>
                <w:rFonts w:eastAsia="Arial"/>
              </w:rPr>
              <w:t>22</w:t>
            </w:r>
            <w:r w:rsidR="00446284">
              <w:rPr>
                <w:rFonts w:eastAsia="Arial"/>
              </w:rPr>
              <w:t>9.36</w:t>
            </w:r>
          </w:p>
        </w:tc>
      </w:tr>
      <w:tr w:rsidR="00AD03A1" w14:paraId="5E868E34" w14:textId="77777777" w:rsidTr="00AD03A1">
        <w:tc>
          <w:tcPr>
            <w:tcW w:w="4957" w:type="dxa"/>
            <w:tcBorders>
              <w:top w:val="single" w:sz="8" w:space="0" w:color="auto"/>
              <w:left w:val="single" w:sz="8" w:space="0" w:color="auto"/>
              <w:bottom w:val="single" w:sz="8" w:space="0" w:color="auto"/>
              <w:right w:val="single" w:sz="8" w:space="0" w:color="auto"/>
            </w:tcBorders>
            <w:hideMark/>
          </w:tcPr>
          <w:p w14:paraId="0760A41D" w14:textId="77777777" w:rsidR="00AD03A1" w:rsidRDefault="00AD03A1">
            <w:pPr>
              <w:pStyle w:val="Tabletext9pt"/>
            </w:pPr>
            <w:r>
              <w:rPr>
                <w:rFonts w:eastAsia="Arial"/>
              </w:rPr>
              <w:t>Continuity of support</w:t>
            </w:r>
          </w:p>
        </w:tc>
        <w:tc>
          <w:tcPr>
            <w:tcW w:w="2321" w:type="dxa"/>
            <w:tcBorders>
              <w:top w:val="single" w:sz="8" w:space="0" w:color="auto"/>
              <w:left w:val="single" w:sz="8" w:space="0" w:color="auto"/>
              <w:bottom w:val="single" w:sz="8" w:space="0" w:color="auto"/>
              <w:right w:val="single" w:sz="8" w:space="0" w:color="auto"/>
            </w:tcBorders>
            <w:hideMark/>
          </w:tcPr>
          <w:p w14:paraId="21849AC5" w14:textId="77777777" w:rsidR="00AD03A1" w:rsidRDefault="00AD03A1">
            <w:pPr>
              <w:pStyle w:val="Tabletext9pt"/>
            </w:pPr>
            <w:r>
              <w:rPr>
                <w:rFonts w:eastAsia="Arial"/>
              </w:rPr>
              <w:t>Client support unit</w:t>
            </w:r>
          </w:p>
        </w:tc>
        <w:tc>
          <w:tcPr>
            <w:tcW w:w="2007" w:type="dxa"/>
            <w:tcBorders>
              <w:top w:val="single" w:sz="8" w:space="0" w:color="auto"/>
              <w:left w:val="single" w:sz="8" w:space="0" w:color="auto"/>
              <w:bottom w:val="single" w:sz="8" w:space="0" w:color="auto"/>
              <w:right w:val="single" w:sz="8" w:space="0" w:color="auto"/>
            </w:tcBorders>
            <w:hideMark/>
          </w:tcPr>
          <w:p w14:paraId="773244CE" w14:textId="77777777" w:rsidR="00AD03A1" w:rsidRDefault="00AD03A1">
            <w:pPr>
              <w:pStyle w:val="Tabletext9pt"/>
              <w:jc w:val="right"/>
              <w:rPr>
                <w:rFonts w:eastAsia="Arial"/>
              </w:rPr>
            </w:pPr>
            <w:r>
              <w:rPr>
                <w:rFonts w:eastAsia="Arial"/>
              </w:rPr>
              <w:t>1</w:t>
            </w:r>
            <w:r w:rsidR="00DF7568">
              <w:rPr>
                <w:rFonts w:eastAsia="Arial"/>
              </w:rPr>
              <w:t>11.06</w:t>
            </w:r>
          </w:p>
        </w:tc>
      </w:tr>
    </w:tbl>
    <w:p w14:paraId="070F6D74" w14:textId="4F91B988" w:rsidR="00AD03A1" w:rsidRDefault="000B27B9" w:rsidP="003C01AD">
      <w:pPr>
        <w:pStyle w:val="Tablecaption"/>
        <w:numPr>
          <w:ilvl w:val="0"/>
          <w:numId w:val="40"/>
        </w:numPr>
      </w:pPr>
      <w:bookmarkStart w:id="792" w:name="_Toc109894111"/>
      <w:bookmarkStart w:id="793" w:name="_Toc119500892"/>
      <w:r w:rsidRPr="00FC1466">
        <w:t xml:space="preserve">Mental health community support services unit prices </w:t>
      </w:r>
      <w:r w:rsidR="005D1FCB" w:rsidRPr="005B31BC">
        <w:t>2022</w:t>
      </w:r>
      <w:r w:rsidR="005D1FCB" w:rsidRPr="00251766">
        <w:rPr>
          <w:szCs w:val="21"/>
        </w:rPr>
        <w:t>-</w:t>
      </w:r>
      <w:r w:rsidR="005D1FCB" w:rsidRPr="005B31BC">
        <w:t>23</w:t>
      </w:r>
      <w:r w:rsidR="00EA68DE">
        <w:t xml:space="preserve"> </w:t>
      </w:r>
      <w:r>
        <w:t xml:space="preserve">– </w:t>
      </w:r>
      <w:r w:rsidRPr="00251766">
        <w:t>m</w:t>
      </w:r>
      <w:r w:rsidRPr="00251766">
        <w:rPr>
          <w:lang w:eastAsia="en-AU"/>
        </w:rPr>
        <w:t>utual</w:t>
      </w:r>
      <w:r w:rsidRPr="00C127A3">
        <w:rPr>
          <w:lang w:eastAsia="en-AU"/>
        </w:rPr>
        <w:t xml:space="preserve"> </w:t>
      </w:r>
      <w:r>
        <w:rPr>
          <w:lang w:eastAsia="en-AU"/>
        </w:rPr>
        <w:t>s</w:t>
      </w:r>
      <w:r w:rsidRPr="00C127A3">
        <w:rPr>
          <w:lang w:eastAsia="en-AU"/>
        </w:rPr>
        <w:t>up</w:t>
      </w:r>
      <w:r w:rsidR="00AD03A1" w:rsidRPr="00C127A3">
        <w:rPr>
          <w:lang w:eastAsia="en-AU"/>
        </w:rPr>
        <w:t xml:space="preserve">port </w:t>
      </w:r>
      <w:r w:rsidRPr="00251766">
        <w:rPr>
          <w:lang w:eastAsia="en-AU"/>
        </w:rPr>
        <w:t>and self-help</w:t>
      </w:r>
      <w:bookmarkEnd w:id="792"/>
      <w:r w:rsidR="005B31BC">
        <w:rPr>
          <w:lang w:eastAsia="en-AU"/>
        </w:rPr>
        <w:t xml:space="preserve"> services</w:t>
      </w:r>
      <w:bookmarkEnd w:id="793"/>
    </w:p>
    <w:tbl>
      <w:tblPr>
        <w:tblStyle w:val="TableGrid"/>
        <w:tblW w:w="9285" w:type="dxa"/>
        <w:tblLayout w:type="fixed"/>
        <w:tblLook w:val="06A0" w:firstRow="1" w:lastRow="0" w:firstColumn="1" w:lastColumn="0" w:noHBand="1" w:noVBand="1"/>
      </w:tblPr>
      <w:tblGrid>
        <w:gridCol w:w="4957"/>
        <w:gridCol w:w="2321"/>
        <w:gridCol w:w="2007"/>
      </w:tblGrid>
      <w:tr w:rsidR="00AD03A1" w14:paraId="1010E9EE" w14:textId="77777777" w:rsidTr="002406C5">
        <w:trPr>
          <w:tblHeader/>
        </w:trPr>
        <w:tc>
          <w:tcPr>
            <w:tcW w:w="4957" w:type="dxa"/>
            <w:tcBorders>
              <w:top w:val="single" w:sz="8" w:space="0" w:color="auto"/>
              <w:left w:val="single" w:sz="8" w:space="0" w:color="auto"/>
              <w:bottom w:val="single" w:sz="8" w:space="0" w:color="auto"/>
              <w:right w:val="single" w:sz="8" w:space="0" w:color="auto"/>
            </w:tcBorders>
            <w:shd w:val="clear" w:color="auto" w:fill="201547"/>
            <w:hideMark/>
          </w:tcPr>
          <w:p w14:paraId="745EA95A" w14:textId="77777777" w:rsidR="00AD03A1" w:rsidRDefault="00AD03A1">
            <w:pPr>
              <w:pStyle w:val="Tablecolhead9pt"/>
            </w:pPr>
            <w:r>
              <w:rPr>
                <w:rFonts w:eastAsia="Arial"/>
              </w:rPr>
              <w:t>Service element</w:t>
            </w:r>
          </w:p>
        </w:tc>
        <w:tc>
          <w:tcPr>
            <w:tcW w:w="2321" w:type="dxa"/>
            <w:tcBorders>
              <w:top w:val="single" w:sz="8" w:space="0" w:color="auto"/>
              <w:left w:val="single" w:sz="8" w:space="0" w:color="auto"/>
              <w:bottom w:val="single" w:sz="8" w:space="0" w:color="auto"/>
              <w:right w:val="single" w:sz="8" w:space="0" w:color="auto"/>
            </w:tcBorders>
            <w:shd w:val="clear" w:color="auto" w:fill="201547"/>
            <w:hideMark/>
          </w:tcPr>
          <w:p w14:paraId="6E93CDAA" w14:textId="77777777" w:rsidR="00AD03A1" w:rsidRDefault="00AD03A1">
            <w:pPr>
              <w:pStyle w:val="Tablecolhead9pt"/>
            </w:pPr>
            <w:r>
              <w:rPr>
                <w:rFonts w:eastAsia="Arial"/>
              </w:rPr>
              <w:t>Funded unit</w:t>
            </w:r>
          </w:p>
        </w:tc>
        <w:tc>
          <w:tcPr>
            <w:tcW w:w="2007" w:type="dxa"/>
            <w:tcBorders>
              <w:top w:val="single" w:sz="8" w:space="0" w:color="auto"/>
              <w:left w:val="single" w:sz="8" w:space="0" w:color="auto"/>
              <w:bottom w:val="single" w:sz="8" w:space="0" w:color="auto"/>
              <w:right w:val="single" w:sz="8" w:space="0" w:color="auto"/>
            </w:tcBorders>
            <w:shd w:val="clear" w:color="auto" w:fill="201547"/>
            <w:hideMark/>
          </w:tcPr>
          <w:p w14:paraId="3745E938" w14:textId="77777777" w:rsidR="00AD03A1" w:rsidRPr="002406C5" w:rsidRDefault="00AD03A1">
            <w:pPr>
              <w:pStyle w:val="Tablecolhead9pt"/>
              <w:jc w:val="right"/>
              <w:rPr>
                <w:rFonts w:eastAsia="Arial"/>
              </w:rPr>
            </w:pPr>
            <w:r>
              <w:rPr>
                <w:rFonts w:eastAsia="Arial"/>
              </w:rPr>
              <w:t>All health services ($)</w:t>
            </w:r>
          </w:p>
        </w:tc>
      </w:tr>
      <w:tr w:rsidR="002406C5" w14:paraId="74BA4262" w14:textId="77777777" w:rsidTr="002406C5">
        <w:tc>
          <w:tcPr>
            <w:tcW w:w="4957" w:type="dxa"/>
            <w:tcBorders>
              <w:top w:val="single" w:sz="8" w:space="0" w:color="auto"/>
              <w:left w:val="single" w:sz="8" w:space="0" w:color="auto"/>
              <w:bottom w:val="single" w:sz="8" w:space="0" w:color="auto"/>
              <w:right w:val="single" w:sz="8" w:space="0" w:color="auto"/>
            </w:tcBorders>
            <w:hideMark/>
          </w:tcPr>
          <w:p w14:paraId="74E0EF29" w14:textId="77777777" w:rsidR="002406C5" w:rsidRDefault="002406C5" w:rsidP="00983C73">
            <w:pPr>
              <w:pStyle w:val="Tabletext9pt"/>
            </w:pPr>
            <w:r>
              <w:rPr>
                <w:rFonts w:eastAsia="Arial"/>
              </w:rPr>
              <w:t>Stand-alone (high availability)</w:t>
            </w:r>
          </w:p>
        </w:tc>
        <w:tc>
          <w:tcPr>
            <w:tcW w:w="2321" w:type="dxa"/>
            <w:tcBorders>
              <w:top w:val="single" w:sz="8" w:space="0" w:color="auto"/>
              <w:left w:val="single" w:sz="8" w:space="0" w:color="auto"/>
              <w:bottom w:val="single" w:sz="8" w:space="0" w:color="auto"/>
              <w:right w:val="single" w:sz="8" w:space="0" w:color="auto"/>
            </w:tcBorders>
            <w:hideMark/>
          </w:tcPr>
          <w:p w14:paraId="7443FA31" w14:textId="77777777" w:rsidR="002406C5" w:rsidRDefault="002406C5" w:rsidP="00983C73">
            <w:pPr>
              <w:pStyle w:val="Tabletext9pt"/>
            </w:pPr>
            <w:r>
              <w:rPr>
                <w:rFonts w:eastAsia="Arial"/>
              </w:rPr>
              <w:t>Weighted block grant</w:t>
            </w:r>
          </w:p>
        </w:tc>
        <w:tc>
          <w:tcPr>
            <w:tcW w:w="2007" w:type="dxa"/>
            <w:tcBorders>
              <w:top w:val="single" w:sz="8" w:space="0" w:color="auto"/>
              <w:left w:val="single" w:sz="8" w:space="0" w:color="auto"/>
              <w:bottom w:val="single" w:sz="8" w:space="0" w:color="auto"/>
              <w:right w:val="single" w:sz="8" w:space="0" w:color="auto"/>
            </w:tcBorders>
            <w:hideMark/>
          </w:tcPr>
          <w:p w14:paraId="6EE22535" w14:textId="3E3C7D5D" w:rsidR="002406C5" w:rsidRDefault="002406C5" w:rsidP="00983C73">
            <w:pPr>
              <w:pStyle w:val="Tabletext9pt"/>
              <w:jc w:val="right"/>
              <w:rPr>
                <w:rFonts w:eastAsia="Arial"/>
              </w:rPr>
            </w:pPr>
            <w:r>
              <w:rPr>
                <w:rFonts w:eastAsia="Arial"/>
              </w:rPr>
              <w:t>281,469</w:t>
            </w:r>
          </w:p>
        </w:tc>
      </w:tr>
      <w:tr w:rsidR="002406C5" w14:paraId="47E66B88" w14:textId="77777777" w:rsidTr="002406C5">
        <w:tc>
          <w:tcPr>
            <w:tcW w:w="4957" w:type="dxa"/>
            <w:tcBorders>
              <w:top w:val="single" w:sz="8" w:space="0" w:color="auto"/>
              <w:left w:val="single" w:sz="8" w:space="0" w:color="auto"/>
              <w:bottom w:val="single" w:sz="8" w:space="0" w:color="auto"/>
              <w:right w:val="single" w:sz="8" w:space="0" w:color="auto"/>
            </w:tcBorders>
            <w:hideMark/>
          </w:tcPr>
          <w:p w14:paraId="2891AB9B" w14:textId="77777777" w:rsidR="002406C5" w:rsidRDefault="002406C5" w:rsidP="00983C73">
            <w:pPr>
              <w:pStyle w:val="Tabletext9pt"/>
            </w:pPr>
            <w:r>
              <w:rPr>
                <w:rFonts w:eastAsia="Arial"/>
              </w:rPr>
              <w:t>Stand-alone (high availability)</w:t>
            </w:r>
          </w:p>
        </w:tc>
        <w:tc>
          <w:tcPr>
            <w:tcW w:w="2321" w:type="dxa"/>
            <w:tcBorders>
              <w:top w:val="single" w:sz="8" w:space="0" w:color="auto"/>
              <w:left w:val="single" w:sz="8" w:space="0" w:color="auto"/>
              <w:bottom w:val="single" w:sz="8" w:space="0" w:color="auto"/>
              <w:right w:val="single" w:sz="8" w:space="0" w:color="auto"/>
            </w:tcBorders>
            <w:hideMark/>
          </w:tcPr>
          <w:p w14:paraId="7771127A" w14:textId="77777777" w:rsidR="002406C5" w:rsidRDefault="002406C5" w:rsidP="00983C73">
            <w:pPr>
              <w:pStyle w:val="Tabletext9pt"/>
            </w:pPr>
            <w:r>
              <w:rPr>
                <w:rFonts w:eastAsia="Arial"/>
              </w:rPr>
              <w:t>Weighted block grant</w:t>
            </w:r>
          </w:p>
        </w:tc>
        <w:tc>
          <w:tcPr>
            <w:tcW w:w="2007" w:type="dxa"/>
            <w:tcBorders>
              <w:top w:val="single" w:sz="8" w:space="0" w:color="auto"/>
              <w:left w:val="single" w:sz="8" w:space="0" w:color="auto"/>
              <w:bottom w:val="single" w:sz="8" w:space="0" w:color="auto"/>
              <w:right w:val="single" w:sz="8" w:space="0" w:color="auto"/>
            </w:tcBorders>
            <w:hideMark/>
          </w:tcPr>
          <w:p w14:paraId="47DEC2DD" w14:textId="77777777" w:rsidR="002406C5" w:rsidRDefault="002406C5" w:rsidP="00983C73">
            <w:pPr>
              <w:pStyle w:val="Tabletext9pt"/>
              <w:jc w:val="right"/>
              <w:rPr>
                <w:rFonts w:eastAsia="Arial"/>
              </w:rPr>
            </w:pPr>
            <w:r>
              <w:rPr>
                <w:rFonts w:eastAsia="Arial"/>
              </w:rPr>
              <w:t>Variable</w:t>
            </w:r>
          </w:p>
        </w:tc>
      </w:tr>
      <w:tr w:rsidR="002406C5" w14:paraId="181B323A" w14:textId="77777777" w:rsidTr="002406C5">
        <w:tc>
          <w:tcPr>
            <w:tcW w:w="4957" w:type="dxa"/>
            <w:tcBorders>
              <w:top w:val="single" w:sz="8" w:space="0" w:color="auto"/>
              <w:left w:val="single" w:sz="8" w:space="0" w:color="auto"/>
              <w:bottom w:val="single" w:sz="8" w:space="0" w:color="auto"/>
              <w:right w:val="single" w:sz="8" w:space="0" w:color="auto"/>
            </w:tcBorders>
            <w:hideMark/>
          </w:tcPr>
          <w:p w14:paraId="6DB812AD" w14:textId="77777777" w:rsidR="002406C5" w:rsidRDefault="002406C5" w:rsidP="00983C73">
            <w:pPr>
              <w:pStyle w:val="Tabletext9pt"/>
            </w:pPr>
            <w:r>
              <w:rPr>
                <w:rFonts w:eastAsia="Arial"/>
              </w:rPr>
              <w:t>Individual support referral and advocacy</w:t>
            </w:r>
          </w:p>
        </w:tc>
        <w:tc>
          <w:tcPr>
            <w:tcW w:w="2321" w:type="dxa"/>
            <w:tcBorders>
              <w:top w:val="single" w:sz="8" w:space="0" w:color="auto"/>
              <w:left w:val="single" w:sz="8" w:space="0" w:color="auto"/>
              <w:bottom w:val="single" w:sz="8" w:space="0" w:color="auto"/>
              <w:right w:val="single" w:sz="8" w:space="0" w:color="auto"/>
            </w:tcBorders>
            <w:hideMark/>
          </w:tcPr>
          <w:p w14:paraId="49B1619F" w14:textId="77777777" w:rsidR="002406C5" w:rsidRDefault="002406C5" w:rsidP="00983C73">
            <w:pPr>
              <w:pStyle w:val="Tabletext9pt"/>
            </w:pPr>
            <w:r>
              <w:rPr>
                <w:rFonts w:eastAsia="Arial"/>
              </w:rPr>
              <w:t>Contact hour</w:t>
            </w:r>
          </w:p>
        </w:tc>
        <w:tc>
          <w:tcPr>
            <w:tcW w:w="2007" w:type="dxa"/>
            <w:tcBorders>
              <w:top w:val="single" w:sz="8" w:space="0" w:color="auto"/>
              <w:left w:val="single" w:sz="8" w:space="0" w:color="auto"/>
              <w:bottom w:val="single" w:sz="8" w:space="0" w:color="auto"/>
              <w:right w:val="single" w:sz="8" w:space="0" w:color="auto"/>
            </w:tcBorders>
            <w:hideMark/>
          </w:tcPr>
          <w:p w14:paraId="34FAE475" w14:textId="33359B90" w:rsidR="002406C5" w:rsidRDefault="002406C5" w:rsidP="00983C73">
            <w:pPr>
              <w:pStyle w:val="Tabletext9pt"/>
              <w:jc w:val="right"/>
              <w:rPr>
                <w:rFonts w:eastAsia="Arial"/>
              </w:rPr>
            </w:pPr>
            <w:r>
              <w:rPr>
                <w:rFonts w:eastAsia="Arial"/>
              </w:rPr>
              <w:t>48.71</w:t>
            </w:r>
          </w:p>
        </w:tc>
      </w:tr>
      <w:tr w:rsidR="002406C5" w14:paraId="0BDACF53" w14:textId="77777777" w:rsidTr="002406C5">
        <w:tc>
          <w:tcPr>
            <w:tcW w:w="4957" w:type="dxa"/>
            <w:tcBorders>
              <w:top w:val="single" w:sz="8" w:space="0" w:color="auto"/>
              <w:left w:val="single" w:sz="8" w:space="0" w:color="auto"/>
              <w:bottom w:val="single" w:sz="8" w:space="0" w:color="auto"/>
              <w:right w:val="single" w:sz="8" w:space="0" w:color="auto"/>
            </w:tcBorders>
            <w:hideMark/>
          </w:tcPr>
          <w:p w14:paraId="666286C0" w14:textId="77777777" w:rsidR="002406C5" w:rsidRDefault="002406C5" w:rsidP="00983C73">
            <w:pPr>
              <w:pStyle w:val="Tabletext9pt"/>
            </w:pPr>
            <w:r>
              <w:rPr>
                <w:rFonts w:eastAsia="Arial"/>
              </w:rPr>
              <w:t>MSSH group support</w:t>
            </w:r>
          </w:p>
        </w:tc>
        <w:tc>
          <w:tcPr>
            <w:tcW w:w="2321" w:type="dxa"/>
            <w:tcBorders>
              <w:top w:val="single" w:sz="8" w:space="0" w:color="auto"/>
              <w:left w:val="single" w:sz="8" w:space="0" w:color="auto"/>
              <w:bottom w:val="single" w:sz="8" w:space="0" w:color="auto"/>
              <w:right w:val="single" w:sz="8" w:space="0" w:color="auto"/>
            </w:tcBorders>
            <w:hideMark/>
          </w:tcPr>
          <w:p w14:paraId="6CD86FFB" w14:textId="77777777" w:rsidR="002406C5" w:rsidRDefault="002406C5" w:rsidP="00983C73">
            <w:pPr>
              <w:pStyle w:val="Tabletext9pt"/>
            </w:pPr>
            <w:r>
              <w:rPr>
                <w:rFonts w:eastAsia="Arial"/>
              </w:rPr>
              <w:t>Contact hour (group)</w:t>
            </w:r>
          </w:p>
        </w:tc>
        <w:tc>
          <w:tcPr>
            <w:tcW w:w="2007" w:type="dxa"/>
            <w:tcBorders>
              <w:top w:val="single" w:sz="8" w:space="0" w:color="auto"/>
              <w:left w:val="single" w:sz="8" w:space="0" w:color="auto"/>
              <w:bottom w:val="single" w:sz="8" w:space="0" w:color="auto"/>
              <w:right w:val="single" w:sz="8" w:space="0" w:color="auto"/>
            </w:tcBorders>
            <w:hideMark/>
          </w:tcPr>
          <w:p w14:paraId="464CD02B" w14:textId="2A9DA46D" w:rsidR="002406C5" w:rsidRDefault="002406C5" w:rsidP="00983C73">
            <w:pPr>
              <w:pStyle w:val="Tabletext9pt"/>
              <w:jc w:val="right"/>
              <w:rPr>
                <w:rFonts w:eastAsia="Arial"/>
              </w:rPr>
            </w:pPr>
            <w:r>
              <w:rPr>
                <w:rFonts w:eastAsia="Arial"/>
              </w:rPr>
              <w:t>128.89</w:t>
            </w:r>
          </w:p>
        </w:tc>
      </w:tr>
      <w:tr w:rsidR="002406C5" w14:paraId="6445AA68" w14:textId="77777777" w:rsidTr="002406C5">
        <w:tc>
          <w:tcPr>
            <w:tcW w:w="4957" w:type="dxa"/>
            <w:tcBorders>
              <w:top w:val="single" w:sz="8" w:space="0" w:color="auto"/>
              <w:left w:val="single" w:sz="8" w:space="0" w:color="auto"/>
              <w:bottom w:val="single" w:sz="8" w:space="0" w:color="auto"/>
              <w:right w:val="single" w:sz="8" w:space="0" w:color="auto"/>
            </w:tcBorders>
            <w:hideMark/>
          </w:tcPr>
          <w:p w14:paraId="6450647D" w14:textId="77777777" w:rsidR="002406C5" w:rsidRDefault="002406C5" w:rsidP="00983C73">
            <w:pPr>
              <w:pStyle w:val="Tabletext9pt"/>
            </w:pPr>
            <w:r>
              <w:rPr>
                <w:rFonts w:eastAsia="Arial"/>
              </w:rPr>
              <w:t>Group education and training</w:t>
            </w:r>
          </w:p>
        </w:tc>
        <w:tc>
          <w:tcPr>
            <w:tcW w:w="2321" w:type="dxa"/>
            <w:tcBorders>
              <w:top w:val="single" w:sz="8" w:space="0" w:color="auto"/>
              <w:left w:val="single" w:sz="8" w:space="0" w:color="auto"/>
              <w:bottom w:val="single" w:sz="8" w:space="0" w:color="auto"/>
              <w:right w:val="single" w:sz="8" w:space="0" w:color="auto"/>
            </w:tcBorders>
            <w:hideMark/>
          </w:tcPr>
          <w:p w14:paraId="7B2BF83B" w14:textId="77777777" w:rsidR="002406C5" w:rsidRDefault="002406C5" w:rsidP="00983C73">
            <w:pPr>
              <w:pStyle w:val="Tabletext9pt"/>
            </w:pPr>
            <w:r>
              <w:rPr>
                <w:rFonts w:eastAsia="Arial"/>
              </w:rPr>
              <w:t>Contact hour (group)</w:t>
            </w:r>
          </w:p>
        </w:tc>
        <w:tc>
          <w:tcPr>
            <w:tcW w:w="2007" w:type="dxa"/>
            <w:tcBorders>
              <w:top w:val="single" w:sz="8" w:space="0" w:color="auto"/>
              <w:left w:val="single" w:sz="8" w:space="0" w:color="auto"/>
              <w:bottom w:val="single" w:sz="8" w:space="0" w:color="auto"/>
              <w:right w:val="single" w:sz="8" w:space="0" w:color="auto"/>
            </w:tcBorders>
            <w:hideMark/>
          </w:tcPr>
          <w:p w14:paraId="60DEF40E" w14:textId="7CB9BD84" w:rsidR="002406C5" w:rsidRDefault="002406C5" w:rsidP="00983C73">
            <w:pPr>
              <w:pStyle w:val="Tabletext9pt"/>
              <w:jc w:val="right"/>
              <w:rPr>
                <w:rFonts w:eastAsia="Arial"/>
              </w:rPr>
            </w:pPr>
            <w:r>
              <w:rPr>
                <w:rFonts w:eastAsia="Arial"/>
              </w:rPr>
              <w:t>439.23</w:t>
            </w:r>
          </w:p>
        </w:tc>
      </w:tr>
      <w:tr w:rsidR="002406C5" w14:paraId="44589D20" w14:textId="77777777" w:rsidTr="002406C5">
        <w:tc>
          <w:tcPr>
            <w:tcW w:w="4957" w:type="dxa"/>
            <w:tcBorders>
              <w:top w:val="single" w:sz="8" w:space="0" w:color="auto"/>
              <w:left w:val="single" w:sz="8" w:space="0" w:color="auto"/>
              <w:bottom w:val="single" w:sz="8" w:space="0" w:color="auto"/>
              <w:right w:val="single" w:sz="8" w:space="0" w:color="auto"/>
            </w:tcBorders>
            <w:hideMark/>
          </w:tcPr>
          <w:p w14:paraId="5FA73225" w14:textId="77777777" w:rsidR="002406C5" w:rsidRDefault="002406C5" w:rsidP="00983C73">
            <w:pPr>
              <w:pStyle w:val="Tabletext9pt"/>
            </w:pPr>
            <w:r>
              <w:rPr>
                <w:rFonts w:eastAsia="Arial"/>
              </w:rPr>
              <w:lastRenderedPageBreak/>
              <w:t>Volunteer coordination</w:t>
            </w:r>
          </w:p>
        </w:tc>
        <w:tc>
          <w:tcPr>
            <w:tcW w:w="2321" w:type="dxa"/>
            <w:tcBorders>
              <w:top w:val="single" w:sz="8" w:space="0" w:color="auto"/>
              <w:left w:val="single" w:sz="8" w:space="0" w:color="auto"/>
              <w:bottom w:val="single" w:sz="8" w:space="0" w:color="auto"/>
              <w:right w:val="single" w:sz="8" w:space="0" w:color="auto"/>
            </w:tcBorders>
            <w:hideMark/>
          </w:tcPr>
          <w:p w14:paraId="2C3B9188" w14:textId="77777777" w:rsidR="002406C5" w:rsidRDefault="002406C5" w:rsidP="00983C73">
            <w:pPr>
              <w:pStyle w:val="Tabletext9pt"/>
            </w:pPr>
            <w:r>
              <w:rPr>
                <w:rFonts w:eastAsia="Arial"/>
              </w:rPr>
              <w:t>Hour</w:t>
            </w:r>
          </w:p>
        </w:tc>
        <w:tc>
          <w:tcPr>
            <w:tcW w:w="2007" w:type="dxa"/>
            <w:tcBorders>
              <w:top w:val="single" w:sz="8" w:space="0" w:color="auto"/>
              <w:left w:val="single" w:sz="8" w:space="0" w:color="auto"/>
              <w:bottom w:val="single" w:sz="8" w:space="0" w:color="auto"/>
              <w:right w:val="single" w:sz="8" w:space="0" w:color="auto"/>
            </w:tcBorders>
            <w:hideMark/>
          </w:tcPr>
          <w:p w14:paraId="044ACAF4" w14:textId="61CE0286" w:rsidR="002406C5" w:rsidRDefault="002406C5" w:rsidP="00983C73">
            <w:pPr>
              <w:pStyle w:val="Tabletext9pt"/>
              <w:jc w:val="right"/>
              <w:rPr>
                <w:rFonts w:eastAsia="Arial"/>
              </w:rPr>
            </w:pPr>
            <w:r>
              <w:rPr>
                <w:rFonts w:eastAsia="Arial"/>
              </w:rPr>
              <w:t>56.45</w:t>
            </w:r>
          </w:p>
        </w:tc>
      </w:tr>
    </w:tbl>
    <w:p w14:paraId="4793D396" w14:textId="0275600B" w:rsidR="000B27B9" w:rsidRPr="00D02BA0" w:rsidRDefault="000B27B9" w:rsidP="003C01AD">
      <w:pPr>
        <w:pStyle w:val="Tablecaption"/>
        <w:numPr>
          <w:ilvl w:val="0"/>
          <w:numId w:val="40"/>
        </w:numPr>
      </w:pPr>
      <w:bookmarkStart w:id="794" w:name="_Toc110944658"/>
      <w:bookmarkStart w:id="795" w:name="_Toc110944660"/>
      <w:bookmarkStart w:id="796" w:name="_Toc14194741"/>
      <w:bookmarkStart w:id="797" w:name="_Toc54261398"/>
      <w:bookmarkStart w:id="798" w:name="_Toc54616272"/>
      <w:bookmarkStart w:id="799" w:name="_Toc109894112"/>
      <w:bookmarkStart w:id="800" w:name="_Toc119500893"/>
      <w:bookmarkStart w:id="801" w:name="_Hlk12612393"/>
      <w:bookmarkEnd w:id="785"/>
      <w:bookmarkEnd w:id="786"/>
      <w:bookmarkEnd w:id="787"/>
      <w:bookmarkEnd w:id="794"/>
      <w:bookmarkEnd w:id="795"/>
      <w:r w:rsidRPr="00D02BA0">
        <w:t xml:space="preserve">Mental health </w:t>
      </w:r>
      <w:r w:rsidRPr="00D02BA0">
        <w:rPr>
          <w:noProof/>
        </w:rPr>
        <w:t>community</w:t>
      </w:r>
      <w:r w:rsidRPr="00D02BA0">
        <w:t xml:space="preserve"> support services unit prices </w:t>
      </w:r>
      <w:r w:rsidR="005D1FCB" w:rsidRPr="00D02BA0">
        <w:t>2022</w:t>
      </w:r>
      <w:r w:rsidR="00E423D4" w:rsidRPr="004B7C0B">
        <w:rPr>
          <w:szCs w:val="21"/>
        </w:rPr>
        <w:t>–</w:t>
      </w:r>
      <w:r w:rsidR="005D1FCB" w:rsidRPr="00D02BA0">
        <w:t>23</w:t>
      </w:r>
      <w:r w:rsidR="00EA68DE" w:rsidRPr="00D02BA0">
        <w:t xml:space="preserve"> </w:t>
      </w:r>
      <w:r w:rsidRPr="00D02BA0">
        <w:t>– planned respite</w:t>
      </w:r>
      <w:bookmarkEnd w:id="796"/>
      <w:bookmarkEnd w:id="797"/>
      <w:bookmarkEnd w:id="798"/>
      <w:bookmarkEnd w:id="799"/>
      <w:bookmarkEnd w:id="800"/>
    </w:p>
    <w:tbl>
      <w:tblPr>
        <w:tblStyle w:val="TableGrid"/>
        <w:tblW w:w="9285" w:type="dxa"/>
        <w:tblLayout w:type="fixed"/>
        <w:tblLook w:val="06A0" w:firstRow="1" w:lastRow="0" w:firstColumn="1" w:lastColumn="0" w:noHBand="1" w:noVBand="1"/>
      </w:tblPr>
      <w:tblGrid>
        <w:gridCol w:w="4957"/>
        <w:gridCol w:w="2321"/>
        <w:gridCol w:w="2007"/>
      </w:tblGrid>
      <w:tr w:rsidR="00F55A44" w14:paraId="0DA10F22" w14:textId="77777777" w:rsidTr="00F55A44">
        <w:trPr>
          <w:tblHeader/>
        </w:trPr>
        <w:tc>
          <w:tcPr>
            <w:tcW w:w="4957" w:type="dxa"/>
            <w:tcBorders>
              <w:top w:val="single" w:sz="8" w:space="0" w:color="auto"/>
              <w:left w:val="single" w:sz="8" w:space="0" w:color="auto"/>
              <w:bottom w:val="single" w:sz="8" w:space="0" w:color="auto"/>
              <w:right w:val="single" w:sz="8" w:space="0" w:color="auto"/>
            </w:tcBorders>
            <w:shd w:val="clear" w:color="auto" w:fill="201547"/>
            <w:hideMark/>
          </w:tcPr>
          <w:p w14:paraId="2287562C" w14:textId="77777777" w:rsidR="00F55A44" w:rsidRDefault="00F55A44">
            <w:pPr>
              <w:pStyle w:val="Tablecolhead9pt"/>
            </w:pPr>
            <w:r>
              <w:rPr>
                <w:rFonts w:eastAsia="Arial"/>
              </w:rPr>
              <w:t>Service element</w:t>
            </w:r>
          </w:p>
        </w:tc>
        <w:tc>
          <w:tcPr>
            <w:tcW w:w="2321" w:type="dxa"/>
            <w:tcBorders>
              <w:top w:val="single" w:sz="8" w:space="0" w:color="auto"/>
              <w:left w:val="single" w:sz="8" w:space="0" w:color="auto"/>
              <w:bottom w:val="single" w:sz="8" w:space="0" w:color="auto"/>
              <w:right w:val="single" w:sz="8" w:space="0" w:color="auto"/>
            </w:tcBorders>
            <w:shd w:val="clear" w:color="auto" w:fill="201547"/>
            <w:hideMark/>
          </w:tcPr>
          <w:p w14:paraId="3D01A316" w14:textId="77777777" w:rsidR="00F55A44" w:rsidRDefault="00F55A44">
            <w:pPr>
              <w:pStyle w:val="Tablecolhead9pt"/>
            </w:pPr>
            <w:r>
              <w:rPr>
                <w:rFonts w:eastAsia="Arial"/>
              </w:rPr>
              <w:t>Funded unit</w:t>
            </w:r>
          </w:p>
        </w:tc>
        <w:tc>
          <w:tcPr>
            <w:tcW w:w="2007" w:type="dxa"/>
            <w:tcBorders>
              <w:top w:val="single" w:sz="8" w:space="0" w:color="auto"/>
              <w:left w:val="single" w:sz="8" w:space="0" w:color="auto"/>
              <w:bottom w:val="single" w:sz="8" w:space="0" w:color="auto"/>
              <w:right w:val="single" w:sz="8" w:space="0" w:color="auto"/>
            </w:tcBorders>
            <w:shd w:val="clear" w:color="auto" w:fill="201547"/>
            <w:hideMark/>
          </w:tcPr>
          <w:p w14:paraId="02DA5950" w14:textId="77777777" w:rsidR="00F55A44" w:rsidRDefault="00F55A44">
            <w:pPr>
              <w:pStyle w:val="Tablecolhead9pt"/>
              <w:jc w:val="right"/>
              <w:rPr>
                <w:rFonts w:eastAsia="Arial"/>
                <w:b w:val="0"/>
              </w:rPr>
            </w:pPr>
            <w:r>
              <w:rPr>
                <w:rFonts w:eastAsia="Arial"/>
              </w:rPr>
              <w:t>All health services ($)</w:t>
            </w:r>
          </w:p>
        </w:tc>
      </w:tr>
      <w:tr w:rsidR="00F55A44" w14:paraId="7F210606" w14:textId="77777777" w:rsidTr="00F55A44">
        <w:tc>
          <w:tcPr>
            <w:tcW w:w="4957" w:type="dxa"/>
            <w:tcBorders>
              <w:top w:val="single" w:sz="8" w:space="0" w:color="auto"/>
              <w:left w:val="single" w:sz="8" w:space="0" w:color="auto"/>
              <w:bottom w:val="single" w:sz="8" w:space="0" w:color="auto"/>
              <w:right w:val="single" w:sz="8" w:space="0" w:color="auto"/>
            </w:tcBorders>
            <w:hideMark/>
          </w:tcPr>
          <w:p w14:paraId="76CE4040" w14:textId="77777777" w:rsidR="00F55A44" w:rsidRDefault="00F55A44">
            <w:pPr>
              <w:pStyle w:val="Tabletext9pt"/>
            </w:pPr>
            <w:r>
              <w:rPr>
                <w:rFonts w:eastAsia="Arial"/>
              </w:rPr>
              <w:t>In home</w:t>
            </w:r>
          </w:p>
        </w:tc>
        <w:tc>
          <w:tcPr>
            <w:tcW w:w="2321" w:type="dxa"/>
            <w:tcBorders>
              <w:top w:val="single" w:sz="8" w:space="0" w:color="auto"/>
              <w:left w:val="single" w:sz="8" w:space="0" w:color="auto"/>
              <w:bottom w:val="single" w:sz="8" w:space="0" w:color="auto"/>
              <w:right w:val="single" w:sz="8" w:space="0" w:color="auto"/>
            </w:tcBorders>
            <w:hideMark/>
          </w:tcPr>
          <w:p w14:paraId="6183D13B" w14:textId="77777777" w:rsidR="00F55A44" w:rsidRDefault="00F55A44">
            <w:pPr>
              <w:pStyle w:val="Tabletext9pt"/>
            </w:pPr>
            <w:r>
              <w:rPr>
                <w:rFonts w:eastAsia="Arial"/>
              </w:rPr>
              <w:t>Client contact hour</w:t>
            </w:r>
          </w:p>
        </w:tc>
        <w:tc>
          <w:tcPr>
            <w:tcW w:w="2007" w:type="dxa"/>
            <w:tcBorders>
              <w:top w:val="single" w:sz="8" w:space="0" w:color="auto"/>
              <w:left w:val="single" w:sz="8" w:space="0" w:color="auto"/>
              <w:bottom w:val="single" w:sz="8" w:space="0" w:color="auto"/>
              <w:right w:val="single" w:sz="8" w:space="0" w:color="auto"/>
            </w:tcBorders>
            <w:hideMark/>
          </w:tcPr>
          <w:p w14:paraId="18FEB98D" w14:textId="7477D118" w:rsidR="00F55A44" w:rsidRDefault="00F55A44">
            <w:pPr>
              <w:pStyle w:val="Tabletext9pt"/>
              <w:jc w:val="right"/>
              <w:rPr>
                <w:rFonts w:eastAsia="Arial"/>
              </w:rPr>
            </w:pPr>
            <w:r>
              <w:rPr>
                <w:rFonts w:eastAsia="Arial"/>
              </w:rPr>
              <w:t>4</w:t>
            </w:r>
            <w:r w:rsidR="00D41902">
              <w:rPr>
                <w:rFonts w:eastAsia="Arial"/>
              </w:rPr>
              <w:t>4.01</w:t>
            </w:r>
          </w:p>
        </w:tc>
      </w:tr>
      <w:tr w:rsidR="00F55A44" w14:paraId="36916FA5" w14:textId="77777777" w:rsidTr="00F55A44">
        <w:tc>
          <w:tcPr>
            <w:tcW w:w="4957" w:type="dxa"/>
            <w:tcBorders>
              <w:top w:val="single" w:sz="8" w:space="0" w:color="auto"/>
              <w:left w:val="single" w:sz="8" w:space="0" w:color="auto"/>
              <w:bottom w:val="single" w:sz="8" w:space="0" w:color="auto"/>
              <w:right w:val="single" w:sz="8" w:space="0" w:color="auto"/>
            </w:tcBorders>
            <w:hideMark/>
          </w:tcPr>
          <w:p w14:paraId="30F1100A" w14:textId="77777777" w:rsidR="00F55A44" w:rsidRDefault="00F55A44">
            <w:pPr>
              <w:pStyle w:val="Tabletext9pt"/>
            </w:pPr>
            <w:r>
              <w:rPr>
                <w:rFonts w:eastAsia="Arial"/>
              </w:rPr>
              <w:t>Community</w:t>
            </w:r>
          </w:p>
        </w:tc>
        <w:tc>
          <w:tcPr>
            <w:tcW w:w="2321" w:type="dxa"/>
            <w:tcBorders>
              <w:top w:val="single" w:sz="8" w:space="0" w:color="auto"/>
              <w:left w:val="single" w:sz="8" w:space="0" w:color="auto"/>
              <w:bottom w:val="single" w:sz="8" w:space="0" w:color="auto"/>
              <w:right w:val="single" w:sz="8" w:space="0" w:color="auto"/>
            </w:tcBorders>
            <w:hideMark/>
          </w:tcPr>
          <w:p w14:paraId="2B010CDA" w14:textId="77777777" w:rsidR="00F55A44" w:rsidRDefault="00F55A44">
            <w:pPr>
              <w:pStyle w:val="Tabletext9pt"/>
            </w:pPr>
            <w:r>
              <w:rPr>
                <w:rFonts w:eastAsia="Arial"/>
              </w:rPr>
              <w:t>Client contact hour</w:t>
            </w:r>
          </w:p>
        </w:tc>
        <w:tc>
          <w:tcPr>
            <w:tcW w:w="2007" w:type="dxa"/>
            <w:tcBorders>
              <w:top w:val="single" w:sz="8" w:space="0" w:color="auto"/>
              <w:left w:val="single" w:sz="8" w:space="0" w:color="auto"/>
              <w:bottom w:val="single" w:sz="8" w:space="0" w:color="auto"/>
              <w:right w:val="single" w:sz="8" w:space="0" w:color="auto"/>
            </w:tcBorders>
            <w:hideMark/>
          </w:tcPr>
          <w:p w14:paraId="6256CA08" w14:textId="339D6F4B" w:rsidR="00F55A44" w:rsidRDefault="00F55A44">
            <w:pPr>
              <w:pStyle w:val="Tabletext9pt"/>
              <w:jc w:val="right"/>
              <w:rPr>
                <w:rFonts w:eastAsia="Arial"/>
              </w:rPr>
            </w:pPr>
            <w:r>
              <w:rPr>
                <w:rFonts w:eastAsia="Arial"/>
              </w:rPr>
              <w:t>4</w:t>
            </w:r>
            <w:r w:rsidR="00A13D2A">
              <w:rPr>
                <w:rFonts w:eastAsia="Arial"/>
              </w:rPr>
              <w:t>4.01</w:t>
            </w:r>
          </w:p>
        </w:tc>
      </w:tr>
      <w:tr w:rsidR="00F55A44" w14:paraId="1F88AA10" w14:textId="77777777" w:rsidTr="00F55A44">
        <w:tc>
          <w:tcPr>
            <w:tcW w:w="4957" w:type="dxa"/>
            <w:tcBorders>
              <w:top w:val="single" w:sz="8" w:space="0" w:color="auto"/>
              <w:left w:val="single" w:sz="8" w:space="0" w:color="auto"/>
              <w:bottom w:val="single" w:sz="8" w:space="0" w:color="auto"/>
              <w:right w:val="single" w:sz="8" w:space="0" w:color="auto"/>
            </w:tcBorders>
            <w:hideMark/>
          </w:tcPr>
          <w:p w14:paraId="0474E583" w14:textId="77777777" w:rsidR="00F55A44" w:rsidRDefault="00F55A44">
            <w:pPr>
              <w:pStyle w:val="Tabletext9pt"/>
            </w:pPr>
            <w:r>
              <w:rPr>
                <w:rFonts w:eastAsia="Arial"/>
              </w:rPr>
              <w:t>Residential</w:t>
            </w:r>
          </w:p>
        </w:tc>
        <w:tc>
          <w:tcPr>
            <w:tcW w:w="2321" w:type="dxa"/>
            <w:tcBorders>
              <w:top w:val="single" w:sz="8" w:space="0" w:color="auto"/>
              <w:left w:val="single" w:sz="8" w:space="0" w:color="auto"/>
              <w:bottom w:val="single" w:sz="8" w:space="0" w:color="auto"/>
              <w:right w:val="single" w:sz="8" w:space="0" w:color="auto"/>
            </w:tcBorders>
            <w:hideMark/>
          </w:tcPr>
          <w:p w14:paraId="13957A88" w14:textId="77777777" w:rsidR="00F55A44" w:rsidRDefault="00F55A44">
            <w:pPr>
              <w:pStyle w:val="Tabletext9pt"/>
            </w:pPr>
            <w:r>
              <w:rPr>
                <w:rFonts w:eastAsia="Arial"/>
              </w:rPr>
              <w:t>Client contact hour</w:t>
            </w:r>
          </w:p>
        </w:tc>
        <w:tc>
          <w:tcPr>
            <w:tcW w:w="2007" w:type="dxa"/>
            <w:tcBorders>
              <w:top w:val="single" w:sz="8" w:space="0" w:color="auto"/>
              <w:left w:val="single" w:sz="8" w:space="0" w:color="auto"/>
              <w:bottom w:val="single" w:sz="8" w:space="0" w:color="auto"/>
              <w:right w:val="single" w:sz="8" w:space="0" w:color="auto"/>
            </w:tcBorders>
            <w:hideMark/>
          </w:tcPr>
          <w:p w14:paraId="688A5FC3" w14:textId="39C3678A" w:rsidR="00F55A44" w:rsidRDefault="00F55A44">
            <w:pPr>
              <w:pStyle w:val="Tabletext9pt"/>
              <w:jc w:val="right"/>
              <w:rPr>
                <w:rFonts w:eastAsia="Arial"/>
              </w:rPr>
            </w:pPr>
            <w:r>
              <w:rPr>
                <w:rFonts w:eastAsia="Arial"/>
              </w:rPr>
              <w:t>4</w:t>
            </w:r>
            <w:r w:rsidR="00A13D2A">
              <w:rPr>
                <w:rFonts w:eastAsia="Arial"/>
              </w:rPr>
              <w:t>4.01</w:t>
            </w:r>
          </w:p>
        </w:tc>
      </w:tr>
    </w:tbl>
    <w:p w14:paraId="3C0F3110" w14:textId="29DED723" w:rsidR="000B27B9" w:rsidRDefault="000B27B9" w:rsidP="003C01AD">
      <w:pPr>
        <w:pStyle w:val="Tablecaption"/>
        <w:numPr>
          <w:ilvl w:val="0"/>
          <w:numId w:val="40"/>
        </w:numPr>
      </w:pPr>
      <w:bookmarkStart w:id="802" w:name="_Toc110944662"/>
      <w:bookmarkStart w:id="803" w:name="_Toc14194742"/>
      <w:bookmarkStart w:id="804" w:name="_Toc54261399"/>
      <w:bookmarkStart w:id="805" w:name="_Toc54616273"/>
      <w:bookmarkStart w:id="806" w:name="_Toc109894113"/>
      <w:bookmarkStart w:id="807" w:name="_Toc119500894"/>
      <w:bookmarkEnd w:id="802"/>
      <w:r w:rsidRPr="00FC1466">
        <w:t xml:space="preserve">Mental health community support services unit prices </w:t>
      </w:r>
      <w:r w:rsidR="005D1FCB" w:rsidRPr="004B7C0B">
        <w:t>2022</w:t>
      </w:r>
      <w:r w:rsidR="005D1FCB" w:rsidRPr="00251766">
        <w:rPr>
          <w:szCs w:val="21"/>
        </w:rPr>
        <w:t>-</w:t>
      </w:r>
      <w:r w:rsidR="005D1FCB" w:rsidRPr="004B7C0B">
        <w:t>23</w:t>
      </w:r>
      <w:r w:rsidR="005D1FCB">
        <w:rPr>
          <w:szCs w:val="21"/>
        </w:rPr>
        <w:t xml:space="preserve"> </w:t>
      </w:r>
      <w:r>
        <w:t>– supported accommodation</w:t>
      </w:r>
      <w:bookmarkEnd w:id="803"/>
      <w:bookmarkEnd w:id="804"/>
      <w:bookmarkEnd w:id="805"/>
      <w:bookmarkEnd w:id="806"/>
      <w:bookmarkEnd w:id="807"/>
    </w:p>
    <w:tbl>
      <w:tblPr>
        <w:tblStyle w:val="TableGrid"/>
        <w:tblW w:w="9285" w:type="dxa"/>
        <w:tblLayout w:type="fixed"/>
        <w:tblLook w:val="06A0" w:firstRow="1" w:lastRow="0" w:firstColumn="1" w:lastColumn="0" w:noHBand="1" w:noVBand="1"/>
      </w:tblPr>
      <w:tblGrid>
        <w:gridCol w:w="4957"/>
        <w:gridCol w:w="2321"/>
        <w:gridCol w:w="2007"/>
      </w:tblGrid>
      <w:tr w:rsidR="00F55A44" w14:paraId="36AD0A40" w14:textId="77777777" w:rsidTr="004B7C0B">
        <w:trPr>
          <w:tblHeader/>
        </w:trPr>
        <w:tc>
          <w:tcPr>
            <w:tcW w:w="4957" w:type="dxa"/>
            <w:tcBorders>
              <w:top w:val="single" w:sz="8" w:space="0" w:color="auto"/>
              <w:left w:val="single" w:sz="8" w:space="0" w:color="auto"/>
              <w:bottom w:val="single" w:sz="8" w:space="0" w:color="auto"/>
              <w:right w:val="single" w:sz="8" w:space="0" w:color="auto"/>
            </w:tcBorders>
            <w:shd w:val="clear" w:color="auto" w:fill="201547"/>
            <w:hideMark/>
          </w:tcPr>
          <w:bookmarkEnd w:id="801"/>
          <w:p w14:paraId="1C6FFE5B" w14:textId="77777777" w:rsidR="00F55A44" w:rsidRDefault="00F55A44">
            <w:pPr>
              <w:pStyle w:val="Tablecolhead9pt"/>
            </w:pPr>
            <w:r>
              <w:rPr>
                <w:rFonts w:eastAsia="Arial"/>
              </w:rPr>
              <w:t>Service element</w:t>
            </w:r>
          </w:p>
        </w:tc>
        <w:tc>
          <w:tcPr>
            <w:tcW w:w="2321" w:type="dxa"/>
            <w:tcBorders>
              <w:top w:val="single" w:sz="8" w:space="0" w:color="auto"/>
              <w:left w:val="single" w:sz="8" w:space="0" w:color="auto"/>
              <w:bottom w:val="single" w:sz="8" w:space="0" w:color="auto"/>
              <w:right w:val="single" w:sz="8" w:space="0" w:color="auto"/>
            </w:tcBorders>
            <w:shd w:val="clear" w:color="auto" w:fill="201547"/>
            <w:hideMark/>
          </w:tcPr>
          <w:p w14:paraId="0F7DB08B" w14:textId="77777777" w:rsidR="00F55A44" w:rsidRDefault="00F55A44">
            <w:pPr>
              <w:pStyle w:val="Tablecolhead9pt"/>
            </w:pPr>
            <w:r>
              <w:rPr>
                <w:rFonts w:eastAsia="Arial"/>
              </w:rPr>
              <w:t>Funded unit</w:t>
            </w:r>
          </w:p>
        </w:tc>
        <w:tc>
          <w:tcPr>
            <w:tcW w:w="2007" w:type="dxa"/>
            <w:tcBorders>
              <w:top w:val="single" w:sz="8" w:space="0" w:color="auto"/>
              <w:left w:val="single" w:sz="8" w:space="0" w:color="auto"/>
              <w:bottom w:val="single" w:sz="8" w:space="0" w:color="auto"/>
              <w:right w:val="single" w:sz="8" w:space="0" w:color="auto"/>
            </w:tcBorders>
            <w:shd w:val="clear" w:color="auto" w:fill="201547"/>
            <w:hideMark/>
          </w:tcPr>
          <w:p w14:paraId="63EA82E9" w14:textId="77777777" w:rsidR="00F55A44" w:rsidRDefault="00F55A44">
            <w:pPr>
              <w:pStyle w:val="Tablecolhead9pt"/>
              <w:jc w:val="right"/>
              <w:rPr>
                <w:rFonts w:eastAsia="Arial"/>
              </w:rPr>
            </w:pPr>
            <w:r>
              <w:rPr>
                <w:rFonts w:eastAsia="Arial"/>
              </w:rPr>
              <w:t>All health services ($)</w:t>
            </w:r>
          </w:p>
        </w:tc>
      </w:tr>
      <w:tr w:rsidR="00F55A44" w14:paraId="1C180ADE" w14:textId="77777777" w:rsidTr="001B27E5">
        <w:tc>
          <w:tcPr>
            <w:tcW w:w="4957" w:type="dxa"/>
            <w:tcBorders>
              <w:top w:val="single" w:sz="8" w:space="0" w:color="auto"/>
              <w:left w:val="single" w:sz="8" w:space="0" w:color="auto"/>
              <w:bottom w:val="single" w:sz="8" w:space="0" w:color="auto"/>
              <w:right w:val="single" w:sz="8" w:space="0" w:color="auto"/>
            </w:tcBorders>
            <w:hideMark/>
          </w:tcPr>
          <w:p w14:paraId="276EF86B" w14:textId="77777777" w:rsidR="00F55A44" w:rsidRDefault="00F55A44">
            <w:pPr>
              <w:pStyle w:val="Tabletext9pt"/>
            </w:pPr>
            <w:r>
              <w:rPr>
                <w:rFonts w:eastAsia="Arial"/>
              </w:rPr>
              <w:t>24-hour on-site small facilities (0–11 beds)</w:t>
            </w:r>
          </w:p>
        </w:tc>
        <w:tc>
          <w:tcPr>
            <w:tcW w:w="2321" w:type="dxa"/>
            <w:tcBorders>
              <w:top w:val="single" w:sz="8" w:space="0" w:color="auto"/>
              <w:left w:val="single" w:sz="8" w:space="0" w:color="auto"/>
              <w:bottom w:val="single" w:sz="8" w:space="0" w:color="auto"/>
              <w:right w:val="single" w:sz="8" w:space="0" w:color="auto"/>
            </w:tcBorders>
            <w:hideMark/>
          </w:tcPr>
          <w:p w14:paraId="673CD911" w14:textId="77777777" w:rsidR="00F55A44" w:rsidRDefault="00F55A44">
            <w:pPr>
              <w:pStyle w:val="Tabletext9pt"/>
            </w:pPr>
            <w:r>
              <w:rPr>
                <w:rFonts w:eastAsia="Arial"/>
              </w:rPr>
              <w:t>Available bed day</w:t>
            </w:r>
          </w:p>
        </w:tc>
        <w:tc>
          <w:tcPr>
            <w:tcW w:w="2007" w:type="dxa"/>
            <w:tcBorders>
              <w:top w:val="single" w:sz="8" w:space="0" w:color="auto"/>
              <w:left w:val="single" w:sz="8" w:space="0" w:color="auto"/>
              <w:bottom w:val="single" w:sz="8" w:space="0" w:color="auto"/>
              <w:right w:val="single" w:sz="8" w:space="0" w:color="auto"/>
            </w:tcBorders>
            <w:hideMark/>
          </w:tcPr>
          <w:p w14:paraId="246043DC" w14:textId="64F02A1C" w:rsidR="00F55A44" w:rsidRDefault="00F55A44">
            <w:pPr>
              <w:pStyle w:val="Tabletext9pt"/>
              <w:jc w:val="right"/>
              <w:rPr>
                <w:rFonts w:eastAsia="Arial"/>
              </w:rPr>
            </w:pPr>
            <w:r>
              <w:rPr>
                <w:rFonts w:eastAsia="Arial"/>
              </w:rPr>
              <w:t>1</w:t>
            </w:r>
            <w:r w:rsidR="003F3D40">
              <w:rPr>
                <w:rFonts w:eastAsia="Arial"/>
              </w:rPr>
              <w:t>84.42</w:t>
            </w:r>
          </w:p>
        </w:tc>
      </w:tr>
      <w:tr w:rsidR="00F55A44" w14:paraId="35A45EAB" w14:textId="77777777" w:rsidTr="001B27E5">
        <w:tc>
          <w:tcPr>
            <w:tcW w:w="4957" w:type="dxa"/>
            <w:tcBorders>
              <w:top w:val="single" w:sz="8" w:space="0" w:color="auto"/>
              <w:left w:val="single" w:sz="8" w:space="0" w:color="auto"/>
              <w:bottom w:val="single" w:sz="8" w:space="0" w:color="auto"/>
              <w:right w:val="single" w:sz="8" w:space="0" w:color="auto"/>
            </w:tcBorders>
            <w:hideMark/>
          </w:tcPr>
          <w:p w14:paraId="6165A61C" w14:textId="77777777" w:rsidR="00F55A44" w:rsidRDefault="00F55A44">
            <w:pPr>
              <w:pStyle w:val="Tabletext9pt"/>
            </w:pPr>
            <w:r>
              <w:rPr>
                <w:rFonts w:eastAsia="Arial"/>
              </w:rPr>
              <w:t>24-hour on-site small facilities (&gt; 11 beds)</w:t>
            </w:r>
          </w:p>
        </w:tc>
        <w:tc>
          <w:tcPr>
            <w:tcW w:w="2321" w:type="dxa"/>
            <w:tcBorders>
              <w:top w:val="single" w:sz="8" w:space="0" w:color="auto"/>
              <w:left w:val="single" w:sz="8" w:space="0" w:color="auto"/>
              <w:bottom w:val="single" w:sz="8" w:space="0" w:color="auto"/>
              <w:right w:val="single" w:sz="8" w:space="0" w:color="auto"/>
            </w:tcBorders>
            <w:hideMark/>
          </w:tcPr>
          <w:p w14:paraId="13A27A9C" w14:textId="77777777" w:rsidR="00F55A44" w:rsidRDefault="00F55A44">
            <w:pPr>
              <w:pStyle w:val="Tabletext9pt"/>
            </w:pPr>
            <w:r>
              <w:rPr>
                <w:rFonts w:eastAsia="Arial"/>
              </w:rPr>
              <w:t>Available bed day</w:t>
            </w:r>
          </w:p>
        </w:tc>
        <w:tc>
          <w:tcPr>
            <w:tcW w:w="2007" w:type="dxa"/>
            <w:tcBorders>
              <w:top w:val="single" w:sz="8" w:space="0" w:color="auto"/>
              <w:left w:val="single" w:sz="8" w:space="0" w:color="auto"/>
              <w:bottom w:val="single" w:sz="8" w:space="0" w:color="auto"/>
              <w:right w:val="single" w:sz="8" w:space="0" w:color="auto"/>
            </w:tcBorders>
            <w:hideMark/>
          </w:tcPr>
          <w:p w14:paraId="5B465E81" w14:textId="6C8C708D" w:rsidR="00F55A44" w:rsidRDefault="00F55A44">
            <w:pPr>
              <w:pStyle w:val="Tabletext9pt"/>
              <w:jc w:val="right"/>
              <w:rPr>
                <w:rFonts w:eastAsia="Arial"/>
              </w:rPr>
            </w:pPr>
            <w:r>
              <w:rPr>
                <w:rFonts w:eastAsia="Arial"/>
              </w:rPr>
              <w:t>6</w:t>
            </w:r>
            <w:r w:rsidR="00F23D5A">
              <w:rPr>
                <w:rFonts w:eastAsia="Arial"/>
              </w:rPr>
              <w:t>4.55</w:t>
            </w:r>
          </w:p>
        </w:tc>
      </w:tr>
    </w:tbl>
    <w:p w14:paraId="2FD7FC2C" w14:textId="34D39878" w:rsidR="000B27B9" w:rsidRDefault="39EEE182" w:rsidP="003C01AD">
      <w:pPr>
        <w:pStyle w:val="Tablecaption"/>
        <w:numPr>
          <w:ilvl w:val="0"/>
          <w:numId w:val="40"/>
        </w:numPr>
      </w:pPr>
      <w:bookmarkStart w:id="808" w:name="_Toc110944664"/>
      <w:bookmarkStart w:id="809" w:name="_Toc14194743"/>
      <w:bookmarkStart w:id="810" w:name="_Toc54261400"/>
      <w:bookmarkStart w:id="811" w:name="_Toc54616274"/>
      <w:bookmarkStart w:id="812" w:name="_Toc109894114"/>
      <w:bookmarkStart w:id="813" w:name="_Toc119500895"/>
      <w:bookmarkStart w:id="814" w:name="_Toc419623620"/>
      <w:bookmarkStart w:id="815" w:name="_Toc419623732"/>
      <w:bookmarkStart w:id="816" w:name="_Toc419644514"/>
      <w:bookmarkStart w:id="817" w:name="_Toc487742072"/>
      <w:bookmarkEnd w:id="788"/>
      <w:bookmarkEnd w:id="789"/>
      <w:bookmarkEnd w:id="790"/>
      <w:bookmarkEnd w:id="791"/>
      <w:bookmarkEnd w:id="808"/>
      <w:r>
        <w:t xml:space="preserve">Drug services – unit prices </w:t>
      </w:r>
      <w:bookmarkEnd w:id="809"/>
      <w:bookmarkEnd w:id="810"/>
      <w:bookmarkEnd w:id="811"/>
      <w:r w:rsidR="005D1FCB" w:rsidRPr="004B7C0B">
        <w:t>2022</w:t>
      </w:r>
      <w:r w:rsidR="005D1FCB" w:rsidRPr="00251766">
        <w:rPr>
          <w:szCs w:val="21"/>
        </w:rPr>
        <w:t>-</w:t>
      </w:r>
      <w:r w:rsidR="005D1FCB" w:rsidRPr="004B7C0B">
        <w:t>23</w:t>
      </w:r>
      <w:bookmarkEnd w:id="812"/>
      <w:bookmarkEnd w:id="813"/>
    </w:p>
    <w:tbl>
      <w:tblPr>
        <w:tblStyle w:val="TableGrid1"/>
        <w:tblW w:w="9299" w:type="dxa"/>
        <w:tblLook w:val="06A0" w:firstRow="1" w:lastRow="0" w:firstColumn="1" w:lastColumn="0" w:noHBand="1" w:noVBand="1"/>
      </w:tblPr>
      <w:tblGrid>
        <w:gridCol w:w="3104"/>
        <w:gridCol w:w="2316"/>
        <w:gridCol w:w="2701"/>
        <w:gridCol w:w="1178"/>
      </w:tblGrid>
      <w:tr w:rsidR="00D073DB" w:rsidRPr="0090298C" w14:paraId="36812A2A" w14:textId="77777777" w:rsidTr="31E98B47">
        <w:trPr>
          <w:cnfStyle w:val="100000000000" w:firstRow="1" w:lastRow="0" w:firstColumn="0" w:lastColumn="0" w:oddVBand="0" w:evenVBand="0" w:oddHBand="0" w:evenHBand="0" w:firstRowFirstColumn="0" w:firstRowLastColumn="0" w:lastRowFirstColumn="0" w:lastRowLastColumn="0"/>
          <w:tblHeader/>
        </w:trPr>
        <w:tc>
          <w:tcPr>
            <w:tcW w:w="3104" w:type="dxa"/>
          </w:tcPr>
          <w:p w14:paraId="68B337B3" w14:textId="77777777" w:rsidR="00D073DB" w:rsidRPr="004E24E9" w:rsidRDefault="00D073DB" w:rsidP="00B57BE8">
            <w:pPr>
              <w:pStyle w:val="Tablecolhead9pt"/>
              <w:rPr>
                <w:szCs w:val="18"/>
              </w:rPr>
            </w:pPr>
            <w:bookmarkStart w:id="818" w:name="_Toc418694987"/>
            <w:bookmarkStart w:id="819" w:name="_Ref419741277"/>
            <w:bookmarkStart w:id="820" w:name="_Ref419741290"/>
            <w:bookmarkStart w:id="821" w:name="_Ref425436162"/>
            <w:bookmarkEnd w:id="814"/>
            <w:bookmarkEnd w:id="815"/>
            <w:bookmarkEnd w:id="816"/>
            <w:bookmarkEnd w:id="817"/>
            <w:r w:rsidRPr="00D0520C">
              <w:t>Service element</w:t>
            </w:r>
          </w:p>
        </w:tc>
        <w:tc>
          <w:tcPr>
            <w:tcW w:w="2316" w:type="dxa"/>
          </w:tcPr>
          <w:p w14:paraId="3E6CBC3F" w14:textId="77777777" w:rsidR="00D073DB" w:rsidRPr="004E24E9" w:rsidRDefault="00D073DB" w:rsidP="00B57BE8">
            <w:pPr>
              <w:pStyle w:val="Tablecolhead9pt"/>
              <w:ind w:left="366"/>
              <w:rPr>
                <w:szCs w:val="18"/>
              </w:rPr>
            </w:pPr>
            <w:r w:rsidRPr="00D0520C">
              <w:t>Funded unit</w:t>
            </w:r>
          </w:p>
        </w:tc>
        <w:tc>
          <w:tcPr>
            <w:tcW w:w="2701" w:type="dxa"/>
          </w:tcPr>
          <w:p w14:paraId="6C7E9E24" w14:textId="77777777" w:rsidR="00D073DB" w:rsidRPr="004E24E9" w:rsidRDefault="00D073DB" w:rsidP="00B57BE8">
            <w:pPr>
              <w:pStyle w:val="Tablecolhead9pt"/>
              <w:jc w:val="right"/>
              <w:rPr>
                <w:szCs w:val="18"/>
              </w:rPr>
            </w:pPr>
            <w:r w:rsidRPr="00D0520C">
              <w:t xml:space="preserve">Metro unit price </w:t>
            </w:r>
            <w:r>
              <w:t>($)</w:t>
            </w:r>
          </w:p>
        </w:tc>
        <w:tc>
          <w:tcPr>
            <w:tcW w:w="1178" w:type="dxa"/>
          </w:tcPr>
          <w:p w14:paraId="5085C270" w14:textId="77777777" w:rsidR="00D073DB" w:rsidRPr="004E24E9" w:rsidRDefault="00D073DB" w:rsidP="00B57BE8">
            <w:pPr>
              <w:pStyle w:val="Tablecolhead9pt"/>
              <w:jc w:val="right"/>
              <w:rPr>
                <w:szCs w:val="18"/>
              </w:rPr>
            </w:pPr>
            <w:r w:rsidRPr="00D0520C">
              <w:t xml:space="preserve">Rural unit price </w:t>
            </w:r>
            <w:r>
              <w:t>($)</w:t>
            </w:r>
          </w:p>
        </w:tc>
      </w:tr>
      <w:tr w:rsidR="00D073DB" w:rsidRPr="00C127A3" w14:paraId="474C1308" w14:textId="77777777" w:rsidTr="31E98B47">
        <w:tc>
          <w:tcPr>
            <w:tcW w:w="3104" w:type="dxa"/>
          </w:tcPr>
          <w:p w14:paraId="143B612E" w14:textId="77777777" w:rsidR="00D073DB" w:rsidRPr="00C127A3" w:rsidRDefault="00D073DB" w:rsidP="003C01AD">
            <w:pPr>
              <w:pStyle w:val="Tabletext9pt"/>
              <w:numPr>
                <w:ilvl w:val="0"/>
                <w:numId w:val="30"/>
              </w:numPr>
              <w:rPr>
                <w:lang w:eastAsia="en-AU"/>
              </w:rPr>
            </w:pPr>
            <w:r w:rsidRPr="31E98B47">
              <w:rPr>
                <w:lang w:eastAsia="en-AU"/>
              </w:rPr>
              <w:t xml:space="preserve">Drug treatment services – intake </w:t>
            </w:r>
          </w:p>
        </w:tc>
        <w:tc>
          <w:tcPr>
            <w:tcW w:w="2316" w:type="dxa"/>
          </w:tcPr>
          <w:p w14:paraId="450BE5F8" w14:textId="77777777" w:rsidR="00D073DB" w:rsidRPr="00C127A3"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74824723" w14:textId="7D99D236" w:rsidR="00D073DB" w:rsidRPr="00C127A3" w:rsidRDefault="00554813" w:rsidP="003C01AD">
            <w:pPr>
              <w:pStyle w:val="Tabletext9pt"/>
              <w:numPr>
                <w:ilvl w:val="0"/>
                <w:numId w:val="30"/>
              </w:numPr>
              <w:jc w:val="right"/>
              <w:rPr>
                <w:lang w:eastAsia="en-AU"/>
              </w:rPr>
            </w:pPr>
            <w:r>
              <w:rPr>
                <w:lang w:eastAsia="en-AU"/>
              </w:rPr>
              <w:t>904.73</w:t>
            </w:r>
          </w:p>
        </w:tc>
        <w:tc>
          <w:tcPr>
            <w:tcW w:w="1178" w:type="dxa"/>
          </w:tcPr>
          <w:p w14:paraId="44F00712" w14:textId="77777777" w:rsidR="00D073DB" w:rsidRPr="00C127A3" w:rsidRDefault="00D073DB" w:rsidP="003C01AD">
            <w:pPr>
              <w:pStyle w:val="Tabletext9pt"/>
              <w:numPr>
                <w:ilvl w:val="0"/>
                <w:numId w:val="30"/>
              </w:numPr>
              <w:jc w:val="right"/>
              <w:rPr>
                <w:lang w:eastAsia="en-AU"/>
              </w:rPr>
            </w:pPr>
          </w:p>
        </w:tc>
      </w:tr>
      <w:tr w:rsidR="00D073DB" w:rsidRPr="00C127A3" w14:paraId="5DBBAD3B" w14:textId="77777777" w:rsidTr="31E98B47">
        <w:tc>
          <w:tcPr>
            <w:tcW w:w="3104" w:type="dxa"/>
          </w:tcPr>
          <w:p w14:paraId="4C82FD69" w14:textId="77777777" w:rsidR="00D073DB" w:rsidRPr="00C127A3" w:rsidRDefault="00D073DB" w:rsidP="00B57BE8">
            <w:pPr>
              <w:pStyle w:val="Tabletext9pt"/>
              <w:rPr>
                <w:lang w:eastAsia="en-AU"/>
              </w:rPr>
            </w:pPr>
            <w:r>
              <w:rPr>
                <w:lang w:eastAsia="en-AU"/>
              </w:rPr>
              <w:t>Drug treatment services – assessment</w:t>
            </w:r>
          </w:p>
        </w:tc>
        <w:tc>
          <w:tcPr>
            <w:tcW w:w="2316" w:type="dxa"/>
          </w:tcPr>
          <w:p w14:paraId="58408760" w14:textId="77777777" w:rsidR="00D073DB" w:rsidRPr="00C127A3"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3E964CBC" w14:textId="11225E14" w:rsidR="00D073DB" w:rsidRPr="00C127A3" w:rsidRDefault="00554813" w:rsidP="003C01AD">
            <w:pPr>
              <w:pStyle w:val="Tabletext9pt"/>
              <w:numPr>
                <w:ilvl w:val="0"/>
                <w:numId w:val="30"/>
              </w:numPr>
              <w:jc w:val="right"/>
              <w:rPr>
                <w:lang w:eastAsia="en-AU"/>
              </w:rPr>
            </w:pPr>
            <w:r>
              <w:rPr>
                <w:lang w:eastAsia="en-AU"/>
              </w:rPr>
              <w:t>904.73</w:t>
            </w:r>
          </w:p>
        </w:tc>
        <w:tc>
          <w:tcPr>
            <w:tcW w:w="1178" w:type="dxa"/>
          </w:tcPr>
          <w:p w14:paraId="270AA07D" w14:textId="77777777" w:rsidR="00D073DB" w:rsidRPr="00C127A3" w:rsidRDefault="00D073DB" w:rsidP="003C01AD">
            <w:pPr>
              <w:pStyle w:val="Tabletext9pt"/>
              <w:numPr>
                <w:ilvl w:val="0"/>
                <w:numId w:val="30"/>
              </w:numPr>
              <w:jc w:val="right"/>
              <w:rPr>
                <w:lang w:eastAsia="en-AU"/>
              </w:rPr>
            </w:pPr>
          </w:p>
        </w:tc>
      </w:tr>
      <w:tr w:rsidR="00D073DB" w:rsidRPr="00C127A3" w14:paraId="2BFFCA44" w14:textId="77777777" w:rsidTr="31E98B47">
        <w:tc>
          <w:tcPr>
            <w:tcW w:w="3104" w:type="dxa"/>
          </w:tcPr>
          <w:p w14:paraId="03F197C4" w14:textId="77777777" w:rsidR="00D073DB" w:rsidRPr="00AA4546" w:rsidRDefault="00D073DB" w:rsidP="00B57BE8">
            <w:pPr>
              <w:pStyle w:val="Tabletext9pt"/>
              <w:rPr>
                <w:lang w:eastAsia="en-AU"/>
              </w:rPr>
            </w:pPr>
            <w:r>
              <w:rPr>
                <w:lang w:eastAsia="en-AU"/>
              </w:rPr>
              <w:t>Drug treatment services – care and recovery coordination</w:t>
            </w:r>
          </w:p>
        </w:tc>
        <w:tc>
          <w:tcPr>
            <w:tcW w:w="2316" w:type="dxa"/>
          </w:tcPr>
          <w:p w14:paraId="6657D9D2" w14:textId="77777777" w:rsidR="00D073DB" w:rsidRPr="00C127A3"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534C4027" w14:textId="6E7FCD80" w:rsidR="00D073DB" w:rsidRPr="00C127A3" w:rsidRDefault="001B3281" w:rsidP="003C01AD">
            <w:pPr>
              <w:pStyle w:val="Tabletext9pt"/>
              <w:numPr>
                <w:ilvl w:val="0"/>
                <w:numId w:val="30"/>
              </w:numPr>
              <w:spacing w:line="259" w:lineRule="auto"/>
              <w:jc w:val="right"/>
            </w:pPr>
            <w:r>
              <w:rPr>
                <w:lang w:eastAsia="en-AU"/>
              </w:rPr>
              <w:t>904.73</w:t>
            </w:r>
          </w:p>
        </w:tc>
        <w:tc>
          <w:tcPr>
            <w:tcW w:w="1178" w:type="dxa"/>
          </w:tcPr>
          <w:p w14:paraId="2F460377" w14:textId="77777777" w:rsidR="00D073DB" w:rsidRPr="00C127A3" w:rsidRDefault="00D073DB" w:rsidP="003C01AD">
            <w:pPr>
              <w:pStyle w:val="Tabletext9pt"/>
              <w:numPr>
                <w:ilvl w:val="0"/>
                <w:numId w:val="30"/>
              </w:numPr>
              <w:jc w:val="right"/>
              <w:rPr>
                <w:lang w:eastAsia="en-AU"/>
              </w:rPr>
            </w:pPr>
          </w:p>
        </w:tc>
      </w:tr>
      <w:tr w:rsidR="00D073DB" w:rsidRPr="00C127A3" w14:paraId="77362E6D" w14:textId="77777777" w:rsidTr="31E98B47">
        <w:tc>
          <w:tcPr>
            <w:tcW w:w="3104" w:type="dxa"/>
          </w:tcPr>
          <w:p w14:paraId="0EFF6AF9" w14:textId="77777777" w:rsidR="00D073DB" w:rsidRPr="00C127A3" w:rsidRDefault="00D073DB" w:rsidP="003C01AD">
            <w:pPr>
              <w:pStyle w:val="Tabletext9pt"/>
              <w:numPr>
                <w:ilvl w:val="0"/>
                <w:numId w:val="30"/>
              </w:numPr>
              <w:rPr>
                <w:lang w:eastAsia="en-AU"/>
              </w:rPr>
            </w:pPr>
            <w:r w:rsidRPr="31E98B47">
              <w:rPr>
                <w:lang w:eastAsia="en-AU"/>
              </w:rPr>
              <w:t>Drug treatment services – counselling</w:t>
            </w:r>
          </w:p>
        </w:tc>
        <w:tc>
          <w:tcPr>
            <w:tcW w:w="2316" w:type="dxa"/>
          </w:tcPr>
          <w:p w14:paraId="77B784E1" w14:textId="77777777" w:rsidR="00D073DB" w:rsidRPr="00C127A3"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5671B54E" w14:textId="37FB9618" w:rsidR="00D073DB" w:rsidRPr="00C127A3" w:rsidRDefault="001B3281" w:rsidP="003C01AD">
            <w:pPr>
              <w:pStyle w:val="Tabletext9pt"/>
              <w:numPr>
                <w:ilvl w:val="0"/>
                <w:numId w:val="30"/>
              </w:numPr>
              <w:jc w:val="right"/>
              <w:rPr>
                <w:lang w:eastAsia="en-AU"/>
              </w:rPr>
            </w:pPr>
            <w:r>
              <w:rPr>
                <w:lang w:eastAsia="en-AU"/>
              </w:rPr>
              <w:t>904.73</w:t>
            </w:r>
          </w:p>
        </w:tc>
        <w:tc>
          <w:tcPr>
            <w:tcW w:w="1178" w:type="dxa"/>
          </w:tcPr>
          <w:p w14:paraId="63455E0E" w14:textId="77777777" w:rsidR="00D073DB" w:rsidRPr="00C127A3" w:rsidRDefault="00D073DB" w:rsidP="003C01AD">
            <w:pPr>
              <w:pStyle w:val="Tabletext9pt"/>
              <w:numPr>
                <w:ilvl w:val="0"/>
                <w:numId w:val="30"/>
              </w:numPr>
              <w:jc w:val="right"/>
              <w:rPr>
                <w:lang w:eastAsia="en-AU"/>
              </w:rPr>
            </w:pPr>
          </w:p>
        </w:tc>
      </w:tr>
      <w:tr w:rsidR="00D073DB" w:rsidRPr="00C127A3" w14:paraId="2F0CD0A8" w14:textId="77777777" w:rsidTr="31E98B47">
        <w:tc>
          <w:tcPr>
            <w:tcW w:w="3104" w:type="dxa"/>
          </w:tcPr>
          <w:p w14:paraId="74A008A6" w14:textId="77777777" w:rsidR="00D073DB" w:rsidRPr="00C127A3" w:rsidRDefault="00D073DB" w:rsidP="003C01AD">
            <w:pPr>
              <w:pStyle w:val="Tabletext9pt"/>
              <w:numPr>
                <w:ilvl w:val="0"/>
                <w:numId w:val="30"/>
              </w:numPr>
              <w:rPr>
                <w:lang w:eastAsia="en-AU"/>
              </w:rPr>
            </w:pPr>
            <w:r w:rsidRPr="31E98B47">
              <w:rPr>
                <w:lang w:eastAsia="en-AU"/>
              </w:rPr>
              <w:t>Drug treatment services – non-residential withdrawal</w:t>
            </w:r>
          </w:p>
        </w:tc>
        <w:tc>
          <w:tcPr>
            <w:tcW w:w="2316" w:type="dxa"/>
          </w:tcPr>
          <w:p w14:paraId="3A78CEA7" w14:textId="77777777" w:rsidR="00D073DB" w:rsidRPr="00C127A3"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479CAA5E" w14:textId="49B9F474" w:rsidR="00D073DB" w:rsidRPr="00C127A3" w:rsidRDefault="00D073DB" w:rsidP="00B57BE8">
            <w:pPr>
              <w:pStyle w:val="Tabletext9pt"/>
              <w:jc w:val="right"/>
              <w:rPr>
                <w:lang w:eastAsia="en-AU"/>
              </w:rPr>
            </w:pPr>
            <w:r w:rsidRPr="31E98B47">
              <w:rPr>
                <w:lang w:eastAsia="en-AU"/>
              </w:rPr>
              <w:t xml:space="preserve"> </w:t>
            </w:r>
            <w:r w:rsidR="008B2CFB">
              <w:rPr>
                <w:lang w:eastAsia="en-AU"/>
              </w:rPr>
              <w:t>904.73</w:t>
            </w:r>
          </w:p>
        </w:tc>
        <w:tc>
          <w:tcPr>
            <w:tcW w:w="1178" w:type="dxa"/>
          </w:tcPr>
          <w:p w14:paraId="6040BFD9" w14:textId="77777777" w:rsidR="00D073DB" w:rsidRPr="00C127A3" w:rsidRDefault="00D073DB" w:rsidP="003C01AD">
            <w:pPr>
              <w:pStyle w:val="Tabletext9pt"/>
              <w:numPr>
                <w:ilvl w:val="0"/>
                <w:numId w:val="30"/>
              </w:numPr>
              <w:jc w:val="right"/>
              <w:rPr>
                <w:lang w:eastAsia="en-AU"/>
              </w:rPr>
            </w:pPr>
          </w:p>
        </w:tc>
      </w:tr>
      <w:tr w:rsidR="00D073DB" w:rsidRPr="00C127A3" w14:paraId="2931D69B" w14:textId="77777777" w:rsidTr="31E98B47">
        <w:tc>
          <w:tcPr>
            <w:tcW w:w="3104" w:type="dxa"/>
          </w:tcPr>
          <w:p w14:paraId="19AD9B4B" w14:textId="77777777" w:rsidR="00D073DB" w:rsidRPr="00C127A3" w:rsidRDefault="00D073DB" w:rsidP="003C01AD">
            <w:pPr>
              <w:pStyle w:val="Tabletext9pt"/>
              <w:numPr>
                <w:ilvl w:val="0"/>
                <w:numId w:val="30"/>
              </w:numPr>
              <w:rPr>
                <w:lang w:eastAsia="en-AU"/>
              </w:rPr>
            </w:pPr>
            <w:r w:rsidRPr="31E98B47">
              <w:rPr>
                <w:lang w:eastAsia="en-AU"/>
              </w:rPr>
              <w:t>Drug treatment services – therapeutic day rehabilitation</w:t>
            </w:r>
          </w:p>
        </w:tc>
        <w:tc>
          <w:tcPr>
            <w:tcW w:w="2316" w:type="dxa"/>
          </w:tcPr>
          <w:p w14:paraId="342B530E" w14:textId="77777777" w:rsidR="00D073DB" w:rsidRPr="00C127A3"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7D1E0C82" w14:textId="7DE3E8E5" w:rsidR="00D073DB" w:rsidRPr="00C127A3" w:rsidRDefault="00C65A08" w:rsidP="003C01AD">
            <w:pPr>
              <w:pStyle w:val="Tabletext9pt"/>
              <w:numPr>
                <w:ilvl w:val="0"/>
                <w:numId w:val="30"/>
              </w:numPr>
              <w:jc w:val="right"/>
              <w:rPr>
                <w:lang w:eastAsia="en-AU"/>
              </w:rPr>
            </w:pPr>
            <w:r>
              <w:rPr>
                <w:lang w:eastAsia="en-AU"/>
              </w:rPr>
              <w:t>904.73</w:t>
            </w:r>
          </w:p>
        </w:tc>
        <w:tc>
          <w:tcPr>
            <w:tcW w:w="1178" w:type="dxa"/>
          </w:tcPr>
          <w:p w14:paraId="04D2E1EC" w14:textId="77777777" w:rsidR="00D073DB" w:rsidRPr="00C127A3" w:rsidRDefault="00D073DB" w:rsidP="003C01AD">
            <w:pPr>
              <w:pStyle w:val="Tabletext9pt"/>
              <w:numPr>
                <w:ilvl w:val="0"/>
                <w:numId w:val="30"/>
              </w:numPr>
              <w:jc w:val="right"/>
              <w:rPr>
                <w:lang w:eastAsia="en-AU"/>
              </w:rPr>
            </w:pPr>
          </w:p>
        </w:tc>
      </w:tr>
      <w:tr w:rsidR="00D073DB" w:rsidRPr="00C127A3" w14:paraId="0D9F346A" w14:textId="77777777" w:rsidTr="31E98B47">
        <w:tc>
          <w:tcPr>
            <w:tcW w:w="3104" w:type="dxa"/>
          </w:tcPr>
          <w:p w14:paraId="7802B0CD" w14:textId="77777777" w:rsidR="00D073DB" w:rsidRPr="00C127A3" w:rsidRDefault="00D073DB" w:rsidP="003C01AD">
            <w:pPr>
              <w:pStyle w:val="Tabletext9pt"/>
              <w:numPr>
                <w:ilvl w:val="0"/>
                <w:numId w:val="30"/>
              </w:numPr>
              <w:rPr>
                <w:lang w:eastAsia="en-AU"/>
              </w:rPr>
            </w:pPr>
            <w:r w:rsidRPr="31E98B47">
              <w:rPr>
                <w:lang w:eastAsia="en-AU"/>
              </w:rPr>
              <w:t>Adult residential drug withdrawal</w:t>
            </w:r>
          </w:p>
        </w:tc>
        <w:tc>
          <w:tcPr>
            <w:tcW w:w="2316" w:type="dxa"/>
          </w:tcPr>
          <w:p w14:paraId="1A45A707" w14:textId="77777777" w:rsidR="00D073DB"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7D258970" w14:textId="2B6A8278" w:rsidR="00D073DB" w:rsidRDefault="00FE773F" w:rsidP="003C01AD">
            <w:pPr>
              <w:pStyle w:val="Tabletext9pt"/>
              <w:numPr>
                <w:ilvl w:val="0"/>
                <w:numId w:val="30"/>
              </w:numPr>
              <w:jc w:val="right"/>
              <w:rPr>
                <w:lang w:eastAsia="en-AU"/>
              </w:rPr>
            </w:pPr>
            <w:r>
              <w:rPr>
                <w:lang w:eastAsia="en-AU"/>
              </w:rPr>
              <w:t>904.73</w:t>
            </w:r>
          </w:p>
        </w:tc>
        <w:tc>
          <w:tcPr>
            <w:tcW w:w="1178" w:type="dxa"/>
          </w:tcPr>
          <w:p w14:paraId="24167BFC" w14:textId="77777777" w:rsidR="00D073DB" w:rsidRDefault="00D073DB" w:rsidP="003C01AD">
            <w:pPr>
              <w:pStyle w:val="Tabletext9pt"/>
              <w:numPr>
                <w:ilvl w:val="0"/>
                <w:numId w:val="30"/>
              </w:numPr>
              <w:jc w:val="right"/>
              <w:rPr>
                <w:lang w:eastAsia="en-AU"/>
              </w:rPr>
            </w:pPr>
          </w:p>
        </w:tc>
      </w:tr>
      <w:tr w:rsidR="00D073DB" w:rsidRPr="00C127A3" w14:paraId="0464BE9A" w14:textId="77777777" w:rsidTr="31E98B47">
        <w:tc>
          <w:tcPr>
            <w:tcW w:w="3104" w:type="dxa"/>
          </w:tcPr>
          <w:p w14:paraId="2FAA6D06" w14:textId="77777777" w:rsidR="00D073DB" w:rsidRPr="00C127A3" w:rsidRDefault="00D073DB" w:rsidP="003C01AD">
            <w:pPr>
              <w:pStyle w:val="Tabletext9pt"/>
              <w:numPr>
                <w:ilvl w:val="0"/>
                <w:numId w:val="30"/>
              </w:numPr>
              <w:rPr>
                <w:lang w:eastAsia="en-AU"/>
              </w:rPr>
            </w:pPr>
            <w:r w:rsidRPr="31E98B47">
              <w:rPr>
                <w:lang w:eastAsia="en-AU"/>
              </w:rPr>
              <w:t>Adult residential rehabilitation</w:t>
            </w:r>
          </w:p>
        </w:tc>
        <w:tc>
          <w:tcPr>
            <w:tcW w:w="2316" w:type="dxa"/>
          </w:tcPr>
          <w:p w14:paraId="38254098" w14:textId="77777777" w:rsidR="00D073DB"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082BD0A7" w14:textId="301BF103" w:rsidR="00D073DB" w:rsidRDefault="00FE773F" w:rsidP="003C01AD">
            <w:pPr>
              <w:pStyle w:val="Tabletext9pt"/>
              <w:numPr>
                <w:ilvl w:val="0"/>
                <w:numId w:val="30"/>
              </w:numPr>
              <w:jc w:val="right"/>
              <w:rPr>
                <w:lang w:eastAsia="en-AU"/>
              </w:rPr>
            </w:pPr>
            <w:r>
              <w:rPr>
                <w:lang w:eastAsia="en-AU"/>
              </w:rPr>
              <w:t>904.73</w:t>
            </w:r>
          </w:p>
        </w:tc>
        <w:tc>
          <w:tcPr>
            <w:tcW w:w="1178" w:type="dxa"/>
          </w:tcPr>
          <w:p w14:paraId="13F04A72" w14:textId="77777777" w:rsidR="00D073DB" w:rsidRDefault="00D073DB" w:rsidP="003C01AD">
            <w:pPr>
              <w:pStyle w:val="Tabletext9pt"/>
              <w:numPr>
                <w:ilvl w:val="0"/>
                <w:numId w:val="30"/>
              </w:numPr>
              <w:jc w:val="right"/>
              <w:rPr>
                <w:lang w:eastAsia="en-AU"/>
              </w:rPr>
            </w:pPr>
          </w:p>
        </w:tc>
      </w:tr>
      <w:tr w:rsidR="00D073DB" w:rsidRPr="00C127A3" w14:paraId="481456A0" w14:textId="77777777" w:rsidTr="31E98B47">
        <w:tc>
          <w:tcPr>
            <w:tcW w:w="3104" w:type="dxa"/>
          </w:tcPr>
          <w:p w14:paraId="27F0BC7D" w14:textId="77777777" w:rsidR="00D073DB" w:rsidRPr="00C127A3" w:rsidRDefault="00D073DB" w:rsidP="003C01AD">
            <w:pPr>
              <w:pStyle w:val="Tabletext9pt"/>
              <w:numPr>
                <w:ilvl w:val="0"/>
                <w:numId w:val="30"/>
              </w:numPr>
              <w:rPr>
                <w:lang w:eastAsia="en-AU"/>
              </w:rPr>
            </w:pPr>
            <w:r w:rsidRPr="31E98B47">
              <w:rPr>
                <w:lang w:eastAsia="en-AU"/>
              </w:rPr>
              <w:t>Youth residential drug withdrawal</w:t>
            </w:r>
          </w:p>
        </w:tc>
        <w:tc>
          <w:tcPr>
            <w:tcW w:w="2316" w:type="dxa"/>
          </w:tcPr>
          <w:p w14:paraId="597BD722" w14:textId="77777777" w:rsidR="00D073DB"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7EF91761" w14:textId="3AF9DB81" w:rsidR="00D073DB" w:rsidRDefault="00FE773F" w:rsidP="003C01AD">
            <w:pPr>
              <w:pStyle w:val="Tabletext9pt"/>
              <w:numPr>
                <w:ilvl w:val="0"/>
                <w:numId w:val="30"/>
              </w:numPr>
              <w:jc w:val="right"/>
              <w:rPr>
                <w:lang w:eastAsia="en-AU"/>
              </w:rPr>
            </w:pPr>
            <w:r>
              <w:rPr>
                <w:lang w:eastAsia="en-AU"/>
              </w:rPr>
              <w:t>904.73</w:t>
            </w:r>
          </w:p>
        </w:tc>
        <w:tc>
          <w:tcPr>
            <w:tcW w:w="1178" w:type="dxa"/>
          </w:tcPr>
          <w:p w14:paraId="3502D0E3" w14:textId="77777777" w:rsidR="00D073DB" w:rsidRDefault="00D073DB" w:rsidP="003C01AD">
            <w:pPr>
              <w:pStyle w:val="Tabletext9pt"/>
              <w:numPr>
                <w:ilvl w:val="0"/>
                <w:numId w:val="30"/>
              </w:numPr>
              <w:jc w:val="right"/>
              <w:rPr>
                <w:lang w:eastAsia="en-AU"/>
              </w:rPr>
            </w:pPr>
          </w:p>
        </w:tc>
      </w:tr>
      <w:tr w:rsidR="00D073DB" w:rsidRPr="00C127A3" w14:paraId="0210C4C9" w14:textId="77777777" w:rsidTr="31E98B47">
        <w:tc>
          <w:tcPr>
            <w:tcW w:w="3104" w:type="dxa"/>
          </w:tcPr>
          <w:p w14:paraId="4F4C20E0" w14:textId="77777777" w:rsidR="00D073DB" w:rsidRPr="00C127A3" w:rsidRDefault="00D073DB" w:rsidP="003C01AD">
            <w:pPr>
              <w:pStyle w:val="Tabletext9pt"/>
              <w:numPr>
                <w:ilvl w:val="0"/>
                <w:numId w:val="30"/>
              </w:numPr>
              <w:rPr>
                <w:lang w:eastAsia="en-AU"/>
              </w:rPr>
            </w:pPr>
            <w:r w:rsidRPr="31E98B47">
              <w:rPr>
                <w:lang w:eastAsia="en-AU"/>
              </w:rPr>
              <w:t>Youth residential rehabilitation</w:t>
            </w:r>
          </w:p>
        </w:tc>
        <w:tc>
          <w:tcPr>
            <w:tcW w:w="2316" w:type="dxa"/>
          </w:tcPr>
          <w:p w14:paraId="369608AB" w14:textId="77777777" w:rsidR="00D073DB"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34D7530D" w14:textId="1E66AE6B" w:rsidR="00D073DB" w:rsidRDefault="00FA3A3D" w:rsidP="003C01AD">
            <w:pPr>
              <w:pStyle w:val="Tabletext9pt"/>
              <w:numPr>
                <w:ilvl w:val="0"/>
                <w:numId w:val="30"/>
              </w:numPr>
              <w:jc w:val="right"/>
              <w:rPr>
                <w:lang w:eastAsia="en-AU"/>
              </w:rPr>
            </w:pPr>
            <w:r>
              <w:rPr>
                <w:lang w:eastAsia="en-AU"/>
              </w:rPr>
              <w:t>904.73</w:t>
            </w:r>
          </w:p>
        </w:tc>
        <w:tc>
          <w:tcPr>
            <w:tcW w:w="1178" w:type="dxa"/>
          </w:tcPr>
          <w:p w14:paraId="4399E5C6" w14:textId="77777777" w:rsidR="00D073DB" w:rsidRDefault="00D073DB" w:rsidP="003C01AD">
            <w:pPr>
              <w:pStyle w:val="Tabletext9pt"/>
              <w:numPr>
                <w:ilvl w:val="0"/>
                <w:numId w:val="30"/>
              </w:numPr>
              <w:jc w:val="right"/>
              <w:rPr>
                <w:lang w:eastAsia="en-AU"/>
              </w:rPr>
            </w:pPr>
          </w:p>
        </w:tc>
      </w:tr>
      <w:tr w:rsidR="00D073DB" w:rsidRPr="00C127A3" w14:paraId="6D17B152" w14:textId="77777777" w:rsidTr="31E98B47">
        <w:tc>
          <w:tcPr>
            <w:tcW w:w="3104" w:type="dxa"/>
          </w:tcPr>
          <w:p w14:paraId="5859FD0E" w14:textId="77777777" w:rsidR="00D073DB" w:rsidRPr="00C127A3" w:rsidRDefault="00D073DB" w:rsidP="003C01AD">
            <w:pPr>
              <w:pStyle w:val="Tabletext9pt"/>
              <w:numPr>
                <w:ilvl w:val="0"/>
                <w:numId w:val="30"/>
              </w:numPr>
              <w:rPr>
                <w:lang w:eastAsia="en-AU"/>
              </w:rPr>
            </w:pPr>
            <w:r w:rsidRPr="31E98B47">
              <w:rPr>
                <w:lang w:eastAsia="en-AU"/>
              </w:rPr>
              <w:t>Aboriginal residential rehabilitation</w:t>
            </w:r>
          </w:p>
        </w:tc>
        <w:tc>
          <w:tcPr>
            <w:tcW w:w="2316" w:type="dxa"/>
          </w:tcPr>
          <w:p w14:paraId="0F4DD81C" w14:textId="77777777" w:rsidR="00D073DB" w:rsidRDefault="00D073DB" w:rsidP="003C01AD">
            <w:pPr>
              <w:pStyle w:val="Tabletext9pt"/>
              <w:numPr>
                <w:ilvl w:val="0"/>
                <w:numId w:val="30"/>
              </w:numPr>
              <w:rPr>
                <w:lang w:eastAsia="en-AU"/>
              </w:rPr>
            </w:pPr>
            <w:r w:rsidRPr="31E98B47">
              <w:rPr>
                <w:lang w:eastAsia="en-AU"/>
              </w:rPr>
              <w:t>Drug treatment activity unit</w:t>
            </w:r>
          </w:p>
        </w:tc>
        <w:tc>
          <w:tcPr>
            <w:tcW w:w="2701" w:type="dxa"/>
          </w:tcPr>
          <w:p w14:paraId="3868625E" w14:textId="643E0E71" w:rsidR="00D073DB" w:rsidRDefault="00FA3A3D" w:rsidP="003C01AD">
            <w:pPr>
              <w:pStyle w:val="Tabletext9pt"/>
              <w:numPr>
                <w:ilvl w:val="0"/>
                <w:numId w:val="30"/>
              </w:numPr>
              <w:jc w:val="right"/>
              <w:rPr>
                <w:lang w:eastAsia="en-AU"/>
              </w:rPr>
            </w:pPr>
            <w:r>
              <w:rPr>
                <w:lang w:eastAsia="en-AU"/>
              </w:rPr>
              <w:t>904.73</w:t>
            </w:r>
          </w:p>
        </w:tc>
        <w:tc>
          <w:tcPr>
            <w:tcW w:w="1178" w:type="dxa"/>
          </w:tcPr>
          <w:p w14:paraId="179292D5" w14:textId="77777777" w:rsidR="00D073DB" w:rsidRDefault="00D073DB" w:rsidP="003C01AD">
            <w:pPr>
              <w:pStyle w:val="Tabletext9pt"/>
              <w:numPr>
                <w:ilvl w:val="0"/>
                <w:numId w:val="30"/>
              </w:numPr>
              <w:jc w:val="right"/>
              <w:rPr>
                <w:lang w:eastAsia="en-AU"/>
              </w:rPr>
            </w:pPr>
          </w:p>
        </w:tc>
      </w:tr>
      <w:tr w:rsidR="00D073DB" w:rsidRPr="00C127A3" w14:paraId="148DF462" w14:textId="77777777" w:rsidTr="31E98B47">
        <w:tc>
          <w:tcPr>
            <w:tcW w:w="3104" w:type="dxa"/>
          </w:tcPr>
          <w:p w14:paraId="40FA7C9E" w14:textId="77777777" w:rsidR="00D073DB" w:rsidRPr="00C127A3" w:rsidRDefault="00D073DB" w:rsidP="003C01AD">
            <w:pPr>
              <w:pStyle w:val="Tabletext9pt"/>
              <w:numPr>
                <w:ilvl w:val="0"/>
                <w:numId w:val="30"/>
              </w:numPr>
              <w:rPr>
                <w:lang w:eastAsia="en-AU"/>
              </w:rPr>
            </w:pPr>
            <w:r w:rsidRPr="31E98B47">
              <w:rPr>
                <w:lang w:eastAsia="en-AU"/>
              </w:rPr>
              <w:t>Youth alcohol and drug supported accommodation</w:t>
            </w:r>
          </w:p>
        </w:tc>
        <w:tc>
          <w:tcPr>
            <w:tcW w:w="2316" w:type="dxa"/>
          </w:tcPr>
          <w:p w14:paraId="648B8D8A" w14:textId="77777777" w:rsidR="00D073DB" w:rsidRPr="00C127A3" w:rsidRDefault="00D073DB" w:rsidP="003C01AD">
            <w:pPr>
              <w:pStyle w:val="Tabletext9pt"/>
              <w:numPr>
                <w:ilvl w:val="0"/>
                <w:numId w:val="30"/>
              </w:numPr>
              <w:rPr>
                <w:lang w:eastAsia="en-AU"/>
              </w:rPr>
            </w:pPr>
            <w:r w:rsidRPr="31E98B47">
              <w:rPr>
                <w:lang w:eastAsia="en-AU"/>
              </w:rPr>
              <w:t>Episodes of care</w:t>
            </w:r>
          </w:p>
        </w:tc>
        <w:tc>
          <w:tcPr>
            <w:tcW w:w="2701" w:type="dxa"/>
          </w:tcPr>
          <w:p w14:paraId="58C1E6A9" w14:textId="3AAF3E9A" w:rsidR="00D073DB" w:rsidRPr="0038691C" w:rsidRDefault="5C648ED7" w:rsidP="003C01AD">
            <w:pPr>
              <w:pStyle w:val="Tabletext9pt"/>
              <w:numPr>
                <w:ilvl w:val="0"/>
                <w:numId w:val="30"/>
              </w:numPr>
              <w:jc w:val="right"/>
              <w:rPr>
                <w:lang w:eastAsia="en-AU"/>
              </w:rPr>
            </w:pPr>
            <w:r w:rsidRPr="003C65E0">
              <w:rPr>
                <w:lang w:eastAsia="en-AU"/>
              </w:rPr>
              <w:t>6,</w:t>
            </w:r>
            <w:r w:rsidR="005E3858">
              <w:rPr>
                <w:lang w:eastAsia="en-AU"/>
              </w:rPr>
              <w:t>955</w:t>
            </w:r>
          </w:p>
        </w:tc>
        <w:tc>
          <w:tcPr>
            <w:tcW w:w="1178" w:type="dxa"/>
          </w:tcPr>
          <w:p w14:paraId="21BAC115" w14:textId="022E3E6C" w:rsidR="00D073DB" w:rsidRPr="003C65E0" w:rsidRDefault="4F0D621D" w:rsidP="003C01AD">
            <w:pPr>
              <w:pStyle w:val="Tabletext9pt"/>
              <w:numPr>
                <w:ilvl w:val="0"/>
                <w:numId w:val="30"/>
              </w:numPr>
              <w:jc w:val="right"/>
              <w:rPr>
                <w:lang w:eastAsia="en-AU"/>
              </w:rPr>
            </w:pPr>
            <w:r w:rsidRPr="0000756E">
              <w:rPr>
                <w:lang w:eastAsia="en-AU"/>
              </w:rPr>
              <w:t>9,</w:t>
            </w:r>
            <w:r w:rsidR="0016459D">
              <w:rPr>
                <w:lang w:eastAsia="en-AU"/>
              </w:rPr>
              <w:t>272</w:t>
            </w:r>
          </w:p>
        </w:tc>
      </w:tr>
      <w:tr w:rsidR="00D073DB" w:rsidRPr="00C127A3" w14:paraId="45AE9D27" w14:textId="77777777" w:rsidTr="31E98B47">
        <w:tc>
          <w:tcPr>
            <w:tcW w:w="3104" w:type="dxa"/>
          </w:tcPr>
          <w:p w14:paraId="24E51E75" w14:textId="77777777" w:rsidR="00D073DB" w:rsidRPr="00C127A3" w:rsidRDefault="00D073DB" w:rsidP="003C01AD">
            <w:pPr>
              <w:pStyle w:val="Tabletext9pt"/>
              <w:numPr>
                <w:ilvl w:val="0"/>
                <w:numId w:val="30"/>
              </w:numPr>
              <w:rPr>
                <w:lang w:eastAsia="en-AU"/>
              </w:rPr>
            </w:pPr>
            <w:r w:rsidRPr="31E98B47">
              <w:rPr>
                <w:lang w:eastAsia="en-AU"/>
              </w:rPr>
              <w:t>Aboriginal alcohol and drug worker</w:t>
            </w:r>
          </w:p>
        </w:tc>
        <w:tc>
          <w:tcPr>
            <w:tcW w:w="2316" w:type="dxa"/>
          </w:tcPr>
          <w:p w14:paraId="04CE3397" w14:textId="77777777" w:rsidR="00D073DB" w:rsidRPr="00C127A3" w:rsidRDefault="00D073DB" w:rsidP="003C01AD">
            <w:pPr>
              <w:pStyle w:val="Tabletext9pt"/>
              <w:numPr>
                <w:ilvl w:val="0"/>
                <w:numId w:val="30"/>
              </w:numPr>
              <w:rPr>
                <w:lang w:eastAsia="en-AU"/>
              </w:rPr>
            </w:pPr>
            <w:r w:rsidRPr="31E98B47">
              <w:rPr>
                <w:lang w:eastAsia="en-AU"/>
              </w:rPr>
              <w:t>Episodes of care</w:t>
            </w:r>
          </w:p>
        </w:tc>
        <w:tc>
          <w:tcPr>
            <w:tcW w:w="2701" w:type="dxa"/>
          </w:tcPr>
          <w:p w14:paraId="759DED76" w14:textId="431D5887" w:rsidR="00D073DB" w:rsidRPr="00C127A3" w:rsidRDefault="49B4FDCD" w:rsidP="003C01AD">
            <w:pPr>
              <w:pStyle w:val="Tabletext9pt"/>
              <w:numPr>
                <w:ilvl w:val="0"/>
                <w:numId w:val="30"/>
              </w:numPr>
              <w:jc w:val="right"/>
              <w:rPr>
                <w:lang w:eastAsia="en-AU"/>
              </w:rPr>
            </w:pPr>
            <w:r w:rsidRPr="31E98B47">
              <w:rPr>
                <w:lang w:eastAsia="en-AU"/>
              </w:rPr>
              <w:t>2,</w:t>
            </w:r>
            <w:r w:rsidR="00916C9F">
              <w:rPr>
                <w:lang w:eastAsia="en-AU"/>
              </w:rPr>
              <w:t>341</w:t>
            </w:r>
          </w:p>
        </w:tc>
        <w:tc>
          <w:tcPr>
            <w:tcW w:w="1178" w:type="dxa"/>
          </w:tcPr>
          <w:p w14:paraId="46ABBE41" w14:textId="77777777" w:rsidR="00D073DB" w:rsidRPr="00C127A3" w:rsidRDefault="00D073DB" w:rsidP="003C01AD">
            <w:pPr>
              <w:pStyle w:val="Tabletext9pt"/>
              <w:numPr>
                <w:ilvl w:val="0"/>
                <w:numId w:val="30"/>
              </w:numPr>
              <w:jc w:val="right"/>
              <w:rPr>
                <w:lang w:eastAsia="en-AU"/>
              </w:rPr>
            </w:pPr>
          </w:p>
        </w:tc>
      </w:tr>
      <w:tr w:rsidR="00D073DB" w:rsidRPr="00C127A3" w14:paraId="72E3DDC4" w14:textId="77777777" w:rsidTr="31E98B47">
        <w:tc>
          <w:tcPr>
            <w:tcW w:w="3104" w:type="dxa"/>
          </w:tcPr>
          <w:p w14:paraId="56CFBD54" w14:textId="77777777" w:rsidR="00D073DB" w:rsidRPr="00C127A3" w:rsidRDefault="00D073DB" w:rsidP="003C01AD">
            <w:pPr>
              <w:pStyle w:val="Tabletext9pt"/>
              <w:numPr>
                <w:ilvl w:val="0"/>
                <w:numId w:val="30"/>
              </w:numPr>
              <w:rPr>
                <w:lang w:eastAsia="en-AU"/>
              </w:rPr>
            </w:pPr>
            <w:r w:rsidRPr="31E98B47">
              <w:rPr>
                <w:lang w:eastAsia="en-AU"/>
              </w:rPr>
              <w:t>Youth outreach</w:t>
            </w:r>
          </w:p>
        </w:tc>
        <w:tc>
          <w:tcPr>
            <w:tcW w:w="2316" w:type="dxa"/>
          </w:tcPr>
          <w:p w14:paraId="7A9F2963" w14:textId="77777777" w:rsidR="00D073DB" w:rsidRPr="00C127A3" w:rsidRDefault="00D073DB" w:rsidP="003C01AD">
            <w:pPr>
              <w:pStyle w:val="Tabletext9pt"/>
              <w:numPr>
                <w:ilvl w:val="0"/>
                <w:numId w:val="30"/>
              </w:numPr>
              <w:rPr>
                <w:lang w:eastAsia="en-AU"/>
              </w:rPr>
            </w:pPr>
            <w:r w:rsidRPr="31E98B47">
              <w:rPr>
                <w:lang w:eastAsia="en-AU"/>
              </w:rPr>
              <w:t>Episodes of care</w:t>
            </w:r>
          </w:p>
        </w:tc>
        <w:tc>
          <w:tcPr>
            <w:tcW w:w="2701" w:type="dxa"/>
          </w:tcPr>
          <w:p w14:paraId="4703AE0E" w14:textId="57D9FBBA" w:rsidR="00D073DB" w:rsidRPr="00C127A3" w:rsidRDefault="4E7BED6A" w:rsidP="003C01AD">
            <w:pPr>
              <w:pStyle w:val="Tabletext9pt"/>
              <w:numPr>
                <w:ilvl w:val="0"/>
                <w:numId w:val="30"/>
              </w:numPr>
              <w:jc w:val="right"/>
              <w:rPr>
                <w:lang w:eastAsia="en-AU"/>
              </w:rPr>
            </w:pPr>
            <w:r w:rsidRPr="31E98B47">
              <w:rPr>
                <w:lang w:eastAsia="en-AU"/>
              </w:rPr>
              <w:t>2,0</w:t>
            </w:r>
            <w:r w:rsidR="009B07C4">
              <w:rPr>
                <w:lang w:eastAsia="en-AU"/>
              </w:rPr>
              <w:t>71</w:t>
            </w:r>
          </w:p>
        </w:tc>
        <w:tc>
          <w:tcPr>
            <w:tcW w:w="1178" w:type="dxa"/>
          </w:tcPr>
          <w:p w14:paraId="733928EC" w14:textId="77777777" w:rsidR="00D073DB" w:rsidRPr="00C127A3" w:rsidRDefault="00D073DB" w:rsidP="003C01AD">
            <w:pPr>
              <w:pStyle w:val="Tabletext9pt"/>
              <w:numPr>
                <w:ilvl w:val="0"/>
                <w:numId w:val="30"/>
              </w:numPr>
              <w:jc w:val="right"/>
              <w:rPr>
                <w:lang w:eastAsia="en-AU"/>
              </w:rPr>
            </w:pPr>
          </w:p>
        </w:tc>
      </w:tr>
      <w:tr w:rsidR="00D073DB" w:rsidRPr="00C127A3" w14:paraId="0D579656" w14:textId="77777777" w:rsidTr="31E98B47">
        <w:tc>
          <w:tcPr>
            <w:tcW w:w="3104" w:type="dxa"/>
          </w:tcPr>
          <w:p w14:paraId="2ABFA81B" w14:textId="77777777" w:rsidR="00D073DB" w:rsidRPr="00C127A3" w:rsidRDefault="00D073DB" w:rsidP="003C01AD">
            <w:pPr>
              <w:pStyle w:val="Tabletext9pt"/>
              <w:numPr>
                <w:ilvl w:val="0"/>
                <w:numId w:val="30"/>
              </w:numPr>
              <w:rPr>
                <w:lang w:eastAsia="en-AU"/>
              </w:rPr>
            </w:pPr>
            <w:r w:rsidRPr="31E98B47">
              <w:rPr>
                <w:lang w:eastAsia="en-AU"/>
              </w:rPr>
              <w:t>Specialist pharmacotherapy program</w:t>
            </w:r>
          </w:p>
        </w:tc>
        <w:tc>
          <w:tcPr>
            <w:tcW w:w="2316" w:type="dxa"/>
          </w:tcPr>
          <w:p w14:paraId="15A0F00C" w14:textId="77777777" w:rsidR="00D073DB" w:rsidRPr="00C127A3" w:rsidRDefault="00D073DB" w:rsidP="003C01AD">
            <w:pPr>
              <w:pStyle w:val="Tabletext9pt"/>
              <w:numPr>
                <w:ilvl w:val="0"/>
                <w:numId w:val="30"/>
              </w:numPr>
              <w:rPr>
                <w:lang w:eastAsia="en-AU"/>
              </w:rPr>
            </w:pPr>
            <w:r w:rsidRPr="31E98B47">
              <w:rPr>
                <w:lang w:eastAsia="en-AU"/>
              </w:rPr>
              <w:t>Episodes of care</w:t>
            </w:r>
          </w:p>
        </w:tc>
        <w:tc>
          <w:tcPr>
            <w:tcW w:w="2701" w:type="dxa"/>
          </w:tcPr>
          <w:p w14:paraId="5A25C6D6" w14:textId="609AE064" w:rsidR="00D073DB" w:rsidRPr="00C127A3" w:rsidRDefault="5DE49ED5" w:rsidP="003C01AD">
            <w:pPr>
              <w:pStyle w:val="Tabletext9pt"/>
              <w:numPr>
                <w:ilvl w:val="0"/>
                <w:numId w:val="30"/>
              </w:numPr>
              <w:jc w:val="right"/>
              <w:rPr>
                <w:lang w:eastAsia="en-AU"/>
              </w:rPr>
            </w:pPr>
            <w:r w:rsidRPr="31E98B47">
              <w:rPr>
                <w:lang w:eastAsia="en-AU"/>
              </w:rPr>
              <w:t>3,</w:t>
            </w:r>
            <w:r w:rsidR="00565477">
              <w:rPr>
                <w:lang w:eastAsia="en-AU"/>
              </w:rPr>
              <w:t>790</w:t>
            </w:r>
          </w:p>
        </w:tc>
        <w:tc>
          <w:tcPr>
            <w:tcW w:w="1178" w:type="dxa"/>
          </w:tcPr>
          <w:p w14:paraId="7649EEB5" w14:textId="77777777" w:rsidR="00D073DB" w:rsidRPr="00C127A3" w:rsidRDefault="00D073DB" w:rsidP="003C01AD">
            <w:pPr>
              <w:pStyle w:val="Tabletext9pt"/>
              <w:numPr>
                <w:ilvl w:val="0"/>
                <w:numId w:val="30"/>
              </w:numPr>
              <w:jc w:val="right"/>
              <w:rPr>
                <w:lang w:eastAsia="en-AU"/>
              </w:rPr>
            </w:pPr>
          </w:p>
        </w:tc>
      </w:tr>
      <w:tr w:rsidR="00D073DB" w:rsidRPr="00C127A3" w14:paraId="71A3D722" w14:textId="77777777" w:rsidTr="31E98B47">
        <w:tc>
          <w:tcPr>
            <w:tcW w:w="3104" w:type="dxa"/>
          </w:tcPr>
          <w:p w14:paraId="742F0907" w14:textId="77777777" w:rsidR="00D073DB" w:rsidRDefault="00D073DB" w:rsidP="003C01AD">
            <w:pPr>
              <w:pStyle w:val="Tabletext9pt"/>
              <w:numPr>
                <w:ilvl w:val="0"/>
                <w:numId w:val="30"/>
              </w:numPr>
              <w:rPr>
                <w:lang w:eastAsia="en-AU"/>
              </w:rPr>
            </w:pPr>
            <w:r w:rsidRPr="31E98B47">
              <w:rPr>
                <w:lang w:eastAsia="en-AU"/>
              </w:rPr>
              <w:t>Mobile overdose response</w:t>
            </w:r>
          </w:p>
        </w:tc>
        <w:tc>
          <w:tcPr>
            <w:tcW w:w="2316" w:type="dxa"/>
          </w:tcPr>
          <w:p w14:paraId="4B7A3CB1" w14:textId="77777777" w:rsidR="00D073DB" w:rsidRDefault="00D073DB" w:rsidP="003C01AD">
            <w:pPr>
              <w:pStyle w:val="Tabletext9pt"/>
              <w:numPr>
                <w:ilvl w:val="0"/>
                <w:numId w:val="30"/>
              </w:numPr>
              <w:rPr>
                <w:lang w:eastAsia="en-AU"/>
              </w:rPr>
            </w:pPr>
            <w:r w:rsidRPr="31E98B47">
              <w:rPr>
                <w:lang w:eastAsia="en-AU"/>
              </w:rPr>
              <w:t>Episodes of care</w:t>
            </w:r>
          </w:p>
        </w:tc>
        <w:tc>
          <w:tcPr>
            <w:tcW w:w="2701" w:type="dxa"/>
          </w:tcPr>
          <w:p w14:paraId="2B77228D" w14:textId="309F43A8" w:rsidR="00D073DB" w:rsidRPr="008B2386" w:rsidRDefault="00850D2D" w:rsidP="003C01AD">
            <w:pPr>
              <w:pStyle w:val="Tabletext9pt"/>
              <w:numPr>
                <w:ilvl w:val="0"/>
                <w:numId w:val="30"/>
              </w:numPr>
              <w:jc w:val="right"/>
              <w:rPr>
                <w:highlight w:val="green"/>
                <w:lang w:eastAsia="en-AU"/>
              </w:rPr>
            </w:pPr>
            <w:r>
              <w:rPr>
                <w:lang w:eastAsia="en-AU"/>
              </w:rPr>
              <w:t>8,172</w:t>
            </w:r>
          </w:p>
        </w:tc>
        <w:tc>
          <w:tcPr>
            <w:tcW w:w="1178" w:type="dxa"/>
          </w:tcPr>
          <w:p w14:paraId="1475434F" w14:textId="77777777" w:rsidR="00D073DB" w:rsidRPr="00C127A3" w:rsidRDefault="00D073DB" w:rsidP="003C01AD">
            <w:pPr>
              <w:pStyle w:val="Tabletext9pt"/>
              <w:numPr>
                <w:ilvl w:val="0"/>
                <w:numId w:val="30"/>
              </w:numPr>
              <w:jc w:val="right"/>
              <w:rPr>
                <w:lang w:eastAsia="en-AU"/>
              </w:rPr>
            </w:pPr>
          </w:p>
        </w:tc>
      </w:tr>
      <w:tr w:rsidR="00D073DB" w:rsidRPr="00C127A3" w14:paraId="7F7F7233" w14:textId="77777777" w:rsidTr="31E98B47">
        <w:tc>
          <w:tcPr>
            <w:tcW w:w="3104" w:type="dxa"/>
          </w:tcPr>
          <w:p w14:paraId="35811E5A" w14:textId="77777777" w:rsidR="00D073DB" w:rsidRDefault="00D073DB" w:rsidP="003C01AD">
            <w:pPr>
              <w:pStyle w:val="Tabletext9pt"/>
              <w:numPr>
                <w:ilvl w:val="0"/>
                <w:numId w:val="30"/>
              </w:numPr>
              <w:rPr>
                <w:lang w:eastAsia="en-AU"/>
              </w:rPr>
            </w:pPr>
            <w:r w:rsidRPr="31E98B47">
              <w:rPr>
                <w:lang w:eastAsia="en-AU"/>
              </w:rPr>
              <w:t>Rural withdrawal</w:t>
            </w:r>
          </w:p>
        </w:tc>
        <w:tc>
          <w:tcPr>
            <w:tcW w:w="2316" w:type="dxa"/>
          </w:tcPr>
          <w:p w14:paraId="357624DC" w14:textId="77777777" w:rsidR="00D073DB" w:rsidRDefault="00D073DB" w:rsidP="003C01AD">
            <w:pPr>
              <w:pStyle w:val="Tabletext9pt"/>
              <w:numPr>
                <w:ilvl w:val="0"/>
                <w:numId w:val="30"/>
              </w:numPr>
              <w:rPr>
                <w:lang w:eastAsia="en-AU"/>
              </w:rPr>
            </w:pPr>
            <w:r w:rsidRPr="31E98B47">
              <w:rPr>
                <w:lang w:eastAsia="en-AU"/>
              </w:rPr>
              <w:t>Episodes of care</w:t>
            </w:r>
          </w:p>
        </w:tc>
        <w:tc>
          <w:tcPr>
            <w:tcW w:w="2701" w:type="dxa"/>
          </w:tcPr>
          <w:p w14:paraId="1070CE50" w14:textId="68F34A03" w:rsidR="00D073DB" w:rsidRDefault="4A07A02E" w:rsidP="003C01AD">
            <w:pPr>
              <w:pStyle w:val="Tabletext9pt"/>
              <w:numPr>
                <w:ilvl w:val="0"/>
                <w:numId w:val="30"/>
              </w:numPr>
              <w:jc w:val="right"/>
              <w:rPr>
                <w:lang w:eastAsia="en-AU"/>
              </w:rPr>
            </w:pPr>
            <w:r w:rsidRPr="003C65E0">
              <w:rPr>
                <w:lang w:eastAsia="en-AU"/>
              </w:rPr>
              <w:t>2,0</w:t>
            </w:r>
            <w:r w:rsidR="00850D2D">
              <w:rPr>
                <w:lang w:eastAsia="en-AU"/>
              </w:rPr>
              <w:t>98</w:t>
            </w:r>
          </w:p>
        </w:tc>
        <w:tc>
          <w:tcPr>
            <w:tcW w:w="1178" w:type="dxa"/>
          </w:tcPr>
          <w:p w14:paraId="52A783FD" w14:textId="77777777" w:rsidR="00D073DB" w:rsidRPr="00C127A3" w:rsidRDefault="00D073DB" w:rsidP="003C01AD">
            <w:pPr>
              <w:pStyle w:val="Tabletext9pt"/>
              <w:numPr>
                <w:ilvl w:val="0"/>
                <w:numId w:val="30"/>
              </w:numPr>
              <w:jc w:val="right"/>
              <w:rPr>
                <w:lang w:eastAsia="en-AU"/>
              </w:rPr>
            </w:pPr>
          </w:p>
        </w:tc>
      </w:tr>
      <w:tr w:rsidR="00D073DB" w:rsidRPr="00C127A3" w14:paraId="63BC16AC" w14:textId="77777777" w:rsidTr="31E98B47">
        <w:tc>
          <w:tcPr>
            <w:tcW w:w="3104" w:type="dxa"/>
          </w:tcPr>
          <w:p w14:paraId="574D00F1" w14:textId="77777777" w:rsidR="00D073DB" w:rsidRDefault="00D073DB" w:rsidP="003C01AD">
            <w:pPr>
              <w:pStyle w:val="Tabletext9pt"/>
              <w:numPr>
                <w:ilvl w:val="0"/>
                <w:numId w:val="30"/>
              </w:numPr>
              <w:rPr>
                <w:lang w:eastAsia="en-AU"/>
              </w:rPr>
            </w:pPr>
            <w:r w:rsidRPr="31E98B47">
              <w:rPr>
                <w:lang w:eastAsia="en-AU"/>
              </w:rPr>
              <w:lastRenderedPageBreak/>
              <w:t>Women’s alcohol and drug supported accommodation</w:t>
            </w:r>
          </w:p>
        </w:tc>
        <w:tc>
          <w:tcPr>
            <w:tcW w:w="2316" w:type="dxa"/>
          </w:tcPr>
          <w:p w14:paraId="402A057A" w14:textId="77777777" w:rsidR="00D073DB" w:rsidRDefault="00D073DB" w:rsidP="003C01AD">
            <w:pPr>
              <w:pStyle w:val="Tabletext9pt"/>
              <w:numPr>
                <w:ilvl w:val="0"/>
                <w:numId w:val="30"/>
              </w:numPr>
              <w:rPr>
                <w:lang w:eastAsia="en-AU"/>
              </w:rPr>
            </w:pPr>
            <w:r w:rsidRPr="31E98B47">
              <w:rPr>
                <w:lang w:eastAsia="en-AU"/>
              </w:rPr>
              <w:t>Episodes of care</w:t>
            </w:r>
          </w:p>
        </w:tc>
        <w:tc>
          <w:tcPr>
            <w:tcW w:w="2701" w:type="dxa"/>
          </w:tcPr>
          <w:p w14:paraId="2720F0B0" w14:textId="586B47F4" w:rsidR="00D073DB" w:rsidRPr="008B2386" w:rsidRDefault="1BE61CDC" w:rsidP="003C01AD">
            <w:pPr>
              <w:pStyle w:val="Tabletext9pt"/>
              <w:numPr>
                <w:ilvl w:val="0"/>
                <w:numId w:val="30"/>
              </w:numPr>
              <w:jc w:val="right"/>
              <w:rPr>
                <w:highlight w:val="green"/>
                <w:lang w:eastAsia="en-AU"/>
              </w:rPr>
            </w:pPr>
            <w:r w:rsidRPr="003C65E0">
              <w:rPr>
                <w:lang w:eastAsia="en-AU"/>
              </w:rPr>
              <w:t>6,</w:t>
            </w:r>
            <w:r w:rsidR="00CB7220">
              <w:rPr>
                <w:lang w:eastAsia="en-AU"/>
              </w:rPr>
              <w:t>955</w:t>
            </w:r>
          </w:p>
        </w:tc>
        <w:tc>
          <w:tcPr>
            <w:tcW w:w="1178" w:type="dxa"/>
          </w:tcPr>
          <w:p w14:paraId="35BE61D6" w14:textId="77777777" w:rsidR="00D073DB" w:rsidRPr="00C127A3" w:rsidRDefault="00D073DB" w:rsidP="003C01AD">
            <w:pPr>
              <w:pStyle w:val="Tabletext9pt"/>
              <w:numPr>
                <w:ilvl w:val="0"/>
                <w:numId w:val="30"/>
              </w:numPr>
              <w:jc w:val="right"/>
              <w:rPr>
                <w:lang w:eastAsia="en-AU"/>
              </w:rPr>
            </w:pPr>
          </w:p>
        </w:tc>
      </w:tr>
      <w:tr w:rsidR="00D073DB" w:rsidRPr="00C127A3" w14:paraId="33287C4F" w14:textId="77777777" w:rsidTr="31E98B47">
        <w:tc>
          <w:tcPr>
            <w:tcW w:w="3104" w:type="dxa"/>
          </w:tcPr>
          <w:p w14:paraId="41BEACB6" w14:textId="77777777" w:rsidR="00D073DB" w:rsidRPr="00C127A3" w:rsidRDefault="00D073DB" w:rsidP="003C01AD">
            <w:pPr>
              <w:pStyle w:val="Tabletext9pt"/>
              <w:numPr>
                <w:ilvl w:val="0"/>
                <w:numId w:val="30"/>
              </w:numPr>
              <w:rPr>
                <w:lang w:eastAsia="en-AU"/>
              </w:rPr>
            </w:pPr>
            <w:r w:rsidRPr="31E98B47">
              <w:rPr>
                <w:lang w:eastAsia="en-AU"/>
              </w:rPr>
              <w:t xml:space="preserve">ACCO services – community model 1 </w:t>
            </w:r>
          </w:p>
        </w:tc>
        <w:tc>
          <w:tcPr>
            <w:tcW w:w="2316" w:type="dxa"/>
          </w:tcPr>
          <w:p w14:paraId="4AF48EFE" w14:textId="77777777" w:rsidR="00D073DB" w:rsidRPr="00C127A3" w:rsidRDefault="00D073DB" w:rsidP="003C01AD">
            <w:pPr>
              <w:pStyle w:val="Tabletext9pt"/>
              <w:numPr>
                <w:ilvl w:val="0"/>
                <w:numId w:val="30"/>
              </w:numPr>
              <w:rPr>
                <w:lang w:eastAsia="en-AU"/>
              </w:rPr>
            </w:pPr>
            <w:r w:rsidRPr="31E98B47">
              <w:rPr>
                <w:lang w:eastAsia="en-AU"/>
              </w:rPr>
              <w:t>Episodes of care</w:t>
            </w:r>
          </w:p>
        </w:tc>
        <w:tc>
          <w:tcPr>
            <w:tcW w:w="2701" w:type="dxa"/>
          </w:tcPr>
          <w:p w14:paraId="231E8E0D" w14:textId="26B446F1" w:rsidR="00D073DB" w:rsidRPr="00C127A3" w:rsidRDefault="59386032" w:rsidP="003C01AD">
            <w:pPr>
              <w:pStyle w:val="Tabletext9pt"/>
              <w:numPr>
                <w:ilvl w:val="0"/>
                <w:numId w:val="30"/>
              </w:numPr>
              <w:jc w:val="right"/>
              <w:rPr>
                <w:lang w:eastAsia="en-AU"/>
              </w:rPr>
            </w:pPr>
            <w:r w:rsidRPr="31E98B47">
              <w:rPr>
                <w:lang w:eastAsia="en-AU"/>
              </w:rPr>
              <w:t>8</w:t>
            </w:r>
            <w:r w:rsidR="00BE77DA">
              <w:rPr>
                <w:lang w:eastAsia="en-AU"/>
              </w:rPr>
              <w:t>52.78</w:t>
            </w:r>
          </w:p>
        </w:tc>
        <w:tc>
          <w:tcPr>
            <w:tcW w:w="1178" w:type="dxa"/>
          </w:tcPr>
          <w:p w14:paraId="663C5226" w14:textId="77777777" w:rsidR="00D073DB" w:rsidRPr="00C127A3" w:rsidRDefault="00D073DB" w:rsidP="003C01AD">
            <w:pPr>
              <w:pStyle w:val="Tabletext9pt"/>
              <w:numPr>
                <w:ilvl w:val="0"/>
                <w:numId w:val="30"/>
              </w:numPr>
              <w:jc w:val="right"/>
              <w:rPr>
                <w:lang w:eastAsia="en-AU"/>
              </w:rPr>
            </w:pPr>
          </w:p>
        </w:tc>
      </w:tr>
      <w:tr w:rsidR="00D073DB" w:rsidRPr="00C127A3" w14:paraId="61DD467B" w14:textId="77777777" w:rsidTr="31E98B47">
        <w:tc>
          <w:tcPr>
            <w:tcW w:w="3104" w:type="dxa"/>
          </w:tcPr>
          <w:p w14:paraId="3335A9E2" w14:textId="77777777" w:rsidR="00D073DB" w:rsidRPr="00C127A3" w:rsidRDefault="00D073DB" w:rsidP="003C01AD">
            <w:pPr>
              <w:pStyle w:val="Tabletext9pt"/>
              <w:numPr>
                <w:ilvl w:val="0"/>
                <w:numId w:val="30"/>
              </w:numPr>
              <w:rPr>
                <w:lang w:eastAsia="en-AU"/>
              </w:rPr>
            </w:pPr>
            <w:r w:rsidRPr="31E98B47">
              <w:rPr>
                <w:lang w:eastAsia="en-AU"/>
              </w:rPr>
              <w:t>ACCO services – community models 2 and 3</w:t>
            </w:r>
          </w:p>
        </w:tc>
        <w:tc>
          <w:tcPr>
            <w:tcW w:w="2316" w:type="dxa"/>
          </w:tcPr>
          <w:p w14:paraId="2CC30C02" w14:textId="77777777" w:rsidR="00D073DB" w:rsidRPr="00C127A3" w:rsidRDefault="00D073DB" w:rsidP="003C01AD">
            <w:pPr>
              <w:pStyle w:val="Tabletext9pt"/>
              <w:numPr>
                <w:ilvl w:val="0"/>
                <w:numId w:val="30"/>
              </w:numPr>
              <w:rPr>
                <w:lang w:eastAsia="en-AU"/>
              </w:rPr>
            </w:pPr>
            <w:r w:rsidRPr="31E98B47">
              <w:rPr>
                <w:lang w:eastAsia="en-AU"/>
              </w:rPr>
              <w:t>Episodes of care</w:t>
            </w:r>
          </w:p>
        </w:tc>
        <w:tc>
          <w:tcPr>
            <w:tcW w:w="2701" w:type="dxa"/>
          </w:tcPr>
          <w:p w14:paraId="51B07873" w14:textId="6D124338" w:rsidR="00D073DB" w:rsidRPr="00C127A3" w:rsidRDefault="1A68237F" w:rsidP="003C01AD">
            <w:pPr>
              <w:pStyle w:val="Tabletext9pt"/>
              <w:numPr>
                <w:ilvl w:val="0"/>
                <w:numId w:val="30"/>
              </w:numPr>
              <w:jc w:val="right"/>
              <w:rPr>
                <w:lang w:eastAsia="en-AU"/>
              </w:rPr>
            </w:pPr>
            <w:r w:rsidRPr="31E98B47">
              <w:rPr>
                <w:lang w:eastAsia="en-AU"/>
              </w:rPr>
              <w:t>2,</w:t>
            </w:r>
            <w:r w:rsidR="008E4E32">
              <w:rPr>
                <w:lang w:eastAsia="en-AU"/>
              </w:rPr>
              <w:t>634</w:t>
            </w:r>
          </w:p>
        </w:tc>
        <w:tc>
          <w:tcPr>
            <w:tcW w:w="1178" w:type="dxa"/>
          </w:tcPr>
          <w:p w14:paraId="7A09B7CE" w14:textId="77777777" w:rsidR="00D073DB" w:rsidRPr="00C127A3" w:rsidRDefault="00D073DB" w:rsidP="003C01AD">
            <w:pPr>
              <w:pStyle w:val="Tabletext9pt"/>
              <w:numPr>
                <w:ilvl w:val="0"/>
                <w:numId w:val="30"/>
              </w:numPr>
              <w:jc w:val="right"/>
              <w:rPr>
                <w:lang w:eastAsia="en-AU"/>
              </w:rPr>
            </w:pPr>
          </w:p>
        </w:tc>
      </w:tr>
      <w:tr w:rsidR="00D073DB" w:rsidRPr="00C127A3" w14:paraId="00EC5C89" w14:textId="77777777" w:rsidTr="31E98B47">
        <w:tc>
          <w:tcPr>
            <w:tcW w:w="3104" w:type="dxa"/>
          </w:tcPr>
          <w:p w14:paraId="00E5C536" w14:textId="77777777" w:rsidR="00D073DB" w:rsidRPr="00C127A3" w:rsidRDefault="00D073DB" w:rsidP="003C01AD">
            <w:pPr>
              <w:pStyle w:val="Tabletext9pt"/>
              <w:numPr>
                <w:ilvl w:val="0"/>
                <w:numId w:val="30"/>
              </w:numPr>
              <w:rPr>
                <w:lang w:eastAsia="en-AU"/>
              </w:rPr>
            </w:pPr>
            <w:r w:rsidRPr="31E98B47">
              <w:rPr>
                <w:lang w:eastAsia="en-AU"/>
              </w:rPr>
              <w:t>ACCO services – community alcohol and drug worker</w:t>
            </w:r>
          </w:p>
        </w:tc>
        <w:tc>
          <w:tcPr>
            <w:tcW w:w="2316" w:type="dxa"/>
          </w:tcPr>
          <w:p w14:paraId="09CB6B02" w14:textId="77777777" w:rsidR="00D073DB" w:rsidRPr="00C127A3" w:rsidRDefault="00D073DB" w:rsidP="003C01AD">
            <w:pPr>
              <w:pStyle w:val="Tabletext9pt"/>
              <w:numPr>
                <w:ilvl w:val="0"/>
                <w:numId w:val="30"/>
              </w:numPr>
              <w:rPr>
                <w:lang w:eastAsia="en-AU"/>
              </w:rPr>
            </w:pPr>
            <w:r w:rsidRPr="31E98B47">
              <w:rPr>
                <w:lang w:eastAsia="en-AU"/>
              </w:rPr>
              <w:t>Episodes of care</w:t>
            </w:r>
          </w:p>
        </w:tc>
        <w:tc>
          <w:tcPr>
            <w:tcW w:w="2701" w:type="dxa"/>
          </w:tcPr>
          <w:p w14:paraId="5BD4DCA8" w14:textId="70A9B9F8" w:rsidR="00D073DB" w:rsidRPr="00C127A3" w:rsidRDefault="5F1AC474" w:rsidP="003C01AD">
            <w:pPr>
              <w:pStyle w:val="Tabletext9pt"/>
              <w:numPr>
                <w:ilvl w:val="0"/>
                <w:numId w:val="30"/>
              </w:numPr>
              <w:jc w:val="right"/>
              <w:rPr>
                <w:lang w:eastAsia="en-AU"/>
              </w:rPr>
            </w:pPr>
            <w:r w:rsidRPr="31E98B47">
              <w:rPr>
                <w:lang w:eastAsia="en-AU"/>
              </w:rPr>
              <w:t>2,</w:t>
            </w:r>
            <w:r w:rsidR="008E4E32">
              <w:rPr>
                <w:lang w:eastAsia="en-AU"/>
              </w:rPr>
              <w:t>341</w:t>
            </w:r>
          </w:p>
        </w:tc>
        <w:tc>
          <w:tcPr>
            <w:tcW w:w="1178" w:type="dxa"/>
          </w:tcPr>
          <w:p w14:paraId="1021EF77" w14:textId="77777777" w:rsidR="00D073DB" w:rsidRPr="00C127A3" w:rsidRDefault="00D073DB" w:rsidP="003C01AD">
            <w:pPr>
              <w:pStyle w:val="Tabletext9pt"/>
              <w:numPr>
                <w:ilvl w:val="0"/>
                <w:numId w:val="30"/>
              </w:numPr>
              <w:jc w:val="right"/>
              <w:rPr>
                <w:lang w:eastAsia="en-AU"/>
              </w:rPr>
            </w:pPr>
          </w:p>
        </w:tc>
      </w:tr>
    </w:tbl>
    <w:p w14:paraId="32982696" w14:textId="53C75662" w:rsidR="000B27B9" w:rsidRDefault="000B27B9" w:rsidP="003302C7">
      <w:pPr>
        <w:pStyle w:val="Heading3"/>
        <w:spacing w:before="240" w:line="240" w:lineRule="auto"/>
      </w:pPr>
      <w:bookmarkStart w:id="822" w:name="_Toc110950040"/>
      <w:bookmarkStart w:id="823" w:name="_Toc38365181"/>
      <w:bookmarkStart w:id="824" w:name="_Toc38365306"/>
      <w:bookmarkStart w:id="825" w:name="_Toc51058185"/>
      <w:bookmarkStart w:id="826" w:name="_Toc52898482"/>
      <w:bookmarkStart w:id="827" w:name="_Toc52899860"/>
      <w:bookmarkStart w:id="828" w:name="_Toc52901315"/>
      <w:bookmarkStart w:id="829" w:name="_Toc52902658"/>
      <w:bookmarkStart w:id="830" w:name="_Toc52904121"/>
      <w:bookmarkStart w:id="831" w:name="_Toc53059098"/>
      <w:bookmarkStart w:id="832" w:name="_Toc53060442"/>
      <w:bookmarkStart w:id="833" w:name="_Toc53061784"/>
      <w:bookmarkStart w:id="834" w:name="_Toc53063247"/>
      <w:bookmarkStart w:id="835" w:name="_Toc53064624"/>
      <w:bookmarkStart w:id="836" w:name="_Toc53066002"/>
      <w:bookmarkStart w:id="837" w:name="_Toc54261573"/>
      <w:bookmarkStart w:id="838" w:name="_Toc54615389"/>
      <w:bookmarkStart w:id="839" w:name="_Toc55380972"/>
      <w:bookmarkStart w:id="840" w:name="_Toc38365182"/>
      <w:bookmarkStart w:id="841" w:name="_Toc38365307"/>
      <w:bookmarkStart w:id="842" w:name="_Toc51058186"/>
      <w:bookmarkStart w:id="843" w:name="_Toc52898483"/>
      <w:bookmarkStart w:id="844" w:name="_Toc52899861"/>
      <w:bookmarkStart w:id="845" w:name="_Toc52901316"/>
      <w:bookmarkStart w:id="846" w:name="_Toc52902659"/>
      <w:bookmarkStart w:id="847" w:name="_Toc52904122"/>
      <w:bookmarkStart w:id="848" w:name="_Toc53059099"/>
      <w:bookmarkStart w:id="849" w:name="_Toc53060443"/>
      <w:bookmarkStart w:id="850" w:name="_Toc53061785"/>
      <w:bookmarkStart w:id="851" w:name="_Toc53063248"/>
      <w:bookmarkStart w:id="852" w:name="_Toc53064625"/>
      <w:bookmarkStart w:id="853" w:name="_Toc53066003"/>
      <w:bookmarkStart w:id="854" w:name="_Toc54261574"/>
      <w:bookmarkStart w:id="855" w:name="_Toc54615390"/>
      <w:bookmarkStart w:id="856" w:name="_Toc55380973"/>
      <w:bookmarkStart w:id="857" w:name="_Toc38365183"/>
      <w:bookmarkStart w:id="858" w:name="_Toc38365308"/>
      <w:bookmarkStart w:id="859" w:name="_Toc51058187"/>
      <w:bookmarkStart w:id="860" w:name="_Toc52898484"/>
      <w:bookmarkStart w:id="861" w:name="_Toc52899862"/>
      <w:bookmarkStart w:id="862" w:name="_Toc52901317"/>
      <w:bookmarkStart w:id="863" w:name="_Toc52902660"/>
      <w:bookmarkStart w:id="864" w:name="_Toc52904123"/>
      <w:bookmarkStart w:id="865" w:name="_Toc53059100"/>
      <w:bookmarkStart w:id="866" w:name="_Toc53060444"/>
      <w:bookmarkStart w:id="867" w:name="_Toc53061786"/>
      <w:bookmarkStart w:id="868" w:name="_Toc53063249"/>
      <w:bookmarkStart w:id="869" w:name="_Toc53064626"/>
      <w:bookmarkStart w:id="870" w:name="_Toc53066004"/>
      <w:bookmarkStart w:id="871" w:name="_Toc54261575"/>
      <w:bookmarkStart w:id="872" w:name="_Toc54615391"/>
      <w:bookmarkStart w:id="873" w:name="_Toc55380974"/>
      <w:bookmarkStart w:id="874" w:name="_Toc38365232"/>
      <w:bookmarkStart w:id="875" w:name="_Toc38365357"/>
      <w:bookmarkStart w:id="876" w:name="_Toc51058236"/>
      <w:bookmarkStart w:id="877" w:name="_Toc54261624"/>
      <w:bookmarkStart w:id="878" w:name="_Toc55381023"/>
      <w:bookmarkStart w:id="879" w:name="_Ref423020194"/>
      <w:bookmarkStart w:id="880" w:name="_Ref423020203"/>
      <w:bookmarkStart w:id="881" w:name="_Toc487742009"/>
      <w:bookmarkStart w:id="882" w:name="_Toc14172239"/>
      <w:bookmarkStart w:id="883" w:name="_Toc100263349"/>
      <w:bookmarkStart w:id="884" w:name="_Toc127191998"/>
      <w:bookmarkStart w:id="885" w:name="_Toc418694988"/>
      <w:bookmarkStart w:id="886" w:name="_Ref419741590"/>
      <w:bookmarkStart w:id="887" w:name="_Ref419741598"/>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t xml:space="preserve">Ageing, </w:t>
      </w:r>
      <w:r w:rsidR="00331D5D">
        <w:t>A</w:t>
      </w:r>
      <w:r>
        <w:t xml:space="preserve">ged and </w:t>
      </w:r>
      <w:r w:rsidR="00331D5D">
        <w:t>H</w:t>
      </w:r>
      <w:r>
        <w:t xml:space="preserve">ome </w:t>
      </w:r>
      <w:r w:rsidR="00331D5D">
        <w:t>C</w:t>
      </w:r>
      <w:r>
        <w:t>are</w:t>
      </w:r>
      <w:bookmarkEnd w:id="879"/>
      <w:bookmarkEnd w:id="880"/>
      <w:bookmarkEnd w:id="881"/>
      <w:bookmarkEnd w:id="882"/>
      <w:bookmarkEnd w:id="883"/>
      <w:bookmarkEnd w:id="884"/>
    </w:p>
    <w:p w14:paraId="197E2FFF" w14:textId="4A9A1F2C" w:rsidR="000B27B9" w:rsidRDefault="000B27B9" w:rsidP="003C01AD">
      <w:pPr>
        <w:pStyle w:val="Tablecaption"/>
        <w:numPr>
          <w:ilvl w:val="0"/>
          <w:numId w:val="40"/>
        </w:numPr>
        <w:spacing w:line="240" w:lineRule="auto"/>
      </w:pPr>
      <w:bookmarkStart w:id="888" w:name="_Toc14194745"/>
      <w:bookmarkStart w:id="889" w:name="_Toc54261401"/>
      <w:bookmarkStart w:id="890" w:name="_Toc54616275"/>
      <w:bookmarkStart w:id="891" w:name="_Toc109894115"/>
      <w:bookmarkStart w:id="892" w:name="_Toc119500896"/>
      <w:bookmarkStart w:id="893" w:name="_Toc487742074"/>
      <w:r>
        <w:t xml:space="preserve">Ageing, aged and home care </w:t>
      </w:r>
      <w:r w:rsidR="005D1FCB" w:rsidRPr="005A35A1">
        <w:t>2022-23</w:t>
      </w:r>
      <w:r>
        <w:rPr>
          <w:rStyle w:val="FootnoteReference"/>
        </w:rPr>
        <w:footnoteReference w:id="10"/>
      </w:r>
      <w:bookmarkEnd w:id="888"/>
      <w:bookmarkEnd w:id="889"/>
      <w:bookmarkEnd w:id="890"/>
      <w:bookmarkEnd w:id="891"/>
      <w:bookmarkEnd w:id="892"/>
    </w:p>
    <w:p w14:paraId="2E4F07EA" w14:textId="77777777" w:rsidR="002E0941" w:rsidRDefault="002E0941" w:rsidP="00274DA1">
      <w:pPr>
        <w:pStyle w:val="Body"/>
        <w:keepNext/>
        <w:spacing w:line="240" w:lineRule="auto"/>
      </w:pPr>
      <w:r>
        <w:rPr>
          <w:szCs w:val="18"/>
          <w:lang w:eastAsia="en-AU"/>
        </w:rPr>
        <w:t>Program area: Residential aged care</w:t>
      </w:r>
      <w:r>
        <w:rPr>
          <w:rStyle w:val="FootnoteReference"/>
          <w:szCs w:val="18"/>
          <w:lang w:eastAsia="en-AU"/>
        </w:rPr>
        <w:footnoteReference w:id="11"/>
      </w:r>
      <w:r>
        <w:rPr>
          <w:szCs w:val="18"/>
          <w:lang w:eastAsia="en-AU"/>
        </w:rPr>
        <w:t xml:space="preserve"> </w:t>
      </w:r>
      <w:r>
        <w:rPr>
          <w:szCs w:val="18"/>
        </w:rPr>
        <w:t>–</w:t>
      </w:r>
      <w:r>
        <w:rPr>
          <w:szCs w:val="18"/>
          <w:lang w:eastAsia="en-AU"/>
        </w:rPr>
        <w:t xml:space="preserve"> public sector residential aged care supplements</w:t>
      </w:r>
    </w:p>
    <w:tbl>
      <w:tblPr>
        <w:tblStyle w:val="TableGrid1"/>
        <w:tblW w:w="9359" w:type="dxa"/>
        <w:tblLook w:val="06A0" w:firstRow="1" w:lastRow="0" w:firstColumn="1" w:lastColumn="0" w:noHBand="1" w:noVBand="1"/>
      </w:tblPr>
      <w:tblGrid>
        <w:gridCol w:w="1744"/>
        <w:gridCol w:w="1102"/>
        <w:gridCol w:w="6501"/>
        <w:gridCol w:w="12"/>
      </w:tblGrid>
      <w:tr w:rsidR="002E0941" w14:paraId="6537974A" w14:textId="77777777" w:rsidTr="002E0941">
        <w:trPr>
          <w:cnfStyle w:val="100000000000" w:firstRow="1" w:lastRow="0" w:firstColumn="0" w:lastColumn="0" w:oddVBand="0" w:evenVBand="0" w:oddHBand="0" w:evenHBand="0" w:firstRowFirstColumn="0" w:firstRowLastColumn="0" w:lastRowFirstColumn="0" w:lastRowLastColumn="0"/>
          <w:tblHeader/>
        </w:trPr>
        <w:tc>
          <w:tcPr>
            <w:tcW w:w="6" w:type="dxa"/>
            <w:tcBorders>
              <w:top w:val="single" w:sz="4" w:space="0" w:color="auto"/>
              <w:left w:val="single" w:sz="4" w:space="0" w:color="auto"/>
              <w:bottom w:val="single" w:sz="4" w:space="0" w:color="auto"/>
              <w:right w:val="single" w:sz="4" w:space="0" w:color="auto"/>
            </w:tcBorders>
            <w:hideMark/>
          </w:tcPr>
          <w:p w14:paraId="28EF6C68" w14:textId="77777777" w:rsidR="002E0941" w:rsidRDefault="002E0941" w:rsidP="00274DA1">
            <w:pPr>
              <w:pStyle w:val="Tablecolhead9pt"/>
              <w:keepNext/>
              <w:rPr>
                <w:szCs w:val="18"/>
              </w:rPr>
            </w:pPr>
            <w:r>
              <w:t>Service</w:t>
            </w:r>
          </w:p>
        </w:tc>
        <w:tc>
          <w:tcPr>
            <w:tcW w:w="6" w:type="dxa"/>
            <w:tcBorders>
              <w:top w:val="single" w:sz="4" w:space="0" w:color="auto"/>
              <w:left w:val="single" w:sz="4" w:space="0" w:color="auto"/>
              <w:bottom w:val="single" w:sz="4" w:space="0" w:color="auto"/>
              <w:right w:val="single" w:sz="4" w:space="0" w:color="auto"/>
            </w:tcBorders>
            <w:hideMark/>
          </w:tcPr>
          <w:p w14:paraId="041EA7CE" w14:textId="77777777" w:rsidR="002E0941" w:rsidRDefault="002E0941" w:rsidP="00274DA1">
            <w:pPr>
              <w:pStyle w:val="Tablecolhead9pt"/>
              <w:keepNext/>
              <w:rPr>
                <w:szCs w:val="18"/>
              </w:rPr>
            </w:pPr>
            <w:r>
              <w:t>Funded unit</w:t>
            </w:r>
          </w:p>
        </w:tc>
        <w:tc>
          <w:tcPr>
            <w:tcW w:w="6" w:type="dxa"/>
            <w:gridSpan w:val="2"/>
            <w:tcBorders>
              <w:top w:val="single" w:sz="4" w:space="0" w:color="auto"/>
              <w:left w:val="single" w:sz="4" w:space="0" w:color="auto"/>
              <w:bottom w:val="single" w:sz="4" w:space="0" w:color="auto"/>
              <w:right w:val="single" w:sz="4" w:space="0" w:color="auto"/>
            </w:tcBorders>
            <w:hideMark/>
          </w:tcPr>
          <w:p w14:paraId="27182B08" w14:textId="77777777" w:rsidR="002E0941" w:rsidRDefault="002E0941" w:rsidP="00274DA1">
            <w:pPr>
              <w:pStyle w:val="Tablecolhead9pt"/>
              <w:keepNext/>
              <w:jc w:val="right"/>
              <w:rPr>
                <w:szCs w:val="18"/>
              </w:rPr>
            </w:pPr>
            <w:r>
              <w:t>Estimated unit price ($)</w:t>
            </w:r>
          </w:p>
        </w:tc>
      </w:tr>
      <w:tr w:rsidR="002E0941" w14:paraId="79CADF5E" w14:textId="77777777" w:rsidTr="002E0941">
        <w:trPr>
          <w:cantSplit/>
        </w:trPr>
        <w:tc>
          <w:tcPr>
            <w:tcW w:w="6" w:type="dxa"/>
            <w:tcBorders>
              <w:top w:val="single" w:sz="4" w:space="0" w:color="auto"/>
              <w:left w:val="single" w:sz="4" w:space="0" w:color="auto"/>
              <w:bottom w:val="single" w:sz="4" w:space="0" w:color="auto"/>
              <w:right w:val="single" w:sz="4" w:space="0" w:color="auto"/>
            </w:tcBorders>
            <w:hideMark/>
          </w:tcPr>
          <w:p w14:paraId="20B3D35E" w14:textId="77777777" w:rsidR="002E0941" w:rsidRDefault="002E0941">
            <w:pPr>
              <w:pStyle w:val="Tabletext9pt"/>
              <w:rPr>
                <w:szCs w:val="18"/>
                <w:lang w:eastAsia="en-AU"/>
              </w:rPr>
            </w:pPr>
            <w:r>
              <w:rPr>
                <w:szCs w:val="18"/>
                <w:lang w:eastAsia="en-AU"/>
              </w:rPr>
              <w:t>Rural Small High Care Supplement</w:t>
            </w:r>
          </w:p>
          <w:p w14:paraId="2DC07CB0" w14:textId="77777777" w:rsidR="002E0941" w:rsidRDefault="002E0941">
            <w:pPr>
              <w:pStyle w:val="Tabletext9pt"/>
              <w:rPr>
                <w:szCs w:val="18"/>
                <w:lang w:eastAsia="en-AU"/>
              </w:rPr>
            </w:pPr>
            <w:r>
              <w:rPr>
                <w:szCs w:val="18"/>
                <w:lang w:eastAsia="en-AU"/>
              </w:rPr>
              <w:t>1</w:t>
            </w:r>
            <w:r>
              <w:rPr>
                <w:szCs w:val="18"/>
              </w:rPr>
              <w:t>–</w:t>
            </w:r>
            <w:r>
              <w:rPr>
                <w:szCs w:val="18"/>
                <w:lang w:eastAsia="en-AU"/>
              </w:rPr>
              <w:t>10 places</w:t>
            </w:r>
          </w:p>
        </w:tc>
        <w:tc>
          <w:tcPr>
            <w:tcW w:w="6" w:type="dxa"/>
            <w:tcBorders>
              <w:top w:val="single" w:sz="4" w:space="0" w:color="auto"/>
              <w:left w:val="single" w:sz="4" w:space="0" w:color="auto"/>
              <w:bottom w:val="single" w:sz="4" w:space="0" w:color="auto"/>
              <w:right w:val="single" w:sz="4" w:space="0" w:color="auto"/>
            </w:tcBorders>
            <w:hideMark/>
          </w:tcPr>
          <w:p w14:paraId="4C7C46FA" w14:textId="77777777" w:rsidR="002E0941" w:rsidRDefault="002E0941">
            <w:pPr>
              <w:pStyle w:val="Tabletext9pt"/>
              <w:rPr>
                <w:szCs w:val="18"/>
                <w:lang w:eastAsia="en-AU"/>
              </w:rPr>
            </w:pPr>
            <w:r>
              <w:rPr>
                <w:szCs w:val="18"/>
                <w:lang w:eastAsia="en-AU"/>
              </w:rPr>
              <w:t>Bed day</w:t>
            </w:r>
          </w:p>
        </w:tc>
        <w:tc>
          <w:tcPr>
            <w:tcW w:w="6" w:type="dxa"/>
            <w:gridSpan w:val="2"/>
            <w:tcBorders>
              <w:top w:val="single" w:sz="4" w:space="0" w:color="auto"/>
              <w:left w:val="single" w:sz="4" w:space="0" w:color="auto"/>
              <w:bottom w:val="single" w:sz="4" w:space="0" w:color="auto"/>
              <w:right w:val="single" w:sz="4" w:space="0" w:color="auto"/>
            </w:tcBorders>
            <w:hideMark/>
          </w:tcPr>
          <w:p w14:paraId="56BBB2E5" w14:textId="35866962" w:rsidR="002E0941" w:rsidRDefault="002E0941">
            <w:pPr>
              <w:pStyle w:val="Tabletext9pt"/>
              <w:jc w:val="right"/>
              <w:rPr>
                <w:szCs w:val="18"/>
                <w:lang w:eastAsia="en-AU"/>
              </w:rPr>
            </w:pPr>
            <w:r>
              <w:rPr>
                <w:szCs w:val="18"/>
                <w:lang w:eastAsia="en-AU"/>
              </w:rPr>
              <w:t>11.</w:t>
            </w:r>
            <w:r w:rsidR="00735998">
              <w:rPr>
                <w:szCs w:val="18"/>
                <w:lang w:eastAsia="en-AU"/>
              </w:rPr>
              <w:t>38</w:t>
            </w:r>
          </w:p>
        </w:tc>
      </w:tr>
      <w:tr w:rsidR="002E0941" w14:paraId="5B6B8864" w14:textId="77777777" w:rsidTr="002E0941">
        <w:trPr>
          <w:gridAfter w:val="1"/>
          <w:wAfter w:w="8" w:type="dxa"/>
          <w:cantSplit/>
        </w:trPr>
        <w:tc>
          <w:tcPr>
            <w:tcW w:w="6" w:type="dxa"/>
            <w:tcBorders>
              <w:top w:val="single" w:sz="4" w:space="0" w:color="auto"/>
              <w:left w:val="single" w:sz="4" w:space="0" w:color="auto"/>
              <w:bottom w:val="single" w:sz="4" w:space="0" w:color="auto"/>
              <w:right w:val="single" w:sz="4" w:space="0" w:color="auto"/>
            </w:tcBorders>
            <w:hideMark/>
          </w:tcPr>
          <w:p w14:paraId="76E813BA" w14:textId="77777777" w:rsidR="002E0941" w:rsidRDefault="002E0941">
            <w:pPr>
              <w:pStyle w:val="Tabletext9pt"/>
              <w:rPr>
                <w:szCs w:val="18"/>
                <w:lang w:eastAsia="en-AU"/>
              </w:rPr>
            </w:pPr>
            <w:r>
              <w:rPr>
                <w:szCs w:val="18"/>
                <w:lang w:eastAsia="en-AU"/>
              </w:rPr>
              <w:t>Rural Small High Care Supplement</w:t>
            </w:r>
          </w:p>
          <w:p w14:paraId="4049CD11" w14:textId="77777777" w:rsidR="002E0941" w:rsidRDefault="002E0941">
            <w:pPr>
              <w:pStyle w:val="Tabletext9pt"/>
              <w:rPr>
                <w:szCs w:val="18"/>
                <w:lang w:eastAsia="en-AU"/>
              </w:rPr>
            </w:pPr>
            <w:r>
              <w:rPr>
                <w:szCs w:val="18"/>
                <w:lang w:eastAsia="en-AU"/>
              </w:rPr>
              <w:t>11</w:t>
            </w:r>
            <w:r>
              <w:rPr>
                <w:szCs w:val="18"/>
              </w:rPr>
              <w:t>–</w:t>
            </w:r>
            <w:r>
              <w:rPr>
                <w:szCs w:val="18"/>
                <w:lang w:eastAsia="en-AU"/>
              </w:rPr>
              <w:t>20 places</w:t>
            </w:r>
          </w:p>
        </w:tc>
        <w:tc>
          <w:tcPr>
            <w:tcW w:w="6" w:type="dxa"/>
            <w:tcBorders>
              <w:top w:val="single" w:sz="4" w:space="0" w:color="auto"/>
              <w:left w:val="single" w:sz="4" w:space="0" w:color="auto"/>
              <w:bottom w:val="single" w:sz="4" w:space="0" w:color="auto"/>
              <w:right w:val="single" w:sz="4" w:space="0" w:color="auto"/>
            </w:tcBorders>
            <w:hideMark/>
          </w:tcPr>
          <w:p w14:paraId="6A4CE0D0" w14:textId="77777777" w:rsidR="002E0941" w:rsidRDefault="002E0941">
            <w:pPr>
              <w:pStyle w:val="Tabletext9pt"/>
              <w:rPr>
                <w:szCs w:val="18"/>
                <w:lang w:eastAsia="en-AU"/>
              </w:rPr>
            </w:pPr>
            <w:r>
              <w:rPr>
                <w:szCs w:val="18"/>
                <w:lang w:eastAsia="en-AU"/>
              </w:rPr>
              <w:t>Bed day</w:t>
            </w:r>
          </w:p>
        </w:tc>
        <w:tc>
          <w:tcPr>
            <w:tcW w:w="4507" w:type="dxa"/>
            <w:tcBorders>
              <w:top w:val="single" w:sz="4" w:space="0" w:color="auto"/>
              <w:left w:val="single" w:sz="4" w:space="0" w:color="auto"/>
              <w:bottom w:val="single" w:sz="4" w:space="0" w:color="auto"/>
              <w:right w:val="single" w:sz="4" w:space="0" w:color="auto"/>
            </w:tcBorders>
            <w:hideMark/>
          </w:tcPr>
          <w:p w14:paraId="22596B06" w14:textId="0085AA1A" w:rsidR="002E0941" w:rsidRDefault="002E0941">
            <w:pPr>
              <w:pStyle w:val="Tabletext9pt"/>
              <w:jc w:val="right"/>
              <w:rPr>
                <w:szCs w:val="18"/>
                <w:lang w:eastAsia="en-AU"/>
              </w:rPr>
            </w:pPr>
            <w:r>
              <w:rPr>
                <w:szCs w:val="18"/>
                <w:lang w:eastAsia="en-AU"/>
              </w:rPr>
              <w:t>8.</w:t>
            </w:r>
            <w:r w:rsidR="004C7558">
              <w:rPr>
                <w:szCs w:val="18"/>
                <w:lang w:eastAsia="en-AU"/>
              </w:rPr>
              <w:t>53</w:t>
            </w:r>
          </w:p>
        </w:tc>
      </w:tr>
      <w:tr w:rsidR="002E0941" w14:paraId="7A88EAE3" w14:textId="77777777" w:rsidTr="002E0941">
        <w:trPr>
          <w:gridAfter w:val="1"/>
          <w:wAfter w:w="8" w:type="dxa"/>
          <w:cantSplit/>
        </w:trPr>
        <w:tc>
          <w:tcPr>
            <w:tcW w:w="6" w:type="dxa"/>
            <w:tcBorders>
              <w:top w:val="single" w:sz="4" w:space="0" w:color="auto"/>
              <w:left w:val="single" w:sz="4" w:space="0" w:color="auto"/>
              <w:bottom w:val="single" w:sz="4" w:space="0" w:color="auto"/>
              <w:right w:val="single" w:sz="4" w:space="0" w:color="auto"/>
            </w:tcBorders>
            <w:hideMark/>
          </w:tcPr>
          <w:p w14:paraId="475C3B8B" w14:textId="77777777" w:rsidR="002E0941" w:rsidRDefault="002E0941">
            <w:pPr>
              <w:pStyle w:val="Tabletext9pt"/>
              <w:rPr>
                <w:szCs w:val="18"/>
                <w:lang w:eastAsia="en-AU"/>
              </w:rPr>
            </w:pPr>
            <w:r>
              <w:rPr>
                <w:szCs w:val="18"/>
                <w:lang w:eastAsia="en-AU"/>
              </w:rPr>
              <w:t>Rural Small High Care Supplement</w:t>
            </w:r>
          </w:p>
          <w:p w14:paraId="38652DD2" w14:textId="77777777" w:rsidR="002E0941" w:rsidRDefault="002E0941">
            <w:pPr>
              <w:pStyle w:val="Tabletext9pt"/>
              <w:rPr>
                <w:szCs w:val="18"/>
                <w:lang w:eastAsia="en-AU"/>
              </w:rPr>
            </w:pPr>
            <w:r>
              <w:rPr>
                <w:szCs w:val="18"/>
                <w:lang w:eastAsia="en-AU"/>
              </w:rPr>
              <w:t>21</w:t>
            </w:r>
            <w:r>
              <w:rPr>
                <w:szCs w:val="18"/>
              </w:rPr>
              <w:t>–</w:t>
            </w:r>
            <w:r>
              <w:rPr>
                <w:szCs w:val="18"/>
                <w:lang w:eastAsia="en-AU"/>
              </w:rPr>
              <w:t>30 places</w:t>
            </w:r>
          </w:p>
        </w:tc>
        <w:tc>
          <w:tcPr>
            <w:tcW w:w="6" w:type="dxa"/>
            <w:tcBorders>
              <w:top w:val="single" w:sz="4" w:space="0" w:color="auto"/>
              <w:left w:val="single" w:sz="4" w:space="0" w:color="auto"/>
              <w:bottom w:val="single" w:sz="4" w:space="0" w:color="auto"/>
              <w:right w:val="single" w:sz="4" w:space="0" w:color="auto"/>
            </w:tcBorders>
            <w:hideMark/>
          </w:tcPr>
          <w:p w14:paraId="1C9BA177" w14:textId="77777777" w:rsidR="002E0941" w:rsidRDefault="002E0941">
            <w:pPr>
              <w:pStyle w:val="Tabletext9pt"/>
              <w:rPr>
                <w:szCs w:val="18"/>
                <w:lang w:eastAsia="en-AU"/>
              </w:rPr>
            </w:pPr>
            <w:r>
              <w:rPr>
                <w:szCs w:val="18"/>
                <w:lang w:eastAsia="en-AU"/>
              </w:rPr>
              <w:t>Bed day</w:t>
            </w:r>
          </w:p>
        </w:tc>
        <w:tc>
          <w:tcPr>
            <w:tcW w:w="4507" w:type="dxa"/>
            <w:tcBorders>
              <w:top w:val="single" w:sz="4" w:space="0" w:color="auto"/>
              <w:left w:val="single" w:sz="4" w:space="0" w:color="auto"/>
              <w:bottom w:val="single" w:sz="4" w:space="0" w:color="auto"/>
              <w:right w:val="single" w:sz="4" w:space="0" w:color="auto"/>
            </w:tcBorders>
            <w:hideMark/>
          </w:tcPr>
          <w:p w14:paraId="198E1359" w14:textId="22DB553B" w:rsidR="002E0941" w:rsidRDefault="004C7558">
            <w:pPr>
              <w:pStyle w:val="Tabletext9pt"/>
              <w:jc w:val="right"/>
              <w:rPr>
                <w:szCs w:val="18"/>
                <w:lang w:eastAsia="en-AU"/>
              </w:rPr>
            </w:pPr>
            <w:r>
              <w:rPr>
                <w:szCs w:val="18"/>
                <w:lang w:eastAsia="en-AU"/>
              </w:rPr>
              <w:t>7.12</w:t>
            </w:r>
          </w:p>
        </w:tc>
      </w:tr>
      <w:tr w:rsidR="002E0941" w14:paraId="0F0B044F" w14:textId="77777777" w:rsidTr="002E0941">
        <w:trPr>
          <w:gridAfter w:val="1"/>
          <w:wAfter w:w="8" w:type="dxa"/>
          <w:cantSplit/>
        </w:trPr>
        <w:tc>
          <w:tcPr>
            <w:tcW w:w="6" w:type="dxa"/>
            <w:tcBorders>
              <w:top w:val="single" w:sz="4" w:space="0" w:color="auto"/>
              <w:left w:val="single" w:sz="4" w:space="0" w:color="auto"/>
              <w:bottom w:val="single" w:sz="4" w:space="0" w:color="auto"/>
              <w:right w:val="single" w:sz="4" w:space="0" w:color="auto"/>
            </w:tcBorders>
            <w:hideMark/>
          </w:tcPr>
          <w:p w14:paraId="71A7F116" w14:textId="77777777" w:rsidR="002E0941" w:rsidRDefault="002E0941">
            <w:pPr>
              <w:pStyle w:val="Tabletext9pt"/>
              <w:rPr>
                <w:szCs w:val="18"/>
                <w:lang w:eastAsia="en-AU"/>
              </w:rPr>
            </w:pPr>
            <w:r>
              <w:rPr>
                <w:szCs w:val="18"/>
                <w:lang w:eastAsia="en-AU"/>
              </w:rPr>
              <w:t>Low Care Supplement</w:t>
            </w:r>
            <w:r>
              <w:rPr>
                <w:rStyle w:val="FootnoteReference"/>
                <w:szCs w:val="18"/>
                <w:lang w:eastAsia="en-AU"/>
              </w:rPr>
              <w:footnoteReference w:id="12"/>
            </w:r>
          </w:p>
        </w:tc>
        <w:tc>
          <w:tcPr>
            <w:tcW w:w="6" w:type="dxa"/>
            <w:tcBorders>
              <w:top w:val="single" w:sz="4" w:space="0" w:color="auto"/>
              <w:left w:val="single" w:sz="4" w:space="0" w:color="auto"/>
              <w:bottom w:val="single" w:sz="4" w:space="0" w:color="auto"/>
              <w:right w:val="single" w:sz="4" w:space="0" w:color="auto"/>
            </w:tcBorders>
            <w:hideMark/>
          </w:tcPr>
          <w:p w14:paraId="52D8C51D" w14:textId="77777777" w:rsidR="002E0941" w:rsidRDefault="002E0941">
            <w:pPr>
              <w:pStyle w:val="Tabletext9pt"/>
              <w:rPr>
                <w:szCs w:val="18"/>
                <w:lang w:eastAsia="en-AU"/>
              </w:rPr>
            </w:pPr>
            <w:r>
              <w:rPr>
                <w:szCs w:val="18"/>
                <w:lang w:eastAsia="en-AU"/>
              </w:rPr>
              <w:t>Bed day</w:t>
            </w:r>
          </w:p>
        </w:tc>
        <w:tc>
          <w:tcPr>
            <w:tcW w:w="4507" w:type="dxa"/>
            <w:tcBorders>
              <w:top w:val="single" w:sz="4" w:space="0" w:color="auto"/>
              <w:left w:val="single" w:sz="4" w:space="0" w:color="auto"/>
              <w:bottom w:val="single" w:sz="4" w:space="0" w:color="auto"/>
              <w:right w:val="single" w:sz="4" w:space="0" w:color="auto"/>
            </w:tcBorders>
            <w:hideMark/>
          </w:tcPr>
          <w:p w14:paraId="610EC792" w14:textId="53616B3C" w:rsidR="002E0941" w:rsidRDefault="002E0941">
            <w:pPr>
              <w:pStyle w:val="Tabletext9pt"/>
              <w:jc w:val="right"/>
              <w:rPr>
                <w:szCs w:val="18"/>
                <w:lang w:eastAsia="en-AU"/>
              </w:rPr>
            </w:pPr>
            <w:r>
              <w:rPr>
                <w:szCs w:val="18"/>
                <w:lang w:eastAsia="en-AU"/>
              </w:rPr>
              <w:t>6.</w:t>
            </w:r>
            <w:r w:rsidR="007E2523">
              <w:rPr>
                <w:szCs w:val="18"/>
                <w:lang w:eastAsia="en-AU"/>
              </w:rPr>
              <w:t>52</w:t>
            </w:r>
          </w:p>
        </w:tc>
      </w:tr>
      <w:tr w:rsidR="002E0941" w14:paraId="111FF7A5" w14:textId="77777777" w:rsidTr="002E0941">
        <w:trPr>
          <w:gridAfter w:val="1"/>
          <w:wAfter w:w="8" w:type="dxa"/>
          <w:cantSplit/>
        </w:trPr>
        <w:tc>
          <w:tcPr>
            <w:tcW w:w="6" w:type="dxa"/>
            <w:tcBorders>
              <w:top w:val="single" w:sz="4" w:space="0" w:color="auto"/>
              <w:left w:val="single" w:sz="4" w:space="0" w:color="auto"/>
              <w:bottom w:val="single" w:sz="4" w:space="0" w:color="auto"/>
              <w:right w:val="single" w:sz="4" w:space="0" w:color="auto"/>
            </w:tcBorders>
            <w:hideMark/>
          </w:tcPr>
          <w:p w14:paraId="34B0FD21" w14:textId="77777777" w:rsidR="002E0941" w:rsidRDefault="002E0941">
            <w:pPr>
              <w:pStyle w:val="Tabletext9pt"/>
              <w:rPr>
                <w:szCs w:val="18"/>
                <w:lang w:eastAsia="en-AU"/>
              </w:rPr>
            </w:pPr>
            <w:r>
              <w:rPr>
                <w:szCs w:val="18"/>
                <w:lang w:eastAsia="en-AU"/>
              </w:rPr>
              <w:t>High Care Supplement</w:t>
            </w:r>
          </w:p>
        </w:tc>
        <w:tc>
          <w:tcPr>
            <w:tcW w:w="6" w:type="dxa"/>
            <w:tcBorders>
              <w:top w:val="single" w:sz="4" w:space="0" w:color="auto"/>
              <w:left w:val="single" w:sz="4" w:space="0" w:color="auto"/>
              <w:bottom w:val="single" w:sz="4" w:space="0" w:color="auto"/>
              <w:right w:val="single" w:sz="4" w:space="0" w:color="auto"/>
            </w:tcBorders>
            <w:hideMark/>
          </w:tcPr>
          <w:p w14:paraId="04EB97D6" w14:textId="77777777" w:rsidR="002E0941" w:rsidRDefault="002E0941">
            <w:pPr>
              <w:pStyle w:val="Tabletext9pt"/>
              <w:rPr>
                <w:szCs w:val="18"/>
                <w:lang w:eastAsia="en-AU"/>
              </w:rPr>
            </w:pPr>
            <w:r>
              <w:rPr>
                <w:szCs w:val="18"/>
                <w:lang w:eastAsia="en-AU"/>
              </w:rPr>
              <w:t>Bed day</w:t>
            </w:r>
          </w:p>
        </w:tc>
        <w:tc>
          <w:tcPr>
            <w:tcW w:w="4507" w:type="dxa"/>
            <w:tcBorders>
              <w:top w:val="single" w:sz="4" w:space="0" w:color="auto"/>
              <w:left w:val="single" w:sz="4" w:space="0" w:color="auto"/>
              <w:bottom w:val="single" w:sz="4" w:space="0" w:color="auto"/>
              <w:right w:val="single" w:sz="4" w:space="0" w:color="auto"/>
            </w:tcBorders>
            <w:hideMark/>
          </w:tcPr>
          <w:p w14:paraId="5D2C8CBC" w14:textId="5B5BC7FB" w:rsidR="002E0941" w:rsidRDefault="00B64ED5">
            <w:pPr>
              <w:pStyle w:val="Tabletext9pt"/>
              <w:jc w:val="right"/>
              <w:rPr>
                <w:szCs w:val="18"/>
                <w:lang w:eastAsia="en-AU"/>
              </w:rPr>
            </w:pPr>
            <w:r>
              <w:rPr>
                <w:szCs w:val="18"/>
                <w:lang w:eastAsia="en-AU"/>
              </w:rPr>
              <w:t>70.40</w:t>
            </w:r>
          </w:p>
        </w:tc>
      </w:tr>
      <w:tr w:rsidR="002E0941" w14:paraId="7B89752C" w14:textId="77777777" w:rsidTr="002E0941">
        <w:trPr>
          <w:gridAfter w:val="1"/>
          <w:wAfter w:w="8" w:type="dxa"/>
          <w:cantSplit/>
        </w:trPr>
        <w:tc>
          <w:tcPr>
            <w:tcW w:w="6" w:type="dxa"/>
            <w:tcBorders>
              <w:top w:val="single" w:sz="4" w:space="0" w:color="auto"/>
              <w:left w:val="single" w:sz="4" w:space="0" w:color="auto"/>
              <w:bottom w:val="single" w:sz="4" w:space="0" w:color="auto"/>
              <w:right w:val="single" w:sz="4" w:space="0" w:color="auto"/>
            </w:tcBorders>
            <w:hideMark/>
          </w:tcPr>
          <w:p w14:paraId="126C2546" w14:textId="77777777" w:rsidR="002E0941" w:rsidRDefault="002E0941">
            <w:pPr>
              <w:pStyle w:val="Tabletext9pt"/>
              <w:rPr>
                <w:szCs w:val="18"/>
                <w:lang w:eastAsia="en-AU"/>
              </w:rPr>
            </w:pPr>
            <w:r>
              <w:rPr>
                <w:szCs w:val="18"/>
                <w:lang w:eastAsia="en-AU"/>
              </w:rPr>
              <w:t>Public Sector Residential Aged Care Supplement</w:t>
            </w:r>
          </w:p>
        </w:tc>
        <w:tc>
          <w:tcPr>
            <w:tcW w:w="6" w:type="dxa"/>
            <w:tcBorders>
              <w:top w:val="single" w:sz="4" w:space="0" w:color="auto"/>
              <w:left w:val="single" w:sz="4" w:space="0" w:color="auto"/>
              <w:bottom w:val="single" w:sz="4" w:space="0" w:color="auto"/>
              <w:right w:val="single" w:sz="4" w:space="0" w:color="auto"/>
            </w:tcBorders>
            <w:hideMark/>
          </w:tcPr>
          <w:p w14:paraId="59DEA7F9" w14:textId="77777777" w:rsidR="002E0941" w:rsidRDefault="002E0941">
            <w:pPr>
              <w:pStyle w:val="Tabletext9pt"/>
              <w:rPr>
                <w:szCs w:val="18"/>
                <w:lang w:eastAsia="en-AU"/>
              </w:rPr>
            </w:pPr>
            <w:r>
              <w:rPr>
                <w:szCs w:val="18"/>
                <w:lang w:eastAsia="en-AU"/>
              </w:rPr>
              <w:t>Bed day</w:t>
            </w:r>
          </w:p>
        </w:tc>
        <w:tc>
          <w:tcPr>
            <w:tcW w:w="4507" w:type="dxa"/>
            <w:tcBorders>
              <w:top w:val="single" w:sz="4" w:space="0" w:color="auto"/>
              <w:left w:val="single" w:sz="4" w:space="0" w:color="auto"/>
              <w:bottom w:val="single" w:sz="4" w:space="0" w:color="auto"/>
              <w:right w:val="single" w:sz="4" w:space="0" w:color="auto"/>
            </w:tcBorders>
            <w:hideMark/>
          </w:tcPr>
          <w:p w14:paraId="4DDEE87A" w14:textId="6B13CEFC" w:rsidR="002E0941" w:rsidRDefault="002E0941">
            <w:pPr>
              <w:pStyle w:val="Tabletext9pt"/>
              <w:jc w:val="right"/>
              <w:rPr>
                <w:szCs w:val="18"/>
                <w:lang w:eastAsia="en-AU"/>
              </w:rPr>
            </w:pPr>
            <w:r>
              <w:t>13.</w:t>
            </w:r>
            <w:r w:rsidR="00B64ED5">
              <w:t>98</w:t>
            </w:r>
          </w:p>
        </w:tc>
      </w:tr>
      <w:tr w:rsidR="002E0941" w14:paraId="337C8E4E" w14:textId="77777777" w:rsidTr="002E0941">
        <w:trPr>
          <w:gridAfter w:val="1"/>
          <w:wAfter w:w="8" w:type="dxa"/>
          <w:cantSplit/>
        </w:trPr>
        <w:tc>
          <w:tcPr>
            <w:tcW w:w="6" w:type="dxa"/>
            <w:tcBorders>
              <w:top w:val="single" w:sz="4" w:space="0" w:color="auto"/>
              <w:left w:val="single" w:sz="4" w:space="0" w:color="auto"/>
              <w:bottom w:val="single" w:sz="4" w:space="0" w:color="auto"/>
              <w:right w:val="single" w:sz="4" w:space="0" w:color="auto"/>
            </w:tcBorders>
            <w:hideMark/>
          </w:tcPr>
          <w:p w14:paraId="6361058E" w14:textId="77777777" w:rsidR="002E0941" w:rsidRDefault="002E0941">
            <w:pPr>
              <w:pStyle w:val="Tabletext9pt"/>
              <w:rPr>
                <w:szCs w:val="18"/>
                <w:lang w:eastAsia="en-AU"/>
              </w:rPr>
            </w:pPr>
            <w:r>
              <w:rPr>
                <w:szCs w:val="18"/>
                <w:lang w:eastAsia="en-AU"/>
              </w:rPr>
              <w:t>Complex Care Supplement</w:t>
            </w:r>
          </w:p>
        </w:tc>
        <w:tc>
          <w:tcPr>
            <w:tcW w:w="6" w:type="dxa"/>
            <w:tcBorders>
              <w:top w:val="single" w:sz="4" w:space="0" w:color="auto"/>
              <w:left w:val="single" w:sz="4" w:space="0" w:color="auto"/>
              <w:bottom w:val="single" w:sz="4" w:space="0" w:color="auto"/>
              <w:right w:val="single" w:sz="4" w:space="0" w:color="auto"/>
            </w:tcBorders>
            <w:hideMark/>
          </w:tcPr>
          <w:p w14:paraId="1C1EFA12" w14:textId="77777777" w:rsidR="002E0941" w:rsidRDefault="002E0941">
            <w:pPr>
              <w:pStyle w:val="Tabletext9pt"/>
              <w:rPr>
                <w:szCs w:val="18"/>
                <w:lang w:eastAsia="en-AU"/>
              </w:rPr>
            </w:pPr>
            <w:r>
              <w:rPr>
                <w:szCs w:val="18"/>
                <w:lang w:eastAsia="en-AU"/>
              </w:rPr>
              <w:t>Bed day</w:t>
            </w:r>
          </w:p>
        </w:tc>
        <w:tc>
          <w:tcPr>
            <w:tcW w:w="4507" w:type="dxa"/>
            <w:tcBorders>
              <w:top w:val="single" w:sz="4" w:space="0" w:color="auto"/>
              <w:left w:val="single" w:sz="4" w:space="0" w:color="auto"/>
              <w:bottom w:val="single" w:sz="4" w:space="0" w:color="auto"/>
              <w:right w:val="single" w:sz="4" w:space="0" w:color="auto"/>
            </w:tcBorders>
            <w:hideMark/>
          </w:tcPr>
          <w:p w14:paraId="6B6C4413" w14:textId="71F87B7A" w:rsidR="002E0941" w:rsidRDefault="002E0941">
            <w:pPr>
              <w:pStyle w:val="Tabletext9pt"/>
              <w:jc w:val="right"/>
              <w:rPr>
                <w:szCs w:val="18"/>
                <w:lang w:eastAsia="en-AU"/>
              </w:rPr>
            </w:pPr>
            <w:r>
              <w:rPr>
                <w:szCs w:val="18"/>
                <w:lang w:eastAsia="en-AU"/>
              </w:rPr>
              <w:t>4</w:t>
            </w:r>
            <w:r w:rsidR="00354280">
              <w:rPr>
                <w:szCs w:val="18"/>
                <w:lang w:eastAsia="en-AU"/>
              </w:rPr>
              <w:t>2.71</w:t>
            </w:r>
            <w:r>
              <w:rPr>
                <w:szCs w:val="18"/>
                <w:lang w:eastAsia="en-AU"/>
              </w:rPr>
              <w:t xml:space="preserve"> </w:t>
            </w:r>
          </w:p>
        </w:tc>
      </w:tr>
    </w:tbl>
    <w:p w14:paraId="4C6C147C" w14:textId="77777777" w:rsidR="002E0941" w:rsidRDefault="002E0941" w:rsidP="002E0941">
      <w:pPr>
        <w:pStyle w:val="Bodyaftertablefigure"/>
        <w:keepNext/>
        <w:keepLines/>
        <w:spacing w:line="240" w:lineRule="auto"/>
      </w:pPr>
      <w:r>
        <w:rPr>
          <w:lang w:eastAsia="en-AU"/>
        </w:rPr>
        <w:t>Program area: HACC-PYP primary health, community care and support</w:t>
      </w:r>
    </w:p>
    <w:tbl>
      <w:tblPr>
        <w:tblStyle w:val="TableGrid1"/>
        <w:tblW w:w="9359" w:type="dxa"/>
        <w:tblLook w:val="06A0" w:firstRow="1" w:lastRow="0" w:firstColumn="1" w:lastColumn="0" w:noHBand="1" w:noVBand="1"/>
      </w:tblPr>
      <w:tblGrid>
        <w:gridCol w:w="3923"/>
        <w:gridCol w:w="2388"/>
        <w:gridCol w:w="3048"/>
      </w:tblGrid>
      <w:tr w:rsidR="002E0941" w14:paraId="4FA970DF" w14:textId="77777777" w:rsidTr="002E0941">
        <w:trPr>
          <w:cnfStyle w:val="100000000000" w:firstRow="1" w:lastRow="0" w:firstColumn="0" w:lastColumn="0" w:oddVBand="0" w:evenVBand="0" w:oddHBand="0" w:evenHBand="0" w:firstRowFirstColumn="0" w:firstRowLastColumn="0" w:lastRowFirstColumn="0" w:lastRowLastColumn="0"/>
          <w:tblHeader/>
        </w:trPr>
        <w:tc>
          <w:tcPr>
            <w:tcW w:w="6" w:type="dxa"/>
            <w:tcBorders>
              <w:top w:val="single" w:sz="4" w:space="0" w:color="auto"/>
              <w:left w:val="single" w:sz="4" w:space="0" w:color="auto"/>
              <w:bottom w:val="single" w:sz="4" w:space="0" w:color="auto"/>
              <w:right w:val="single" w:sz="4" w:space="0" w:color="auto"/>
            </w:tcBorders>
            <w:hideMark/>
          </w:tcPr>
          <w:p w14:paraId="695AC431" w14:textId="77777777" w:rsidR="002E0941" w:rsidRDefault="002E0941">
            <w:pPr>
              <w:pStyle w:val="Tablecolhead9pt"/>
              <w:rPr>
                <w:szCs w:val="18"/>
              </w:rPr>
            </w:pPr>
            <w:r>
              <w:t>Service</w:t>
            </w:r>
          </w:p>
        </w:tc>
        <w:tc>
          <w:tcPr>
            <w:tcW w:w="6" w:type="dxa"/>
            <w:tcBorders>
              <w:top w:val="single" w:sz="4" w:space="0" w:color="auto"/>
              <w:left w:val="single" w:sz="4" w:space="0" w:color="auto"/>
              <w:bottom w:val="single" w:sz="4" w:space="0" w:color="auto"/>
              <w:right w:val="single" w:sz="4" w:space="0" w:color="auto"/>
            </w:tcBorders>
            <w:hideMark/>
          </w:tcPr>
          <w:p w14:paraId="5A258243" w14:textId="77777777" w:rsidR="002E0941" w:rsidRDefault="002E0941">
            <w:pPr>
              <w:pStyle w:val="Tablecolhead9pt"/>
              <w:rPr>
                <w:szCs w:val="18"/>
              </w:rPr>
            </w:pPr>
            <w:r>
              <w:t>Funded unit</w:t>
            </w:r>
          </w:p>
        </w:tc>
        <w:tc>
          <w:tcPr>
            <w:tcW w:w="6" w:type="dxa"/>
            <w:tcBorders>
              <w:top w:val="single" w:sz="4" w:space="0" w:color="auto"/>
              <w:left w:val="single" w:sz="4" w:space="0" w:color="auto"/>
              <w:bottom w:val="single" w:sz="4" w:space="0" w:color="auto"/>
              <w:right w:val="single" w:sz="4" w:space="0" w:color="auto"/>
            </w:tcBorders>
            <w:hideMark/>
          </w:tcPr>
          <w:p w14:paraId="6C0324D8" w14:textId="77777777" w:rsidR="002E0941" w:rsidRDefault="002E0941">
            <w:pPr>
              <w:pStyle w:val="Tablecolhead9pt"/>
              <w:jc w:val="right"/>
              <w:rPr>
                <w:szCs w:val="18"/>
              </w:rPr>
            </w:pPr>
            <w:r>
              <w:t>Estimated unit price ($)</w:t>
            </w:r>
          </w:p>
        </w:tc>
      </w:tr>
      <w:tr w:rsidR="002E0941" w14:paraId="06864078"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C0556" w14:textId="77777777" w:rsidR="002E0941" w:rsidRDefault="002E0941">
            <w:pPr>
              <w:pStyle w:val="Tabletext9pt"/>
            </w:pPr>
            <w:r>
              <w:t>HACC-PYP Access and Support</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5846B"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8F5BDFB" w14:textId="36D7E93E" w:rsidR="002E0941" w:rsidRDefault="002D12FF">
            <w:pPr>
              <w:pStyle w:val="Tabletext9pt"/>
              <w:jc w:val="right"/>
            </w:pPr>
            <w:r>
              <w:t>74.65</w:t>
            </w:r>
          </w:p>
        </w:tc>
      </w:tr>
      <w:tr w:rsidR="002E0941" w14:paraId="34832460"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3FFDA" w14:textId="77777777" w:rsidR="002E0941" w:rsidRDefault="002E0941">
            <w:pPr>
              <w:pStyle w:val="Tabletext9pt"/>
            </w:pPr>
            <w:r>
              <w:t>HACC-PYP Assessment</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B3A3F"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00D63385" w14:textId="141BD295" w:rsidR="002E0941" w:rsidRDefault="00E90658">
            <w:pPr>
              <w:pStyle w:val="Tabletext9pt"/>
              <w:jc w:val="right"/>
            </w:pPr>
            <w:r>
              <w:t>101.60</w:t>
            </w:r>
          </w:p>
        </w:tc>
      </w:tr>
      <w:tr w:rsidR="002E0941" w14:paraId="1D0A5DDD"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7440C" w14:textId="77777777" w:rsidR="002E0941" w:rsidRDefault="002E0941">
            <w:pPr>
              <w:pStyle w:val="Tabletext9pt"/>
            </w:pPr>
            <w:r>
              <w:t>HACC-PYP Counselling</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A4A80"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B28F34A" w14:textId="0A6A568E" w:rsidR="002E0941" w:rsidRDefault="000C324B">
            <w:pPr>
              <w:pStyle w:val="Tabletext9pt"/>
              <w:jc w:val="right"/>
            </w:pPr>
            <w:r>
              <w:t>110.85</w:t>
            </w:r>
          </w:p>
        </w:tc>
      </w:tr>
      <w:tr w:rsidR="002E0941" w14:paraId="4B83728D"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FA40E" w14:textId="77777777" w:rsidR="002E0941" w:rsidRDefault="002E0941">
            <w:pPr>
              <w:pStyle w:val="Tabletext9pt"/>
            </w:pPr>
            <w:r>
              <w:lastRenderedPageBreak/>
              <w:t>HACC-PYP Delivered Meals</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56C7A" w14:textId="77777777" w:rsidR="002E0941" w:rsidRDefault="002E0941">
            <w:pPr>
              <w:pStyle w:val="Tabletext9pt"/>
            </w:pPr>
            <w:r>
              <w:rPr>
                <w:szCs w:val="20"/>
              </w:rPr>
              <w:t>Meal</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0B1F516D" w14:textId="2C873072" w:rsidR="002E0941" w:rsidRDefault="002046D3">
            <w:pPr>
              <w:pStyle w:val="Tabletext9pt"/>
              <w:jc w:val="right"/>
            </w:pPr>
            <w:r>
              <w:t>3.68</w:t>
            </w:r>
          </w:p>
        </w:tc>
      </w:tr>
      <w:tr w:rsidR="002E0941" w14:paraId="0781CEDF"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E6EA8" w14:textId="77777777" w:rsidR="002E0941" w:rsidRDefault="002E0941">
            <w:pPr>
              <w:pStyle w:val="Tabletext9pt"/>
            </w:pPr>
            <w:r>
              <w:t>HACC-PYP Dietetics</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7D7EE"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1EA3A872" w14:textId="595A5B5B" w:rsidR="002E0941" w:rsidRDefault="00CB2C37">
            <w:pPr>
              <w:pStyle w:val="Tabletext9pt"/>
              <w:jc w:val="right"/>
            </w:pPr>
            <w:r>
              <w:t>110.85</w:t>
            </w:r>
          </w:p>
        </w:tc>
      </w:tr>
      <w:tr w:rsidR="002E0941" w14:paraId="37E4DDE0"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9EFFF" w14:textId="77777777" w:rsidR="002E0941" w:rsidRDefault="002E0941">
            <w:pPr>
              <w:pStyle w:val="Tabletext9pt"/>
            </w:pPr>
            <w:r>
              <w:t>HACC-PYP Community Care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8B8D8"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9C7FA94" w14:textId="7A6F9902" w:rsidR="002E0941" w:rsidRDefault="00CB2C37">
            <w:pPr>
              <w:pStyle w:val="Tabletext9pt"/>
              <w:jc w:val="right"/>
            </w:pPr>
            <w:r>
              <w:t>51.21</w:t>
            </w:r>
          </w:p>
        </w:tc>
      </w:tr>
      <w:tr w:rsidR="002E0941" w14:paraId="58674746"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0B99B" w14:textId="77777777" w:rsidR="002E0941" w:rsidRDefault="002E0941">
            <w:pPr>
              <w:pStyle w:val="Tabletext9pt"/>
            </w:pPr>
            <w:r>
              <w:t>HACC-PYP Nursing</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D6A58"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12656F30" w14:textId="264DD199" w:rsidR="002E0941" w:rsidRDefault="00CB2C37">
            <w:pPr>
              <w:pStyle w:val="Tabletext9pt"/>
              <w:jc w:val="right"/>
            </w:pPr>
            <w:r>
              <w:t>101.60</w:t>
            </w:r>
          </w:p>
        </w:tc>
      </w:tr>
      <w:tr w:rsidR="002E0941" w14:paraId="05249163"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6232C" w14:textId="77777777" w:rsidR="002E0941" w:rsidRDefault="002E0941">
            <w:pPr>
              <w:pStyle w:val="Tabletext9pt"/>
            </w:pPr>
            <w:r>
              <w:t>HACC-PYP Occupational Therapy</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00131"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5DA5CBC" w14:textId="126E9567" w:rsidR="002E0941" w:rsidRDefault="003645D5">
            <w:pPr>
              <w:pStyle w:val="Tabletext9pt"/>
              <w:jc w:val="right"/>
            </w:pPr>
            <w:r>
              <w:t>110.85</w:t>
            </w:r>
          </w:p>
        </w:tc>
      </w:tr>
      <w:tr w:rsidR="002E0941" w14:paraId="66E06324"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A2475" w14:textId="77777777" w:rsidR="002E0941" w:rsidRDefault="002E0941">
            <w:pPr>
              <w:pStyle w:val="Tabletext9pt"/>
            </w:pPr>
            <w:r>
              <w:t>HACC-PYP Physiotherapy</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57DC3"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F3672D5" w14:textId="37665A73" w:rsidR="002E0941" w:rsidRDefault="006D1C69">
            <w:pPr>
              <w:pStyle w:val="Tabletext9pt"/>
              <w:jc w:val="right"/>
            </w:pPr>
            <w:r>
              <w:t>110.85</w:t>
            </w:r>
          </w:p>
        </w:tc>
      </w:tr>
      <w:tr w:rsidR="002E0941" w14:paraId="04C16636"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84F64" w14:textId="77777777" w:rsidR="002E0941" w:rsidRDefault="002E0941">
            <w:pPr>
              <w:pStyle w:val="Tabletext9pt"/>
            </w:pPr>
            <w:r>
              <w:t>HACC-PYP Planned Activity Group</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A9E12" w14:textId="77777777" w:rsidR="002E0941" w:rsidRDefault="002E0941">
            <w:pPr>
              <w:pStyle w:val="Tabletext9pt"/>
            </w:pPr>
            <w:r>
              <w:rPr>
                <w:szCs w:val="20"/>
              </w:rPr>
              <w:t>Per person</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0435" w14:textId="6CA8B2EF" w:rsidR="002E0941" w:rsidRDefault="00F86341">
            <w:pPr>
              <w:pStyle w:val="Tabletext9pt"/>
              <w:jc w:val="right"/>
            </w:pPr>
            <w:r>
              <w:t>17.61</w:t>
            </w:r>
          </w:p>
        </w:tc>
      </w:tr>
      <w:tr w:rsidR="002E0941" w14:paraId="78BEF01B"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AC9F6" w14:textId="77777777" w:rsidR="002E0941" w:rsidRDefault="002E0941">
            <w:pPr>
              <w:pStyle w:val="Tabletext9pt"/>
            </w:pPr>
            <w:r>
              <w:rPr>
                <w:szCs w:val="20"/>
              </w:rPr>
              <w:t>HACC-PYP Podiatry</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29984"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2FE82ACE" w14:textId="1EE56DC4" w:rsidR="002E0941" w:rsidRDefault="00F86341">
            <w:pPr>
              <w:pStyle w:val="Tabletext9pt"/>
              <w:jc w:val="right"/>
            </w:pPr>
            <w:r>
              <w:t>110.85</w:t>
            </w:r>
          </w:p>
        </w:tc>
      </w:tr>
      <w:tr w:rsidR="002E0941" w14:paraId="36EA5BCD"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E42C1" w14:textId="77777777" w:rsidR="002E0941" w:rsidRDefault="002E0941">
            <w:pPr>
              <w:pStyle w:val="Tabletext9pt"/>
            </w:pPr>
            <w:r>
              <w:rPr>
                <w:szCs w:val="20"/>
              </w:rPr>
              <w:t>HACC-PYP Property Maintenance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3C532"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0FC42" w14:textId="62B0C441" w:rsidR="002E0941" w:rsidRDefault="005500A8">
            <w:pPr>
              <w:pStyle w:val="Tabletext9pt"/>
              <w:jc w:val="right"/>
            </w:pPr>
            <w:r>
              <w:t>53.10</w:t>
            </w:r>
          </w:p>
        </w:tc>
      </w:tr>
      <w:tr w:rsidR="002E0941" w14:paraId="2AB791E3"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0898F" w14:textId="77777777" w:rsidR="002E0941" w:rsidRDefault="002E0941">
            <w:pPr>
              <w:pStyle w:val="Tabletext9pt"/>
            </w:pPr>
            <w:r>
              <w:rPr>
                <w:szCs w:val="20"/>
              </w:rPr>
              <w:t>HACC-PYP Speech Therapy</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A14BA"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2D3A2559" w14:textId="3265D977" w:rsidR="002E0941" w:rsidRDefault="00214546">
            <w:pPr>
              <w:pStyle w:val="Tabletext9pt"/>
              <w:jc w:val="right"/>
            </w:pPr>
            <w:r>
              <w:t>110.85</w:t>
            </w:r>
          </w:p>
        </w:tc>
      </w:tr>
      <w:tr w:rsidR="002E0941" w14:paraId="756BF857" w14:textId="77777777" w:rsidTr="008B2386">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48109" w14:textId="77777777" w:rsidR="002E0941" w:rsidRDefault="002E0941">
            <w:pPr>
              <w:pStyle w:val="Tabletext9pt"/>
            </w:pPr>
            <w:r>
              <w:rPr>
                <w:szCs w:val="20"/>
              </w:rPr>
              <w:t>HACC-PYP Volunteer Coordination</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732BA" w14:textId="77777777" w:rsidR="002E0941" w:rsidRDefault="002E0941">
            <w:pPr>
              <w:pStyle w:val="Tabletext9pt"/>
            </w:pPr>
            <w:r>
              <w:rPr>
                <w:szCs w:val="20"/>
              </w:rPr>
              <w:t>Hour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D818" w14:textId="08547AA2" w:rsidR="002E0941" w:rsidRDefault="00214546">
            <w:pPr>
              <w:pStyle w:val="Tabletext9pt"/>
              <w:jc w:val="right"/>
            </w:pPr>
            <w:r>
              <w:t>43.30</w:t>
            </w:r>
          </w:p>
        </w:tc>
      </w:tr>
    </w:tbl>
    <w:p w14:paraId="4A2329D3" w14:textId="7E19FB02" w:rsidR="002E0941" w:rsidRDefault="002E0941" w:rsidP="002E0941">
      <w:pPr>
        <w:pStyle w:val="Bodyaftertablefigure"/>
        <w:rPr>
          <w:lang w:eastAsia="en-AU"/>
        </w:rPr>
      </w:pPr>
      <w:r w:rsidRPr="00D24593">
        <w:t xml:space="preserve">Program area: </w:t>
      </w:r>
      <w:r w:rsidRPr="00D24593">
        <w:rPr>
          <w:lang w:eastAsia="en-AU"/>
        </w:rPr>
        <w:t>HACC-PYP</w:t>
      </w:r>
      <w:r w:rsidRPr="00D24593">
        <w:t>–</w:t>
      </w:r>
      <w:r w:rsidRPr="00D24593">
        <w:rPr>
          <w:lang w:eastAsia="en-AU"/>
        </w:rPr>
        <w:t xml:space="preserve"> ACCO services</w:t>
      </w:r>
    </w:p>
    <w:tbl>
      <w:tblPr>
        <w:tblStyle w:val="TableGrid1"/>
        <w:tblW w:w="9359" w:type="dxa"/>
        <w:tblLook w:val="06A0" w:firstRow="1" w:lastRow="0" w:firstColumn="1" w:lastColumn="0" w:noHBand="1" w:noVBand="1"/>
      </w:tblPr>
      <w:tblGrid>
        <w:gridCol w:w="3964"/>
        <w:gridCol w:w="2410"/>
        <w:gridCol w:w="2985"/>
      </w:tblGrid>
      <w:tr w:rsidR="002E0941" w14:paraId="1ECFD696" w14:textId="77777777" w:rsidTr="002E0941">
        <w:trPr>
          <w:cnfStyle w:val="100000000000" w:firstRow="1" w:lastRow="0" w:firstColumn="0" w:lastColumn="0" w:oddVBand="0" w:evenVBand="0" w:oddHBand="0" w:evenHBand="0" w:firstRowFirstColumn="0" w:firstRowLastColumn="0" w:lastRowFirstColumn="0" w:lastRowLastColumn="0"/>
          <w:cantSplit/>
          <w:tblHeader/>
        </w:trPr>
        <w:tc>
          <w:tcPr>
            <w:tcW w:w="3964" w:type="dxa"/>
            <w:tcBorders>
              <w:top w:val="single" w:sz="4" w:space="0" w:color="auto"/>
              <w:left w:val="single" w:sz="4" w:space="0" w:color="auto"/>
              <w:bottom w:val="single" w:sz="4" w:space="0" w:color="auto"/>
              <w:right w:val="single" w:sz="4" w:space="0" w:color="auto"/>
            </w:tcBorders>
            <w:hideMark/>
          </w:tcPr>
          <w:p w14:paraId="4208662F" w14:textId="77777777" w:rsidR="002E0941" w:rsidRDefault="002E0941">
            <w:pPr>
              <w:pStyle w:val="Tabletext9pt"/>
              <w:keepNext/>
              <w:keepLines/>
              <w:rPr>
                <w:szCs w:val="18"/>
                <w:lang w:eastAsia="en-AU"/>
              </w:rPr>
            </w:pPr>
            <w:r>
              <w:t>Service</w:t>
            </w:r>
          </w:p>
        </w:tc>
        <w:tc>
          <w:tcPr>
            <w:tcW w:w="2410" w:type="dxa"/>
            <w:tcBorders>
              <w:top w:val="single" w:sz="4" w:space="0" w:color="auto"/>
              <w:left w:val="single" w:sz="4" w:space="0" w:color="auto"/>
              <w:bottom w:val="single" w:sz="4" w:space="0" w:color="auto"/>
              <w:right w:val="single" w:sz="4" w:space="0" w:color="auto"/>
            </w:tcBorders>
            <w:hideMark/>
          </w:tcPr>
          <w:p w14:paraId="5744ED71" w14:textId="77777777" w:rsidR="002E0941" w:rsidRDefault="002E0941">
            <w:pPr>
              <w:pStyle w:val="Tabletext9pt"/>
              <w:keepNext/>
              <w:keepLines/>
              <w:rPr>
                <w:szCs w:val="18"/>
                <w:lang w:eastAsia="en-AU"/>
              </w:rPr>
            </w:pPr>
            <w:r>
              <w:t>Funded unit</w:t>
            </w:r>
          </w:p>
        </w:tc>
        <w:tc>
          <w:tcPr>
            <w:tcW w:w="2985" w:type="dxa"/>
            <w:tcBorders>
              <w:top w:val="single" w:sz="4" w:space="0" w:color="auto"/>
              <w:left w:val="single" w:sz="4" w:space="0" w:color="auto"/>
              <w:bottom w:val="single" w:sz="4" w:space="0" w:color="auto"/>
              <w:right w:val="single" w:sz="4" w:space="0" w:color="auto"/>
            </w:tcBorders>
            <w:hideMark/>
          </w:tcPr>
          <w:p w14:paraId="0A55F620" w14:textId="77777777" w:rsidR="002E0941" w:rsidRDefault="002E0941">
            <w:pPr>
              <w:pStyle w:val="Tabletext9pt"/>
              <w:keepNext/>
              <w:keepLines/>
              <w:jc w:val="right"/>
              <w:rPr>
                <w:lang w:eastAsia="en-AU"/>
              </w:rPr>
            </w:pPr>
            <w:r>
              <w:t>Estimated unit price ($)</w:t>
            </w:r>
          </w:p>
        </w:tc>
      </w:tr>
      <w:tr w:rsidR="002E0941" w14:paraId="499415E5"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2667EB5F" w14:textId="77777777" w:rsidR="002E0941" w:rsidRDefault="002E0941">
            <w:pPr>
              <w:pStyle w:val="Tabletext9pt"/>
              <w:keepNext/>
              <w:keepLines/>
              <w:rPr>
                <w:szCs w:val="18"/>
                <w:lang w:eastAsia="en-AU"/>
              </w:rPr>
            </w:pPr>
            <w:r>
              <w:rPr>
                <w:szCs w:val="18"/>
                <w:lang w:eastAsia="en-AU"/>
              </w:rPr>
              <w:t>HACC-PYP Access and Support</w:t>
            </w:r>
          </w:p>
        </w:tc>
        <w:tc>
          <w:tcPr>
            <w:tcW w:w="0" w:type="dxa"/>
            <w:tcBorders>
              <w:top w:val="single" w:sz="4" w:space="0" w:color="auto"/>
              <w:left w:val="single" w:sz="4" w:space="0" w:color="auto"/>
              <w:bottom w:val="single" w:sz="4" w:space="0" w:color="auto"/>
              <w:right w:val="single" w:sz="4" w:space="0" w:color="auto"/>
            </w:tcBorders>
            <w:hideMark/>
          </w:tcPr>
          <w:p w14:paraId="7BBD5BCC"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A779B78" w14:textId="4CD10F9B" w:rsidR="002E0941" w:rsidRDefault="00425B0D" w:rsidP="26D6F9D2">
            <w:pPr>
              <w:pStyle w:val="Tabletext9pt"/>
              <w:spacing w:line="259" w:lineRule="auto"/>
              <w:jc w:val="right"/>
            </w:pPr>
            <w:r>
              <w:rPr>
                <w:lang w:eastAsia="en-AU"/>
              </w:rPr>
              <w:t>$</w:t>
            </w:r>
            <w:r w:rsidR="26D6F9D2" w:rsidRPr="26D6F9D2">
              <w:rPr>
                <w:lang w:eastAsia="en-AU"/>
              </w:rPr>
              <w:t>77.54</w:t>
            </w:r>
            <w:r w:rsidR="26D6F9D2" w:rsidRPr="0DFC15B6">
              <w:rPr>
                <w:lang w:eastAsia="en-AU"/>
              </w:rPr>
              <w:t xml:space="preserve">  </w:t>
            </w:r>
          </w:p>
        </w:tc>
      </w:tr>
      <w:tr w:rsidR="002E0941" w14:paraId="746B80BB"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5118E116" w14:textId="77777777" w:rsidR="002E0941" w:rsidRDefault="002E0941">
            <w:pPr>
              <w:pStyle w:val="Tabletext9pt"/>
              <w:keepNext/>
              <w:keepLines/>
              <w:rPr>
                <w:szCs w:val="18"/>
                <w:lang w:eastAsia="en-AU"/>
              </w:rPr>
            </w:pPr>
            <w:r>
              <w:rPr>
                <w:szCs w:val="18"/>
                <w:lang w:eastAsia="en-AU"/>
              </w:rPr>
              <w:t>HACC-PYP Occupational Therapy</w:t>
            </w:r>
          </w:p>
        </w:tc>
        <w:tc>
          <w:tcPr>
            <w:tcW w:w="0" w:type="dxa"/>
            <w:tcBorders>
              <w:top w:val="single" w:sz="4" w:space="0" w:color="auto"/>
              <w:left w:val="single" w:sz="4" w:space="0" w:color="auto"/>
              <w:bottom w:val="single" w:sz="4" w:space="0" w:color="auto"/>
              <w:right w:val="single" w:sz="4" w:space="0" w:color="auto"/>
            </w:tcBorders>
            <w:hideMark/>
          </w:tcPr>
          <w:p w14:paraId="427FDC3D"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3E30E26F" w14:textId="6CC3B05C" w:rsidR="002E0941" w:rsidRPr="00016A88" w:rsidRDefault="008C1E4E">
            <w:pPr>
              <w:pStyle w:val="Tabletext9pt"/>
              <w:keepNext/>
              <w:keepLines/>
              <w:jc w:val="right"/>
              <w:rPr>
                <w:color w:val="000000" w:themeColor="text1"/>
                <w:lang w:eastAsia="en-AU"/>
              </w:rPr>
            </w:pPr>
            <w:r w:rsidRPr="00016A88">
              <w:rPr>
                <w:color w:val="000000" w:themeColor="text1"/>
                <w:lang w:eastAsia="en-AU"/>
              </w:rPr>
              <w:t>$115.17</w:t>
            </w:r>
          </w:p>
        </w:tc>
      </w:tr>
      <w:tr w:rsidR="002E0941" w14:paraId="58243174"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5B367FEA" w14:textId="77777777" w:rsidR="002E0941" w:rsidRDefault="002E0941">
            <w:pPr>
              <w:pStyle w:val="Tabletext9pt"/>
              <w:keepNext/>
              <w:keepLines/>
              <w:rPr>
                <w:szCs w:val="18"/>
                <w:lang w:eastAsia="en-AU"/>
              </w:rPr>
            </w:pPr>
            <w:r>
              <w:rPr>
                <w:szCs w:val="18"/>
                <w:lang w:eastAsia="en-AU"/>
              </w:rPr>
              <w:t>HACC-PYP Podiatry</w:t>
            </w:r>
          </w:p>
        </w:tc>
        <w:tc>
          <w:tcPr>
            <w:tcW w:w="0" w:type="dxa"/>
            <w:tcBorders>
              <w:top w:val="single" w:sz="4" w:space="0" w:color="auto"/>
              <w:left w:val="single" w:sz="4" w:space="0" w:color="auto"/>
              <w:bottom w:val="single" w:sz="4" w:space="0" w:color="auto"/>
              <w:right w:val="single" w:sz="4" w:space="0" w:color="auto"/>
            </w:tcBorders>
            <w:hideMark/>
          </w:tcPr>
          <w:p w14:paraId="54D6291F"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36F4606E" w14:textId="04B34751" w:rsidR="002E0941" w:rsidRPr="00016A88" w:rsidRDefault="008C1E4E">
            <w:pPr>
              <w:pStyle w:val="Tabletext9pt"/>
              <w:keepNext/>
              <w:keepLines/>
              <w:jc w:val="right"/>
              <w:rPr>
                <w:color w:val="000000" w:themeColor="text1"/>
                <w:lang w:eastAsia="en-AU"/>
              </w:rPr>
            </w:pPr>
            <w:r w:rsidRPr="00016A88">
              <w:rPr>
                <w:color w:val="000000" w:themeColor="text1"/>
                <w:lang w:eastAsia="en-AU"/>
              </w:rPr>
              <w:t>$115.17</w:t>
            </w:r>
          </w:p>
        </w:tc>
      </w:tr>
      <w:tr w:rsidR="002E0941" w14:paraId="7F3BCA9A"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7F8A12A4" w14:textId="77777777" w:rsidR="002E0941" w:rsidRDefault="002E0941">
            <w:pPr>
              <w:pStyle w:val="Tabletext9pt"/>
              <w:keepNext/>
              <w:keepLines/>
              <w:rPr>
                <w:szCs w:val="18"/>
                <w:lang w:eastAsia="en-AU"/>
              </w:rPr>
            </w:pPr>
            <w:r>
              <w:rPr>
                <w:szCs w:val="18"/>
                <w:lang w:eastAsia="en-AU"/>
              </w:rPr>
              <w:t>HACC-PYP Dietetics</w:t>
            </w:r>
          </w:p>
        </w:tc>
        <w:tc>
          <w:tcPr>
            <w:tcW w:w="0" w:type="dxa"/>
            <w:tcBorders>
              <w:top w:val="single" w:sz="4" w:space="0" w:color="auto"/>
              <w:left w:val="single" w:sz="4" w:space="0" w:color="auto"/>
              <w:bottom w:val="single" w:sz="4" w:space="0" w:color="auto"/>
              <w:right w:val="single" w:sz="4" w:space="0" w:color="auto"/>
            </w:tcBorders>
            <w:hideMark/>
          </w:tcPr>
          <w:p w14:paraId="6EFA262B"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0D9744EC" w14:textId="16881C3B" w:rsidR="002E0941" w:rsidRPr="00016A88" w:rsidRDefault="008C1E4E">
            <w:pPr>
              <w:pStyle w:val="Tabletext9pt"/>
              <w:keepNext/>
              <w:keepLines/>
              <w:jc w:val="right"/>
              <w:rPr>
                <w:color w:val="000000" w:themeColor="text1"/>
                <w:lang w:eastAsia="en-AU"/>
              </w:rPr>
            </w:pPr>
            <w:r w:rsidRPr="00016A88">
              <w:rPr>
                <w:color w:val="000000" w:themeColor="text1"/>
                <w:lang w:eastAsia="en-AU"/>
              </w:rPr>
              <w:t>$115.17</w:t>
            </w:r>
          </w:p>
        </w:tc>
      </w:tr>
      <w:tr w:rsidR="002E0941" w14:paraId="18027023"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33D870FB" w14:textId="77777777" w:rsidR="002E0941" w:rsidRDefault="002E0941">
            <w:pPr>
              <w:pStyle w:val="Tabletext9pt"/>
              <w:keepNext/>
              <w:keepLines/>
              <w:rPr>
                <w:szCs w:val="18"/>
                <w:lang w:eastAsia="en-AU"/>
              </w:rPr>
            </w:pPr>
            <w:r>
              <w:rPr>
                <w:szCs w:val="18"/>
                <w:lang w:eastAsia="en-AU"/>
              </w:rPr>
              <w:t>HACC-PYP Speech Therapy</w:t>
            </w:r>
          </w:p>
        </w:tc>
        <w:tc>
          <w:tcPr>
            <w:tcW w:w="0" w:type="dxa"/>
            <w:tcBorders>
              <w:top w:val="single" w:sz="4" w:space="0" w:color="auto"/>
              <w:left w:val="single" w:sz="4" w:space="0" w:color="auto"/>
              <w:bottom w:val="single" w:sz="4" w:space="0" w:color="auto"/>
              <w:right w:val="single" w:sz="4" w:space="0" w:color="auto"/>
            </w:tcBorders>
            <w:hideMark/>
          </w:tcPr>
          <w:p w14:paraId="11730A8E"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05689400" w14:textId="321FA3FD" w:rsidR="002E0941" w:rsidRPr="00016A88" w:rsidRDefault="008C1E4E">
            <w:pPr>
              <w:pStyle w:val="Tabletext9pt"/>
              <w:keepNext/>
              <w:keepLines/>
              <w:jc w:val="right"/>
              <w:rPr>
                <w:color w:val="000000" w:themeColor="text1"/>
                <w:lang w:eastAsia="en-AU"/>
              </w:rPr>
            </w:pPr>
            <w:r w:rsidRPr="00016A88">
              <w:rPr>
                <w:color w:val="000000" w:themeColor="text1"/>
                <w:lang w:eastAsia="en-AU"/>
              </w:rPr>
              <w:t>$115.17</w:t>
            </w:r>
          </w:p>
        </w:tc>
      </w:tr>
      <w:tr w:rsidR="002E0941" w14:paraId="4B177D23"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3094A1AB" w14:textId="77777777" w:rsidR="002E0941" w:rsidRDefault="002E0941">
            <w:pPr>
              <w:pStyle w:val="Tabletext9pt"/>
              <w:keepNext/>
              <w:keepLines/>
              <w:rPr>
                <w:szCs w:val="18"/>
                <w:lang w:eastAsia="en-AU"/>
              </w:rPr>
            </w:pPr>
            <w:r>
              <w:rPr>
                <w:szCs w:val="18"/>
                <w:lang w:eastAsia="en-AU"/>
              </w:rPr>
              <w:t>HACC-PYP Physiotherapy</w:t>
            </w:r>
          </w:p>
        </w:tc>
        <w:tc>
          <w:tcPr>
            <w:tcW w:w="0" w:type="dxa"/>
            <w:tcBorders>
              <w:top w:val="single" w:sz="4" w:space="0" w:color="auto"/>
              <w:left w:val="single" w:sz="4" w:space="0" w:color="auto"/>
              <w:bottom w:val="single" w:sz="4" w:space="0" w:color="auto"/>
              <w:right w:val="single" w:sz="4" w:space="0" w:color="auto"/>
            </w:tcBorders>
            <w:hideMark/>
          </w:tcPr>
          <w:p w14:paraId="510AE461"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9E82D1D" w14:textId="1AC1A28F" w:rsidR="002E0941" w:rsidRPr="00016A88" w:rsidRDefault="008C1E4E">
            <w:pPr>
              <w:pStyle w:val="Tabletext9pt"/>
              <w:keepNext/>
              <w:keepLines/>
              <w:jc w:val="right"/>
              <w:rPr>
                <w:color w:val="000000" w:themeColor="text1"/>
                <w:lang w:eastAsia="en-AU"/>
              </w:rPr>
            </w:pPr>
            <w:r w:rsidRPr="00016A88">
              <w:rPr>
                <w:color w:val="000000" w:themeColor="text1"/>
                <w:lang w:eastAsia="en-AU"/>
              </w:rPr>
              <w:t>$115.17</w:t>
            </w:r>
          </w:p>
        </w:tc>
      </w:tr>
      <w:tr w:rsidR="002E0941" w14:paraId="1840DFF7"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5F288C1E" w14:textId="77777777" w:rsidR="002E0941" w:rsidRDefault="002E0941">
            <w:pPr>
              <w:pStyle w:val="Tabletext9pt"/>
              <w:keepNext/>
              <w:keepLines/>
              <w:rPr>
                <w:szCs w:val="18"/>
                <w:lang w:eastAsia="en-AU"/>
              </w:rPr>
            </w:pPr>
            <w:r>
              <w:rPr>
                <w:szCs w:val="18"/>
                <w:lang w:eastAsia="en-AU"/>
              </w:rPr>
              <w:t>HACC-PYP Counselling</w:t>
            </w:r>
          </w:p>
        </w:tc>
        <w:tc>
          <w:tcPr>
            <w:tcW w:w="0" w:type="dxa"/>
            <w:tcBorders>
              <w:top w:val="single" w:sz="4" w:space="0" w:color="auto"/>
              <w:left w:val="single" w:sz="4" w:space="0" w:color="auto"/>
              <w:bottom w:val="single" w:sz="4" w:space="0" w:color="auto"/>
              <w:right w:val="single" w:sz="4" w:space="0" w:color="auto"/>
            </w:tcBorders>
            <w:hideMark/>
          </w:tcPr>
          <w:p w14:paraId="31944406"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0026DF4" w14:textId="75779B45" w:rsidR="002E0941" w:rsidRPr="00016A88" w:rsidRDefault="008C1E4E">
            <w:pPr>
              <w:pStyle w:val="Tabletext9pt"/>
              <w:keepNext/>
              <w:keepLines/>
              <w:jc w:val="right"/>
              <w:rPr>
                <w:color w:val="000000" w:themeColor="text1"/>
                <w:lang w:eastAsia="en-AU"/>
              </w:rPr>
            </w:pPr>
            <w:r w:rsidRPr="00016A88">
              <w:rPr>
                <w:color w:val="000000" w:themeColor="text1"/>
                <w:lang w:eastAsia="en-AU"/>
              </w:rPr>
              <w:t>$115.17</w:t>
            </w:r>
          </w:p>
        </w:tc>
      </w:tr>
      <w:tr w:rsidR="002E0941" w14:paraId="04DFDE37"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0BDCD4A9" w14:textId="77777777" w:rsidR="002E0941" w:rsidRDefault="002E0941">
            <w:pPr>
              <w:pStyle w:val="Tabletext9pt"/>
              <w:keepNext/>
              <w:keepLines/>
              <w:rPr>
                <w:szCs w:val="18"/>
                <w:lang w:eastAsia="en-AU"/>
              </w:rPr>
            </w:pPr>
            <w:r>
              <w:rPr>
                <w:szCs w:val="18"/>
                <w:lang w:eastAsia="en-AU"/>
              </w:rPr>
              <w:t xml:space="preserve">HACC-PYP Assessment </w:t>
            </w:r>
          </w:p>
        </w:tc>
        <w:tc>
          <w:tcPr>
            <w:tcW w:w="0" w:type="dxa"/>
            <w:tcBorders>
              <w:top w:val="single" w:sz="4" w:space="0" w:color="auto"/>
              <w:left w:val="single" w:sz="4" w:space="0" w:color="auto"/>
              <w:bottom w:val="single" w:sz="4" w:space="0" w:color="auto"/>
              <w:right w:val="single" w:sz="4" w:space="0" w:color="auto"/>
            </w:tcBorders>
            <w:hideMark/>
          </w:tcPr>
          <w:p w14:paraId="31D70746"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13EE4E5" w14:textId="1529E939" w:rsidR="002E0941" w:rsidRPr="00016A88" w:rsidRDefault="005F3606">
            <w:pPr>
              <w:pStyle w:val="Tabletext9pt"/>
              <w:keepNext/>
              <w:keepLines/>
              <w:jc w:val="right"/>
              <w:rPr>
                <w:color w:val="000000" w:themeColor="text1"/>
                <w:lang w:eastAsia="en-AU"/>
              </w:rPr>
            </w:pPr>
            <w:r w:rsidRPr="00016A88">
              <w:rPr>
                <w:color w:val="000000" w:themeColor="text1"/>
                <w:lang w:eastAsia="en-AU"/>
              </w:rPr>
              <w:t>105.56</w:t>
            </w:r>
          </w:p>
        </w:tc>
      </w:tr>
      <w:tr w:rsidR="002E0941" w14:paraId="089F409D"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1B5CA03A" w14:textId="77777777" w:rsidR="002E0941" w:rsidRDefault="002E0941">
            <w:pPr>
              <w:pStyle w:val="Tabletext9pt"/>
              <w:keepNext/>
              <w:keepLines/>
              <w:rPr>
                <w:szCs w:val="18"/>
                <w:lang w:eastAsia="en-AU"/>
              </w:rPr>
            </w:pPr>
            <w:r>
              <w:rPr>
                <w:szCs w:val="18"/>
                <w:lang w:eastAsia="en-AU"/>
              </w:rPr>
              <w:t>HACC-PYP Delivered Meals</w:t>
            </w:r>
          </w:p>
        </w:tc>
        <w:tc>
          <w:tcPr>
            <w:tcW w:w="0" w:type="dxa"/>
            <w:tcBorders>
              <w:top w:val="single" w:sz="4" w:space="0" w:color="auto"/>
              <w:left w:val="single" w:sz="4" w:space="0" w:color="auto"/>
              <w:bottom w:val="single" w:sz="4" w:space="0" w:color="auto"/>
              <w:right w:val="single" w:sz="4" w:space="0" w:color="auto"/>
            </w:tcBorders>
            <w:hideMark/>
          </w:tcPr>
          <w:p w14:paraId="4B7B860B" w14:textId="77777777" w:rsidR="002E0941" w:rsidRDefault="002E0941">
            <w:pPr>
              <w:pStyle w:val="Tabletext9pt"/>
              <w:keepNext/>
              <w:keepLines/>
              <w:rPr>
                <w:szCs w:val="18"/>
                <w:lang w:eastAsia="en-AU"/>
              </w:rPr>
            </w:pPr>
            <w:r>
              <w:rPr>
                <w:szCs w:val="18"/>
                <w:lang w:eastAsia="en-AU"/>
              </w:rPr>
              <w:t>Meal</w:t>
            </w:r>
          </w:p>
        </w:tc>
        <w:tc>
          <w:tcPr>
            <w:tcW w:w="0" w:type="dxa"/>
            <w:tcBorders>
              <w:top w:val="single" w:sz="4" w:space="0" w:color="auto"/>
              <w:left w:val="single" w:sz="4" w:space="0" w:color="auto"/>
              <w:bottom w:val="single" w:sz="4" w:space="0" w:color="auto"/>
              <w:right w:val="single" w:sz="4" w:space="0" w:color="auto"/>
            </w:tcBorders>
          </w:tcPr>
          <w:p w14:paraId="5CD23DF1" w14:textId="56D49C41" w:rsidR="002E0941" w:rsidRPr="00016A88" w:rsidRDefault="008C1E4E">
            <w:pPr>
              <w:pStyle w:val="Tabletext9pt"/>
              <w:keepNext/>
              <w:keepLines/>
              <w:jc w:val="right"/>
              <w:rPr>
                <w:color w:val="000000" w:themeColor="text1"/>
                <w:lang w:eastAsia="en-AU"/>
              </w:rPr>
            </w:pPr>
            <w:r w:rsidRPr="00016A88">
              <w:rPr>
                <w:color w:val="000000" w:themeColor="text1"/>
                <w:lang w:eastAsia="en-AU"/>
              </w:rPr>
              <w:t>$3.82</w:t>
            </w:r>
          </w:p>
        </w:tc>
      </w:tr>
      <w:tr w:rsidR="002E0941" w14:paraId="70EFBD27"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607E7663" w14:textId="77777777" w:rsidR="002E0941" w:rsidRDefault="002E0941">
            <w:pPr>
              <w:pStyle w:val="Tabletext9pt"/>
              <w:keepNext/>
              <w:keepLines/>
              <w:rPr>
                <w:szCs w:val="18"/>
                <w:lang w:eastAsia="en-AU"/>
              </w:rPr>
            </w:pPr>
            <w:r>
              <w:rPr>
                <w:szCs w:val="18"/>
                <w:lang w:eastAsia="en-AU"/>
              </w:rPr>
              <w:t>HACC-PYP Community Care</w:t>
            </w:r>
          </w:p>
        </w:tc>
        <w:tc>
          <w:tcPr>
            <w:tcW w:w="0" w:type="dxa"/>
            <w:tcBorders>
              <w:top w:val="single" w:sz="4" w:space="0" w:color="auto"/>
              <w:left w:val="single" w:sz="4" w:space="0" w:color="auto"/>
              <w:bottom w:val="single" w:sz="4" w:space="0" w:color="auto"/>
              <w:right w:val="single" w:sz="4" w:space="0" w:color="auto"/>
            </w:tcBorders>
            <w:hideMark/>
          </w:tcPr>
          <w:p w14:paraId="6E90AC5F"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3F31B4BE" w14:textId="18858F3B" w:rsidR="002E0941" w:rsidRPr="00016A88" w:rsidRDefault="0006049D">
            <w:pPr>
              <w:pStyle w:val="Tabletext9pt"/>
              <w:keepNext/>
              <w:keepLines/>
              <w:jc w:val="right"/>
              <w:rPr>
                <w:color w:val="000000" w:themeColor="text1"/>
                <w:lang w:eastAsia="en-AU"/>
              </w:rPr>
            </w:pPr>
            <w:r w:rsidRPr="00016A88">
              <w:rPr>
                <w:color w:val="000000" w:themeColor="text1"/>
                <w:lang w:eastAsia="en-AU"/>
              </w:rPr>
              <w:t>$53.19</w:t>
            </w:r>
          </w:p>
        </w:tc>
      </w:tr>
      <w:tr w:rsidR="002E0941" w14:paraId="520F030D"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38388318" w14:textId="77777777" w:rsidR="002E0941" w:rsidRDefault="002E0941">
            <w:pPr>
              <w:pStyle w:val="Tabletext9pt"/>
              <w:keepNext/>
              <w:keepLines/>
              <w:rPr>
                <w:szCs w:val="18"/>
                <w:lang w:eastAsia="en-AU"/>
              </w:rPr>
            </w:pPr>
            <w:r>
              <w:rPr>
                <w:szCs w:val="18"/>
                <w:lang w:eastAsia="en-AU"/>
              </w:rPr>
              <w:t>HACC-PYP Nursing</w:t>
            </w:r>
          </w:p>
        </w:tc>
        <w:tc>
          <w:tcPr>
            <w:tcW w:w="0" w:type="dxa"/>
            <w:tcBorders>
              <w:top w:val="single" w:sz="4" w:space="0" w:color="auto"/>
              <w:left w:val="single" w:sz="4" w:space="0" w:color="auto"/>
              <w:bottom w:val="single" w:sz="4" w:space="0" w:color="auto"/>
              <w:right w:val="single" w:sz="4" w:space="0" w:color="auto"/>
            </w:tcBorders>
            <w:hideMark/>
          </w:tcPr>
          <w:p w14:paraId="6B0A085B"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7AEF86B0" w14:textId="7CB499F9" w:rsidR="002E0941" w:rsidRPr="00016A88" w:rsidRDefault="00377B14">
            <w:pPr>
              <w:pStyle w:val="Tabletext9pt"/>
              <w:keepNext/>
              <w:keepLines/>
              <w:jc w:val="right"/>
              <w:rPr>
                <w:color w:val="000000" w:themeColor="text1"/>
                <w:lang w:eastAsia="en-AU"/>
              </w:rPr>
            </w:pPr>
            <w:r w:rsidRPr="00016A88">
              <w:rPr>
                <w:color w:val="000000" w:themeColor="text1"/>
                <w:lang w:eastAsia="en-AU"/>
              </w:rPr>
              <w:t>105.56</w:t>
            </w:r>
          </w:p>
        </w:tc>
      </w:tr>
      <w:tr w:rsidR="002E0941" w14:paraId="121F23AF"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24F4DFF8" w14:textId="77777777" w:rsidR="002E0941" w:rsidRDefault="002E0941">
            <w:pPr>
              <w:pStyle w:val="Tabletext9pt"/>
              <w:keepNext/>
              <w:keepLines/>
              <w:rPr>
                <w:szCs w:val="18"/>
                <w:lang w:eastAsia="en-AU"/>
              </w:rPr>
            </w:pPr>
            <w:r>
              <w:rPr>
                <w:szCs w:val="18"/>
                <w:lang w:eastAsia="en-AU"/>
              </w:rPr>
              <w:t>HACC-PYP Planned Activity Group</w:t>
            </w:r>
          </w:p>
        </w:tc>
        <w:tc>
          <w:tcPr>
            <w:tcW w:w="0" w:type="dxa"/>
            <w:tcBorders>
              <w:top w:val="single" w:sz="4" w:space="0" w:color="auto"/>
              <w:left w:val="single" w:sz="4" w:space="0" w:color="auto"/>
              <w:bottom w:val="single" w:sz="4" w:space="0" w:color="auto"/>
              <w:right w:val="single" w:sz="4" w:space="0" w:color="auto"/>
            </w:tcBorders>
            <w:hideMark/>
          </w:tcPr>
          <w:p w14:paraId="6140E331" w14:textId="77777777" w:rsidR="002E0941" w:rsidRDefault="002E0941">
            <w:pPr>
              <w:pStyle w:val="Tabletext9pt"/>
              <w:keepNext/>
              <w:keepLines/>
              <w:rPr>
                <w:szCs w:val="18"/>
                <w:lang w:eastAsia="en-AU"/>
              </w:rPr>
            </w:pPr>
            <w:r>
              <w:rPr>
                <w:szCs w:val="18"/>
                <w:lang w:eastAsia="en-AU"/>
              </w:rPr>
              <w:t>Person-hour</w:t>
            </w:r>
          </w:p>
        </w:tc>
        <w:tc>
          <w:tcPr>
            <w:tcW w:w="0" w:type="dxa"/>
            <w:tcBorders>
              <w:top w:val="single" w:sz="4" w:space="0" w:color="auto"/>
              <w:left w:val="single" w:sz="4" w:space="0" w:color="auto"/>
              <w:bottom w:val="single" w:sz="4" w:space="0" w:color="auto"/>
              <w:right w:val="single" w:sz="4" w:space="0" w:color="auto"/>
            </w:tcBorders>
          </w:tcPr>
          <w:p w14:paraId="1158AE30" w14:textId="3783E476" w:rsidR="002E0941" w:rsidRDefault="00D52F33">
            <w:pPr>
              <w:pStyle w:val="Tabletext9pt"/>
              <w:keepNext/>
              <w:keepLines/>
              <w:jc w:val="right"/>
              <w:rPr>
                <w:lang w:eastAsia="en-AU"/>
              </w:rPr>
            </w:pPr>
            <w:r>
              <w:rPr>
                <w:lang w:eastAsia="en-AU"/>
              </w:rPr>
              <w:t>17.82</w:t>
            </w:r>
          </w:p>
        </w:tc>
      </w:tr>
      <w:tr w:rsidR="002E0941" w14:paraId="394FDBE9"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4FA8A58C" w14:textId="77777777" w:rsidR="002E0941" w:rsidRDefault="002E0941">
            <w:pPr>
              <w:pStyle w:val="Tabletext9pt"/>
              <w:keepNext/>
              <w:keepLines/>
              <w:rPr>
                <w:szCs w:val="18"/>
                <w:lang w:eastAsia="en-AU"/>
              </w:rPr>
            </w:pPr>
            <w:r>
              <w:rPr>
                <w:szCs w:val="18"/>
                <w:lang w:eastAsia="en-AU"/>
              </w:rPr>
              <w:t>HACC-PYP Property Maintenance</w:t>
            </w:r>
          </w:p>
        </w:tc>
        <w:tc>
          <w:tcPr>
            <w:tcW w:w="0" w:type="dxa"/>
            <w:tcBorders>
              <w:top w:val="single" w:sz="4" w:space="0" w:color="auto"/>
              <w:left w:val="single" w:sz="4" w:space="0" w:color="auto"/>
              <w:bottom w:val="single" w:sz="4" w:space="0" w:color="auto"/>
              <w:right w:val="single" w:sz="4" w:space="0" w:color="auto"/>
            </w:tcBorders>
            <w:hideMark/>
          </w:tcPr>
          <w:p w14:paraId="13E3D5D0"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68E39E5" w14:textId="7FE4EF86" w:rsidR="002E0941" w:rsidRDefault="0006049D">
            <w:pPr>
              <w:pStyle w:val="Tabletext9pt"/>
              <w:keepNext/>
              <w:keepLines/>
              <w:jc w:val="right"/>
              <w:rPr>
                <w:lang w:eastAsia="en-AU"/>
              </w:rPr>
            </w:pPr>
            <w:r w:rsidRPr="26D6F9D2">
              <w:rPr>
                <w:lang w:eastAsia="en-AU"/>
              </w:rPr>
              <w:t>$55.15</w:t>
            </w:r>
            <w:r w:rsidRPr="0DFC15B6">
              <w:rPr>
                <w:lang w:eastAsia="en-AU"/>
              </w:rPr>
              <w:t xml:space="preserve"> </w:t>
            </w:r>
          </w:p>
        </w:tc>
      </w:tr>
      <w:tr w:rsidR="002E0941" w14:paraId="661F2802"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47B44BB1" w14:textId="77777777" w:rsidR="002E0941" w:rsidRDefault="002E0941">
            <w:pPr>
              <w:pStyle w:val="Tabletext9pt"/>
              <w:keepNext/>
              <w:keepLines/>
              <w:rPr>
                <w:szCs w:val="18"/>
                <w:lang w:eastAsia="en-AU"/>
              </w:rPr>
            </w:pPr>
            <w:r>
              <w:rPr>
                <w:szCs w:val="18"/>
                <w:lang w:eastAsia="en-AU"/>
              </w:rPr>
              <w:t>HACC-PYP Volunteer Coordination</w:t>
            </w:r>
          </w:p>
        </w:tc>
        <w:tc>
          <w:tcPr>
            <w:tcW w:w="0" w:type="dxa"/>
            <w:tcBorders>
              <w:top w:val="single" w:sz="4" w:space="0" w:color="auto"/>
              <w:left w:val="single" w:sz="4" w:space="0" w:color="auto"/>
              <w:bottom w:val="single" w:sz="4" w:space="0" w:color="auto"/>
              <w:right w:val="single" w:sz="4" w:space="0" w:color="auto"/>
            </w:tcBorders>
            <w:hideMark/>
          </w:tcPr>
          <w:p w14:paraId="6AC89B2B" w14:textId="77777777" w:rsidR="002E0941" w:rsidRDefault="002E0941">
            <w:pPr>
              <w:pStyle w:val="Tabletext9pt"/>
              <w:keepNext/>
              <w:keepLines/>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CF5A09B" w14:textId="0EA4E530" w:rsidR="002E0941" w:rsidRDefault="000D4437">
            <w:pPr>
              <w:pStyle w:val="Tabletext9pt"/>
              <w:keepNext/>
              <w:keepLines/>
              <w:jc w:val="right"/>
              <w:rPr>
                <w:lang w:eastAsia="en-AU"/>
              </w:rPr>
            </w:pPr>
            <w:r>
              <w:rPr>
                <w:lang w:eastAsia="en-AU"/>
              </w:rPr>
              <w:t>44.97</w:t>
            </w:r>
          </w:p>
        </w:tc>
      </w:tr>
    </w:tbl>
    <w:p w14:paraId="05F3D861" w14:textId="43EC06FB" w:rsidR="000B27B9" w:rsidRDefault="000B27B9" w:rsidP="00274DA1"/>
    <w:p w14:paraId="76C0B409" w14:textId="364AE8F7" w:rsidR="000B27B9" w:rsidRDefault="000B27B9" w:rsidP="009375E0">
      <w:pPr>
        <w:pStyle w:val="Heading3"/>
        <w:spacing w:before="240"/>
      </w:pPr>
      <w:bookmarkStart w:id="894" w:name="_Toc487742010"/>
      <w:bookmarkStart w:id="895" w:name="_Toc14172240"/>
      <w:bookmarkStart w:id="896" w:name="_Toc100263350"/>
      <w:bookmarkStart w:id="897" w:name="_Toc127191999"/>
      <w:bookmarkEnd w:id="893"/>
      <w:r>
        <w:t xml:space="preserve">Small </w:t>
      </w:r>
      <w:r w:rsidR="00331D5D">
        <w:t>R</w:t>
      </w:r>
      <w:r>
        <w:t xml:space="preserve">ural </w:t>
      </w:r>
      <w:r w:rsidR="00331D5D">
        <w:t>H</w:t>
      </w:r>
      <w:r>
        <w:t xml:space="preserve">ealth </w:t>
      </w:r>
      <w:r w:rsidR="00331D5D">
        <w:t>S</w:t>
      </w:r>
      <w:r>
        <w:t xml:space="preserve">ervices – </w:t>
      </w:r>
      <w:r w:rsidR="00331D5D">
        <w:t>A</w:t>
      </w:r>
      <w:r>
        <w:t xml:space="preserve">geing, </w:t>
      </w:r>
      <w:r w:rsidR="00331D5D">
        <w:t>A</w:t>
      </w:r>
      <w:r>
        <w:t xml:space="preserve">ged and </w:t>
      </w:r>
      <w:r w:rsidR="00331D5D">
        <w:t>H</w:t>
      </w:r>
      <w:r>
        <w:t xml:space="preserve">ome </w:t>
      </w:r>
      <w:r w:rsidR="00331D5D">
        <w:t>C</w:t>
      </w:r>
      <w:r>
        <w:t>are</w:t>
      </w:r>
      <w:bookmarkEnd w:id="885"/>
      <w:bookmarkEnd w:id="886"/>
      <w:bookmarkEnd w:id="887"/>
      <w:bookmarkEnd w:id="894"/>
      <w:bookmarkEnd w:id="895"/>
      <w:bookmarkEnd w:id="896"/>
      <w:bookmarkEnd w:id="897"/>
    </w:p>
    <w:p w14:paraId="5F9CD29D" w14:textId="50D4A9F8" w:rsidR="000B27B9" w:rsidRDefault="000B27B9" w:rsidP="003C01AD">
      <w:pPr>
        <w:pStyle w:val="Tablecaption"/>
        <w:numPr>
          <w:ilvl w:val="0"/>
          <w:numId w:val="40"/>
        </w:numPr>
      </w:pPr>
      <w:bookmarkStart w:id="898" w:name="_Toc419623621"/>
      <w:bookmarkStart w:id="899" w:name="_Toc419623733"/>
      <w:bookmarkStart w:id="900" w:name="_Toc419644516"/>
      <w:bookmarkStart w:id="901" w:name="_Toc487742075"/>
      <w:bookmarkStart w:id="902" w:name="_Toc14194746"/>
      <w:bookmarkStart w:id="903" w:name="_Toc54261402"/>
      <w:bookmarkStart w:id="904" w:name="_Toc54616276"/>
      <w:bookmarkStart w:id="905" w:name="_Toc109894116"/>
      <w:bookmarkStart w:id="906" w:name="_Toc119500897"/>
      <w:bookmarkEnd w:id="898"/>
      <w:bookmarkEnd w:id="899"/>
      <w:r>
        <w:t>Small rural health services – a</w:t>
      </w:r>
      <w:r w:rsidRPr="00E7554A">
        <w:t xml:space="preserve">geing, aged and home </w:t>
      </w:r>
      <w:r w:rsidRPr="005D2D11">
        <w:t xml:space="preserve">care </w:t>
      </w:r>
      <w:bookmarkEnd w:id="900"/>
      <w:bookmarkEnd w:id="901"/>
      <w:bookmarkEnd w:id="902"/>
      <w:bookmarkEnd w:id="903"/>
      <w:bookmarkEnd w:id="904"/>
      <w:r w:rsidR="005D1FCB" w:rsidRPr="005D2D11">
        <w:t>2022</w:t>
      </w:r>
      <w:r w:rsidR="00E423D4" w:rsidRPr="005D2D11">
        <w:t>–</w:t>
      </w:r>
      <w:r w:rsidR="005D1FCB" w:rsidRPr="005D2D11">
        <w:t>23</w:t>
      </w:r>
      <w:bookmarkEnd w:id="905"/>
      <w:bookmarkEnd w:id="906"/>
    </w:p>
    <w:p w14:paraId="25DC4495" w14:textId="77777777" w:rsidR="009A1786" w:rsidRDefault="009A1786" w:rsidP="009A1786">
      <w:pPr>
        <w:pStyle w:val="Bodyaftertablefigure"/>
      </w:pPr>
      <w:r>
        <w:t>Program area: Small rural health services – HACC-PYP Health Care and Support</w:t>
      </w:r>
    </w:p>
    <w:tbl>
      <w:tblPr>
        <w:tblStyle w:val="TableGrid1"/>
        <w:tblW w:w="9299" w:type="dxa"/>
        <w:tblLook w:val="06A0" w:firstRow="1" w:lastRow="0" w:firstColumn="1" w:lastColumn="0" w:noHBand="1" w:noVBand="1"/>
      </w:tblPr>
      <w:tblGrid>
        <w:gridCol w:w="3878"/>
        <w:gridCol w:w="2360"/>
        <w:gridCol w:w="3061"/>
      </w:tblGrid>
      <w:tr w:rsidR="009A1786" w14:paraId="086567DD" w14:textId="77777777" w:rsidTr="00425B0D">
        <w:trPr>
          <w:cnfStyle w:val="100000000000" w:firstRow="1" w:lastRow="0" w:firstColumn="0" w:lastColumn="0" w:oddVBand="0" w:evenVBand="0" w:oddHBand="0" w:evenHBand="0" w:firstRowFirstColumn="0" w:firstRowLastColumn="0" w:lastRowFirstColumn="0" w:lastRowLastColumn="0"/>
          <w:tblHeader/>
        </w:trPr>
        <w:tc>
          <w:tcPr>
            <w:tcW w:w="3878" w:type="dxa"/>
            <w:tcBorders>
              <w:top w:val="single" w:sz="4" w:space="0" w:color="auto"/>
              <w:left w:val="single" w:sz="4" w:space="0" w:color="auto"/>
              <w:bottom w:val="single" w:sz="4" w:space="0" w:color="auto"/>
              <w:right w:val="single" w:sz="4" w:space="0" w:color="auto"/>
            </w:tcBorders>
            <w:hideMark/>
          </w:tcPr>
          <w:p w14:paraId="0E3FDCF3" w14:textId="77777777" w:rsidR="009A1786" w:rsidRDefault="009A1786">
            <w:pPr>
              <w:pStyle w:val="Tablecolhead9pt"/>
              <w:rPr>
                <w:szCs w:val="18"/>
              </w:rPr>
            </w:pPr>
            <w:r>
              <w:t>Service</w:t>
            </w:r>
          </w:p>
        </w:tc>
        <w:tc>
          <w:tcPr>
            <w:tcW w:w="2360" w:type="dxa"/>
            <w:tcBorders>
              <w:top w:val="single" w:sz="4" w:space="0" w:color="auto"/>
              <w:left w:val="single" w:sz="4" w:space="0" w:color="auto"/>
              <w:bottom w:val="single" w:sz="4" w:space="0" w:color="auto"/>
              <w:right w:val="single" w:sz="4" w:space="0" w:color="auto"/>
            </w:tcBorders>
            <w:hideMark/>
          </w:tcPr>
          <w:p w14:paraId="430C216E" w14:textId="77777777" w:rsidR="009A1786" w:rsidRDefault="009A1786">
            <w:pPr>
              <w:pStyle w:val="Tablecolhead9pt"/>
              <w:rPr>
                <w:szCs w:val="18"/>
              </w:rPr>
            </w:pPr>
            <w:r>
              <w:t>Funded unit</w:t>
            </w:r>
          </w:p>
        </w:tc>
        <w:tc>
          <w:tcPr>
            <w:tcW w:w="3061" w:type="dxa"/>
            <w:tcBorders>
              <w:top w:val="single" w:sz="4" w:space="0" w:color="auto"/>
              <w:left w:val="single" w:sz="4" w:space="0" w:color="auto"/>
              <w:bottom w:val="single" w:sz="4" w:space="0" w:color="auto"/>
              <w:right w:val="single" w:sz="4" w:space="0" w:color="auto"/>
            </w:tcBorders>
            <w:hideMark/>
          </w:tcPr>
          <w:p w14:paraId="436B59EB" w14:textId="77777777" w:rsidR="009A1786" w:rsidRDefault="009A1786">
            <w:pPr>
              <w:pStyle w:val="Tablecolhead9pt"/>
              <w:jc w:val="right"/>
              <w:rPr>
                <w:szCs w:val="18"/>
              </w:rPr>
            </w:pPr>
            <w:r>
              <w:t>Estimated unit price ($)</w:t>
            </w:r>
          </w:p>
        </w:tc>
      </w:tr>
      <w:tr w:rsidR="009A1786" w14:paraId="4ACEFCE7"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354E3472" w14:textId="77777777" w:rsidR="009A1786" w:rsidRDefault="009A1786">
            <w:pPr>
              <w:pStyle w:val="Tabletext9pt"/>
            </w:pPr>
            <w:r>
              <w:t>HACC-PYP Access and Support</w:t>
            </w:r>
          </w:p>
        </w:tc>
        <w:tc>
          <w:tcPr>
            <w:tcW w:w="2360" w:type="dxa"/>
            <w:tcBorders>
              <w:top w:val="single" w:sz="4" w:space="0" w:color="auto"/>
              <w:left w:val="single" w:sz="4" w:space="0" w:color="auto"/>
              <w:bottom w:val="single" w:sz="4" w:space="0" w:color="auto"/>
              <w:right w:val="single" w:sz="4" w:space="0" w:color="auto"/>
            </w:tcBorders>
            <w:hideMark/>
          </w:tcPr>
          <w:p w14:paraId="143EC4DF"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47134F1E" w14:textId="799F9554" w:rsidR="009A1786" w:rsidRDefault="00E1285D">
            <w:pPr>
              <w:pStyle w:val="Tabletext9pt"/>
              <w:jc w:val="right"/>
            </w:pPr>
            <w:r>
              <w:t>74.65</w:t>
            </w:r>
          </w:p>
        </w:tc>
      </w:tr>
      <w:tr w:rsidR="009A1786" w14:paraId="6ECF72F0"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01C8FCF1" w14:textId="77777777" w:rsidR="009A1786" w:rsidRDefault="009A1786">
            <w:pPr>
              <w:pStyle w:val="Tabletext9pt"/>
            </w:pPr>
            <w:r>
              <w:t>HACC-PYP Occupational Therapy</w:t>
            </w:r>
          </w:p>
        </w:tc>
        <w:tc>
          <w:tcPr>
            <w:tcW w:w="2360" w:type="dxa"/>
            <w:tcBorders>
              <w:top w:val="single" w:sz="4" w:space="0" w:color="auto"/>
              <w:left w:val="single" w:sz="4" w:space="0" w:color="auto"/>
              <w:bottom w:val="single" w:sz="4" w:space="0" w:color="auto"/>
              <w:right w:val="single" w:sz="4" w:space="0" w:color="auto"/>
            </w:tcBorders>
            <w:hideMark/>
          </w:tcPr>
          <w:p w14:paraId="169C66EB"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09251626" w14:textId="7A30AFC6" w:rsidR="009A1786" w:rsidRDefault="00BC1A39">
            <w:pPr>
              <w:pStyle w:val="Tabletext9pt"/>
              <w:jc w:val="right"/>
            </w:pPr>
            <w:r>
              <w:t>110.85</w:t>
            </w:r>
          </w:p>
        </w:tc>
      </w:tr>
      <w:tr w:rsidR="009A1786" w14:paraId="2D2C92A4"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277957CD" w14:textId="77777777" w:rsidR="009A1786" w:rsidRDefault="009A1786">
            <w:pPr>
              <w:pStyle w:val="Tabletext9pt"/>
            </w:pPr>
            <w:r>
              <w:t>HACC-PYP Podiatry</w:t>
            </w:r>
          </w:p>
        </w:tc>
        <w:tc>
          <w:tcPr>
            <w:tcW w:w="2360" w:type="dxa"/>
            <w:tcBorders>
              <w:top w:val="single" w:sz="4" w:space="0" w:color="auto"/>
              <w:left w:val="single" w:sz="4" w:space="0" w:color="auto"/>
              <w:bottom w:val="single" w:sz="4" w:space="0" w:color="auto"/>
              <w:right w:val="single" w:sz="4" w:space="0" w:color="auto"/>
            </w:tcBorders>
            <w:hideMark/>
          </w:tcPr>
          <w:p w14:paraId="752A1BA0"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6B72C641" w14:textId="38D42D4D" w:rsidR="009A1786" w:rsidRDefault="00BC1A39">
            <w:pPr>
              <w:pStyle w:val="Tabletext9pt"/>
              <w:jc w:val="right"/>
            </w:pPr>
            <w:r>
              <w:t>110.85</w:t>
            </w:r>
          </w:p>
        </w:tc>
      </w:tr>
      <w:tr w:rsidR="009A1786" w14:paraId="45BF4F8C"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22026E21" w14:textId="77777777" w:rsidR="009A1786" w:rsidRDefault="009A1786">
            <w:pPr>
              <w:pStyle w:val="Tabletext9pt"/>
            </w:pPr>
            <w:r>
              <w:t>HACC-PYP Dietetics</w:t>
            </w:r>
          </w:p>
        </w:tc>
        <w:tc>
          <w:tcPr>
            <w:tcW w:w="2360" w:type="dxa"/>
            <w:tcBorders>
              <w:top w:val="single" w:sz="4" w:space="0" w:color="auto"/>
              <w:left w:val="single" w:sz="4" w:space="0" w:color="auto"/>
              <w:bottom w:val="single" w:sz="4" w:space="0" w:color="auto"/>
              <w:right w:val="single" w:sz="4" w:space="0" w:color="auto"/>
            </w:tcBorders>
            <w:hideMark/>
          </w:tcPr>
          <w:p w14:paraId="5247A594"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21A80472" w14:textId="3EDAABE1" w:rsidR="009A1786" w:rsidRDefault="00BC1A39">
            <w:pPr>
              <w:pStyle w:val="Tabletext9pt"/>
              <w:jc w:val="right"/>
            </w:pPr>
            <w:r>
              <w:t>110.85</w:t>
            </w:r>
          </w:p>
        </w:tc>
      </w:tr>
      <w:tr w:rsidR="009A1786" w14:paraId="63E63BCB"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575B884C" w14:textId="77777777" w:rsidR="009A1786" w:rsidRDefault="009A1786">
            <w:pPr>
              <w:pStyle w:val="Tabletext9pt"/>
            </w:pPr>
            <w:r>
              <w:lastRenderedPageBreak/>
              <w:t>HACC-PYP Speech Therapy</w:t>
            </w:r>
          </w:p>
        </w:tc>
        <w:tc>
          <w:tcPr>
            <w:tcW w:w="2360" w:type="dxa"/>
            <w:tcBorders>
              <w:top w:val="single" w:sz="4" w:space="0" w:color="auto"/>
              <w:left w:val="single" w:sz="4" w:space="0" w:color="auto"/>
              <w:bottom w:val="single" w:sz="4" w:space="0" w:color="auto"/>
              <w:right w:val="single" w:sz="4" w:space="0" w:color="auto"/>
            </w:tcBorders>
            <w:hideMark/>
          </w:tcPr>
          <w:p w14:paraId="6D88AEAA"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2FA18E8B" w14:textId="6600A676" w:rsidR="009A1786" w:rsidRDefault="00114C42">
            <w:pPr>
              <w:pStyle w:val="Tabletext9pt"/>
              <w:jc w:val="right"/>
            </w:pPr>
            <w:r>
              <w:t>110.85</w:t>
            </w:r>
          </w:p>
        </w:tc>
      </w:tr>
      <w:tr w:rsidR="009A1786" w14:paraId="26F0CAD8"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1290B7A9" w14:textId="77777777" w:rsidR="009A1786" w:rsidRDefault="009A1786">
            <w:pPr>
              <w:pStyle w:val="Tabletext9pt"/>
            </w:pPr>
            <w:r>
              <w:t>HACC-PYP Physiotherapy</w:t>
            </w:r>
          </w:p>
        </w:tc>
        <w:tc>
          <w:tcPr>
            <w:tcW w:w="2360" w:type="dxa"/>
            <w:tcBorders>
              <w:top w:val="single" w:sz="4" w:space="0" w:color="auto"/>
              <w:left w:val="single" w:sz="4" w:space="0" w:color="auto"/>
              <w:bottom w:val="single" w:sz="4" w:space="0" w:color="auto"/>
              <w:right w:val="single" w:sz="4" w:space="0" w:color="auto"/>
            </w:tcBorders>
            <w:hideMark/>
          </w:tcPr>
          <w:p w14:paraId="54E28ADC"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1F60A2B" w14:textId="41FEE0E6" w:rsidR="009A1786" w:rsidRDefault="00114C42">
            <w:pPr>
              <w:pStyle w:val="Tabletext9pt"/>
              <w:jc w:val="right"/>
            </w:pPr>
            <w:r>
              <w:t>110.85</w:t>
            </w:r>
          </w:p>
        </w:tc>
      </w:tr>
      <w:tr w:rsidR="009A1786" w14:paraId="5E0ED96D"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7EA29549" w14:textId="77777777" w:rsidR="009A1786" w:rsidRDefault="009A1786">
            <w:pPr>
              <w:pStyle w:val="Tabletext9pt"/>
            </w:pPr>
            <w:r>
              <w:t xml:space="preserve">HACC-PYP Assessment </w:t>
            </w:r>
          </w:p>
        </w:tc>
        <w:tc>
          <w:tcPr>
            <w:tcW w:w="2360" w:type="dxa"/>
            <w:tcBorders>
              <w:top w:val="single" w:sz="4" w:space="0" w:color="auto"/>
              <w:left w:val="single" w:sz="4" w:space="0" w:color="auto"/>
              <w:bottom w:val="single" w:sz="4" w:space="0" w:color="auto"/>
              <w:right w:val="single" w:sz="4" w:space="0" w:color="auto"/>
            </w:tcBorders>
            <w:hideMark/>
          </w:tcPr>
          <w:p w14:paraId="3E460309"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EEF514E" w14:textId="6A069DD6" w:rsidR="009A1786" w:rsidRDefault="00114C42">
            <w:pPr>
              <w:pStyle w:val="Tabletext9pt"/>
              <w:jc w:val="right"/>
            </w:pPr>
            <w:r>
              <w:t>101.60</w:t>
            </w:r>
          </w:p>
        </w:tc>
      </w:tr>
      <w:tr w:rsidR="009A1786" w14:paraId="5CB137F2"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7AB81E5C" w14:textId="77777777" w:rsidR="009A1786" w:rsidRDefault="009A1786">
            <w:pPr>
              <w:pStyle w:val="Tabletext9pt"/>
            </w:pPr>
            <w:r>
              <w:t>HACC-PYP Counselling</w:t>
            </w:r>
          </w:p>
        </w:tc>
        <w:tc>
          <w:tcPr>
            <w:tcW w:w="2360" w:type="dxa"/>
            <w:tcBorders>
              <w:top w:val="single" w:sz="4" w:space="0" w:color="auto"/>
              <w:left w:val="single" w:sz="4" w:space="0" w:color="auto"/>
              <w:bottom w:val="single" w:sz="4" w:space="0" w:color="auto"/>
              <w:right w:val="single" w:sz="4" w:space="0" w:color="auto"/>
            </w:tcBorders>
            <w:hideMark/>
          </w:tcPr>
          <w:p w14:paraId="0471A19E" w14:textId="77777777" w:rsidR="009A1786" w:rsidRDefault="009A1786">
            <w:pPr>
              <w:pStyle w:val="Tabletext9pt"/>
              <w:rPr>
                <w:rFonts w:cs="Arial"/>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651D6FC" w14:textId="1AE2031F" w:rsidR="009A1786" w:rsidRDefault="00E872F8">
            <w:pPr>
              <w:pStyle w:val="Tabletext9pt"/>
              <w:jc w:val="right"/>
            </w:pPr>
            <w:r>
              <w:t>110.85</w:t>
            </w:r>
          </w:p>
        </w:tc>
      </w:tr>
      <w:tr w:rsidR="009A1786" w14:paraId="4F96D210"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15BC13D0" w14:textId="77777777" w:rsidR="009A1786" w:rsidRDefault="009A1786">
            <w:pPr>
              <w:pStyle w:val="Tabletext9pt"/>
            </w:pPr>
            <w:r>
              <w:t>HACC-PYP Delivered Meals</w:t>
            </w:r>
          </w:p>
        </w:tc>
        <w:tc>
          <w:tcPr>
            <w:tcW w:w="2360" w:type="dxa"/>
            <w:tcBorders>
              <w:top w:val="single" w:sz="4" w:space="0" w:color="auto"/>
              <w:left w:val="single" w:sz="4" w:space="0" w:color="auto"/>
              <w:bottom w:val="single" w:sz="4" w:space="0" w:color="auto"/>
              <w:right w:val="single" w:sz="4" w:space="0" w:color="auto"/>
            </w:tcBorders>
            <w:hideMark/>
          </w:tcPr>
          <w:p w14:paraId="6B50BE51" w14:textId="77777777" w:rsidR="009A1786" w:rsidRDefault="009A1786">
            <w:pPr>
              <w:pStyle w:val="Tabletext9pt"/>
              <w:rPr>
                <w:rFonts w:cs="Arial"/>
                <w:lang w:eastAsia="en-AU"/>
              </w:rPr>
            </w:pPr>
            <w:r>
              <w:rPr>
                <w:rFonts w:cs="Arial"/>
              </w:rPr>
              <w:t>Meal</w:t>
            </w:r>
          </w:p>
        </w:tc>
        <w:tc>
          <w:tcPr>
            <w:tcW w:w="3061" w:type="dxa"/>
            <w:tcBorders>
              <w:top w:val="single" w:sz="4" w:space="0" w:color="auto"/>
              <w:left w:val="single" w:sz="4" w:space="0" w:color="auto"/>
              <w:bottom w:val="single" w:sz="4" w:space="0" w:color="auto"/>
              <w:right w:val="single" w:sz="4" w:space="0" w:color="auto"/>
            </w:tcBorders>
          </w:tcPr>
          <w:p w14:paraId="13A22CA1" w14:textId="6B9E70B6" w:rsidR="009A1786" w:rsidRDefault="00E872F8">
            <w:pPr>
              <w:pStyle w:val="Tabletext9pt"/>
              <w:jc w:val="right"/>
            </w:pPr>
            <w:r>
              <w:t>3.68</w:t>
            </w:r>
          </w:p>
        </w:tc>
      </w:tr>
      <w:tr w:rsidR="009A1786" w14:paraId="241806AF"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680584C7" w14:textId="77777777" w:rsidR="009A1786" w:rsidRDefault="009A1786">
            <w:pPr>
              <w:pStyle w:val="Tabletext9pt"/>
            </w:pPr>
            <w:r>
              <w:t>HACC-PYP Community Care</w:t>
            </w:r>
          </w:p>
        </w:tc>
        <w:tc>
          <w:tcPr>
            <w:tcW w:w="2360" w:type="dxa"/>
            <w:tcBorders>
              <w:top w:val="single" w:sz="4" w:space="0" w:color="auto"/>
              <w:left w:val="single" w:sz="4" w:space="0" w:color="auto"/>
              <w:bottom w:val="single" w:sz="4" w:space="0" w:color="auto"/>
              <w:right w:val="single" w:sz="4" w:space="0" w:color="auto"/>
            </w:tcBorders>
            <w:hideMark/>
          </w:tcPr>
          <w:p w14:paraId="36C3C5BF" w14:textId="77777777" w:rsidR="009A1786" w:rsidRDefault="009A1786">
            <w:pPr>
              <w:pStyle w:val="Tabletext9pt"/>
              <w:rPr>
                <w:rFonts w:cs="Arial"/>
                <w:lang w:eastAsia="en-AU"/>
              </w:rPr>
            </w:pPr>
            <w:r>
              <w:rPr>
                <w:rFonts w:cs="Arial"/>
                <w:lang w:eastAsia="en-AU"/>
              </w:rPr>
              <w:t>Hour</w:t>
            </w:r>
          </w:p>
        </w:tc>
        <w:tc>
          <w:tcPr>
            <w:tcW w:w="3061" w:type="dxa"/>
            <w:tcBorders>
              <w:top w:val="single" w:sz="4" w:space="0" w:color="auto"/>
              <w:left w:val="single" w:sz="4" w:space="0" w:color="auto"/>
              <w:bottom w:val="single" w:sz="4" w:space="0" w:color="auto"/>
              <w:right w:val="single" w:sz="4" w:space="0" w:color="auto"/>
            </w:tcBorders>
          </w:tcPr>
          <w:p w14:paraId="0F86091B" w14:textId="3856D5A7" w:rsidR="009A1786" w:rsidRDefault="00E872F8">
            <w:pPr>
              <w:pStyle w:val="Tabletext9pt"/>
              <w:jc w:val="right"/>
            </w:pPr>
            <w:r>
              <w:t>51.21</w:t>
            </w:r>
          </w:p>
        </w:tc>
      </w:tr>
      <w:tr w:rsidR="009A1786" w14:paraId="1B64191B" w14:textId="77777777" w:rsidTr="00425B0D">
        <w:trPr>
          <w:trHeight w:val="77"/>
        </w:trPr>
        <w:tc>
          <w:tcPr>
            <w:tcW w:w="3878" w:type="dxa"/>
            <w:tcBorders>
              <w:top w:val="single" w:sz="4" w:space="0" w:color="auto"/>
              <w:left w:val="single" w:sz="4" w:space="0" w:color="auto"/>
              <w:bottom w:val="single" w:sz="4" w:space="0" w:color="auto"/>
              <w:right w:val="single" w:sz="4" w:space="0" w:color="auto"/>
            </w:tcBorders>
            <w:hideMark/>
          </w:tcPr>
          <w:p w14:paraId="48C5320D" w14:textId="77777777" w:rsidR="009A1786" w:rsidRDefault="009A1786">
            <w:pPr>
              <w:pStyle w:val="Tabletext9pt"/>
            </w:pPr>
            <w:r>
              <w:t>HACC-PYP Nursing</w:t>
            </w:r>
          </w:p>
        </w:tc>
        <w:tc>
          <w:tcPr>
            <w:tcW w:w="2360" w:type="dxa"/>
            <w:tcBorders>
              <w:top w:val="single" w:sz="4" w:space="0" w:color="auto"/>
              <w:left w:val="single" w:sz="4" w:space="0" w:color="auto"/>
              <w:bottom w:val="single" w:sz="4" w:space="0" w:color="auto"/>
              <w:right w:val="single" w:sz="4" w:space="0" w:color="auto"/>
            </w:tcBorders>
            <w:hideMark/>
          </w:tcPr>
          <w:p w14:paraId="501E0BB1"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2BB35F84" w14:textId="764F31EB" w:rsidR="009A1786" w:rsidRDefault="0025731D">
            <w:pPr>
              <w:pStyle w:val="Tabletext9pt"/>
              <w:jc w:val="right"/>
            </w:pPr>
            <w:r>
              <w:t>101.60</w:t>
            </w:r>
          </w:p>
        </w:tc>
      </w:tr>
      <w:tr w:rsidR="009A1786" w14:paraId="44C0C7DD"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6A23E597" w14:textId="77777777" w:rsidR="009A1786" w:rsidRDefault="009A1786">
            <w:pPr>
              <w:pStyle w:val="Tabletext9pt"/>
            </w:pPr>
            <w:r>
              <w:t>HACC-PYP Planned Activity Group</w:t>
            </w:r>
          </w:p>
        </w:tc>
        <w:tc>
          <w:tcPr>
            <w:tcW w:w="2360" w:type="dxa"/>
            <w:tcBorders>
              <w:top w:val="single" w:sz="4" w:space="0" w:color="auto"/>
              <w:left w:val="single" w:sz="4" w:space="0" w:color="auto"/>
              <w:bottom w:val="single" w:sz="4" w:space="0" w:color="auto"/>
              <w:right w:val="single" w:sz="4" w:space="0" w:color="auto"/>
            </w:tcBorders>
            <w:hideMark/>
          </w:tcPr>
          <w:p w14:paraId="7E2BC850" w14:textId="1FF01119" w:rsidR="009A1786" w:rsidRDefault="009A1786">
            <w:pPr>
              <w:pStyle w:val="Tabletext9pt"/>
              <w:rPr>
                <w:rFonts w:cs="Arial"/>
                <w:lang w:eastAsia="en-AU"/>
              </w:rPr>
            </w:pPr>
            <w:r>
              <w:rPr>
                <w:rFonts w:cs="Arial"/>
                <w:lang w:eastAsia="en-AU"/>
              </w:rPr>
              <w:t>Per Person</w:t>
            </w:r>
          </w:p>
        </w:tc>
        <w:tc>
          <w:tcPr>
            <w:tcW w:w="3061" w:type="dxa"/>
            <w:tcBorders>
              <w:top w:val="single" w:sz="4" w:space="0" w:color="auto"/>
              <w:left w:val="single" w:sz="4" w:space="0" w:color="auto"/>
              <w:bottom w:val="single" w:sz="4" w:space="0" w:color="auto"/>
              <w:right w:val="single" w:sz="4" w:space="0" w:color="auto"/>
            </w:tcBorders>
          </w:tcPr>
          <w:p w14:paraId="70B0ABEE" w14:textId="0E33ECD7" w:rsidR="009A1786" w:rsidRDefault="008A22CB">
            <w:pPr>
              <w:pStyle w:val="Tabletext9pt"/>
              <w:jc w:val="right"/>
            </w:pPr>
            <w:r>
              <w:t>17.61</w:t>
            </w:r>
          </w:p>
        </w:tc>
      </w:tr>
      <w:tr w:rsidR="009A1786" w14:paraId="315477D6"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32C0539C" w14:textId="77777777" w:rsidR="009A1786" w:rsidRDefault="009A1786">
            <w:pPr>
              <w:pStyle w:val="Tabletext9pt"/>
            </w:pPr>
            <w:r>
              <w:t>HACC-PYP Property Maintenance</w:t>
            </w:r>
          </w:p>
        </w:tc>
        <w:tc>
          <w:tcPr>
            <w:tcW w:w="2360" w:type="dxa"/>
            <w:tcBorders>
              <w:top w:val="single" w:sz="4" w:space="0" w:color="auto"/>
              <w:left w:val="single" w:sz="4" w:space="0" w:color="auto"/>
              <w:bottom w:val="single" w:sz="4" w:space="0" w:color="auto"/>
              <w:right w:val="single" w:sz="4" w:space="0" w:color="auto"/>
            </w:tcBorders>
            <w:hideMark/>
          </w:tcPr>
          <w:p w14:paraId="175457D9"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9BAE0F3" w14:textId="7911A8B4" w:rsidR="009A1786" w:rsidRDefault="008A22CB">
            <w:pPr>
              <w:pStyle w:val="Tabletext9pt"/>
              <w:jc w:val="right"/>
            </w:pPr>
            <w:r>
              <w:t>53.10</w:t>
            </w:r>
          </w:p>
        </w:tc>
      </w:tr>
      <w:tr w:rsidR="009A1786" w14:paraId="09E52A1F"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10861101" w14:textId="77777777" w:rsidR="009A1786" w:rsidRDefault="009A1786">
            <w:pPr>
              <w:pStyle w:val="Tabletext9pt"/>
            </w:pPr>
            <w:r>
              <w:t>HACC-PYP Volunteer Coordination</w:t>
            </w:r>
          </w:p>
        </w:tc>
        <w:tc>
          <w:tcPr>
            <w:tcW w:w="2360" w:type="dxa"/>
            <w:tcBorders>
              <w:top w:val="single" w:sz="4" w:space="0" w:color="auto"/>
              <w:left w:val="single" w:sz="4" w:space="0" w:color="auto"/>
              <w:bottom w:val="single" w:sz="4" w:space="0" w:color="auto"/>
              <w:right w:val="single" w:sz="4" w:space="0" w:color="auto"/>
            </w:tcBorders>
            <w:hideMark/>
          </w:tcPr>
          <w:p w14:paraId="0247190D"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7C98B859" w14:textId="3581EEDD" w:rsidR="009A1786" w:rsidRDefault="008A22CB">
            <w:pPr>
              <w:pStyle w:val="Tabletext9pt"/>
              <w:jc w:val="right"/>
            </w:pPr>
            <w:r>
              <w:t>43.30</w:t>
            </w:r>
          </w:p>
        </w:tc>
      </w:tr>
    </w:tbl>
    <w:p w14:paraId="378D8E26" w14:textId="77777777" w:rsidR="009A1786" w:rsidRDefault="009A1786" w:rsidP="009A1786">
      <w:pPr>
        <w:pStyle w:val="Bodyaftertablefigure"/>
        <w:spacing w:line="240" w:lineRule="auto"/>
      </w:pPr>
      <w:r>
        <w:t xml:space="preserve">Program area: </w:t>
      </w:r>
      <w:r>
        <w:rPr>
          <w:rFonts w:cs="Arial"/>
        </w:rPr>
        <w:t>Small rural health services – Primary Health</w:t>
      </w:r>
    </w:p>
    <w:tbl>
      <w:tblPr>
        <w:tblStyle w:val="TableGrid1"/>
        <w:tblW w:w="9299" w:type="dxa"/>
        <w:tblLook w:val="06A0" w:firstRow="1" w:lastRow="0" w:firstColumn="1" w:lastColumn="0" w:noHBand="1" w:noVBand="1"/>
      </w:tblPr>
      <w:tblGrid>
        <w:gridCol w:w="4861"/>
        <w:gridCol w:w="1950"/>
        <w:gridCol w:w="2488"/>
      </w:tblGrid>
      <w:tr w:rsidR="00AE6427" w14:paraId="08C45803" w14:textId="77777777" w:rsidTr="00AE6427">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hideMark/>
          </w:tcPr>
          <w:p w14:paraId="4C932C0F" w14:textId="77777777" w:rsidR="009A1786" w:rsidRDefault="009A1786">
            <w:pPr>
              <w:pStyle w:val="Tablecolhead9pt"/>
            </w:pPr>
            <w:r>
              <w:t>Service</w:t>
            </w:r>
          </w:p>
        </w:tc>
        <w:tc>
          <w:tcPr>
            <w:tcW w:w="0" w:type="dxa"/>
            <w:tcBorders>
              <w:top w:val="single" w:sz="4" w:space="0" w:color="auto"/>
              <w:left w:val="single" w:sz="4" w:space="0" w:color="auto"/>
              <w:bottom w:val="single" w:sz="4" w:space="0" w:color="auto"/>
              <w:right w:val="single" w:sz="4" w:space="0" w:color="auto"/>
            </w:tcBorders>
            <w:hideMark/>
          </w:tcPr>
          <w:p w14:paraId="450E16A3" w14:textId="77777777" w:rsidR="009A1786" w:rsidRDefault="009A1786">
            <w:pPr>
              <w:pStyle w:val="Tablecolhead9pt"/>
              <w:jc w:val="right"/>
            </w:pPr>
            <w:r>
              <w:t>Funded unit</w:t>
            </w:r>
          </w:p>
        </w:tc>
        <w:tc>
          <w:tcPr>
            <w:tcW w:w="0" w:type="dxa"/>
            <w:tcBorders>
              <w:top w:val="single" w:sz="4" w:space="0" w:color="auto"/>
              <w:left w:val="single" w:sz="4" w:space="0" w:color="auto"/>
              <w:bottom w:val="single" w:sz="4" w:space="0" w:color="auto"/>
              <w:right w:val="single" w:sz="4" w:space="0" w:color="auto"/>
            </w:tcBorders>
            <w:hideMark/>
          </w:tcPr>
          <w:p w14:paraId="4887473A" w14:textId="77777777" w:rsidR="009A1786" w:rsidRDefault="009A1786">
            <w:pPr>
              <w:pStyle w:val="Tablecolhead9pt"/>
              <w:jc w:val="right"/>
            </w:pPr>
            <w:r>
              <w:t>Estimated unit price ($)</w:t>
            </w:r>
          </w:p>
        </w:tc>
      </w:tr>
      <w:tr w:rsidR="009A1786" w14:paraId="0A699F20" w14:textId="77777777" w:rsidTr="008B2386">
        <w:tc>
          <w:tcPr>
            <w:tcW w:w="0" w:type="dxa"/>
            <w:tcBorders>
              <w:top w:val="single" w:sz="4" w:space="0" w:color="auto"/>
              <w:left w:val="single" w:sz="4" w:space="0" w:color="auto"/>
              <w:bottom w:val="single" w:sz="4" w:space="0" w:color="auto"/>
              <w:right w:val="single" w:sz="4" w:space="0" w:color="auto"/>
            </w:tcBorders>
            <w:hideMark/>
          </w:tcPr>
          <w:p w14:paraId="6F7119B1" w14:textId="77777777" w:rsidR="009A1786" w:rsidRDefault="009A1786" w:rsidP="003C01AD">
            <w:pPr>
              <w:pStyle w:val="Tabletext9pt"/>
              <w:numPr>
                <w:ilvl w:val="0"/>
                <w:numId w:val="32"/>
              </w:numPr>
              <w:spacing w:before="60" w:after="40"/>
            </w:pPr>
            <w:r>
              <w:rPr>
                <w:rFonts w:cs="Arial"/>
              </w:rPr>
              <w:t>Counselling/Casework</w:t>
            </w:r>
          </w:p>
        </w:tc>
        <w:tc>
          <w:tcPr>
            <w:tcW w:w="0" w:type="dxa"/>
            <w:tcBorders>
              <w:top w:val="single" w:sz="4" w:space="0" w:color="auto"/>
              <w:left w:val="single" w:sz="4" w:space="0" w:color="auto"/>
              <w:bottom w:val="single" w:sz="4" w:space="0" w:color="auto"/>
              <w:right w:val="single" w:sz="4" w:space="0" w:color="auto"/>
            </w:tcBorders>
            <w:hideMark/>
          </w:tcPr>
          <w:p w14:paraId="60F39AC1" w14:textId="77777777" w:rsidR="009A1786" w:rsidRDefault="009A1786" w:rsidP="003C01AD">
            <w:pPr>
              <w:pStyle w:val="Tabletext9pt"/>
              <w:numPr>
                <w:ilvl w:val="0"/>
                <w:numId w:val="32"/>
              </w:numPr>
              <w:spacing w:before="60" w:after="40"/>
              <w:rPr>
                <w:rFonts w:cs="Arial"/>
              </w:rPr>
            </w:pPr>
            <w:r>
              <w:rPr>
                <w:rFonts w:cs="Arial"/>
              </w:rPr>
              <w:t>Hour</w:t>
            </w:r>
          </w:p>
        </w:tc>
        <w:tc>
          <w:tcPr>
            <w:tcW w:w="0" w:type="dxa"/>
            <w:tcBorders>
              <w:top w:val="single" w:sz="4" w:space="0" w:color="auto"/>
              <w:left w:val="single" w:sz="4" w:space="0" w:color="auto"/>
              <w:bottom w:val="single" w:sz="4" w:space="0" w:color="auto"/>
              <w:right w:val="single" w:sz="4" w:space="0" w:color="auto"/>
            </w:tcBorders>
          </w:tcPr>
          <w:p w14:paraId="7C84B6E6" w14:textId="54B5564C" w:rsidR="009A1786" w:rsidRDefault="00335213" w:rsidP="003C01AD">
            <w:pPr>
              <w:pStyle w:val="Tabletext9pt"/>
              <w:numPr>
                <w:ilvl w:val="0"/>
                <w:numId w:val="32"/>
              </w:numPr>
              <w:spacing w:before="60" w:after="40"/>
              <w:jc w:val="right"/>
            </w:pPr>
            <w:r>
              <w:t>116.37</w:t>
            </w:r>
          </w:p>
        </w:tc>
      </w:tr>
      <w:tr w:rsidR="009A1786" w14:paraId="2191C935" w14:textId="77777777" w:rsidTr="008B2386">
        <w:tc>
          <w:tcPr>
            <w:tcW w:w="0" w:type="dxa"/>
            <w:tcBorders>
              <w:top w:val="single" w:sz="4" w:space="0" w:color="auto"/>
              <w:left w:val="single" w:sz="4" w:space="0" w:color="auto"/>
              <w:bottom w:val="single" w:sz="4" w:space="0" w:color="auto"/>
              <w:right w:val="single" w:sz="4" w:space="0" w:color="auto"/>
            </w:tcBorders>
            <w:hideMark/>
          </w:tcPr>
          <w:p w14:paraId="110A54FC" w14:textId="77777777" w:rsidR="009A1786" w:rsidRDefault="009A1786">
            <w:pPr>
              <w:pStyle w:val="Tabletext9pt"/>
              <w:spacing w:before="60" w:after="40"/>
            </w:pPr>
            <w:r>
              <w:t>Allied Health</w:t>
            </w:r>
          </w:p>
        </w:tc>
        <w:tc>
          <w:tcPr>
            <w:tcW w:w="0" w:type="dxa"/>
            <w:tcBorders>
              <w:top w:val="single" w:sz="4" w:space="0" w:color="auto"/>
              <w:left w:val="single" w:sz="4" w:space="0" w:color="auto"/>
              <w:bottom w:val="single" w:sz="4" w:space="0" w:color="auto"/>
              <w:right w:val="single" w:sz="4" w:space="0" w:color="auto"/>
            </w:tcBorders>
            <w:hideMark/>
          </w:tcPr>
          <w:p w14:paraId="546B1087" w14:textId="77777777" w:rsidR="009A1786" w:rsidRDefault="009A1786" w:rsidP="003C01AD">
            <w:pPr>
              <w:pStyle w:val="Tabletext9pt"/>
              <w:numPr>
                <w:ilvl w:val="0"/>
                <w:numId w:val="32"/>
              </w:numPr>
              <w:spacing w:before="60" w:after="40"/>
              <w:rPr>
                <w:rFonts w:cs="Arial"/>
              </w:rPr>
            </w:pPr>
            <w:r>
              <w:rPr>
                <w:rFonts w:cs="Arial"/>
              </w:rPr>
              <w:t>Hour</w:t>
            </w:r>
          </w:p>
        </w:tc>
        <w:tc>
          <w:tcPr>
            <w:tcW w:w="0" w:type="dxa"/>
            <w:tcBorders>
              <w:top w:val="single" w:sz="4" w:space="0" w:color="auto"/>
              <w:left w:val="single" w:sz="4" w:space="0" w:color="auto"/>
              <w:bottom w:val="single" w:sz="4" w:space="0" w:color="auto"/>
              <w:right w:val="single" w:sz="4" w:space="0" w:color="auto"/>
            </w:tcBorders>
          </w:tcPr>
          <w:p w14:paraId="2A65E1BD" w14:textId="4BBC7C6C" w:rsidR="009A1786" w:rsidRDefault="00633328" w:rsidP="003C01AD">
            <w:pPr>
              <w:pStyle w:val="Tabletext9pt"/>
              <w:numPr>
                <w:ilvl w:val="0"/>
                <w:numId w:val="32"/>
              </w:numPr>
              <w:spacing w:before="60" w:after="40"/>
              <w:jc w:val="right"/>
            </w:pPr>
            <w:r>
              <w:t>116.37</w:t>
            </w:r>
          </w:p>
        </w:tc>
      </w:tr>
      <w:tr w:rsidR="009A1786" w14:paraId="04A197FB" w14:textId="77777777" w:rsidTr="008B2386">
        <w:tc>
          <w:tcPr>
            <w:tcW w:w="0" w:type="dxa"/>
            <w:tcBorders>
              <w:top w:val="single" w:sz="4" w:space="0" w:color="auto"/>
              <w:left w:val="single" w:sz="4" w:space="0" w:color="auto"/>
              <w:bottom w:val="single" w:sz="4" w:space="0" w:color="auto"/>
              <w:right w:val="single" w:sz="4" w:space="0" w:color="auto"/>
            </w:tcBorders>
            <w:hideMark/>
          </w:tcPr>
          <w:p w14:paraId="70E0BCE9" w14:textId="77777777" w:rsidR="009A1786" w:rsidRDefault="009A1786">
            <w:pPr>
              <w:pStyle w:val="Tabletext9pt"/>
              <w:spacing w:before="60" w:after="40"/>
            </w:pPr>
            <w:r>
              <w:t>Nursing</w:t>
            </w:r>
          </w:p>
        </w:tc>
        <w:tc>
          <w:tcPr>
            <w:tcW w:w="0" w:type="dxa"/>
            <w:tcBorders>
              <w:top w:val="single" w:sz="4" w:space="0" w:color="auto"/>
              <w:left w:val="single" w:sz="4" w:space="0" w:color="auto"/>
              <w:bottom w:val="single" w:sz="4" w:space="0" w:color="auto"/>
              <w:right w:val="single" w:sz="4" w:space="0" w:color="auto"/>
            </w:tcBorders>
            <w:hideMark/>
          </w:tcPr>
          <w:p w14:paraId="78BC1B7F" w14:textId="77777777" w:rsidR="009A1786" w:rsidRDefault="009A1786" w:rsidP="003C01AD">
            <w:pPr>
              <w:pStyle w:val="Tabletext9pt"/>
              <w:numPr>
                <w:ilvl w:val="0"/>
                <w:numId w:val="32"/>
              </w:numPr>
              <w:spacing w:before="60" w:after="40"/>
              <w:rPr>
                <w:rFonts w:cs="Arial"/>
              </w:rPr>
            </w:pPr>
            <w:r>
              <w:rPr>
                <w:rFonts w:cs="Arial"/>
              </w:rPr>
              <w:t>Hour</w:t>
            </w:r>
          </w:p>
        </w:tc>
        <w:tc>
          <w:tcPr>
            <w:tcW w:w="0" w:type="dxa"/>
            <w:tcBorders>
              <w:top w:val="single" w:sz="4" w:space="0" w:color="auto"/>
              <w:left w:val="single" w:sz="4" w:space="0" w:color="auto"/>
              <w:bottom w:val="single" w:sz="4" w:space="0" w:color="auto"/>
              <w:right w:val="single" w:sz="4" w:space="0" w:color="auto"/>
            </w:tcBorders>
          </w:tcPr>
          <w:p w14:paraId="6377C3DB" w14:textId="18FE1AC5" w:rsidR="009A1786" w:rsidRDefault="00633328" w:rsidP="003C01AD">
            <w:pPr>
              <w:pStyle w:val="Tabletext9pt"/>
              <w:numPr>
                <w:ilvl w:val="0"/>
                <w:numId w:val="32"/>
              </w:numPr>
              <w:spacing w:before="60" w:after="40"/>
              <w:jc w:val="right"/>
            </w:pPr>
            <w:r>
              <w:t>101.85</w:t>
            </w:r>
          </w:p>
        </w:tc>
      </w:tr>
    </w:tbl>
    <w:p w14:paraId="46502F7B" w14:textId="77777777" w:rsidR="009A1786" w:rsidRDefault="009A1786" w:rsidP="009A1786">
      <w:pPr>
        <w:pStyle w:val="Bodyaftertablefigure"/>
        <w:spacing w:line="240" w:lineRule="auto"/>
      </w:pPr>
      <w:r>
        <w:t>Program area: Residential aged care</w:t>
      </w:r>
      <w:r>
        <w:rPr>
          <w:rStyle w:val="FootnoteReference"/>
        </w:rPr>
        <w:footnoteReference w:id="13"/>
      </w:r>
      <w:r>
        <w:t xml:space="preserve"> – public sector residential aged care supplements</w:t>
      </w:r>
    </w:p>
    <w:tbl>
      <w:tblPr>
        <w:tblStyle w:val="TableGrid1"/>
        <w:tblW w:w="9299" w:type="dxa"/>
        <w:tblLook w:val="06A0" w:firstRow="1" w:lastRow="0" w:firstColumn="1" w:lastColumn="0" w:noHBand="1" w:noVBand="1"/>
      </w:tblPr>
      <w:tblGrid>
        <w:gridCol w:w="3823"/>
        <w:gridCol w:w="2551"/>
        <w:gridCol w:w="2925"/>
      </w:tblGrid>
      <w:tr w:rsidR="009A1786" w14:paraId="3D03DA7D" w14:textId="77777777" w:rsidTr="009A1786">
        <w:trPr>
          <w:cnfStyle w:val="100000000000" w:firstRow="1" w:lastRow="0" w:firstColumn="0" w:lastColumn="0" w:oddVBand="0" w:evenVBand="0" w:oddHBand="0" w:evenHBand="0" w:firstRowFirstColumn="0" w:firstRowLastColumn="0" w:lastRowFirstColumn="0" w:lastRowLastColumn="0"/>
          <w:tblHeader/>
        </w:trPr>
        <w:tc>
          <w:tcPr>
            <w:tcW w:w="3823" w:type="dxa"/>
            <w:tcBorders>
              <w:top w:val="single" w:sz="4" w:space="0" w:color="auto"/>
              <w:left w:val="single" w:sz="4" w:space="0" w:color="auto"/>
              <w:bottom w:val="single" w:sz="4" w:space="0" w:color="auto"/>
              <w:right w:val="single" w:sz="4" w:space="0" w:color="auto"/>
            </w:tcBorders>
            <w:hideMark/>
          </w:tcPr>
          <w:p w14:paraId="0D3A5D79" w14:textId="77777777" w:rsidR="009A1786" w:rsidRDefault="009A1786" w:rsidP="003C01AD">
            <w:pPr>
              <w:pStyle w:val="Tabletext9pt"/>
              <w:numPr>
                <w:ilvl w:val="0"/>
                <w:numId w:val="32"/>
              </w:numPr>
              <w:spacing w:before="60" w:after="40"/>
              <w:rPr>
                <w:rFonts w:cs="Arial"/>
              </w:rPr>
            </w:pPr>
            <w:r>
              <w:t>Service</w:t>
            </w:r>
          </w:p>
        </w:tc>
        <w:tc>
          <w:tcPr>
            <w:tcW w:w="2551" w:type="dxa"/>
            <w:tcBorders>
              <w:top w:val="single" w:sz="4" w:space="0" w:color="auto"/>
              <w:left w:val="single" w:sz="4" w:space="0" w:color="auto"/>
              <w:bottom w:val="single" w:sz="4" w:space="0" w:color="auto"/>
              <w:right w:val="single" w:sz="4" w:space="0" w:color="auto"/>
            </w:tcBorders>
            <w:hideMark/>
          </w:tcPr>
          <w:p w14:paraId="1320B1FE" w14:textId="77777777" w:rsidR="009A1786" w:rsidRDefault="009A1786" w:rsidP="003C01AD">
            <w:pPr>
              <w:pStyle w:val="Tabletext9pt"/>
              <w:numPr>
                <w:ilvl w:val="0"/>
                <w:numId w:val="32"/>
              </w:numPr>
              <w:spacing w:before="60" w:after="40"/>
              <w:rPr>
                <w:rFonts w:cs="Arial"/>
              </w:rPr>
            </w:pPr>
            <w:r>
              <w:t>Funded unit</w:t>
            </w:r>
          </w:p>
        </w:tc>
        <w:tc>
          <w:tcPr>
            <w:tcW w:w="2925" w:type="dxa"/>
            <w:tcBorders>
              <w:top w:val="single" w:sz="4" w:space="0" w:color="auto"/>
              <w:left w:val="single" w:sz="4" w:space="0" w:color="auto"/>
              <w:bottom w:val="single" w:sz="4" w:space="0" w:color="auto"/>
              <w:right w:val="single" w:sz="4" w:space="0" w:color="auto"/>
            </w:tcBorders>
            <w:hideMark/>
          </w:tcPr>
          <w:p w14:paraId="6859183D" w14:textId="77777777" w:rsidR="009A1786" w:rsidRDefault="009A1786" w:rsidP="003C01AD">
            <w:pPr>
              <w:pStyle w:val="Tabletext9pt"/>
              <w:numPr>
                <w:ilvl w:val="0"/>
                <w:numId w:val="32"/>
              </w:numPr>
              <w:spacing w:before="60" w:after="40"/>
              <w:jc w:val="right"/>
              <w:rPr>
                <w:lang w:eastAsia="en-AU"/>
              </w:rPr>
            </w:pPr>
            <w:r>
              <w:t>Estimated unit price ($)</w:t>
            </w:r>
          </w:p>
        </w:tc>
      </w:tr>
      <w:tr w:rsidR="009A1786" w14:paraId="01FCBA72" w14:textId="77777777" w:rsidTr="008B2386">
        <w:tc>
          <w:tcPr>
            <w:tcW w:w="0" w:type="dxa"/>
            <w:tcBorders>
              <w:top w:val="single" w:sz="4" w:space="0" w:color="auto"/>
              <w:left w:val="single" w:sz="4" w:space="0" w:color="auto"/>
              <w:bottom w:val="single" w:sz="4" w:space="0" w:color="auto"/>
              <w:right w:val="single" w:sz="4" w:space="0" w:color="auto"/>
            </w:tcBorders>
            <w:hideMark/>
          </w:tcPr>
          <w:p w14:paraId="57E1D0B0" w14:textId="77777777" w:rsidR="009A1786" w:rsidRDefault="009A1786" w:rsidP="003C01AD">
            <w:pPr>
              <w:pStyle w:val="Tabletext9pt"/>
              <w:numPr>
                <w:ilvl w:val="0"/>
                <w:numId w:val="32"/>
              </w:numPr>
              <w:spacing w:before="60" w:after="40"/>
            </w:pPr>
            <w:r>
              <w:rPr>
                <w:rFonts w:cs="Arial"/>
              </w:rPr>
              <w:t>Rural Small High Care Supplement</w:t>
            </w:r>
          </w:p>
          <w:p w14:paraId="0D0FE3A1" w14:textId="77777777" w:rsidR="009A1786" w:rsidRDefault="009A1786" w:rsidP="003C01AD">
            <w:pPr>
              <w:pStyle w:val="Tabletext9pt"/>
              <w:numPr>
                <w:ilvl w:val="0"/>
                <w:numId w:val="32"/>
              </w:numPr>
              <w:spacing w:before="60" w:after="40"/>
            </w:pPr>
            <w:r>
              <w:t>1–10 places</w:t>
            </w:r>
          </w:p>
        </w:tc>
        <w:tc>
          <w:tcPr>
            <w:tcW w:w="0" w:type="dxa"/>
            <w:tcBorders>
              <w:top w:val="single" w:sz="4" w:space="0" w:color="auto"/>
              <w:left w:val="single" w:sz="4" w:space="0" w:color="auto"/>
              <w:bottom w:val="single" w:sz="4" w:space="0" w:color="auto"/>
              <w:right w:val="single" w:sz="4" w:space="0" w:color="auto"/>
            </w:tcBorders>
            <w:hideMark/>
          </w:tcPr>
          <w:p w14:paraId="359C5C59" w14:textId="77777777" w:rsidR="009A1786" w:rsidRDefault="009A1786" w:rsidP="003C01AD">
            <w:pPr>
              <w:pStyle w:val="Tabletext9pt"/>
              <w:numPr>
                <w:ilvl w:val="0"/>
                <w:numId w:val="32"/>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4A8F9966" w14:textId="6755C1BE" w:rsidR="009A1786" w:rsidRDefault="003A6910" w:rsidP="003C01AD">
            <w:pPr>
              <w:pStyle w:val="Tabletext9pt"/>
              <w:numPr>
                <w:ilvl w:val="0"/>
                <w:numId w:val="32"/>
              </w:numPr>
              <w:spacing w:before="60" w:after="40"/>
              <w:jc w:val="right"/>
            </w:pPr>
            <w:r>
              <w:rPr>
                <w:lang w:eastAsia="en-AU"/>
              </w:rPr>
              <w:t>11.38</w:t>
            </w:r>
          </w:p>
        </w:tc>
      </w:tr>
      <w:tr w:rsidR="009A1786" w14:paraId="4A0A3F43" w14:textId="77777777" w:rsidTr="008B2386">
        <w:tc>
          <w:tcPr>
            <w:tcW w:w="0" w:type="dxa"/>
            <w:tcBorders>
              <w:top w:val="single" w:sz="4" w:space="0" w:color="auto"/>
              <w:left w:val="single" w:sz="4" w:space="0" w:color="auto"/>
              <w:bottom w:val="single" w:sz="4" w:space="0" w:color="auto"/>
              <w:right w:val="single" w:sz="4" w:space="0" w:color="auto"/>
            </w:tcBorders>
            <w:hideMark/>
          </w:tcPr>
          <w:p w14:paraId="57895977" w14:textId="77777777" w:rsidR="009A1786" w:rsidRDefault="009A1786" w:rsidP="003C01AD">
            <w:pPr>
              <w:pStyle w:val="Tabletext9pt"/>
              <w:numPr>
                <w:ilvl w:val="0"/>
                <w:numId w:val="32"/>
              </w:numPr>
              <w:spacing w:before="60" w:after="40"/>
            </w:pPr>
            <w:r>
              <w:rPr>
                <w:rFonts w:cs="Arial"/>
              </w:rPr>
              <w:t>Rural Small High Care Supplement</w:t>
            </w:r>
          </w:p>
          <w:p w14:paraId="4B3A10F6" w14:textId="77777777" w:rsidR="009A1786" w:rsidRDefault="009A1786" w:rsidP="003C01AD">
            <w:pPr>
              <w:pStyle w:val="Tabletext9pt"/>
              <w:numPr>
                <w:ilvl w:val="0"/>
                <w:numId w:val="32"/>
              </w:numPr>
              <w:spacing w:before="60" w:after="40"/>
            </w:pPr>
            <w:r>
              <w:t>11–20 places</w:t>
            </w:r>
          </w:p>
        </w:tc>
        <w:tc>
          <w:tcPr>
            <w:tcW w:w="0" w:type="dxa"/>
            <w:tcBorders>
              <w:top w:val="single" w:sz="4" w:space="0" w:color="auto"/>
              <w:left w:val="single" w:sz="4" w:space="0" w:color="auto"/>
              <w:bottom w:val="single" w:sz="4" w:space="0" w:color="auto"/>
              <w:right w:val="single" w:sz="4" w:space="0" w:color="auto"/>
            </w:tcBorders>
            <w:hideMark/>
          </w:tcPr>
          <w:p w14:paraId="0DA978F9" w14:textId="77777777" w:rsidR="009A1786" w:rsidRDefault="009A1786" w:rsidP="003C01AD">
            <w:pPr>
              <w:pStyle w:val="Tabletext9pt"/>
              <w:numPr>
                <w:ilvl w:val="0"/>
                <w:numId w:val="32"/>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3992A680" w14:textId="5FF68F7B" w:rsidR="009A1786" w:rsidRDefault="00F36694" w:rsidP="003C01AD">
            <w:pPr>
              <w:pStyle w:val="Tabletext9pt"/>
              <w:numPr>
                <w:ilvl w:val="0"/>
                <w:numId w:val="32"/>
              </w:numPr>
              <w:spacing w:before="60" w:after="40"/>
              <w:jc w:val="right"/>
            </w:pPr>
            <w:r>
              <w:rPr>
                <w:lang w:eastAsia="en-AU"/>
              </w:rPr>
              <w:t>8.53</w:t>
            </w:r>
          </w:p>
        </w:tc>
      </w:tr>
      <w:tr w:rsidR="009A1786" w14:paraId="2B6F485E" w14:textId="77777777" w:rsidTr="008B2386">
        <w:tc>
          <w:tcPr>
            <w:tcW w:w="0" w:type="dxa"/>
            <w:tcBorders>
              <w:top w:val="single" w:sz="4" w:space="0" w:color="auto"/>
              <w:left w:val="single" w:sz="4" w:space="0" w:color="auto"/>
              <w:bottom w:val="single" w:sz="4" w:space="0" w:color="auto"/>
              <w:right w:val="single" w:sz="4" w:space="0" w:color="auto"/>
            </w:tcBorders>
            <w:hideMark/>
          </w:tcPr>
          <w:p w14:paraId="0629C11D" w14:textId="77777777" w:rsidR="009A1786" w:rsidRDefault="009A1786" w:rsidP="003C01AD">
            <w:pPr>
              <w:pStyle w:val="Tabletext9pt"/>
              <w:numPr>
                <w:ilvl w:val="0"/>
                <w:numId w:val="32"/>
              </w:numPr>
              <w:spacing w:before="60" w:after="40"/>
            </w:pPr>
            <w:r>
              <w:rPr>
                <w:rFonts w:cs="Arial"/>
              </w:rPr>
              <w:t>Rural Small High Care Supplement</w:t>
            </w:r>
          </w:p>
          <w:p w14:paraId="0AE22BDD" w14:textId="77777777" w:rsidR="009A1786" w:rsidRDefault="009A1786" w:rsidP="003C01AD">
            <w:pPr>
              <w:pStyle w:val="Tabletext9pt"/>
              <w:numPr>
                <w:ilvl w:val="0"/>
                <w:numId w:val="32"/>
              </w:numPr>
              <w:spacing w:before="60" w:after="40"/>
            </w:pPr>
            <w:r>
              <w:t>21–30 places</w:t>
            </w:r>
          </w:p>
        </w:tc>
        <w:tc>
          <w:tcPr>
            <w:tcW w:w="0" w:type="dxa"/>
            <w:tcBorders>
              <w:top w:val="single" w:sz="4" w:space="0" w:color="auto"/>
              <w:left w:val="single" w:sz="4" w:space="0" w:color="auto"/>
              <w:bottom w:val="single" w:sz="4" w:space="0" w:color="auto"/>
              <w:right w:val="single" w:sz="4" w:space="0" w:color="auto"/>
            </w:tcBorders>
            <w:hideMark/>
          </w:tcPr>
          <w:p w14:paraId="21B964D9" w14:textId="77777777" w:rsidR="009A1786" w:rsidRDefault="009A1786" w:rsidP="003C01AD">
            <w:pPr>
              <w:pStyle w:val="Tabletext9pt"/>
              <w:numPr>
                <w:ilvl w:val="0"/>
                <w:numId w:val="32"/>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605EAF13" w14:textId="10EB4C62" w:rsidR="009A1786" w:rsidRDefault="00F36694" w:rsidP="003C01AD">
            <w:pPr>
              <w:pStyle w:val="Tabletext9pt"/>
              <w:numPr>
                <w:ilvl w:val="0"/>
                <w:numId w:val="32"/>
              </w:numPr>
              <w:spacing w:before="60" w:after="40"/>
              <w:jc w:val="right"/>
            </w:pPr>
            <w:r>
              <w:t>7.12</w:t>
            </w:r>
          </w:p>
        </w:tc>
      </w:tr>
      <w:tr w:rsidR="009A1786" w14:paraId="29F922BB" w14:textId="77777777" w:rsidTr="008B2386">
        <w:tc>
          <w:tcPr>
            <w:tcW w:w="0" w:type="dxa"/>
            <w:tcBorders>
              <w:top w:val="single" w:sz="4" w:space="0" w:color="auto"/>
              <w:left w:val="single" w:sz="4" w:space="0" w:color="auto"/>
              <w:bottom w:val="single" w:sz="4" w:space="0" w:color="auto"/>
              <w:right w:val="single" w:sz="4" w:space="0" w:color="auto"/>
            </w:tcBorders>
            <w:hideMark/>
          </w:tcPr>
          <w:p w14:paraId="6737F72B" w14:textId="77777777" w:rsidR="009A1786" w:rsidRDefault="009A1786" w:rsidP="003C01AD">
            <w:pPr>
              <w:pStyle w:val="Tabletext9pt"/>
              <w:numPr>
                <w:ilvl w:val="0"/>
                <w:numId w:val="32"/>
              </w:numPr>
              <w:spacing w:before="60" w:after="40"/>
            </w:pPr>
            <w:r>
              <w:t>Low Care Supplement</w:t>
            </w:r>
            <w:r>
              <w:rPr>
                <w:rStyle w:val="FootnoteReference"/>
              </w:rPr>
              <w:footnoteReference w:id="14"/>
            </w:r>
          </w:p>
        </w:tc>
        <w:tc>
          <w:tcPr>
            <w:tcW w:w="0" w:type="dxa"/>
            <w:tcBorders>
              <w:top w:val="single" w:sz="4" w:space="0" w:color="auto"/>
              <w:left w:val="single" w:sz="4" w:space="0" w:color="auto"/>
              <w:bottom w:val="single" w:sz="4" w:space="0" w:color="auto"/>
              <w:right w:val="single" w:sz="4" w:space="0" w:color="auto"/>
            </w:tcBorders>
            <w:hideMark/>
          </w:tcPr>
          <w:p w14:paraId="69120F39" w14:textId="77777777" w:rsidR="009A1786" w:rsidRDefault="009A1786" w:rsidP="003C01AD">
            <w:pPr>
              <w:pStyle w:val="Tabletext9pt"/>
              <w:numPr>
                <w:ilvl w:val="0"/>
                <w:numId w:val="32"/>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74DEFF68" w14:textId="2DDE1841" w:rsidR="009A1786" w:rsidRDefault="002706E3" w:rsidP="003C01AD">
            <w:pPr>
              <w:pStyle w:val="Tabletext9pt"/>
              <w:numPr>
                <w:ilvl w:val="0"/>
                <w:numId w:val="32"/>
              </w:numPr>
              <w:spacing w:before="60" w:after="40"/>
              <w:jc w:val="right"/>
            </w:pPr>
            <w:r>
              <w:rPr>
                <w:lang w:eastAsia="en-AU"/>
              </w:rPr>
              <w:t>6.52</w:t>
            </w:r>
          </w:p>
        </w:tc>
      </w:tr>
      <w:tr w:rsidR="009A1786" w14:paraId="3E37FC3F" w14:textId="77777777" w:rsidTr="008B2386">
        <w:tc>
          <w:tcPr>
            <w:tcW w:w="0" w:type="dxa"/>
            <w:tcBorders>
              <w:top w:val="single" w:sz="4" w:space="0" w:color="auto"/>
              <w:left w:val="single" w:sz="4" w:space="0" w:color="auto"/>
              <w:bottom w:val="single" w:sz="4" w:space="0" w:color="auto"/>
              <w:right w:val="single" w:sz="4" w:space="0" w:color="auto"/>
            </w:tcBorders>
            <w:hideMark/>
          </w:tcPr>
          <w:p w14:paraId="55B633C7" w14:textId="77777777" w:rsidR="009A1786" w:rsidRDefault="009A1786" w:rsidP="003C01AD">
            <w:pPr>
              <w:pStyle w:val="Tabletext9pt"/>
              <w:numPr>
                <w:ilvl w:val="0"/>
                <w:numId w:val="32"/>
              </w:numPr>
              <w:spacing w:before="60" w:after="40"/>
            </w:pPr>
            <w:r>
              <w:t>High Care Supplement</w:t>
            </w:r>
          </w:p>
        </w:tc>
        <w:tc>
          <w:tcPr>
            <w:tcW w:w="0" w:type="dxa"/>
            <w:tcBorders>
              <w:top w:val="single" w:sz="4" w:space="0" w:color="auto"/>
              <w:left w:val="single" w:sz="4" w:space="0" w:color="auto"/>
              <w:bottom w:val="single" w:sz="4" w:space="0" w:color="auto"/>
              <w:right w:val="single" w:sz="4" w:space="0" w:color="auto"/>
            </w:tcBorders>
            <w:hideMark/>
          </w:tcPr>
          <w:p w14:paraId="49ED3CF3" w14:textId="77777777" w:rsidR="009A1786" w:rsidRDefault="009A1786" w:rsidP="003C01AD">
            <w:pPr>
              <w:pStyle w:val="Tabletext9pt"/>
              <w:numPr>
                <w:ilvl w:val="0"/>
                <w:numId w:val="32"/>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2D480015" w14:textId="3C55487C" w:rsidR="009A1786" w:rsidRDefault="002706E3" w:rsidP="003C01AD">
            <w:pPr>
              <w:pStyle w:val="Tabletext9pt"/>
              <w:numPr>
                <w:ilvl w:val="0"/>
                <w:numId w:val="32"/>
              </w:numPr>
              <w:spacing w:before="60" w:after="40"/>
              <w:jc w:val="right"/>
            </w:pPr>
            <w:r>
              <w:t>70.40</w:t>
            </w:r>
          </w:p>
        </w:tc>
      </w:tr>
      <w:tr w:rsidR="009A1786" w14:paraId="41D0FAE0" w14:textId="77777777" w:rsidTr="008B2386">
        <w:tc>
          <w:tcPr>
            <w:tcW w:w="0" w:type="dxa"/>
            <w:tcBorders>
              <w:top w:val="single" w:sz="4" w:space="0" w:color="auto"/>
              <w:left w:val="single" w:sz="4" w:space="0" w:color="auto"/>
              <w:bottom w:val="single" w:sz="4" w:space="0" w:color="auto"/>
              <w:right w:val="single" w:sz="4" w:space="0" w:color="auto"/>
            </w:tcBorders>
            <w:hideMark/>
          </w:tcPr>
          <w:p w14:paraId="04D4D5D5" w14:textId="77777777" w:rsidR="009A1786" w:rsidRDefault="009A1786" w:rsidP="003C01AD">
            <w:pPr>
              <w:pStyle w:val="Tabletext9pt"/>
              <w:numPr>
                <w:ilvl w:val="0"/>
                <w:numId w:val="32"/>
              </w:numPr>
              <w:spacing w:before="60" w:after="40"/>
            </w:pPr>
            <w:r>
              <w:t>Public Sector Residential Aged Care Supplement</w:t>
            </w:r>
          </w:p>
        </w:tc>
        <w:tc>
          <w:tcPr>
            <w:tcW w:w="0" w:type="dxa"/>
            <w:tcBorders>
              <w:top w:val="single" w:sz="4" w:space="0" w:color="auto"/>
              <w:left w:val="single" w:sz="4" w:space="0" w:color="auto"/>
              <w:bottom w:val="single" w:sz="4" w:space="0" w:color="auto"/>
              <w:right w:val="single" w:sz="4" w:space="0" w:color="auto"/>
            </w:tcBorders>
            <w:hideMark/>
          </w:tcPr>
          <w:p w14:paraId="741BF0CB" w14:textId="77777777" w:rsidR="009A1786" w:rsidRDefault="009A1786" w:rsidP="003C01AD">
            <w:pPr>
              <w:pStyle w:val="Tabletext9pt"/>
              <w:numPr>
                <w:ilvl w:val="0"/>
                <w:numId w:val="32"/>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6EF18039" w14:textId="2ECA92D7" w:rsidR="009A1786" w:rsidRDefault="00305963" w:rsidP="003C01AD">
            <w:pPr>
              <w:pStyle w:val="Tabletext9pt"/>
              <w:numPr>
                <w:ilvl w:val="0"/>
                <w:numId w:val="32"/>
              </w:numPr>
              <w:spacing w:before="60" w:after="40"/>
              <w:jc w:val="right"/>
            </w:pPr>
            <w:r>
              <w:t>13.98</w:t>
            </w:r>
          </w:p>
        </w:tc>
      </w:tr>
      <w:tr w:rsidR="009A1786" w14:paraId="19DA3D29" w14:textId="77777777" w:rsidTr="009A1786">
        <w:trPr>
          <w:trHeight w:val="114"/>
        </w:trPr>
        <w:tc>
          <w:tcPr>
            <w:tcW w:w="3823" w:type="dxa"/>
            <w:tcBorders>
              <w:top w:val="single" w:sz="4" w:space="0" w:color="auto"/>
              <w:left w:val="single" w:sz="4" w:space="0" w:color="auto"/>
              <w:bottom w:val="single" w:sz="4" w:space="0" w:color="auto"/>
              <w:right w:val="single" w:sz="4" w:space="0" w:color="auto"/>
            </w:tcBorders>
            <w:hideMark/>
          </w:tcPr>
          <w:p w14:paraId="09353A12" w14:textId="77777777" w:rsidR="009A1786" w:rsidRDefault="009A1786" w:rsidP="003C01AD">
            <w:pPr>
              <w:pStyle w:val="Tabletext9pt"/>
              <w:numPr>
                <w:ilvl w:val="0"/>
                <w:numId w:val="32"/>
              </w:numPr>
              <w:spacing w:before="60" w:after="40"/>
            </w:pPr>
            <w:r>
              <w:t>Complex Care Supplement</w:t>
            </w:r>
          </w:p>
        </w:tc>
        <w:tc>
          <w:tcPr>
            <w:tcW w:w="2551" w:type="dxa"/>
            <w:tcBorders>
              <w:top w:val="single" w:sz="4" w:space="0" w:color="auto"/>
              <w:left w:val="single" w:sz="4" w:space="0" w:color="auto"/>
              <w:bottom w:val="single" w:sz="4" w:space="0" w:color="auto"/>
              <w:right w:val="single" w:sz="4" w:space="0" w:color="auto"/>
            </w:tcBorders>
            <w:hideMark/>
          </w:tcPr>
          <w:p w14:paraId="5A017E15" w14:textId="77777777" w:rsidR="009A1786" w:rsidRDefault="009A1786" w:rsidP="003C01AD">
            <w:pPr>
              <w:pStyle w:val="Tabletext9pt"/>
              <w:numPr>
                <w:ilvl w:val="0"/>
                <w:numId w:val="32"/>
              </w:numPr>
              <w:spacing w:before="60" w:after="40"/>
              <w:rPr>
                <w:rFonts w:cs="Arial"/>
              </w:rPr>
            </w:pPr>
            <w:r>
              <w:rPr>
                <w:rFonts w:cs="Arial"/>
              </w:rPr>
              <w:t>Bed day</w:t>
            </w:r>
          </w:p>
        </w:tc>
        <w:tc>
          <w:tcPr>
            <w:tcW w:w="2925" w:type="dxa"/>
            <w:tcBorders>
              <w:top w:val="single" w:sz="4" w:space="0" w:color="auto"/>
              <w:left w:val="single" w:sz="4" w:space="0" w:color="auto"/>
              <w:bottom w:val="single" w:sz="4" w:space="0" w:color="auto"/>
              <w:right w:val="single" w:sz="4" w:space="0" w:color="auto"/>
            </w:tcBorders>
          </w:tcPr>
          <w:p w14:paraId="064ED8A7" w14:textId="40BAA299" w:rsidR="009A1786" w:rsidRDefault="009A1786" w:rsidP="003C01AD">
            <w:pPr>
              <w:pStyle w:val="Tabletext9pt"/>
              <w:numPr>
                <w:ilvl w:val="0"/>
                <w:numId w:val="32"/>
              </w:numPr>
              <w:spacing w:before="60" w:after="40"/>
              <w:jc w:val="right"/>
            </w:pPr>
          </w:p>
        </w:tc>
      </w:tr>
    </w:tbl>
    <w:p w14:paraId="06A02A09" w14:textId="073441DD" w:rsidR="000B27B9" w:rsidRDefault="000B27B9" w:rsidP="009375E0">
      <w:pPr>
        <w:pStyle w:val="Heading3"/>
        <w:spacing w:before="240"/>
      </w:pPr>
      <w:bookmarkStart w:id="907" w:name="_Toc110950043"/>
      <w:bookmarkStart w:id="908" w:name="_Toc418694989"/>
      <w:bookmarkStart w:id="909" w:name="_Toc487742011"/>
      <w:bookmarkStart w:id="910" w:name="_Toc14172241"/>
      <w:bookmarkStart w:id="911" w:name="_Toc100263351"/>
      <w:bookmarkStart w:id="912" w:name="_Toc127192000"/>
      <w:bookmarkEnd w:id="907"/>
      <w:r>
        <w:t xml:space="preserve">Primary, </w:t>
      </w:r>
      <w:bookmarkEnd w:id="908"/>
      <w:r w:rsidR="00331D5D">
        <w:t>C</w:t>
      </w:r>
      <w:r>
        <w:t xml:space="preserve">ommunity and </w:t>
      </w:r>
      <w:r w:rsidR="00331D5D">
        <w:t>D</w:t>
      </w:r>
      <w:r>
        <w:t xml:space="preserve">ental </w:t>
      </w:r>
      <w:r w:rsidR="00331D5D">
        <w:t>H</w:t>
      </w:r>
      <w:r>
        <w:t xml:space="preserve">ealth </w:t>
      </w:r>
      <w:r w:rsidR="00331D5D">
        <w:t>O</w:t>
      </w:r>
      <w:r>
        <w:t xml:space="preserve">utput </w:t>
      </w:r>
      <w:r w:rsidR="00331D5D">
        <w:t>G</w:t>
      </w:r>
      <w:r>
        <w:t>roup</w:t>
      </w:r>
      <w:bookmarkEnd w:id="909"/>
      <w:bookmarkEnd w:id="910"/>
      <w:bookmarkEnd w:id="911"/>
      <w:bookmarkEnd w:id="912"/>
    </w:p>
    <w:p w14:paraId="50192CAD" w14:textId="1B69ABBF" w:rsidR="000B27B9" w:rsidRPr="00465E0A" w:rsidRDefault="000B27B9" w:rsidP="003C01AD">
      <w:pPr>
        <w:pStyle w:val="Tablecaption"/>
        <w:numPr>
          <w:ilvl w:val="0"/>
          <w:numId w:val="40"/>
        </w:numPr>
      </w:pPr>
      <w:bookmarkStart w:id="913" w:name="_Toc110944668"/>
      <w:bookmarkStart w:id="914" w:name="_Toc14194747"/>
      <w:bookmarkStart w:id="915" w:name="_Toc54261403"/>
      <w:bookmarkStart w:id="916" w:name="_Toc54616277"/>
      <w:bookmarkStart w:id="917" w:name="_Toc12703357"/>
      <w:bookmarkStart w:id="918" w:name="_Toc109894117"/>
      <w:bookmarkStart w:id="919" w:name="_Toc119500898"/>
      <w:bookmarkStart w:id="920" w:name="_Toc419644517"/>
      <w:bookmarkStart w:id="921" w:name="_Toc487742076"/>
      <w:bookmarkEnd w:id="913"/>
      <w:r w:rsidRPr="00E7554A">
        <w:t>Primary community health</w:t>
      </w:r>
      <w:r>
        <w:t xml:space="preserve"> </w:t>
      </w:r>
      <w:r w:rsidRPr="00E7554A">
        <w:t xml:space="preserve">care </w:t>
      </w:r>
      <w:r w:rsidRPr="00465E0A">
        <w:t xml:space="preserve">output </w:t>
      </w:r>
      <w:bookmarkEnd w:id="914"/>
      <w:bookmarkEnd w:id="915"/>
      <w:bookmarkEnd w:id="916"/>
      <w:bookmarkEnd w:id="917"/>
      <w:r w:rsidR="005D1FCB" w:rsidRPr="00465E0A">
        <w:t>2022</w:t>
      </w:r>
      <w:r w:rsidR="00E423D4" w:rsidRPr="00465E0A">
        <w:t>–</w:t>
      </w:r>
      <w:r w:rsidR="005D1FCB" w:rsidRPr="00465E0A">
        <w:t>23</w:t>
      </w:r>
      <w:bookmarkEnd w:id="918"/>
      <w:bookmarkEnd w:id="919"/>
    </w:p>
    <w:tbl>
      <w:tblPr>
        <w:tblStyle w:val="TableGrid1"/>
        <w:tblW w:w="9299" w:type="dxa"/>
        <w:tblLook w:val="06A0" w:firstRow="1" w:lastRow="0" w:firstColumn="1" w:lastColumn="0" w:noHBand="1" w:noVBand="1"/>
      </w:tblPr>
      <w:tblGrid>
        <w:gridCol w:w="2286"/>
        <w:gridCol w:w="3629"/>
        <w:gridCol w:w="1487"/>
        <w:gridCol w:w="1897"/>
      </w:tblGrid>
      <w:tr w:rsidR="00AE6427" w14:paraId="28A8662A" w14:textId="77777777" w:rsidTr="00AE6427">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hideMark/>
          </w:tcPr>
          <w:p w14:paraId="146C2CDC" w14:textId="77777777" w:rsidR="00233DA1" w:rsidRDefault="00233DA1">
            <w:pPr>
              <w:pStyle w:val="Tablecolhead9pt"/>
              <w:rPr>
                <w:szCs w:val="18"/>
              </w:rPr>
            </w:pPr>
            <w:r>
              <w:t>Service</w:t>
            </w:r>
          </w:p>
        </w:tc>
        <w:tc>
          <w:tcPr>
            <w:tcW w:w="0" w:type="dxa"/>
            <w:tcBorders>
              <w:top w:val="single" w:sz="4" w:space="0" w:color="auto"/>
              <w:left w:val="single" w:sz="4" w:space="0" w:color="auto"/>
              <w:bottom w:val="single" w:sz="4" w:space="0" w:color="auto"/>
              <w:right w:val="single" w:sz="4" w:space="0" w:color="auto"/>
            </w:tcBorders>
            <w:hideMark/>
          </w:tcPr>
          <w:p w14:paraId="1501AF58" w14:textId="77777777" w:rsidR="00233DA1" w:rsidRDefault="00233DA1">
            <w:pPr>
              <w:pStyle w:val="Tablecolhead9pt"/>
              <w:rPr>
                <w:szCs w:val="18"/>
              </w:rPr>
            </w:pPr>
            <w:r>
              <w:t>Service subsection</w:t>
            </w:r>
          </w:p>
        </w:tc>
        <w:tc>
          <w:tcPr>
            <w:tcW w:w="0" w:type="dxa"/>
            <w:tcBorders>
              <w:top w:val="single" w:sz="4" w:space="0" w:color="auto"/>
              <w:left w:val="single" w:sz="4" w:space="0" w:color="auto"/>
              <w:bottom w:val="single" w:sz="4" w:space="0" w:color="auto"/>
              <w:right w:val="single" w:sz="4" w:space="0" w:color="auto"/>
            </w:tcBorders>
            <w:hideMark/>
          </w:tcPr>
          <w:p w14:paraId="7CB07804" w14:textId="77777777" w:rsidR="00233DA1" w:rsidRDefault="00233DA1">
            <w:pPr>
              <w:pStyle w:val="Tablecolhead9pt"/>
              <w:rPr>
                <w:szCs w:val="18"/>
              </w:rPr>
            </w:pPr>
            <w:r>
              <w:t>Funded unit</w:t>
            </w:r>
          </w:p>
        </w:tc>
        <w:tc>
          <w:tcPr>
            <w:tcW w:w="0" w:type="dxa"/>
            <w:tcBorders>
              <w:top w:val="single" w:sz="4" w:space="0" w:color="auto"/>
              <w:left w:val="single" w:sz="4" w:space="0" w:color="auto"/>
              <w:bottom w:val="single" w:sz="4" w:space="0" w:color="auto"/>
              <w:right w:val="single" w:sz="4" w:space="0" w:color="auto"/>
            </w:tcBorders>
            <w:hideMark/>
          </w:tcPr>
          <w:p w14:paraId="18F9225F" w14:textId="77777777" w:rsidR="00233DA1" w:rsidRDefault="00233DA1">
            <w:pPr>
              <w:pStyle w:val="Tablecolhead9pt"/>
              <w:jc w:val="right"/>
              <w:rPr>
                <w:szCs w:val="18"/>
              </w:rPr>
            </w:pPr>
            <w:r>
              <w:t>Estimated unit price ($)</w:t>
            </w:r>
          </w:p>
        </w:tc>
      </w:tr>
      <w:tr w:rsidR="00233DA1" w14:paraId="74A6850C" w14:textId="77777777" w:rsidTr="00233DA1">
        <w:tc>
          <w:tcPr>
            <w:tcW w:w="6" w:type="dxa"/>
            <w:tcBorders>
              <w:top w:val="single" w:sz="4" w:space="0" w:color="auto"/>
              <w:left w:val="single" w:sz="4" w:space="0" w:color="auto"/>
              <w:bottom w:val="single" w:sz="4" w:space="0" w:color="auto"/>
              <w:right w:val="single" w:sz="4" w:space="0" w:color="auto"/>
            </w:tcBorders>
            <w:hideMark/>
          </w:tcPr>
          <w:p w14:paraId="5F640FF4" w14:textId="77777777" w:rsidR="00233DA1" w:rsidRDefault="00233DA1" w:rsidP="003C01AD">
            <w:pPr>
              <w:pStyle w:val="Tabletext9pt"/>
              <w:numPr>
                <w:ilvl w:val="0"/>
                <w:numId w:val="32"/>
              </w:numPr>
            </w:pPr>
            <w:r>
              <w:t>Family and Reproductive Rights Education Program</w:t>
            </w:r>
          </w:p>
        </w:tc>
        <w:tc>
          <w:tcPr>
            <w:tcW w:w="6" w:type="dxa"/>
            <w:tcBorders>
              <w:top w:val="single" w:sz="4" w:space="0" w:color="auto"/>
              <w:left w:val="single" w:sz="4" w:space="0" w:color="auto"/>
              <w:bottom w:val="single" w:sz="4" w:space="0" w:color="auto"/>
              <w:right w:val="single" w:sz="4" w:space="0" w:color="auto"/>
            </w:tcBorders>
            <w:hideMark/>
          </w:tcPr>
          <w:p w14:paraId="1CC4F469" w14:textId="77777777" w:rsidR="00233DA1" w:rsidRDefault="00233DA1" w:rsidP="003C01AD">
            <w:pPr>
              <w:pStyle w:val="Tabletext9pt"/>
              <w:numPr>
                <w:ilvl w:val="0"/>
                <w:numId w:val="32"/>
              </w:numPr>
            </w:pPr>
            <w:r>
              <w:t>Direct care</w:t>
            </w:r>
          </w:p>
        </w:tc>
        <w:tc>
          <w:tcPr>
            <w:tcW w:w="6" w:type="dxa"/>
            <w:tcBorders>
              <w:top w:val="single" w:sz="4" w:space="0" w:color="auto"/>
              <w:left w:val="single" w:sz="4" w:space="0" w:color="auto"/>
              <w:bottom w:val="single" w:sz="4" w:space="0" w:color="auto"/>
              <w:right w:val="single" w:sz="4" w:space="0" w:color="auto"/>
            </w:tcBorders>
            <w:hideMark/>
          </w:tcPr>
          <w:p w14:paraId="4AE121C8"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39D9D3FE" w14:textId="63248ACE" w:rsidR="00233DA1" w:rsidRDefault="00233DA1" w:rsidP="003C01AD">
            <w:pPr>
              <w:pStyle w:val="Tabletext9pt"/>
              <w:numPr>
                <w:ilvl w:val="0"/>
                <w:numId w:val="32"/>
              </w:numPr>
              <w:jc w:val="right"/>
              <w:rPr>
                <w:lang w:eastAsia="en-AU"/>
              </w:rPr>
            </w:pPr>
            <w:r>
              <w:rPr>
                <w:lang w:eastAsia="en-AU"/>
              </w:rPr>
              <w:t xml:space="preserve"> 1</w:t>
            </w:r>
            <w:r w:rsidR="00AA1D45">
              <w:rPr>
                <w:lang w:eastAsia="en-AU"/>
              </w:rPr>
              <w:t>16.37</w:t>
            </w:r>
          </w:p>
        </w:tc>
      </w:tr>
      <w:tr w:rsidR="00233DA1" w14:paraId="27D3D51F" w14:textId="77777777" w:rsidTr="00233DA1">
        <w:tc>
          <w:tcPr>
            <w:tcW w:w="6" w:type="dxa"/>
            <w:tcBorders>
              <w:top w:val="single" w:sz="4" w:space="0" w:color="auto"/>
              <w:left w:val="single" w:sz="4" w:space="0" w:color="auto"/>
              <w:bottom w:val="single" w:sz="4" w:space="0" w:color="auto"/>
              <w:right w:val="single" w:sz="4" w:space="0" w:color="auto"/>
            </w:tcBorders>
            <w:hideMark/>
          </w:tcPr>
          <w:p w14:paraId="334B0C08" w14:textId="77777777" w:rsidR="00233DA1" w:rsidRDefault="00233DA1" w:rsidP="003C01AD">
            <w:pPr>
              <w:pStyle w:val="Tabletext9pt"/>
              <w:numPr>
                <w:ilvl w:val="0"/>
                <w:numId w:val="32"/>
              </w:numPr>
            </w:pPr>
            <w:r>
              <w:lastRenderedPageBreak/>
              <w:t>Innovative Health Services for Homeless Youth</w:t>
            </w:r>
          </w:p>
        </w:tc>
        <w:tc>
          <w:tcPr>
            <w:tcW w:w="6" w:type="dxa"/>
            <w:tcBorders>
              <w:top w:val="single" w:sz="4" w:space="0" w:color="auto"/>
              <w:left w:val="single" w:sz="4" w:space="0" w:color="auto"/>
              <w:bottom w:val="single" w:sz="4" w:space="0" w:color="auto"/>
              <w:right w:val="single" w:sz="4" w:space="0" w:color="auto"/>
            </w:tcBorders>
            <w:hideMark/>
          </w:tcPr>
          <w:p w14:paraId="61194D52" w14:textId="77777777" w:rsidR="00233DA1" w:rsidRDefault="00233DA1" w:rsidP="003C01AD">
            <w:pPr>
              <w:pStyle w:val="Tabletext9pt"/>
              <w:numPr>
                <w:ilvl w:val="0"/>
                <w:numId w:val="32"/>
              </w:numPr>
            </w:pPr>
            <w:r>
              <w:t>Counselling/casework</w:t>
            </w:r>
          </w:p>
        </w:tc>
        <w:tc>
          <w:tcPr>
            <w:tcW w:w="6" w:type="dxa"/>
            <w:tcBorders>
              <w:top w:val="single" w:sz="4" w:space="0" w:color="auto"/>
              <w:left w:val="single" w:sz="4" w:space="0" w:color="auto"/>
              <w:bottom w:val="single" w:sz="4" w:space="0" w:color="auto"/>
              <w:right w:val="single" w:sz="4" w:space="0" w:color="auto"/>
            </w:tcBorders>
            <w:hideMark/>
          </w:tcPr>
          <w:p w14:paraId="22B82865"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0DF269DC" w14:textId="0BEDDA61" w:rsidR="00233DA1" w:rsidRDefault="00233DA1" w:rsidP="003C01AD">
            <w:pPr>
              <w:pStyle w:val="Tabletext9pt"/>
              <w:numPr>
                <w:ilvl w:val="0"/>
                <w:numId w:val="32"/>
              </w:numPr>
              <w:jc w:val="right"/>
              <w:rPr>
                <w:lang w:eastAsia="en-AU"/>
              </w:rPr>
            </w:pPr>
            <w:r>
              <w:rPr>
                <w:lang w:eastAsia="en-AU"/>
              </w:rPr>
              <w:t>1</w:t>
            </w:r>
            <w:r w:rsidR="00AA1D45">
              <w:rPr>
                <w:lang w:eastAsia="en-AU"/>
              </w:rPr>
              <w:t>16.37</w:t>
            </w:r>
          </w:p>
        </w:tc>
      </w:tr>
      <w:tr w:rsidR="00233DA1" w14:paraId="25FD42B1" w14:textId="77777777" w:rsidTr="00233DA1">
        <w:tc>
          <w:tcPr>
            <w:tcW w:w="6" w:type="dxa"/>
            <w:tcBorders>
              <w:top w:val="single" w:sz="4" w:space="0" w:color="auto"/>
              <w:left w:val="single" w:sz="4" w:space="0" w:color="auto"/>
              <w:bottom w:val="single" w:sz="4" w:space="0" w:color="auto"/>
              <w:right w:val="single" w:sz="4" w:space="0" w:color="auto"/>
            </w:tcBorders>
            <w:hideMark/>
          </w:tcPr>
          <w:p w14:paraId="04A3C295" w14:textId="77777777" w:rsidR="00233DA1" w:rsidRDefault="00233DA1" w:rsidP="003C01AD">
            <w:pPr>
              <w:pStyle w:val="Tabletext9pt"/>
              <w:numPr>
                <w:ilvl w:val="0"/>
                <w:numId w:val="32"/>
              </w:numPr>
            </w:pPr>
            <w:r>
              <w:t>Innovative Health Services for Homeless Youth</w:t>
            </w:r>
          </w:p>
        </w:tc>
        <w:tc>
          <w:tcPr>
            <w:tcW w:w="6" w:type="dxa"/>
            <w:tcBorders>
              <w:top w:val="single" w:sz="4" w:space="0" w:color="auto"/>
              <w:left w:val="single" w:sz="4" w:space="0" w:color="auto"/>
              <w:bottom w:val="single" w:sz="4" w:space="0" w:color="auto"/>
              <w:right w:val="single" w:sz="4" w:space="0" w:color="auto"/>
            </w:tcBorders>
            <w:hideMark/>
          </w:tcPr>
          <w:p w14:paraId="196C8A13" w14:textId="77777777" w:rsidR="00233DA1" w:rsidRDefault="00233DA1" w:rsidP="003C01AD">
            <w:pPr>
              <w:pStyle w:val="Tabletext9pt"/>
              <w:numPr>
                <w:ilvl w:val="0"/>
                <w:numId w:val="32"/>
              </w:numPr>
            </w:pPr>
            <w:r>
              <w:t>Nursing</w:t>
            </w:r>
          </w:p>
        </w:tc>
        <w:tc>
          <w:tcPr>
            <w:tcW w:w="6" w:type="dxa"/>
            <w:tcBorders>
              <w:top w:val="single" w:sz="4" w:space="0" w:color="auto"/>
              <w:left w:val="single" w:sz="4" w:space="0" w:color="auto"/>
              <w:bottom w:val="single" w:sz="4" w:space="0" w:color="auto"/>
              <w:right w:val="single" w:sz="4" w:space="0" w:color="auto"/>
            </w:tcBorders>
            <w:hideMark/>
          </w:tcPr>
          <w:p w14:paraId="73F9BA5D"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4E6F7C38" w14:textId="3EDF710A" w:rsidR="00233DA1" w:rsidRDefault="00D771EE" w:rsidP="003C01AD">
            <w:pPr>
              <w:pStyle w:val="Tabletext9pt"/>
              <w:numPr>
                <w:ilvl w:val="0"/>
                <w:numId w:val="32"/>
              </w:numPr>
              <w:jc w:val="right"/>
              <w:rPr>
                <w:lang w:eastAsia="en-AU"/>
              </w:rPr>
            </w:pPr>
            <w:r>
              <w:rPr>
                <w:lang w:eastAsia="en-AU"/>
              </w:rPr>
              <w:t>101.85</w:t>
            </w:r>
          </w:p>
        </w:tc>
      </w:tr>
      <w:tr w:rsidR="00233DA1" w14:paraId="0C9A6DC4" w14:textId="77777777" w:rsidTr="00233DA1">
        <w:tc>
          <w:tcPr>
            <w:tcW w:w="6" w:type="dxa"/>
            <w:tcBorders>
              <w:top w:val="single" w:sz="4" w:space="0" w:color="auto"/>
              <w:left w:val="single" w:sz="4" w:space="0" w:color="auto"/>
              <w:bottom w:val="single" w:sz="4" w:space="0" w:color="auto"/>
              <w:right w:val="single" w:sz="4" w:space="0" w:color="auto"/>
            </w:tcBorders>
            <w:hideMark/>
          </w:tcPr>
          <w:p w14:paraId="7FF44BAD" w14:textId="77777777" w:rsidR="00233DA1" w:rsidRDefault="00233DA1" w:rsidP="003C01AD">
            <w:pPr>
              <w:pStyle w:val="Tabletext9pt"/>
              <w:numPr>
                <w:ilvl w:val="0"/>
                <w:numId w:val="32"/>
              </w:numPr>
            </w:pPr>
            <w:r>
              <w:t>Family planning</w:t>
            </w:r>
          </w:p>
        </w:tc>
        <w:tc>
          <w:tcPr>
            <w:tcW w:w="6" w:type="dxa"/>
            <w:tcBorders>
              <w:top w:val="single" w:sz="4" w:space="0" w:color="auto"/>
              <w:left w:val="single" w:sz="4" w:space="0" w:color="auto"/>
              <w:bottom w:val="single" w:sz="4" w:space="0" w:color="auto"/>
              <w:right w:val="single" w:sz="4" w:space="0" w:color="auto"/>
            </w:tcBorders>
            <w:hideMark/>
          </w:tcPr>
          <w:p w14:paraId="5A0821B5" w14:textId="77777777" w:rsidR="00233DA1" w:rsidRDefault="00233DA1" w:rsidP="003C01AD">
            <w:pPr>
              <w:pStyle w:val="Tabletext9pt"/>
              <w:numPr>
                <w:ilvl w:val="0"/>
                <w:numId w:val="32"/>
              </w:numPr>
            </w:pPr>
            <w:r>
              <w:t>Counselling/casework</w:t>
            </w:r>
          </w:p>
        </w:tc>
        <w:tc>
          <w:tcPr>
            <w:tcW w:w="6" w:type="dxa"/>
            <w:tcBorders>
              <w:top w:val="single" w:sz="4" w:space="0" w:color="auto"/>
              <w:left w:val="single" w:sz="4" w:space="0" w:color="auto"/>
              <w:bottom w:val="single" w:sz="4" w:space="0" w:color="auto"/>
              <w:right w:val="single" w:sz="4" w:space="0" w:color="auto"/>
            </w:tcBorders>
            <w:hideMark/>
          </w:tcPr>
          <w:p w14:paraId="05021252"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3B85870A" w14:textId="1D005025" w:rsidR="00233DA1" w:rsidRDefault="00233DA1" w:rsidP="003C01AD">
            <w:pPr>
              <w:pStyle w:val="Tabletext9pt"/>
              <w:numPr>
                <w:ilvl w:val="0"/>
                <w:numId w:val="32"/>
              </w:numPr>
              <w:jc w:val="right"/>
              <w:rPr>
                <w:lang w:eastAsia="en-AU"/>
              </w:rPr>
            </w:pPr>
            <w:r>
              <w:rPr>
                <w:lang w:eastAsia="en-AU"/>
              </w:rPr>
              <w:t>11</w:t>
            </w:r>
            <w:r w:rsidR="00442F4D">
              <w:rPr>
                <w:lang w:eastAsia="en-AU"/>
              </w:rPr>
              <w:t>6.37</w:t>
            </w:r>
          </w:p>
        </w:tc>
      </w:tr>
      <w:tr w:rsidR="00233DA1" w14:paraId="7EDA3D6B" w14:textId="77777777" w:rsidTr="00233DA1">
        <w:tc>
          <w:tcPr>
            <w:tcW w:w="6" w:type="dxa"/>
            <w:tcBorders>
              <w:top w:val="single" w:sz="4" w:space="0" w:color="auto"/>
              <w:left w:val="single" w:sz="4" w:space="0" w:color="auto"/>
              <w:bottom w:val="single" w:sz="4" w:space="0" w:color="auto"/>
              <w:right w:val="single" w:sz="4" w:space="0" w:color="auto"/>
            </w:tcBorders>
            <w:hideMark/>
          </w:tcPr>
          <w:p w14:paraId="1B71B798" w14:textId="77777777" w:rsidR="00233DA1" w:rsidRDefault="00233DA1" w:rsidP="003C01AD">
            <w:pPr>
              <w:pStyle w:val="Tabletext9pt"/>
              <w:numPr>
                <w:ilvl w:val="0"/>
                <w:numId w:val="32"/>
              </w:numPr>
            </w:pPr>
            <w:r>
              <w:t>Family planning</w:t>
            </w:r>
          </w:p>
        </w:tc>
        <w:tc>
          <w:tcPr>
            <w:tcW w:w="6" w:type="dxa"/>
            <w:tcBorders>
              <w:top w:val="single" w:sz="4" w:space="0" w:color="auto"/>
              <w:left w:val="single" w:sz="4" w:space="0" w:color="auto"/>
              <w:bottom w:val="single" w:sz="4" w:space="0" w:color="auto"/>
              <w:right w:val="single" w:sz="4" w:space="0" w:color="auto"/>
            </w:tcBorders>
            <w:hideMark/>
          </w:tcPr>
          <w:p w14:paraId="749D0F51" w14:textId="77777777" w:rsidR="00233DA1" w:rsidRDefault="00233DA1" w:rsidP="003C01AD">
            <w:pPr>
              <w:pStyle w:val="Tabletext9pt"/>
              <w:numPr>
                <w:ilvl w:val="0"/>
                <w:numId w:val="32"/>
              </w:numPr>
            </w:pPr>
            <w:r>
              <w:t>Nursing</w:t>
            </w:r>
          </w:p>
        </w:tc>
        <w:tc>
          <w:tcPr>
            <w:tcW w:w="6" w:type="dxa"/>
            <w:tcBorders>
              <w:top w:val="single" w:sz="4" w:space="0" w:color="auto"/>
              <w:left w:val="single" w:sz="4" w:space="0" w:color="auto"/>
              <w:bottom w:val="single" w:sz="4" w:space="0" w:color="auto"/>
              <w:right w:val="single" w:sz="4" w:space="0" w:color="auto"/>
            </w:tcBorders>
            <w:hideMark/>
          </w:tcPr>
          <w:p w14:paraId="4861931B"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6255563D" w14:textId="300F682B" w:rsidR="00233DA1" w:rsidRDefault="00442F4D" w:rsidP="003C01AD">
            <w:pPr>
              <w:pStyle w:val="Tabletext9pt"/>
              <w:numPr>
                <w:ilvl w:val="0"/>
                <w:numId w:val="32"/>
              </w:numPr>
              <w:jc w:val="right"/>
              <w:rPr>
                <w:lang w:eastAsia="en-AU"/>
              </w:rPr>
            </w:pPr>
            <w:r>
              <w:rPr>
                <w:lang w:eastAsia="en-AU"/>
              </w:rPr>
              <w:t>101.85</w:t>
            </w:r>
          </w:p>
        </w:tc>
      </w:tr>
      <w:tr w:rsidR="00233DA1" w14:paraId="3C58D3EE" w14:textId="77777777" w:rsidTr="00233DA1">
        <w:tc>
          <w:tcPr>
            <w:tcW w:w="6" w:type="dxa"/>
            <w:tcBorders>
              <w:top w:val="single" w:sz="4" w:space="0" w:color="auto"/>
              <w:left w:val="single" w:sz="4" w:space="0" w:color="auto"/>
              <w:bottom w:val="single" w:sz="4" w:space="0" w:color="auto"/>
              <w:right w:val="single" w:sz="4" w:space="0" w:color="auto"/>
            </w:tcBorders>
            <w:hideMark/>
          </w:tcPr>
          <w:p w14:paraId="15733B38" w14:textId="77777777" w:rsidR="00233DA1" w:rsidRDefault="00233DA1" w:rsidP="003C01AD">
            <w:pPr>
              <w:pStyle w:val="Tabletext9pt"/>
              <w:numPr>
                <w:ilvl w:val="0"/>
                <w:numId w:val="32"/>
              </w:numPr>
            </w:pPr>
            <w:r>
              <w:t>Aboriginal services and support</w:t>
            </w:r>
          </w:p>
        </w:tc>
        <w:tc>
          <w:tcPr>
            <w:tcW w:w="6" w:type="dxa"/>
            <w:tcBorders>
              <w:top w:val="single" w:sz="4" w:space="0" w:color="auto"/>
              <w:left w:val="single" w:sz="4" w:space="0" w:color="auto"/>
              <w:bottom w:val="single" w:sz="4" w:space="0" w:color="auto"/>
              <w:right w:val="single" w:sz="4" w:space="0" w:color="auto"/>
            </w:tcBorders>
            <w:hideMark/>
          </w:tcPr>
          <w:p w14:paraId="00B384E0" w14:textId="77777777" w:rsidR="00233DA1" w:rsidRDefault="00233DA1" w:rsidP="003C01AD">
            <w:pPr>
              <w:pStyle w:val="Tabletext9pt"/>
              <w:numPr>
                <w:ilvl w:val="0"/>
                <w:numId w:val="32"/>
              </w:numPr>
            </w:pPr>
            <w:r>
              <w:t>Case coordination</w:t>
            </w:r>
          </w:p>
        </w:tc>
        <w:tc>
          <w:tcPr>
            <w:tcW w:w="6" w:type="dxa"/>
            <w:tcBorders>
              <w:top w:val="single" w:sz="4" w:space="0" w:color="auto"/>
              <w:left w:val="single" w:sz="4" w:space="0" w:color="auto"/>
              <w:bottom w:val="single" w:sz="4" w:space="0" w:color="auto"/>
              <w:right w:val="single" w:sz="4" w:space="0" w:color="auto"/>
            </w:tcBorders>
            <w:hideMark/>
          </w:tcPr>
          <w:p w14:paraId="01FD3B54"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6AD9B099" w14:textId="5A1C1375" w:rsidR="00233DA1" w:rsidRDefault="00233DA1" w:rsidP="003C01AD">
            <w:pPr>
              <w:pStyle w:val="Tabletext9pt"/>
              <w:numPr>
                <w:ilvl w:val="0"/>
                <w:numId w:val="32"/>
              </w:numPr>
              <w:jc w:val="right"/>
              <w:rPr>
                <w:lang w:eastAsia="en-AU"/>
              </w:rPr>
            </w:pPr>
            <w:r>
              <w:rPr>
                <w:lang w:eastAsia="en-AU"/>
              </w:rPr>
              <w:t>11</w:t>
            </w:r>
            <w:r w:rsidR="00442F4D">
              <w:rPr>
                <w:lang w:eastAsia="en-AU"/>
              </w:rPr>
              <w:t>6.37</w:t>
            </w:r>
          </w:p>
        </w:tc>
      </w:tr>
      <w:tr w:rsidR="00233DA1" w14:paraId="2CA682AA" w14:textId="77777777" w:rsidTr="00233DA1">
        <w:tc>
          <w:tcPr>
            <w:tcW w:w="6" w:type="dxa"/>
            <w:tcBorders>
              <w:top w:val="single" w:sz="4" w:space="0" w:color="auto"/>
              <w:left w:val="single" w:sz="4" w:space="0" w:color="auto"/>
              <w:bottom w:val="single" w:sz="4" w:space="0" w:color="auto"/>
              <w:right w:val="single" w:sz="4" w:space="0" w:color="auto"/>
            </w:tcBorders>
            <w:hideMark/>
          </w:tcPr>
          <w:p w14:paraId="36C723CF" w14:textId="77777777" w:rsidR="00233DA1" w:rsidRDefault="00233DA1" w:rsidP="003C01AD">
            <w:pPr>
              <w:pStyle w:val="Tabletext9pt"/>
              <w:numPr>
                <w:ilvl w:val="0"/>
                <w:numId w:val="32"/>
              </w:numPr>
            </w:pPr>
            <w:r>
              <w:t>Integrated chronic disease management</w:t>
            </w:r>
          </w:p>
        </w:tc>
        <w:tc>
          <w:tcPr>
            <w:tcW w:w="6" w:type="dxa"/>
            <w:tcBorders>
              <w:top w:val="single" w:sz="4" w:space="0" w:color="auto"/>
              <w:left w:val="single" w:sz="4" w:space="0" w:color="auto"/>
              <w:bottom w:val="single" w:sz="4" w:space="0" w:color="auto"/>
              <w:right w:val="single" w:sz="4" w:space="0" w:color="auto"/>
            </w:tcBorders>
            <w:hideMark/>
          </w:tcPr>
          <w:p w14:paraId="10B58795" w14:textId="77777777" w:rsidR="00233DA1" w:rsidRDefault="00233DA1" w:rsidP="003C01AD">
            <w:pPr>
              <w:pStyle w:val="Tabletext9pt"/>
              <w:numPr>
                <w:ilvl w:val="0"/>
                <w:numId w:val="32"/>
              </w:numPr>
            </w:pPr>
            <w:r>
              <w:t>Allied health</w:t>
            </w:r>
          </w:p>
        </w:tc>
        <w:tc>
          <w:tcPr>
            <w:tcW w:w="6" w:type="dxa"/>
            <w:tcBorders>
              <w:top w:val="single" w:sz="4" w:space="0" w:color="auto"/>
              <w:left w:val="single" w:sz="4" w:space="0" w:color="auto"/>
              <w:bottom w:val="single" w:sz="4" w:space="0" w:color="auto"/>
              <w:right w:val="single" w:sz="4" w:space="0" w:color="auto"/>
            </w:tcBorders>
            <w:hideMark/>
          </w:tcPr>
          <w:p w14:paraId="1F1F0844"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048CE7D5" w14:textId="0223678B" w:rsidR="00233DA1" w:rsidRDefault="00233DA1" w:rsidP="003C01AD">
            <w:pPr>
              <w:pStyle w:val="Tabletext9pt"/>
              <w:numPr>
                <w:ilvl w:val="0"/>
                <w:numId w:val="32"/>
              </w:numPr>
              <w:jc w:val="right"/>
              <w:rPr>
                <w:lang w:eastAsia="en-AU"/>
              </w:rPr>
            </w:pPr>
            <w:r>
              <w:rPr>
                <w:lang w:eastAsia="en-AU"/>
              </w:rPr>
              <w:t>11</w:t>
            </w:r>
            <w:r w:rsidR="00A75B07">
              <w:rPr>
                <w:lang w:eastAsia="en-AU"/>
              </w:rPr>
              <w:t>6.37</w:t>
            </w:r>
          </w:p>
        </w:tc>
      </w:tr>
      <w:tr w:rsidR="00233DA1" w14:paraId="284751CF" w14:textId="77777777" w:rsidTr="00233DA1">
        <w:tc>
          <w:tcPr>
            <w:tcW w:w="6" w:type="dxa"/>
            <w:tcBorders>
              <w:top w:val="single" w:sz="4" w:space="0" w:color="auto"/>
              <w:left w:val="single" w:sz="4" w:space="0" w:color="auto"/>
              <w:bottom w:val="single" w:sz="4" w:space="0" w:color="auto"/>
              <w:right w:val="single" w:sz="4" w:space="0" w:color="auto"/>
            </w:tcBorders>
            <w:hideMark/>
          </w:tcPr>
          <w:p w14:paraId="0AEF74A6" w14:textId="77777777" w:rsidR="00233DA1" w:rsidRDefault="00233DA1" w:rsidP="003C01AD">
            <w:pPr>
              <w:pStyle w:val="Tabletext9pt"/>
              <w:numPr>
                <w:ilvl w:val="0"/>
                <w:numId w:val="32"/>
              </w:numPr>
            </w:pPr>
            <w:r>
              <w:t>Integrated chronic disease management</w:t>
            </w:r>
          </w:p>
        </w:tc>
        <w:tc>
          <w:tcPr>
            <w:tcW w:w="6" w:type="dxa"/>
            <w:tcBorders>
              <w:top w:val="single" w:sz="4" w:space="0" w:color="auto"/>
              <w:left w:val="single" w:sz="4" w:space="0" w:color="auto"/>
              <w:bottom w:val="single" w:sz="4" w:space="0" w:color="auto"/>
              <w:right w:val="single" w:sz="4" w:space="0" w:color="auto"/>
            </w:tcBorders>
            <w:hideMark/>
          </w:tcPr>
          <w:p w14:paraId="1F5AC352" w14:textId="77777777" w:rsidR="00233DA1" w:rsidRDefault="00233DA1" w:rsidP="003C01AD">
            <w:pPr>
              <w:pStyle w:val="Tabletext9pt"/>
              <w:numPr>
                <w:ilvl w:val="0"/>
                <w:numId w:val="32"/>
              </w:numPr>
            </w:pPr>
            <w:r>
              <w:t>Nursing</w:t>
            </w:r>
          </w:p>
        </w:tc>
        <w:tc>
          <w:tcPr>
            <w:tcW w:w="6" w:type="dxa"/>
            <w:tcBorders>
              <w:top w:val="single" w:sz="4" w:space="0" w:color="auto"/>
              <w:left w:val="single" w:sz="4" w:space="0" w:color="auto"/>
              <w:bottom w:val="single" w:sz="4" w:space="0" w:color="auto"/>
              <w:right w:val="single" w:sz="4" w:space="0" w:color="auto"/>
            </w:tcBorders>
            <w:hideMark/>
          </w:tcPr>
          <w:p w14:paraId="7803F169"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4A513411" w14:textId="2347F286" w:rsidR="00233DA1" w:rsidRDefault="005A6514" w:rsidP="003C01AD">
            <w:pPr>
              <w:pStyle w:val="Tabletext9pt"/>
              <w:numPr>
                <w:ilvl w:val="0"/>
                <w:numId w:val="32"/>
              </w:numPr>
              <w:jc w:val="right"/>
              <w:rPr>
                <w:lang w:eastAsia="en-AU"/>
              </w:rPr>
            </w:pPr>
            <w:r>
              <w:rPr>
                <w:lang w:eastAsia="en-AU"/>
              </w:rPr>
              <w:t>101.85</w:t>
            </w:r>
          </w:p>
        </w:tc>
      </w:tr>
      <w:tr w:rsidR="00233DA1" w14:paraId="3DF998FA" w14:textId="77777777" w:rsidTr="00233DA1">
        <w:tc>
          <w:tcPr>
            <w:tcW w:w="6" w:type="dxa"/>
            <w:tcBorders>
              <w:top w:val="single" w:sz="4" w:space="0" w:color="auto"/>
              <w:left w:val="single" w:sz="4" w:space="0" w:color="auto"/>
              <w:bottom w:val="single" w:sz="4" w:space="0" w:color="auto"/>
              <w:right w:val="single" w:sz="4" w:space="0" w:color="auto"/>
            </w:tcBorders>
            <w:hideMark/>
          </w:tcPr>
          <w:p w14:paraId="531A3FAD" w14:textId="77777777" w:rsidR="00233DA1" w:rsidRDefault="00233DA1" w:rsidP="003C01AD">
            <w:pPr>
              <w:pStyle w:val="Tabletext9pt"/>
              <w:numPr>
                <w:ilvl w:val="0"/>
                <w:numId w:val="32"/>
              </w:numPr>
            </w:pPr>
            <w:r>
              <w:t>Refugee and asylum seeker health</w:t>
            </w:r>
          </w:p>
        </w:tc>
        <w:tc>
          <w:tcPr>
            <w:tcW w:w="6" w:type="dxa"/>
            <w:tcBorders>
              <w:top w:val="single" w:sz="4" w:space="0" w:color="auto"/>
              <w:left w:val="single" w:sz="4" w:space="0" w:color="auto"/>
              <w:bottom w:val="single" w:sz="4" w:space="0" w:color="auto"/>
              <w:right w:val="single" w:sz="4" w:space="0" w:color="auto"/>
            </w:tcBorders>
            <w:hideMark/>
          </w:tcPr>
          <w:p w14:paraId="3109A2A5" w14:textId="77777777" w:rsidR="00233DA1" w:rsidRDefault="00233DA1" w:rsidP="003C01AD">
            <w:pPr>
              <w:pStyle w:val="Tabletext9pt"/>
              <w:numPr>
                <w:ilvl w:val="0"/>
                <w:numId w:val="32"/>
              </w:numPr>
            </w:pPr>
            <w:r>
              <w:t>Allied health</w:t>
            </w:r>
          </w:p>
        </w:tc>
        <w:tc>
          <w:tcPr>
            <w:tcW w:w="6" w:type="dxa"/>
            <w:tcBorders>
              <w:top w:val="single" w:sz="4" w:space="0" w:color="auto"/>
              <w:left w:val="single" w:sz="4" w:space="0" w:color="auto"/>
              <w:bottom w:val="single" w:sz="4" w:space="0" w:color="auto"/>
              <w:right w:val="single" w:sz="4" w:space="0" w:color="auto"/>
            </w:tcBorders>
            <w:hideMark/>
          </w:tcPr>
          <w:p w14:paraId="59B162C4"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0526D658" w14:textId="1A2FCCE9" w:rsidR="00233DA1" w:rsidRDefault="00233DA1" w:rsidP="003C01AD">
            <w:pPr>
              <w:pStyle w:val="Tabletext9pt"/>
              <w:numPr>
                <w:ilvl w:val="0"/>
                <w:numId w:val="32"/>
              </w:numPr>
              <w:jc w:val="right"/>
              <w:rPr>
                <w:lang w:eastAsia="en-AU"/>
              </w:rPr>
            </w:pPr>
            <w:r>
              <w:rPr>
                <w:lang w:eastAsia="en-AU"/>
              </w:rPr>
              <w:t>11</w:t>
            </w:r>
            <w:r w:rsidR="005A6514">
              <w:rPr>
                <w:lang w:eastAsia="en-AU"/>
              </w:rPr>
              <w:t>6.37</w:t>
            </w:r>
          </w:p>
        </w:tc>
      </w:tr>
      <w:tr w:rsidR="00233DA1" w14:paraId="485E9B1E" w14:textId="77777777" w:rsidTr="00233DA1">
        <w:tc>
          <w:tcPr>
            <w:tcW w:w="6" w:type="dxa"/>
            <w:tcBorders>
              <w:top w:val="single" w:sz="4" w:space="0" w:color="auto"/>
              <w:left w:val="single" w:sz="4" w:space="0" w:color="auto"/>
              <w:bottom w:val="single" w:sz="4" w:space="0" w:color="auto"/>
              <w:right w:val="single" w:sz="4" w:space="0" w:color="auto"/>
            </w:tcBorders>
            <w:hideMark/>
          </w:tcPr>
          <w:p w14:paraId="2B6E92B4" w14:textId="77777777" w:rsidR="00233DA1" w:rsidRDefault="00233DA1" w:rsidP="003C01AD">
            <w:pPr>
              <w:pStyle w:val="Tabletext9pt"/>
              <w:numPr>
                <w:ilvl w:val="0"/>
                <w:numId w:val="32"/>
              </w:numPr>
            </w:pPr>
            <w:r>
              <w:t>Refugee and asylum seeker health</w:t>
            </w:r>
          </w:p>
        </w:tc>
        <w:tc>
          <w:tcPr>
            <w:tcW w:w="6" w:type="dxa"/>
            <w:tcBorders>
              <w:top w:val="single" w:sz="4" w:space="0" w:color="auto"/>
              <w:left w:val="single" w:sz="4" w:space="0" w:color="auto"/>
              <w:bottom w:val="single" w:sz="4" w:space="0" w:color="auto"/>
              <w:right w:val="single" w:sz="4" w:space="0" w:color="auto"/>
            </w:tcBorders>
            <w:hideMark/>
          </w:tcPr>
          <w:p w14:paraId="4BFEBBBC" w14:textId="77777777" w:rsidR="00233DA1" w:rsidRDefault="00233DA1" w:rsidP="003C01AD">
            <w:pPr>
              <w:pStyle w:val="Tabletext9pt"/>
              <w:numPr>
                <w:ilvl w:val="0"/>
                <w:numId w:val="32"/>
              </w:numPr>
            </w:pPr>
            <w:r>
              <w:t>Nursing</w:t>
            </w:r>
          </w:p>
        </w:tc>
        <w:tc>
          <w:tcPr>
            <w:tcW w:w="6" w:type="dxa"/>
            <w:tcBorders>
              <w:top w:val="single" w:sz="4" w:space="0" w:color="auto"/>
              <w:left w:val="single" w:sz="4" w:space="0" w:color="auto"/>
              <w:bottom w:val="single" w:sz="4" w:space="0" w:color="auto"/>
              <w:right w:val="single" w:sz="4" w:space="0" w:color="auto"/>
            </w:tcBorders>
            <w:hideMark/>
          </w:tcPr>
          <w:p w14:paraId="06750BEB"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5356EA12" w14:textId="36D4C30A" w:rsidR="00233DA1" w:rsidRDefault="005A6514" w:rsidP="003C01AD">
            <w:pPr>
              <w:pStyle w:val="Tabletext9pt"/>
              <w:numPr>
                <w:ilvl w:val="0"/>
                <w:numId w:val="32"/>
              </w:numPr>
              <w:jc w:val="right"/>
              <w:rPr>
                <w:lang w:eastAsia="en-AU"/>
              </w:rPr>
            </w:pPr>
            <w:r>
              <w:rPr>
                <w:lang w:eastAsia="en-AU"/>
              </w:rPr>
              <w:t>101.85</w:t>
            </w:r>
          </w:p>
        </w:tc>
      </w:tr>
      <w:tr w:rsidR="00233DA1" w14:paraId="3691D8CB" w14:textId="77777777" w:rsidTr="00233DA1">
        <w:tc>
          <w:tcPr>
            <w:tcW w:w="6" w:type="dxa"/>
            <w:tcBorders>
              <w:top w:val="single" w:sz="4" w:space="0" w:color="auto"/>
              <w:left w:val="single" w:sz="4" w:space="0" w:color="auto"/>
              <w:bottom w:val="single" w:sz="4" w:space="0" w:color="auto"/>
              <w:right w:val="single" w:sz="4" w:space="0" w:color="auto"/>
            </w:tcBorders>
            <w:hideMark/>
          </w:tcPr>
          <w:p w14:paraId="70719AEC" w14:textId="77777777" w:rsidR="00233DA1" w:rsidRDefault="00233DA1" w:rsidP="003C01AD">
            <w:pPr>
              <w:pStyle w:val="Tabletext9pt"/>
              <w:numPr>
                <w:ilvl w:val="0"/>
                <w:numId w:val="32"/>
              </w:numPr>
            </w:pPr>
            <w:r>
              <w:t>Healthy Mothers, Healthy Babies</w:t>
            </w:r>
          </w:p>
        </w:tc>
        <w:tc>
          <w:tcPr>
            <w:tcW w:w="6" w:type="dxa"/>
            <w:tcBorders>
              <w:top w:val="single" w:sz="4" w:space="0" w:color="auto"/>
              <w:left w:val="single" w:sz="4" w:space="0" w:color="auto"/>
              <w:bottom w:val="single" w:sz="4" w:space="0" w:color="auto"/>
              <w:right w:val="single" w:sz="4" w:space="0" w:color="auto"/>
            </w:tcBorders>
            <w:hideMark/>
          </w:tcPr>
          <w:p w14:paraId="51514572" w14:textId="77777777" w:rsidR="00233DA1" w:rsidRDefault="00233DA1" w:rsidP="003C01AD">
            <w:pPr>
              <w:pStyle w:val="Tabletext9pt"/>
              <w:numPr>
                <w:ilvl w:val="0"/>
                <w:numId w:val="32"/>
              </w:numPr>
            </w:pPr>
            <w:r>
              <w:t>Allied health</w:t>
            </w:r>
          </w:p>
        </w:tc>
        <w:tc>
          <w:tcPr>
            <w:tcW w:w="6" w:type="dxa"/>
            <w:tcBorders>
              <w:top w:val="single" w:sz="4" w:space="0" w:color="auto"/>
              <w:left w:val="single" w:sz="4" w:space="0" w:color="auto"/>
              <w:bottom w:val="single" w:sz="4" w:space="0" w:color="auto"/>
              <w:right w:val="single" w:sz="4" w:space="0" w:color="auto"/>
            </w:tcBorders>
            <w:hideMark/>
          </w:tcPr>
          <w:p w14:paraId="35E20E0A"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3C41777D" w14:textId="1B4B198C" w:rsidR="00233DA1" w:rsidRDefault="00233DA1" w:rsidP="003C01AD">
            <w:pPr>
              <w:pStyle w:val="Tabletext9pt"/>
              <w:numPr>
                <w:ilvl w:val="0"/>
                <w:numId w:val="32"/>
              </w:numPr>
              <w:jc w:val="right"/>
              <w:rPr>
                <w:lang w:eastAsia="en-AU"/>
              </w:rPr>
            </w:pPr>
            <w:r>
              <w:rPr>
                <w:lang w:eastAsia="en-AU"/>
              </w:rPr>
              <w:t>11</w:t>
            </w:r>
            <w:r w:rsidR="002A549D">
              <w:rPr>
                <w:lang w:eastAsia="en-AU"/>
              </w:rPr>
              <w:t>6.37</w:t>
            </w:r>
          </w:p>
        </w:tc>
      </w:tr>
      <w:tr w:rsidR="00233DA1" w14:paraId="00528BAB" w14:textId="77777777" w:rsidTr="00233DA1">
        <w:tc>
          <w:tcPr>
            <w:tcW w:w="6" w:type="dxa"/>
            <w:tcBorders>
              <w:top w:val="single" w:sz="4" w:space="0" w:color="auto"/>
              <w:left w:val="single" w:sz="4" w:space="0" w:color="auto"/>
              <w:bottom w:val="single" w:sz="4" w:space="0" w:color="auto"/>
              <w:right w:val="single" w:sz="4" w:space="0" w:color="auto"/>
            </w:tcBorders>
            <w:hideMark/>
          </w:tcPr>
          <w:p w14:paraId="1436AA2F" w14:textId="77777777" w:rsidR="00233DA1" w:rsidRDefault="00233DA1" w:rsidP="003C01AD">
            <w:pPr>
              <w:pStyle w:val="Tabletext9pt"/>
              <w:numPr>
                <w:ilvl w:val="0"/>
                <w:numId w:val="32"/>
              </w:numPr>
            </w:pPr>
            <w:r>
              <w:t>Healthy Mothers, Healthy Babies</w:t>
            </w:r>
          </w:p>
        </w:tc>
        <w:tc>
          <w:tcPr>
            <w:tcW w:w="6" w:type="dxa"/>
            <w:tcBorders>
              <w:top w:val="single" w:sz="4" w:space="0" w:color="auto"/>
              <w:left w:val="single" w:sz="4" w:space="0" w:color="auto"/>
              <w:bottom w:val="single" w:sz="4" w:space="0" w:color="auto"/>
              <w:right w:val="single" w:sz="4" w:space="0" w:color="auto"/>
            </w:tcBorders>
            <w:hideMark/>
          </w:tcPr>
          <w:p w14:paraId="102B76AA" w14:textId="77777777" w:rsidR="00233DA1" w:rsidRDefault="00233DA1" w:rsidP="003C01AD">
            <w:pPr>
              <w:pStyle w:val="Tabletext9pt"/>
              <w:numPr>
                <w:ilvl w:val="0"/>
                <w:numId w:val="32"/>
              </w:numPr>
            </w:pPr>
            <w:r>
              <w:t xml:space="preserve">Nursing </w:t>
            </w:r>
          </w:p>
        </w:tc>
        <w:tc>
          <w:tcPr>
            <w:tcW w:w="6" w:type="dxa"/>
            <w:tcBorders>
              <w:top w:val="single" w:sz="4" w:space="0" w:color="auto"/>
              <w:left w:val="single" w:sz="4" w:space="0" w:color="auto"/>
              <w:bottom w:val="single" w:sz="4" w:space="0" w:color="auto"/>
              <w:right w:val="single" w:sz="4" w:space="0" w:color="auto"/>
            </w:tcBorders>
            <w:hideMark/>
          </w:tcPr>
          <w:p w14:paraId="6E7403F7"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73C8FB03" w14:textId="2B1FCB34" w:rsidR="00233DA1" w:rsidRDefault="002A549D" w:rsidP="003C01AD">
            <w:pPr>
              <w:pStyle w:val="Tabletext9pt"/>
              <w:numPr>
                <w:ilvl w:val="0"/>
                <w:numId w:val="32"/>
              </w:numPr>
              <w:jc w:val="right"/>
              <w:rPr>
                <w:lang w:eastAsia="en-AU"/>
              </w:rPr>
            </w:pPr>
            <w:r>
              <w:rPr>
                <w:lang w:eastAsia="en-AU"/>
              </w:rPr>
              <w:t>101.85</w:t>
            </w:r>
          </w:p>
        </w:tc>
      </w:tr>
      <w:tr w:rsidR="00233DA1" w14:paraId="05D29D13" w14:textId="77777777" w:rsidTr="00233DA1">
        <w:tc>
          <w:tcPr>
            <w:tcW w:w="6" w:type="dxa"/>
            <w:tcBorders>
              <w:top w:val="single" w:sz="4" w:space="0" w:color="auto"/>
              <w:left w:val="single" w:sz="4" w:space="0" w:color="auto"/>
              <w:bottom w:val="single" w:sz="4" w:space="0" w:color="auto"/>
              <w:right w:val="single" w:sz="4" w:space="0" w:color="auto"/>
            </w:tcBorders>
            <w:hideMark/>
          </w:tcPr>
          <w:p w14:paraId="79C4D00C" w14:textId="77777777" w:rsidR="00233DA1" w:rsidRDefault="00233DA1" w:rsidP="003C01AD">
            <w:pPr>
              <w:pStyle w:val="Tabletext9pt"/>
              <w:numPr>
                <w:ilvl w:val="0"/>
                <w:numId w:val="32"/>
              </w:numPr>
            </w:pPr>
            <w:r>
              <w:t>Community health</w:t>
            </w:r>
          </w:p>
        </w:tc>
        <w:tc>
          <w:tcPr>
            <w:tcW w:w="6" w:type="dxa"/>
            <w:tcBorders>
              <w:top w:val="single" w:sz="4" w:space="0" w:color="auto"/>
              <w:left w:val="single" w:sz="4" w:space="0" w:color="auto"/>
              <w:bottom w:val="single" w:sz="4" w:space="0" w:color="auto"/>
              <w:right w:val="single" w:sz="4" w:space="0" w:color="auto"/>
            </w:tcBorders>
            <w:hideMark/>
          </w:tcPr>
          <w:p w14:paraId="0E6E4DA8" w14:textId="77777777" w:rsidR="00233DA1" w:rsidRDefault="00233DA1" w:rsidP="003C01AD">
            <w:pPr>
              <w:pStyle w:val="Tabletext9pt"/>
              <w:numPr>
                <w:ilvl w:val="0"/>
                <w:numId w:val="32"/>
              </w:numPr>
            </w:pPr>
            <w:r>
              <w:t>Allied health</w:t>
            </w:r>
          </w:p>
        </w:tc>
        <w:tc>
          <w:tcPr>
            <w:tcW w:w="6" w:type="dxa"/>
            <w:tcBorders>
              <w:top w:val="single" w:sz="4" w:space="0" w:color="auto"/>
              <w:left w:val="single" w:sz="4" w:space="0" w:color="auto"/>
              <w:bottom w:val="single" w:sz="4" w:space="0" w:color="auto"/>
              <w:right w:val="single" w:sz="4" w:space="0" w:color="auto"/>
            </w:tcBorders>
            <w:hideMark/>
          </w:tcPr>
          <w:p w14:paraId="38A5DA1B"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4DAD20DD" w14:textId="7DC35E55" w:rsidR="00233DA1" w:rsidRDefault="00233DA1" w:rsidP="003C01AD">
            <w:pPr>
              <w:pStyle w:val="Tabletext9pt"/>
              <w:numPr>
                <w:ilvl w:val="0"/>
                <w:numId w:val="32"/>
              </w:numPr>
              <w:jc w:val="right"/>
              <w:rPr>
                <w:lang w:eastAsia="en-AU"/>
              </w:rPr>
            </w:pPr>
            <w:r>
              <w:rPr>
                <w:lang w:eastAsia="en-AU"/>
              </w:rPr>
              <w:t>11</w:t>
            </w:r>
            <w:r w:rsidR="002A549D">
              <w:rPr>
                <w:lang w:eastAsia="en-AU"/>
              </w:rPr>
              <w:t>6.37</w:t>
            </w:r>
          </w:p>
        </w:tc>
      </w:tr>
      <w:tr w:rsidR="00233DA1" w14:paraId="0770D438" w14:textId="77777777" w:rsidTr="00233DA1">
        <w:tc>
          <w:tcPr>
            <w:tcW w:w="6" w:type="dxa"/>
            <w:tcBorders>
              <w:top w:val="single" w:sz="4" w:space="0" w:color="auto"/>
              <w:left w:val="single" w:sz="4" w:space="0" w:color="auto"/>
              <w:bottom w:val="single" w:sz="4" w:space="0" w:color="auto"/>
              <w:right w:val="single" w:sz="4" w:space="0" w:color="auto"/>
            </w:tcBorders>
            <w:hideMark/>
          </w:tcPr>
          <w:p w14:paraId="7BE08CC2" w14:textId="77777777" w:rsidR="00233DA1" w:rsidRDefault="00233DA1" w:rsidP="003C01AD">
            <w:pPr>
              <w:pStyle w:val="Tabletext9pt"/>
              <w:numPr>
                <w:ilvl w:val="0"/>
                <w:numId w:val="32"/>
              </w:numPr>
            </w:pPr>
            <w:r>
              <w:t>Community health</w:t>
            </w:r>
          </w:p>
        </w:tc>
        <w:tc>
          <w:tcPr>
            <w:tcW w:w="6" w:type="dxa"/>
            <w:tcBorders>
              <w:top w:val="single" w:sz="4" w:space="0" w:color="auto"/>
              <w:left w:val="single" w:sz="4" w:space="0" w:color="auto"/>
              <w:bottom w:val="single" w:sz="4" w:space="0" w:color="auto"/>
              <w:right w:val="single" w:sz="4" w:space="0" w:color="auto"/>
            </w:tcBorders>
            <w:hideMark/>
          </w:tcPr>
          <w:p w14:paraId="7084EAC8" w14:textId="77777777" w:rsidR="00233DA1" w:rsidRDefault="00233DA1" w:rsidP="003C01AD">
            <w:pPr>
              <w:pStyle w:val="Tabletext9pt"/>
              <w:numPr>
                <w:ilvl w:val="0"/>
                <w:numId w:val="32"/>
              </w:numPr>
            </w:pPr>
            <w:r>
              <w:t>Nursing</w:t>
            </w:r>
          </w:p>
        </w:tc>
        <w:tc>
          <w:tcPr>
            <w:tcW w:w="6" w:type="dxa"/>
            <w:tcBorders>
              <w:top w:val="single" w:sz="4" w:space="0" w:color="auto"/>
              <w:left w:val="single" w:sz="4" w:space="0" w:color="auto"/>
              <w:bottom w:val="single" w:sz="4" w:space="0" w:color="auto"/>
              <w:right w:val="single" w:sz="4" w:space="0" w:color="auto"/>
            </w:tcBorders>
            <w:hideMark/>
          </w:tcPr>
          <w:p w14:paraId="362FE1AF"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65F1C71F" w14:textId="4B06D7EB" w:rsidR="00233DA1" w:rsidRDefault="002A549D" w:rsidP="003C01AD">
            <w:pPr>
              <w:pStyle w:val="Tabletext9pt"/>
              <w:numPr>
                <w:ilvl w:val="0"/>
                <w:numId w:val="32"/>
              </w:numPr>
              <w:jc w:val="right"/>
              <w:rPr>
                <w:lang w:eastAsia="en-AU"/>
              </w:rPr>
            </w:pPr>
            <w:r>
              <w:rPr>
                <w:lang w:eastAsia="en-AU"/>
              </w:rPr>
              <w:t>101.85</w:t>
            </w:r>
          </w:p>
        </w:tc>
      </w:tr>
      <w:tr w:rsidR="00233DA1" w14:paraId="3ACB6F72" w14:textId="77777777" w:rsidTr="00233DA1">
        <w:tc>
          <w:tcPr>
            <w:tcW w:w="6" w:type="dxa"/>
            <w:tcBorders>
              <w:top w:val="single" w:sz="4" w:space="0" w:color="auto"/>
              <w:left w:val="single" w:sz="4" w:space="0" w:color="auto"/>
              <w:bottom w:val="single" w:sz="4" w:space="0" w:color="auto"/>
              <w:right w:val="single" w:sz="4" w:space="0" w:color="auto"/>
            </w:tcBorders>
            <w:hideMark/>
          </w:tcPr>
          <w:p w14:paraId="0E8A27A9" w14:textId="77777777" w:rsidR="00233DA1" w:rsidRDefault="00233DA1" w:rsidP="003C01AD">
            <w:pPr>
              <w:pStyle w:val="Tabletext9pt"/>
              <w:numPr>
                <w:ilvl w:val="0"/>
                <w:numId w:val="32"/>
              </w:numPr>
            </w:pPr>
            <w:r>
              <w:t>ACCO services</w:t>
            </w:r>
          </w:p>
        </w:tc>
        <w:tc>
          <w:tcPr>
            <w:tcW w:w="6" w:type="dxa"/>
            <w:tcBorders>
              <w:top w:val="single" w:sz="4" w:space="0" w:color="auto"/>
              <w:left w:val="single" w:sz="4" w:space="0" w:color="auto"/>
              <w:bottom w:val="single" w:sz="4" w:space="0" w:color="auto"/>
              <w:right w:val="single" w:sz="4" w:space="0" w:color="auto"/>
            </w:tcBorders>
            <w:hideMark/>
          </w:tcPr>
          <w:p w14:paraId="65204487" w14:textId="77777777" w:rsidR="00233DA1" w:rsidRDefault="00233DA1" w:rsidP="003C01AD">
            <w:pPr>
              <w:pStyle w:val="Tabletext9pt"/>
              <w:numPr>
                <w:ilvl w:val="0"/>
                <w:numId w:val="32"/>
              </w:numPr>
            </w:pPr>
            <w:r>
              <w:t>Counselling/casework</w:t>
            </w:r>
          </w:p>
        </w:tc>
        <w:tc>
          <w:tcPr>
            <w:tcW w:w="6" w:type="dxa"/>
            <w:tcBorders>
              <w:top w:val="single" w:sz="4" w:space="0" w:color="auto"/>
              <w:left w:val="single" w:sz="4" w:space="0" w:color="auto"/>
              <w:bottom w:val="single" w:sz="4" w:space="0" w:color="auto"/>
              <w:right w:val="single" w:sz="4" w:space="0" w:color="auto"/>
            </w:tcBorders>
            <w:hideMark/>
          </w:tcPr>
          <w:p w14:paraId="21F1C97C"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53CB56BD" w14:textId="609621B8" w:rsidR="00233DA1" w:rsidRDefault="00233DA1" w:rsidP="003C01AD">
            <w:pPr>
              <w:pStyle w:val="Tabletext9pt"/>
              <w:numPr>
                <w:ilvl w:val="0"/>
                <w:numId w:val="32"/>
              </w:numPr>
              <w:jc w:val="right"/>
              <w:rPr>
                <w:lang w:eastAsia="en-AU"/>
              </w:rPr>
            </w:pPr>
            <w:r>
              <w:rPr>
                <w:lang w:eastAsia="en-AU"/>
              </w:rPr>
              <w:t>1</w:t>
            </w:r>
            <w:r w:rsidR="00D34E10">
              <w:rPr>
                <w:lang w:eastAsia="en-AU"/>
              </w:rPr>
              <w:t>20.31</w:t>
            </w:r>
          </w:p>
        </w:tc>
      </w:tr>
      <w:tr w:rsidR="00233DA1" w14:paraId="3B40CD55" w14:textId="77777777" w:rsidTr="00233DA1">
        <w:tc>
          <w:tcPr>
            <w:tcW w:w="6" w:type="dxa"/>
            <w:tcBorders>
              <w:top w:val="single" w:sz="4" w:space="0" w:color="auto"/>
              <w:left w:val="single" w:sz="4" w:space="0" w:color="auto"/>
              <w:bottom w:val="single" w:sz="4" w:space="0" w:color="auto"/>
              <w:right w:val="single" w:sz="4" w:space="0" w:color="auto"/>
            </w:tcBorders>
            <w:hideMark/>
          </w:tcPr>
          <w:p w14:paraId="297F39A3" w14:textId="77777777" w:rsidR="00233DA1" w:rsidRDefault="00233DA1" w:rsidP="003C01AD">
            <w:pPr>
              <w:pStyle w:val="Tabletext9pt"/>
              <w:numPr>
                <w:ilvl w:val="0"/>
                <w:numId w:val="32"/>
              </w:numPr>
            </w:pPr>
            <w:r>
              <w:t>MDC community health nurses</w:t>
            </w:r>
          </w:p>
        </w:tc>
        <w:tc>
          <w:tcPr>
            <w:tcW w:w="6" w:type="dxa"/>
            <w:tcBorders>
              <w:top w:val="single" w:sz="4" w:space="0" w:color="auto"/>
              <w:left w:val="single" w:sz="4" w:space="0" w:color="auto"/>
              <w:bottom w:val="single" w:sz="4" w:space="0" w:color="auto"/>
              <w:right w:val="single" w:sz="4" w:space="0" w:color="auto"/>
            </w:tcBorders>
            <w:hideMark/>
          </w:tcPr>
          <w:p w14:paraId="10D2F829" w14:textId="77777777" w:rsidR="00233DA1" w:rsidRDefault="00233DA1" w:rsidP="003C01AD">
            <w:pPr>
              <w:pStyle w:val="Tabletext9pt"/>
              <w:numPr>
                <w:ilvl w:val="0"/>
                <w:numId w:val="32"/>
              </w:numPr>
            </w:pPr>
            <w:r>
              <w:t>Nursing</w:t>
            </w:r>
          </w:p>
        </w:tc>
        <w:tc>
          <w:tcPr>
            <w:tcW w:w="6" w:type="dxa"/>
            <w:tcBorders>
              <w:top w:val="single" w:sz="4" w:space="0" w:color="auto"/>
              <w:left w:val="single" w:sz="4" w:space="0" w:color="auto"/>
              <w:bottom w:val="single" w:sz="4" w:space="0" w:color="auto"/>
              <w:right w:val="single" w:sz="4" w:space="0" w:color="auto"/>
            </w:tcBorders>
            <w:hideMark/>
          </w:tcPr>
          <w:p w14:paraId="0886FD7D"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3DB7478D" w14:textId="7A987764" w:rsidR="00233DA1" w:rsidRDefault="00A63231" w:rsidP="003C01AD">
            <w:pPr>
              <w:pStyle w:val="Tabletext9pt"/>
              <w:numPr>
                <w:ilvl w:val="0"/>
                <w:numId w:val="32"/>
              </w:numPr>
              <w:jc w:val="right"/>
              <w:rPr>
                <w:lang w:eastAsia="en-AU"/>
              </w:rPr>
            </w:pPr>
            <w:r>
              <w:rPr>
                <w:lang w:eastAsia="en-AU"/>
              </w:rPr>
              <w:t>101.85</w:t>
            </w:r>
          </w:p>
        </w:tc>
      </w:tr>
      <w:tr w:rsidR="00233DA1" w14:paraId="67666BBD" w14:textId="77777777" w:rsidTr="00233DA1">
        <w:tc>
          <w:tcPr>
            <w:tcW w:w="6" w:type="dxa"/>
            <w:tcBorders>
              <w:top w:val="single" w:sz="4" w:space="0" w:color="auto"/>
              <w:left w:val="single" w:sz="4" w:space="0" w:color="auto"/>
              <w:bottom w:val="single" w:sz="4" w:space="0" w:color="auto"/>
              <w:right w:val="single" w:sz="4" w:space="0" w:color="auto"/>
            </w:tcBorders>
            <w:hideMark/>
          </w:tcPr>
          <w:p w14:paraId="4011F8F1" w14:textId="77777777" w:rsidR="00233DA1" w:rsidRDefault="00233DA1" w:rsidP="003C01AD">
            <w:pPr>
              <w:pStyle w:val="Tabletext9pt"/>
              <w:numPr>
                <w:ilvl w:val="0"/>
                <w:numId w:val="32"/>
              </w:numPr>
            </w:pPr>
            <w:r>
              <w:t>Community Asthma Program</w:t>
            </w:r>
          </w:p>
        </w:tc>
        <w:tc>
          <w:tcPr>
            <w:tcW w:w="6" w:type="dxa"/>
            <w:tcBorders>
              <w:top w:val="single" w:sz="4" w:space="0" w:color="auto"/>
              <w:left w:val="single" w:sz="4" w:space="0" w:color="auto"/>
              <w:bottom w:val="single" w:sz="4" w:space="0" w:color="auto"/>
              <w:right w:val="single" w:sz="4" w:space="0" w:color="auto"/>
            </w:tcBorders>
            <w:hideMark/>
          </w:tcPr>
          <w:p w14:paraId="0C87FED6" w14:textId="77777777" w:rsidR="00233DA1" w:rsidRDefault="00233DA1" w:rsidP="003C01AD">
            <w:pPr>
              <w:pStyle w:val="Tabletext9pt"/>
              <w:numPr>
                <w:ilvl w:val="0"/>
                <w:numId w:val="32"/>
              </w:numPr>
            </w:pPr>
            <w:r>
              <w:t>Allied health</w:t>
            </w:r>
          </w:p>
        </w:tc>
        <w:tc>
          <w:tcPr>
            <w:tcW w:w="6" w:type="dxa"/>
            <w:tcBorders>
              <w:top w:val="single" w:sz="4" w:space="0" w:color="auto"/>
              <w:left w:val="single" w:sz="4" w:space="0" w:color="auto"/>
              <w:bottom w:val="single" w:sz="4" w:space="0" w:color="auto"/>
              <w:right w:val="single" w:sz="4" w:space="0" w:color="auto"/>
            </w:tcBorders>
            <w:hideMark/>
          </w:tcPr>
          <w:p w14:paraId="5847FD94" w14:textId="77777777" w:rsidR="00233DA1" w:rsidRDefault="00233DA1" w:rsidP="003C01AD">
            <w:pPr>
              <w:pStyle w:val="Tabletext9pt"/>
              <w:numPr>
                <w:ilvl w:val="0"/>
                <w:numId w:val="32"/>
              </w:numPr>
            </w:pPr>
            <w:r>
              <w:t>Hours</w:t>
            </w:r>
          </w:p>
        </w:tc>
        <w:tc>
          <w:tcPr>
            <w:tcW w:w="6" w:type="dxa"/>
            <w:tcBorders>
              <w:top w:val="single" w:sz="4" w:space="0" w:color="auto"/>
              <w:left w:val="single" w:sz="4" w:space="0" w:color="auto"/>
              <w:bottom w:val="single" w:sz="4" w:space="0" w:color="auto"/>
              <w:right w:val="single" w:sz="4" w:space="0" w:color="auto"/>
            </w:tcBorders>
            <w:hideMark/>
          </w:tcPr>
          <w:p w14:paraId="5CD80C8D" w14:textId="6AD4E973" w:rsidR="00233DA1" w:rsidRDefault="00233DA1" w:rsidP="003C01AD">
            <w:pPr>
              <w:pStyle w:val="Tabletext9pt"/>
              <w:numPr>
                <w:ilvl w:val="0"/>
                <w:numId w:val="32"/>
              </w:numPr>
              <w:jc w:val="right"/>
              <w:rPr>
                <w:lang w:eastAsia="en-AU"/>
              </w:rPr>
            </w:pPr>
            <w:r>
              <w:rPr>
                <w:lang w:eastAsia="en-AU"/>
              </w:rPr>
              <w:t>11</w:t>
            </w:r>
            <w:r w:rsidR="00A63231">
              <w:rPr>
                <w:lang w:eastAsia="en-AU"/>
              </w:rPr>
              <w:t>6.37</w:t>
            </w:r>
          </w:p>
        </w:tc>
      </w:tr>
    </w:tbl>
    <w:p w14:paraId="117AB3A8" w14:textId="77777777" w:rsidR="004A7F9B" w:rsidRPr="004A7F9B" w:rsidRDefault="004A7F9B" w:rsidP="004A7F9B">
      <w:pPr>
        <w:pStyle w:val="Body"/>
      </w:pPr>
    </w:p>
    <w:p w14:paraId="3A5F3B4C" w14:textId="02E75FDE" w:rsidR="000B27B9" w:rsidRPr="00A06E4C" w:rsidRDefault="000B27B9" w:rsidP="009375E0">
      <w:pPr>
        <w:pStyle w:val="Heading3"/>
        <w:spacing w:before="240"/>
      </w:pPr>
      <w:bookmarkStart w:id="922" w:name="_Toc487742012"/>
      <w:bookmarkStart w:id="923" w:name="_Toc14172242"/>
      <w:bookmarkStart w:id="924" w:name="_Toc100263352"/>
      <w:bookmarkStart w:id="925" w:name="_Toc127192001"/>
      <w:bookmarkStart w:id="926" w:name="_Ref423018061"/>
      <w:bookmarkStart w:id="927" w:name="_Toc419623616"/>
      <w:bookmarkStart w:id="928" w:name="_Toc419623728"/>
      <w:bookmarkStart w:id="929" w:name="_Toc419644503"/>
      <w:bookmarkStart w:id="930" w:name="_Toc450824823"/>
      <w:bookmarkStart w:id="931" w:name="_Toc418694990"/>
      <w:bookmarkStart w:id="932" w:name="_Ref423019767"/>
      <w:bookmarkStart w:id="933" w:name="_Ref423019777"/>
      <w:bookmarkEnd w:id="920"/>
      <w:bookmarkEnd w:id="921"/>
      <w:r w:rsidRPr="00A06E4C">
        <w:t xml:space="preserve">Training and </w:t>
      </w:r>
      <w:r w:rsidR="00331D5D">
        <w:t>D</w:t>
      </w:r>
      <w:r w:rsidRPr="00A06E4C">
        <w:t>evelopment</w:t>
      </w:r>
      <w:bookmarkEnd w:id="922"/>
      <w:bookmarkEnd w:id="923"/>
      <w:bookmarkEnd w:id="924"/>
      <w:bookmarkEnd w:id="925"/>
    </w:p>
    <w:p w14:paraId="354B7E12" w14:textId="72622427" w:rsidR="000B27B9" w:rsidRDefault="000B27B9" w:rsidP="003C01AD">
      <w:pPr>
        <w:pStyle w:val="Tablecaption"/>
        <w:numPr>
          <w:ilvl w:val="0"/>
          <w:numId w:val="40"/>
        </w:numPr>
      </w:pPr>
      <w:bookmarkStart w:id="934" w:name="_Toc518044859"/>
      <w:bookmarkStart w:id="935" w:name="_Toc54261404"/>
      <w:bookmarkStart w:id="936" w:name="_Toc14194748"/>
      <w:bookmarkStart w:id="937" w:name="_Ref14204330"/>
      <w:bookmarkStart w:id="938" w:name="_Toc54616278"/>
      <w:bookmarkStart w:id="939" w:name="_Toc109894118"/>
      <w:bookmarkStart w:id="940" w:name="_Toc119500899"/>
      <w:r w:rsidRPr="000C54E9">
        <w:t xml:space="preserve">Training and development funding rates in </w:t>
      </w:r>
      <w:bookmarkEnd w:id="934"/>
      <w:bookmarkEnd w:id="935"/>
      <w:bookmarkEnd w:id="936"/>
      <w:bookmarkEnd w:id="937"/>
      <w:bookmarkEnd w:id="938"/>
      <w:r w:rsidR="005D1FCB" w:rsidRPr="001A69AE">
        <w:t>2022</w:t>
      </w:r>
      <w:r w:rsidR="00E423D4" w:rsidRPr="001A69AE">
        <w:t>–</w:t>
      </w:r>
      <w:r w:rsidR="005D1FCB" w:rsidRPr="001A69AE">
        <w:t>23</w:t>
      </w:r>
      <w:bookmarkEnd w:id="939"/>
      <w:bookmarkEnd w:id="940"/>
    </w:p>
    <w:tbl>
      <w:tblPr>
        <w:tblStyle w:val="TableGrid1"/>
        <w:tblW w:w="9299" w:type="dxa"/>
        <w:tblLook w:val="06A0" w:firstRow="1" w:lastRow="0" w:firstColumn="1" w:lastColumn="0" w:noHBand="1" w:noVBand="1"/>
      </w:tblPr>
      <w:tblGrid>
        <w:gridCol w:w="3053"/>
        <w:gridCol w:w="3234"/>
        <w:gridCol w:w="3012"/>
      </w:tblGrid>
      <w:tr w:rsidR="00233DA1" w14:paraId="65D9252B" w14:textId="77777777" w:rsidTr="00233DA1">
        <w:trPr>
          <w:cnfStyle w:val="100000000000" w:firstRow="1" w:lastRow="0" w:firstColumn="0" w:lastColumn="0" w:oddVBand="0" w:evenVBand="0" w:oddHBand="0" w:evenHBand="0" w:firstRowFirstColumn="0" w:firstRowLastColumn="0" w:lastRowFirstColumn="0" w:lastRowLastColumn="0"/>
          <w:tblHeader/>
        </w:trPr>
        <w:tc>
          <w:tcPr>
            <w:tcW w:w="3053" w:type="dxa"/>
            <w:tcBorders>
              <w:top w:val="single" w:sz="4" w:space="0" w:color="auto"/>
              <w:left w:val="single" w:sz="4" w:space="0" w:color="auto"/>
              <w:bottom w:val="single" w:sz="4" w:space="0" w:color="auto"/>
              <w:right w:val="single" w:sz="4" w:space="0" w:color="auto"/>
            </w:tcBorders>
            <w:hideMark/>
          </w:tcPr>
          <w:p w14:paraId="17258B2A" w14:textId="77777777" w:rsidR="00233DA1" w:rsidRDefault="00233DA1">
            <w:pPr>
              <w:pStyle w:val="Tablecolhead9pt"/>
              <w:rPr>
                <w:szCs w:val="18"/>
              </w:rPr>
            </w:pPr>
            <w:r>
              <w:t>Stream</w:t>
            </w:r>
          </w:p>
        </w:tc>
        <w:tc>
          <w:tcPr>
            <w:tcW w:w="3234" w:type="dxa"/>
            <w:tcBorders>
              <w:top w:val="single" w:sz="4" w:space="0" w:color="auto"/>
              <w:left w:val="single" w:sz="4" w:space="0" w:color="auto"/>
              <w:bottom w:val="single" w:sz="4" w:space="0" w:color="auto"/>
              <w:right w:val="single" w:sz="4" w:space="0" w:color="auto"/>
            </w:tcBorders>
            <w:hideMark/>
          </w:tcPr>
          <w:p w14:paraId="16589ABC" w14:textId="77777777" w:rsidR="00233DA1" w:rsidRDefault="00233DA1">
            <w:pPr>
              <w:pStyle w:val="Tablecolhead9pt"/>
              <w:rPr>
                <w:szCs w:val="18"/>
              </w:rPr>
            </w:pPr>
            <w:r>
              <w:t>Program</w:t>
            </w:r>
          </w:p>
        </w:tc>
        <w:tc>
          <w:tcPr>
            <w:tcW w:w="3012" w:type="dxa"/>
            <w:tcBorders>
              <w:top w:val="single" w:sz="4" w:space="0" w:color="auto"/>
              <w:left w:val="single" w:sz="4" w:space="0" w:color="auto"/>
              <w:bottom w:val="single" w:sz="4" w:space="0" w:color="auto"/>
              <w:right w:val="single" w:sz="4" w:space="0" w:color="auto"/>
            </w:tcBorders>
            <w:hideMark/>
          </w:tcPr>
          <w:p w14:paraId="6034D4EB" w14:textId="77777777" w:rsidR="00233DA1" w:rsidRDefault="00233DA1">
            <w:pPr>
              <w:pStyle w:val="Tablecolhead9pt"/>
              <w:jc w:val="right"/>
              <w:rPr>
                <w:szCs w:val="18"/>
              </w:rPr>
            </w:pPr>
            <w:r>
              <w:t>Rate per EFT ($)</w:t>
            </w:r>
          </w:p>
        </w:tc>
      </w:tr>
      <w:tr w:rsidR="00233DA1" w14:paraId="73AA8B61"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5673CEBE" w14:textId="77777777" w:rsidR="00233DA1" w:rsidRDefault="00233DA1" w:rsidP="003C01AD">
            <w:pPr>
              <w:pStyle w:val="Tabletext9pt"/>
              <w:numPr>
                <w:ilvl w:val="0"/>
                <w:numId w:val="32"/>
              </w:numPr>
            </w:pPr>
            <w:r>
              <w:t>Professional-entry student placements</w:t>
            </w:r>
          </w:p>
        </w:tc>
        <w:tc>
          <w:tcPr>
            <w:tcW w:w="3234" w:type="dxa"/>
            <w:tcBorders>
              <w:top w:val="single" w:sz="4" w:space="0" w:color="auto"/>
              <w:left w:val="single" w:sz="4" w:space="0" w:color="auto"/>
              <w:bottom w:val="single" w:sz="4" w:space="0" w:color="auto"/>
              <w:right w:val="single" w:sz="4" w:space="0" w:color="auto"/>
            </w:tcBorders>
            <w:hideMark/>
          </w:tcPr>
          <w:p w14:paraId="33CF2CFC" w14:textId="77777777" w:rsidR="00233DA1" w:rsidRDefault="00233DA1" w:rsidP="003C01AD">
            <w:pPr>
              <w:pStyle w:val="Tabletext9pt"/>
              <w:numPr>
                <w:ilvl w:val="0"/>
                <w:numId w:val="32"/>
              </w:numPr>
            </w:pPr>
            <w:r>
              <w:t>Medical, nursing, allied health, (including allied health assistance and health information management)</w:t>
            </w:r>
          </w:p>
        </w:tc>
        <w:tc>
          <w:tcPr>
            <w:tcW w:w="3012" w:type="dxa"/>
            <w:tcBorders>
              <w:top w:val="single" w:sz="4" w:space="0" w:color="auto"/>
              <w:left w:val="single" w:sz="4" w:space="0" w:color="auto"/>
              <w:bottom w:val="single" w:sz="4" w:space="0" w:color="auto"/>
              <w:right w:val="single" w:sz="4" w:space="0" w:color="auto"/>
            </w:tcBorders>
            <w:hideMark/>
          </w:tcPr>
          <w:p w14:paraId="2DFD90D8" w14:textId="77777777" w:rsidR="00233DA1" w:rsidRDefault="00233DA1" w:rsidP="003C01AD">
            <w:pPr>
              <w:pStyle w:val="Tabletext9pt"/>
              <w:numPr>
                <w:ilvl w:val="0"/>
                <w:numId w:val="32"/>
              </w:numPr>
              <w:jc w:val="right"/>
            </w:pPr>
            <w:r>
              <w:t>Not calculated based on an EFT rate</w:t>
            </w:r>
          </w:p>
        </w:tc>
      </w:tr>
      <w:tr w:rsidR="00233DA1" w14:paraId="42D12829"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70B1EB11" w14:textId="77777777" w:rsidR="00233DA1" w:rsidRDefault="00233DA1" w:rsidP="003C01AD">
            <w:pPr>
              <w:pStyle w:val="Tabletext9pt"/>
              <w:numPr>
                <w:ilvl w:val="0"/>
                <w:numId w:val="32"/>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7493DB7E" w14:textId="77777777" w:rsidR="00233DA1" w:rsidRDefault="00233DA1" w:rsidP="003C01AD">
            <w:pPr>
              <w:pStyle w:val="Tabletext9pt"/>
              <w:numPr>
                <w:ilvl w:val="0"/>
                <w:numId w:val="32"/>
              </w:numPr>
            </w:pPr>
            <w:r>
              <w:t>Allied health graduate – metro</w:t>
            </w:r>
          </w:p>
        </w:tc>
        <w:tc>
          <w:tcPr>
            <w:tcW w:w="3012" w:type="dxa"/>
            <w:tcBorders>
              <w:top w:val="single" w:sz="4" w:space="0" w:color="auto"/>
              <w:left w:val="single" w:sz="4" w:space="0" w:color="auto"/>
              <w:bottom w:val="single" w:sz="4" w:space="0" w:color="auto"/>
              <w:right w:val="single" w:sz="4" w:space="0" w:color="auto"/>
            </w:tcBorders>
            <w:hideMark/>
          </w:tcPr>
          <w:p w14:paraId="67585566" w14:textId="60031DE1" w:rsidR="00233DA1" w:rsidRDefault="00233DA1" w:rsidP="003C01AD">
            <w:pPr>
              <w:pStyle w:val="Tabletext9pt"/>
              <w:numPr>
                <w:ilvl w:val="0"/>
                <w:numId w:val="32"/>
              </w:numPr>
              <w:jc w:val="right"/>
            </w:pPr>
            <w:r>
              <w:t>9,</w:t>
            </w:r>
            <w:r w:rsidR="00790E58">
              <w:t>979</w:t>
            </w:r>
          </w:p>
        </w:tc>
      </w:tr>
      <w:tr w:rsidR="00233DA1" w14:paraId="34C3AE32"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6CFE7B44" w14:textId="77777777" w:rsidR="00233DA1" w:rsidRDefault="00233DA1" w:rsidP="003C01AD">
            <w:pPr>
              <w:pStyle w:val="Tabletext9pt"/>
              <w:numPr>
                <w:ilvl w:val="0"/>
                <w:numId w:val="32"/>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79CBDFC1" w14:textId="77777777" w:rsidR="00233DA1" w:rsidRDefault="00233DA1" w:rsidP="003C01AD">
            <w:pPr>
              <w:pStyle w:val="Tabletext9pt"/>
              <w:numPr>
                <w:ilvl w:val="0"/>
                <w:numId w:val="32"/>
              </w:numPr>
            </w:pPr>
            <w:r>
              <w:t>Allied health graduate – rural</w:t>
            </w:r>
          </w:p>
        </w:tc>
        <w:tc>
          <w:tcPr>
            <w:tcW w:w="3012" w:type="dxa"/>
            <w:tcBorders>
              <w:top w:val="single" w:sz="4" w:space="0" w:color="auto"/>
              <w:left w:val="single" w:sz="4" w:space="0" w:color="auto"/>
              <w:bottom w:val="single" w:sz="4" w:space="0" w:color="auto"/>
              <w:right w:val="single" w:sz="4" w:space="0" w:color="auto"/>
            </w:tcBorders>
            <w:hideMark/>
          </w:tcPr>
          <w:p w14:paraId="1D53D94A" w14:textId="4C30ED81" w:rsidR="00233DA1" w:rsidRDefault="00233DA1" w:rsidP="003C01AD">
            <w:pPr>
              <w:pStyle w:val="Tabletext9pt"/>
              <w:numPr>
                <w:ilvl w:val="0"/>
                <w:numId w:val="32"/>
              </w:numPr>
              <w:jc w:val="right"/>
            </w:pPr>
            <w:r>
              <w:t>11,</w:t>
            </w:r>
            <w:r w:rsidR="00790E58">
              <w:t>734</w:t>
            </w:r>
          </w:p>
        </w:tc>
      </w:tr>
      <w:tr w:rsidR="00233DA1" w14:paraId="430DFFDE"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51FE847D" w14:textId="77777777" w:rsidR="00233DA1" w:rsidRDefault="00233DA1" w:rsidP="003C01AD">
            <w:pPr>
              <w:pStyle w:val="Tabletext9pt"/>
              <w:numPr>
                <w:ilvl w:val="0"/>
                <w:numId w:val="32"/>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2C2D7E76" w14:textId="77777777" w:rsidR="00233DA1" w:rsidRDefault="00233DA1" w:rsidP="003C01AD">
            <w:pPr>
              <w:pStyle w:val="Tabletext9pt"/>
              <w:numPr>
                <w:ilvl w:val="0"/>
                <w:numId w:val="32"/>
              </w:numPr>
            </w:pPr>
            <w:r>
              <w:t>Pharmacy interns</w:t>
            </w:r>
          </w:p>
        </w:tc>
        <w:tc>
          <w:tcPr>
            <w:tcW w:w="3012" w:type="dxa"/>
            <w:tcBorders>
              <w:top w:val="single" w:sz="4" w:space="0" w:color="auto"/>
              <w:left w:val="single" w:sz="4" w:space="0" w:color="auto"/>
              <w:bottom w:val="single" w:sz="4" w:space="0" w:color="auto"/>
              <w:right w:val="single" w:sz="4" w:space="0" w:color="auto"/>
            </w:tcBorders>
            <w:hideMark/>
          </w:tcPr>
          <w:p w14:paraId="6859408B" w14:textId="3A11EBFF" w:rsidR="00233DA1" w:rsidRDefault="00233DA1" w:rsidP="003C01AD">
            <w:pPr>
              <w:pStyle w:val="Tabletext9pt"/>
              <w:numPr>
                <w:ilvl w:val="0"/>
                <w:numId w:val="32"/>
              </w:numPr>
              <w:jc w:val="right"/>
            </w:pPr>
            <w:r>
              <w:t>3</w:t>
            </w:r>
            <w:r w:rsidR="00C93EEE">
              <w:t>3,389</w:t>
            </w:r>
          </w:p>
        </w:tc>
      </w:tr>
      <w:tr w:rsidR="00233DA1" w14:paraId="0E5D5942"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0B1DCCA8" w14:textId="77777777" w:rsidR="00233DA1" w:rsidRDefault="00233DA1" w:rsidP="003C01AD">
            <w:pPr>
              <w:pStyle w:val="Tabletext9pt"/>
              <w:numPr>
                <w:ilvl w:val="0"/>
                <w:numId w:val="32"/>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1140F6D1" w14:textId="77777777" w:rsidR="00233DA1" w:rsidRDefault="00233DA1" w:rsidP="003C01AD">
            <w:pPr>
              <w:pStyle w:val="Tabletext9pt"/>
              <w:numPr>
                <w:ilvl w:val="0"/>
                <w:numId w:val="32"/>
              </w:numPr>
            </w:pPr>
            <w:r>
              <w:t>Medical graduate year 1 (PGY1)</w:t>
            </w:r>
          </w:p>
        </w:tc>
        <w:tc>
          <w:tcPr>
            <w:tcW w:w="3012" w:type="dxa"/>
            <w:tcBorders>
              <w:top w:val="single" w:sz="4" w:space="0" w:color="auto"/>
              <w:left w:val="single" w:sz="4" w:space="0" w:color="auto"/>
              <w:bottom w:val="single" w:sz="4" w:space="0" w:color="auto"/>
              <w:right w:val="single" w:sz="4" w:space="0" w:color="auto"/>
            </w:tcBorders>
            <w:hideMark/>
          </w:tcPr>
          <w:p w14:paraId="044962BB" w14:textId="5C976AFB" w:rsidR="00233DA1" w:rsidRDefault="00233DA1" w:rsidP="003C01AD">
            <w:pPr>
              <w:pStyle w:val="Tabletext9pt"/>
              <w:numPr>
                <w:ilvl w:val="0"/>
                <w:numId w:val="32"/>
              </w:numPr>
              <w:jc w:val="right"/>
            </w:pPr>
            <w:r>
              <w:t>3</w:t>
            </w:r>
            <w:r w:rsidR="00DF2E89">
              <w:t>9,842</w:t>
            </w:r>
          </w:p>
        </w:tc>
      </w:tr>
      <w:tr w:rsidR="00233DA1" w14:paraId="65B64533"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2E35EABB" w14:textId="77777777" w:rsidR="00233DA1" w:rsidRDefault="00233DA1" w:rsidP="003C01AD">
            <w:pPr>
              <w:pStyle w:val="Tabletext9pt"/>
              <w:numPr>
                <w:ilvl w:val="0"/>
                <w:numId w:val="32"/>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657AD2C9" w14:textId="77777777" w:rsidR="00233DA1" w:rsidRDefault="00233DA1" w:rsidP="003C01AD">
            <w:pPr>
              <w:pStyle w:val="Tabletext9pt"/>
              <w:numPr>
                <w:ilvl w:val="0"/>
                <w:numId w:val="32"/>
              </w:numPr>
            </w:pPr>
            <w:r>
              <w:t>Medical graduate year 2 (PGY2)</w:t>
            </w:r>
          </w:p>
        </w:tc>
        <w:tc>
          <w:tcPr>
            <w:tcW w:w="3012" w:type="dxa"/>
            <w:tcBorders>
              <w:top w:val="single" w:sz="4" w:space="0" w:color="auto"/>
              <w:left w:val="single" w:sz="4" w:space="0" w:color="auto"/>
              <w:bottom w:val="single" w:sz="4" w:space="0" w:color="auto"/>
              <w:right w:val="single" w:sz="4" w:space="0" w:color="auto"/>
            </w:tcBorders>
            <w:hideMark/>
          </w:tcPr>
          <w:p w14:paraId="33F55478" w14:textId="37EFF4C1" w:rsidR="00233DA1" w:rsidRDefault="00233DA1" w:rsidP="003C01AD">
            <w:pPr>
              <w:pStyle w:val="Tabletext9pt"/>
              <w:numPr>
                <w:ilvl w:val="0"/>
                <w:numId w:val="32"/>
              </w:numPr>
              <w:jc w:val="right"/>
            </w:pPr>
            <w:r>
              <w:t>4</w:t>
            </w:r>
            <w:r w:rsidR="00977381">
              <w:t>3,581</w:t>
            </w:r>
          </w:p>
        </w:tc>
      </w:tr>
      <w:tr w:rsidR="00233DA1" w14:paraId="57EBD5B0"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1C89ABEB" w14:textId="77777777" w:rsidR="00233DA1" w:rsidRDefault="00233DA1" w:rsidP="003C01AD">
            <w:pPr>
              <w:pStyle w:val="Tabletext9pt"/>
              <w:numPr>
                <w:ilvl w:val="0"/>
                <w:numId w:val="32"/>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6895098C" w14:textId="77777777" w:rsidR="00233DA1" w:rsidRDefault="00233DA1" w:rsidP="003C01AD">
            <w:pPr>
              <w:pStyle w:val="Tabletext9pt"/>
              <w:numPr>
                <w:ilvl w:val="0"/>
                <w:numId w:val="32"/>
              </w:numPr>
            </w:pPr>
            <w:r>
              <w:t>Nursing and midwifery</w:t>
            </w:r>
          </w:p>
        </w:tc>
        <w:tc>
          <w:tcPr>
            <w:tcW w:w="3012" w:type="dxa"/>
            <w:tcBorders>
              <w:top w:val="single" w:sz="4" w:space="0" w:color="auto"/>
              <w:left w:val="single" w:sz="4" w:space="0" w:color="auto"/>
              <w:bottom w:val="single" w:sz="4" w:space="0" w:color="auto"/>
              <w:right w:val="single" w:sz="4" w:space="0" w:color="auto"/>
            </w:tcBorders>
            <w:hideMark/>
          </w:tcPr>
          <w:p w14:paraId="389C1C06" w14:textId="0B8D543A" w:rsidR="00233DA1" w:rsidRDefault="00233DA1" w:rsidP="003C01AD">
            <w:pPr>
              <w:pStyle w:val="Tabletext9pt"/>
              <w:numPr>
                <w:ilvl w:val="0"/>
                <w:numId w:val="32"/>
              </w:numPr>
              <w:jc w:val="right"/>
            </w:pPr>
            <w:r>
              <w:t>19,</w:t>
            </w:r>
            <w:r w:rsidR="009E0950">
              <w:t>858</w:t>
            </w:r>
          </w:p>
        </w:tc>
      </w:tr>
      <w:tr w:rsidR="00233DA1" w14:paraId="17CB4DD2"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0D71B408" w14:textId="77777777" w:rsidR="00233DA1" w:rsidRDefault="00233DA1" w:rsidP="003C01AD">
            <w:pPr>
              <w:pStyle w:val="Tabletext9pt"/>
              <w:numPr>
                <w:ilvl w:val="0"/>
                <w:numId w:val="32"/>
              </w:numPr>
            </w:pPr>
            <w:r>
              <w:t>Postgraduate – medical specialist training</w:t>
            </w:r>
          </w:p>
        </w:tc>
        <w:tc>
          <w:tcPr>
            <w:tcW w:w="3234" w:type="dxa"/>
            <w:tcBorders>
              <w:top w:val="single" w:sz="4" w:space="0" w:color="auto"/>
              <w:left w:val="single" w:sz="4" w:space="0" w:color="auto"/>
              <w:bottom w:val="single" w:sz="4" w:space="0" w:color="auto"/>
              <w:right w:val="single" w:sz="4" w:space="0" w:color="auto"/>
            </w:tcBorders>
            <w:hideMark/>
          </w:tcPr>
          <w:p w14:paraId="5E144A61" w14:textId="77777777" w:rsidR="00233DA1" w:rsidRDefault="00233DA1" w:rsidP="003C01AD">
            <w:pPr>
              <w:pStyle w:val="Tabletext9pt"/>
              <w:numPr>
                <w:ilvl w:val="0"/>
                <w:numId w:val="32"/>
              </w:numPr>
            </w:pPr>
            <w:r>
              <w:t>Victorian Medical Specialist Training Program</w:t>
            </w:r>
          </w:p>
        </w:tc>
        <w:tc>
          <w:tcPr>
            <w:tcW w:w="3012" w:type="dxa"/>
            <w:tcBorders>
              <w:top w:val="single" w:sz="4" w:space="0" w:color="auto"/>
              <w:left w:val="single" w:sz="4" w:space="0" w:color="auto"/>
              <w:bottom w:val="single" w:sz="4" w:space="0" w:color="auto"/>
              <w:right w:val="single" w:sz="4" w:space="0" w:color="auto"/>
            </w:tcBorders>
            <w:hideMark/>
          </w:tcPr>
          <w:p w14:paraId="4B766346" w14:textId="47E4ECD1" w:rsidR="00233DA1" w:rsidRDefault="00233DA1" w:rsidP="003C01AD">
            <w:pPr>
              <w:pStyle w:val="Tabletext9pt"/>
              <w:numPr>
                <w:ilvl w:val="0"/>
                <w:numId w:val="32"/>
              </w:numPr>
              <w:jc w:val="right"/>
            </w:pPr>
            <w:r>
              <w:t>7</w:t>
            </w:r>
            <w:r w:rsidR="009E0950">
              <w:t>4,882</w:t>
            </w:r>
          </w:p>
        </w:tc>
      </w:tr>
      <w:tr w:rsidR="00233DA1" w14:paraId="152ACBB1"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6D753F83" w14:textId="77777777" w:rsidR="00233DA1" w:rsidRDefault="00233DA1" w:rsidP="003C01AD">
            <w:pPr>
              <w:pStyle w:val="Tabletext9pt"/>
              <w:numPr>
                <w:ilvl w:val="0"/>
                <w:numId w:val="32"/>
              </w:numPr>
            </w:pPr>
            <w:r>
              <w:t>Postgraduate – medical specialist training</w:t>
            </w:r>
          </w:p>
        </w:tc>
        <w:tc>
          <w:tcPr>
            <w:tcW w:w="3234" w:type="dxa"/>
            <w:tcBorders>
              <w:top w:val="single" w:sz="4" w:space="0" w:color="auto"/>
              <w:left w:val="single" w:sz="4" w:space="0" w:color="auto"/>
              <w:bottom w:val="single" w:sz="4" w:space="0" w:color="auto"/>
              <w:right w:val="single" w:sz="4" w:space="0" w:color="auto"/>
            </w:tcBorders>
            <w:hideMark/>
          </w:tcPr>
          <w:p w14:paraId="461276B5" w14:textId="77777777" w:rsidR="00233DA1" w:rsidRDefault="00233DA1" w:rsidP="003C01AD">
            <w:pPr>
              <w:pStyle w:val="Tabletext9pt"/>
              <w:numPr>
                <w:ilvl w:val="0"/>
                <w:numId w:val="32"/>
              </w:numPr>
            </w:pPr>
            <w:r>
              <w:t>Victorian Paediatric Training Program</w:t>
            </w:r>
          </w:p>
        </w:tc>
        <w:tc>
          <w:tcPr>
            <w:tcW w:w="3012" w:type="dxa"/>
            <w:tcBorders>
              <w:top w:val="single" w:sz="4" w:space="0" w:color="auto"/>
              <w:left w:val="single" w:sz="4" w:space="0" w:color="auto"/>
              <w:bottom w:val="single" w:sz="4" w:space="0" w:color="auto"/>
              <w:right w:val="single" w:sz="4" w:space="0" w:color="auto"/>
            </w:tcBorders>
            <w:hideMark/>
          </w:tcPr>
          <w:p w14:paraId="4D60C9CE" w14:textId="345DED29" w:rsidR="00233DA1" w:rsidRDefault="00B20058" w:rsidP="003C01AD">
            <w:pPr>
              <w:pStyle w:val="Tabletext9pt"/>
              <w:numPr>
                <w:ilvl w:val="0"/>
                <w:numId w:val="32"/>
              </w:numPr>
              <w:jc w:val="right"/>
            </w:pPr>
            <w:r>
              <w:t>101,624</w:t>
            </w:r>
          </w:p>
        </w:tc>
      </w:tr>
      <w:tr w:rsidR="00233DA1" w14:paraId="36271604" w14:textId="77777777" w:rsidTr="00233DA1">
        <w:trPr>
          <w:trHeight w:val="212"/>
        </w:trPr>
        <w:tc>
          <w:tcPr>
            <w:tcW w:w="3053" w:type="dxa"/>
            <w:tcBorders>
              <w:top w:val="single" w:sz="4" w:space="0" w:color="auto"/>
              <w:left w:val="single" w:sz="4" w:space="0" w:color="auto"/>
              <w:bottom w:val="single" w:sz="4" w:space="0" w:color="auto"/>
              <w:right w:val="single" w:sz="4" w:space="0" w:color="auto"/>
            </w:tcBorders>
            <w:hideMark/>
          </w:tcPr>
          <w:p w14:paraId="25D4EF56" w14:textId="77777777" w:rsidR="00233DA1" w:rsidRDefault="00233DA1" w:rsidP="003C01AD">
            <w:pPr>
              <w:pStyle w:val="Tabletext9pt"/>
              <w:numPr>
                <w:ilvl w:val="0"/>
                <w:numId w:val="32"/>
              </w:numPr>
            </w:pPr>
            <w:r>
              <w:lastRenderedPageBreak/>
              <w:t>Postgraduate – medical specialist training</w:t>
            </w:r>
          </w:p>
        </w:tc>
        <w:tc>
          <w:tcPr>
            <w:tcW w:w="3234" w:type="dxa"/>
            <w:tcBorders>
              <w:top w:val="single" w:sz="4" w:space="0" w:color="auto"/>
              <w:left w:val="single" w:sz="4" w:space="0" w:color="auto"/>
              <w:bottom w:val="single" w:sz="4" w:space="0" w:color="auto"/>
              <w:right w:val="single" w:sz="4" w:space="0" w:color="auto"/>
            </w:tcBorders>
            <w:hideMark/>
          </w:tcPr>
          <w:p w14:paraId="74EE8C42" w14:textId="77777777" w:rsidR="00233DA1" w:rsidRDefault="00233DA1" w:rsidP="003C01AD">
            <w:pPr>
              <w:pStyle w:val="Tabletext9pt"/>
              <w:numPr>
                <w:ilvl w:val="0"/>
                <w:numId w:val="32"/>
              </w:numPr>
            </w:pPr>
            <w:r>
              <w:t>Basic physician training consortia</w:t>
            </w:r>
          </w:p>
        </w:tc>
        <w:tc>
          <w:tcPr>
            <w:tcW w:w="3012" w:type="dxa"/>
            <w:tcBorders>
              <w:top w:val="single" w:sz="4" w:space="0" w:color="auto"/>
              <w:left w:val="single" w:sz="4" w:space="0" w:color="auto"/>
              <w:bottom w:val="single" w:sz="4" w:space="0" w:color="auto"/>
              <w:right w:val="single" w:sz="4" w:space="0" w:color="auto"/>
            </w:tcBorders>
            <w:hideMark/>
          </w:tcPr>
          <w:p w14:paraId="7E87ADE5" w14:textId="77777777" w:rsidR="00233DA1" w:rsidRDefault="00233DA1" w:rsidP="003C01AD">
            <w:pPr>
              <w:pStyle w:val="Tabletext9pt"/>
              <w:numPr>
                <w:ilvl w:val="0"/>
                <w:numId w:val="32"/>
              </w:numPr>
              <w:jc w:val="right"/>
            </w:pPr>
            <w:r>
              <w:t>Not calculated based on an EFT rate</w:t>
            </w:r>
          </w:p>
        </w:tc>
      </w:tr>
      <w:tr w:rsidR="00233DA1" w14:paraId="07E409FF" w14:textId="77777777" w:rsidTr="00233DA1">
        <w:tc>
          <w:tcPr>
            <w:tcW w:w="3053" w:type="dxa"/>
            <w:tcBorders>
              <w:top w:val="single" w:sz="4" w:space="0" w:color="auto"/>
              <w:left w:val="single" w:sz="4" w:space="0" w:color="auto"/>
              <w:bottom w:val="single" w:sz="4" w:space="0" w:color="auto"/>
              <w:right w:val="single" w:sz="4" w:space="0" w:color="auto"/>
            </w:tcBorders>
            <w:hideMark/>
          </w:tcPr>
          <w:p w14:paraId="1484599E" w14:textId="77777777" w:rsidR="00233DA1" w:rsidRDefault="00233DA1" w:rsidP="003C01AD">
            <w:pPr>
              <w:pStyle w:val="Tabletext9pt"/>
              <w:numPr>
                <w:ilvl w:val="0"/>
                <w:numId w:val="32"/>
              </w:numPr>
            </w:pPr>
            <w:r>
              <w:t>Postgraduate – nursing and midwifery</w:t>
            </w:r>
          </w:p>
        </w:tc>
        <w:tc>
          <w:tcPr>
            <w:tcW w:w="3234" w:type="dxa"/>
            <w:tcBorders>
              <w:top w:val="single" w:sz="4" w:space="0" w:color="auto"/>
              <w:left w:val="single" w:sz="4" w:space="0" w:color="auto"/>
              <w:bottom w:val="single" w:sz="4" w:space="0" w:color="auto"/>
              <w:right w:val="single" w:sz="4" w:space="0" w:color="auto"/>
            </w:tcBorders>
            <w:hideMark/>
          </w:tcPr>
          <w:p w14:paraId="346EC4C9" w14:textId="77777777" w:rsidR="00233DA1" w:rsidRDefault="00233DA1" w:rsidP="003C01AD">
            <w:pPr>
              <w:pStyle w:val="Tabletext9pt"/>
              <w:numPr>
                <w:ilvl w:val="0"/>
                <w:numId w:val="32"/>
              </w:numPr>
            </w:pPr>
            <w:r>
              <w:t>Nursing and midwifery postgraduates</w:t>
            </w:r>
          </w:p>
        </w:tc>
        <w:tc>
          <w:tcPr>
            <w:tcW w:w="3012" w:type="dxa"/>
            <w:tcBorders>
              <w:top w:val="single" w:sz="4" w:space="0" w:color="auto"/>
              <w:left w:val="single" w:sz="4" w:space="0" w:color="auto"/>
              <w:bottom w:val="single" w:sz="4" w:space="0" w:color="auto"/>
              <w:right w:val="single" w:sz="4" w:space="0" w:color="auto"/>
            </w:tcBorders>
            <w:hideMark/>
          </w:tcPr>
          <w:p w14:paraId="18802A50" w14:textId="48195272" w:rsidR="00233DA1" w:rsidRDefault="00233DA1" w:rsidP="003C01AD">
            <w:pPr>
              <w:pStyle w:val="Tabletext9pt"/>
              <w:numPr>
                <w:ilvl w:val="0"/>
                <w:numId w:val="32"/>
              </w:numPr>
              <w:jc w:val="right"/>
            </w:pPr>
            <w:r>
              <w:t>19,</w:t>
            </w:r>
            <w:r w:rsidR="00993E33">
              <w:t>858</w:t>
            </w:r>
          </w:p>
        </w:tc>
      </w:tr>
    </w:tbl>
    <w:p w14:paraId="1D0FE84D" w14:textId="77777777" w:rsidR="00233DA1" w:rsidRPr="00233DA1" w:rsidRDefault="00233DA1" w:rsidP="00233DA1">
      <w:pPr>
        <w:pStyle w:val="Body"/>
      </w:pPr>
    </w:p>
    <w:p w14:paraId="33199BA2" w14:textId="21049119" w:rsidR="000B27B9" w:rsidRDefault="00B52718" w:rsidP="000B27B9">
      <w:pPr>
        <w:pStyle w:val="Heading2"/>
        <w:spacing w:after="440" w:line="440" w:lineRule="atLeast"/>
      </w:pPr>
      <w:bookmarkStart w:id="941" w:name="_Toc418694983"/>
      <w:bookmarkStart w:id="942" w:name="_Ref419741197"/>
      <w:bookmarkStart w:id="943" w:name="_Ref419741215"/>
      <w:bookmarkStart w:id="944" w:name="_Toc487742013"/>
      <w:bookmarkStart w:id="945" w:name="_Toc14172243"/>
      <w:bookmarkStart w:id="946" w:name="_Ref70881847"/>
      <w:bookmarkStart w:id="947" w:name="_Ref70881855"/>
      <w:bookmarkStart w:id="948" w:name="_Ref77707788"/>
      <w:bookmarkStart w:id="949" w:name="_Ref77707841"/>
      <w:bookmarkStart w:id="950" w:name="_Toc100263353"/>
      <w:bookmarkStart w:id="951" w:name="_Toc127192002"/>
      <w:bookmarkEnd w:id="926"/>
      <w:bookmarkEnd w:id="927"/>
      <w:bookmarkEnd w:id="928"/>
      <w:bookmarkEnd w:id="929"/>
      <w:bookmarkEnd w:id="930"/>
      <w:r>
        <w:lastRenderedPageBreak/>
        <w:t>Price</w:t>
      </w:r>
      <w:r w:rsidR="000B27B9">
        <w:t xml:space="preserve"> </w:t>
      </w:r>
      <w:r w:rsidR="00331D5D">
        <w:t>G</w:t>
      </w:r>
      <w:r w:rsidR="000B27B9">
        <w:t xml:space="preserve">roups for </w:t>
      </w:r>
      <w:r>
        <w:t>NWAU</w:t>
      </w:r>
      <w:r w:rsidR="000B27B9">
        <w:t xml:space="preserve"> </w:t>
      </w:r>
      <w:r w:rsidR="00331D5D">
        <w:t>P</w:t>
      </w:r>
      <w:r w:rsidR="000B27B9">
        <w:t>urposes</w:t>
      </w:r>
      <w:bookmarkEnd w:id="941"/>
      <w:bookmarkEnd w:id="942"/>
      <w:bookmarkEnd w:id="943"/>
      <w:bookmarkEnd w:id="944"/>
      <w:bookmarkEnd w:id="945"/>
      <w:bookmarkEnd w:id="946"/>
      <w:bookmarkEnd w:id="947"/>
      <w:bookmarkEnd w:id="948"/>
      <w:bookmarkEnd w:id="949"/>
      <w:bookmarkEnd w:id="950"/>
      <w:bookmarkEnd w:id="951"/>
    </w:p>
    <w:p w14:paraId="254132BC" w14:textId="463D9091" w:rsidR="000B27B9" w:rsidRPr="00E7554A" w:rsidRDefault="00B52718" w:rsidP="003C01AD">
      <w:pPr>
        <w:pStyle w:val="Tablecaption"/>
        <w:numPr>
          <w:ilvl w:val="0"/>
          <w:numId w:val="40"/>
        </w:numPr>
      </w:pPr>
      <w:bookmarkStart w:id="952" w:name="_Toc419644508"/>
      <w:bookmarkStart w:id="953" w:name="_Toc487742078"/>
      <w:bookmarkStart w:id="954" w:name="_Toc14194749"/>
      <w:bookmarkStart w:id="955" w:name="_Toc54261405"/>
      <w:bookmarkStart w:id="956" w:name="_Toc54616279"/>
      <w:bookmarkStart w:id="957" w:name="_Toc109894119"/>
      <w:bookmarkStart w:id="958" w:name="_Toc119500900"/>
      <w:r>
        <w:t>Price</w:t>
      </w:r>
      <w:r w:rsidR="000B27B9" w:rsidRPr="00E7554A">
        <w:t xml:space="preserve"> groups for </w:t>
      </w:r>
      <w:r>
        <w:t>NWAU</w:t>
      </w:r>
      <w:r w:rsidR="000B27B9" w:rsidRPr="00E7554A">
        <w:t xml:space="preserve"> purposes</w:t>
      </w:r>
      <w:bookmarkEnd w:id="952"/>
      <w:bookmarkEnd w:id="953"/>
      <w:bookmarkEnd w:id="954"/>
      <w:bookmarkEnd w:id="955"/>
      <w:bookmarkEnd w:id="956"/>
      <w:bookmarkEnd w:id="957"/>
      <w:bookmarkEnd w:id="958"/>
    </w:p>
    <w:tbl>
      <w:tblPr>
        <w:tblStyle w:val="TableGrid1"/>
        <w:tblW w:w="9607" w:type="dxa"/>
        <w:tblLook w:val="06A0" w:firstRow="1" w:lastRow="0" w:firstColumn="1" w:lastColumn="0" w:noHBand="1" w:noVBand="1"/>
      </w:tblPr>
      <w:tblGrid>
        <w:gridCol w:w="4965"/>
        <w:gridCol w:w="4642"/>
      </w:tblGrid>
      <w:tr w:rsidR="000B27B9" w:rsidRPr="00754F43" w14:paraId="05CE0ED9" w14:textId="77777777" w:rsidTr="009D11C0">
        <w:trPr>
          <w:cnfStyle w:val="100000000000" w:firstRow="1" w:lastRow="0" w:firstColumn="0" w:lastColumn="0" w:oddVBand="0" w:evenVBand="0" w:oddHBand="0" w:evenHBand="0" w:firstRowFirstColumn="0" w:firstRowLastColumn="0" w:lastRowFirstColumn="0" w:lastRowLastColumn="0"/>
          <w:tblHeader/>
        </w:trPr>
        <w:tc>
          <w:tcPr>
            <w:tcW w:w="4965" w:type="dxa"/>
          </w:tcPr>
          <w:p w14:paraId="51441A8E" w14:textId="77777777" w:rsidR="000B27B9" w:rsidRPr="00754F43" w:rsidRDefault="000B27B9" w:rsidP="0064265C">
            <w:pPr>
              <w:pStyle w:val="Tablecolhead9pt"/>
              <w:rPr>
                <w:rFonts w:cs="Arial"/>
                <w:szCs w:val="18"/>
              </w:rPr>
            </w:pPr>
            <w:r w:rsidRPr="00754F43">
              <w:rPr>
                <w:rFonts w:cs="Arial"/>
                <w:szCs w:val="18"/>
              </w:rPr>
              <w:t>Health service</w:t>
            </w:r>
          </w:p>
        </w:tc>
        <w:tc>
          <w:tcPr>
            <w:tcW w:w="4642" w:type="dxa"/>
          </w:tcPr>
          <w:p w14:paraId="3CBBA5A2" w14:textId="77777777" w:rsidR="000B27B9" w:rsidRPr="00754F43" w:rsidRDefault="000B27B9" w:rsidP="0064265C">
            <w:pPr>
              <w:pStyle w:val="Tablecolhead9pt"/>
              <w:rPr>
                <w:rFonts w:cs="Arial"/>
                <w:szCs w:val="18"/>
              </w:rPr>
            </w:pPr>
            <w:r w:rsidRPr="00754F43">
              <w:rPr>
                <w:rFonts w:cs="Arial"/>
                <w:szCs w:val="18"/>
              </w:rPr>
              <w:t>Peer group</w:t>
            </w:r>
          </w:p>
        </w:tc>
      </w:tr>
      <w:tr w:rsidR="00B52718" w:rsidRPr="00754F43" w14:paraId="5494F45A" w14:textId="77777777" w:rsidTr="009D11C0">
        <w:tc>
          <w:tcPr>
            <w:tcW w:w="4965" w:type="dxa"/>
            <w:noWrap/>
          </w:tcPr>
          <w:p w14:paraId="4D1C49E3" w14:textId="0041A6D4" w:rsidR="00B52718" w:rsidRPr="00754F43" w:rsidRDefault="00B52718" w:rsidP="00B52718">
            <w:pPr>
              <w:pStyle w:val="Tabletext9pt"/>
              <w:rPr>
                <w:rFonts w:cs="Arial"/>
                <w:szCs w:val="18"/>
              </w:rPr>
            </w:pPr>
            <w:r w:rsidRPr="00754F43">
              <w:rPr>
                <w:rFonts w:cs="Arial"/>
                <w:color w:val="000000" w:themeColor="text1"/>
                <w:szCs w:val="18"/>
                <w:lang w:eastAsia="zh-CN"/>
              </w:rPr>
              <w:t>Alfred Health</w:t>
            </w:r>
          </w:p>
        </w:tc>
        <w:tc>
          <w:tcPr>
            <w:tcW w:w="4642" w:type="dxa"/>
          </w:tcPr>
          <w:p w14:paraId="514B6600" w14:textId="13D00945" w:rsidR="00B52718" w:rsidRPr="00754F43" w:rsidRDefault="00B52718" w:rsidP="00B52718">
            <w:pPr>
              <w:pStyle w:val="Tabletext9pt"/>
              <w:rPr>
                <w:rFonts w:cs="Arial"/>
                <w:szCs w:val="18"/>
              </w:rPr>
            </w:pPr>
            <w:r w:rsidRPr="00754F43">
              <w:rPr>
                <w:rFonts w:cs="Arial"/>
                <w:color w:val="000000"/>
                <w:szCs w:val="18"/>
                <w:lang w:eastAsia="zh-CN"/>
              </w:rPr>
              <w:t>Metropolitan</w:t>
            </w:r>
          </w:p>
        </w:tc>
      </w:tr>
      <w:tr w:rsidR="00B52718" w:rsidRPr="00754F43" w14:paraId="23330CAA" w14:textId="77777777" w:rsidTr="009D11C0">
        <w:tc>
          <w:tcPr>
            <w:tcW w:w="4965" w:type="dxa"/>
            <w:noWrap/>
          </w:tcPr>
          <w:p w14:paraId="716EFF2D" w14:textId="71A9D3D3"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Austin Health</w:t>
            </w:r>
          </w:p>
        </w:tc>
        <w:tc>
          <w:tcPr>
            <w:tcW w:w="4642" w:type="dxa"/>
          </w:tcPr>
          <w:p w14:paraId="4A40636C" w14:textId="30933324"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31C35848" w:rsidRPr="00754F43" w14:paraId="7955B0DA" w14:textId="77777777" w:rsidTr="009D11C0">
        <w:tc>
          <w:tcPr>
            <w:tcW w:w="4965" w:type="dxa"/>
            <w:noWrap/>
          </w:tcPr>
          <w:p w14:paraId="59EBB9DE" w14:textId="57035E0A" w:rsidR="032769FC" w:rsidRPr="00754F43" w:rsidRDefault="032769FC" w:rsidP="31C35848">
            <w:pPr>
              <w:pStyle w:val="Tabletext9pt"/>
              <w:rPr>
                <w:rFonts w:cs="Arial"/>
                <w:color w:val="000000" w:themeColor="text1"/>
                <w:szCs w:val="18"/>
                <w:lang w:eastAsia="zh-CN"/>
              </w:rPr>
            </w:pPr>
            <w:r w:rsidRPr="00754F43">
              <w:rPr>
                <w:rFonts w:cs="Arial"/>
                <w:color w:val="000000" w:themeColor="text1"/>
                <w:szCs w:val="18"/>
                <w:lang w:eastAsia="zh-CN"/>
              </w:rPr>
              <w:t>Calvary Health Care Bethlehem Ltd</w:t>
            </w:r>
          </w:p>
        </w:tc>
        <w:tc>
          <w:tcPr>
            <w:tcW w:w="4642" w:type="dxa"/>
          </w:tcPr>
          <w:p w14:paraId="0D6FD51C" w14:textId="4B7B9ADF" w:rsidR="032769FC" w:rsidRPr="00754F43" w:rsidRDefault="032769FC" w:rsidP="31C35848">
            <w:pPr>
              <w:pStyle w:val="Tabletext9pt"/>
              <w:rPr>
                <w:rFonts w:cs="Arial"/>
                <w:szCs w:val="18"/>
                <w:lang w:eastAsia="en-AU"/>
              </w:rPr>
            </w:pPr>
            <w:r w:rsidRPr="00754F43">
              <w:rPr>
                <w:rFonts w:cs="Arial"/>
                <w:color w:val="000000" w:themeColor="text1"/>
                <w:szCs w:val="18"/>
                <w:lang w:eastAsia="zh-CN"/>
              </w:rPr>
              <w:t>Metropolitan</w:t>
            </w:r>
          </w:p>
        </w:tc>
      </w:tr>
      <w:tr w:rsidR="00B52718" w:rsidRPr="00754F43" w14:paraId="7BF8B61C" w14:textId="77777777" w:rsidTr="009D11C0">
        <w:tc>
          <w:tcPr>
            <w:tcW w:w="4965" w:type="dxa"/>
            <w:noWrap/>
          </w:tcPr>
          <w:p w14:paraId="787994D8" w14:textId="1B304A6E"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Eastern Health</w:t>
            </w:r>
          </w:p>
        </w:tc>
        <w:tc>
          <w:tcPr>
            <w:tcW w:w="4642" w:type="dxa"/>
          </w:tcPr>
          <w:p w14:paraId="6B50206C" w14:textId="798FAD1E"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70F02E03" w14:textId="77777777" w:rsidTr="009D11C0">
        <w:tc>
          <w:tcPr>
            <w:tcW w:w="4965" w:type="dxa"/>
            <w:noWrap/>
          </w:tcPr>
          <w:p w14:paraId="0F6F3926" w14:textId="1CE55C33" w:rsidR="00B52718" w:rsidRPr="00754F43" w:rsidRDefault="00B52718" w:rsidP="00B52718">
            <w:pPr>
              <w:pStyle w:val="Tabletext9pt"/>
              <w:rPr>
                <w:rFonts w:cs="Arial"/>
                <w:szCs w:val="18"/>
                <w:lang w:eastAsia="en-AU"/>
              </w:rPr>
            </w:pPr>
            <w:r w:rsidRPr="00754F43">
              <w:rPr>
                <w:rFonts w:cs="Arial"/>
                <w:color w:val="000000"/>
                <w:szCs w:val="18"/>
                <w:lang w:eastAsia="zh-CN"/>
              </w:rPr>
              <w:t>Melbourne Health</w:t>
            </w:r>
          </w:p>
        </w:tc>
        <w:tc>
          <w:tcPr>
            <w:tcW w:w="4642" w:type="dxa"/>
          </w:tcPr>
          <w:p w14:paraId="38F02CB7" w14:textId="22AFA770"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427E901F" w14:textId="77777777" w:rsidTr="009D11C0">
        <w:tc>
          <w:tcPr>
            <w:tcW w:w="4965" w:type="dxa"/>
            <w:noWrap/>
          </w:tcPr>
          <w:p w14:paraId="49221882" w14:textId="26A41ABB"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Mercy Public Hospital Inc.</w:t>
            </w:r>
          </w:p>
        </w:tc>
        <w:tc>
          <w:tcPr>
            <w:tcW w:w="4642" w:type="dxa"/>
          </w:tcPr>
          <w:p w14:paraId="3C1310F6" w14:textId="73B21C73"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716F8FC3" w14:textId="77777777" w:rsidTr="009D11C0">
        <w:tc>
          <w:tcPr>
            <w:tcW w:w="4965" w:type="dxa"/>
            <w:noWrap/>
          </w:tcPr>
          <w:p w14:paraId="0C6BDE8A" w14:textId="2B76B9BA" w:rsidR="00B52718" w:rsidRPr="00754F43" w:rsidRDefault="00B52718" w:rsidP="00B52718">
            <w:pPr>
              <w:pStyle w:val="Tabletext9pt"/>
              <w:rPr>
                <w:rFonts w:cs="Arial"/>
                <w:szCs w:val="18"/>
                <w:lang w:eastAsia="en-AU"/>
              </w:rPr>
            </w:pPr>
            <w:r w:rsidRPr="00754F43">
              <w:rPr>
                <w:rFonts w:cs="Arial"/>
                <w:color w:val="000000"/>
                <w:szCs w:val="18"/>
                <w:lang w:eastAsia="zh-CN"/>
              </w:rPr>
              <w:t>Monash Health</w:t>
            </w:r>
          </w:p>
        </w:tc>
        <w:tc>
          <w:tcPr>
            <w:tcW w:w="4642" w:type="dxa"/>
          </w:tcPr>
          <w:p w14:paraId="21450F7A" w14:textId="517AABB4"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293D5E8B" w14:textId="77777777" w:rsidTr="009D11C0">
        <w:tc>
          <w:tcPr>
            <w:tcW w:w="4965" w:type="dxa"/>
            <w:noWrap/>
          </w:tcPr>
          <w:p w14:paraId="5FEB20E0" w14:textId="00A23754"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Northern Health</w:t>
            </w:r>
          </w:p>
        </w:tc>
        <w:tc>
          <w:tcPr>
            <w:tcW w:w="4642" w:type="dxa"/>
          </w:tcPr>
          <w:p w14:paraId="5A592716" w14:textId="2A20D6EC"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02A28CDF" w14:textId="77777777" w:rsidTr="009D11C0">
        <w:tc>
          <w:tcPr>
            <w:tcW w:w="4965" w:type="dxa"/>
            <w:noWrap/>
          </w:tcPr>
          <w:p w14:paraId="3260D563" w14:textId="6A313840"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Peninsula Health</w:t>
            </w:r>
          </w:p>
        </w:tc>
        <w:tc>
          <w:tcPr>
            <w:tcW w:w="4642" w:type="dxa"/>
          </w:tcPr>
          <w:p w14:paraId="47E6F71A" w14:textId="5B93AD26"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3AFB7051" w14:textId="77777777" w:rsidTr="009D11C0">
        <w:tc>
          <w:tcPr>
            <w:tcW w:w="4965" w:type="dxa"/>
            <w:noWrap/>
          </w:tcPr>
          <w:p w14:paraId="3102F41F" w14:textId="7D47EBEE"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Peter MacCallum Cancer Institute</w:t>
            </w:r>
          </w:p>
        </w:tc>
        <w:tc>
          <w:tcPr>
            <w:tcW w:w="4642" w:type="dxa"/>
          </w:tcPr>
          <w:p w14:paraId="595C0A13" w14:textId="58E570AF"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55979DEE" w14:textId="77777777" w:rsidTr="009D11C0">
        <w:tc>
          <w:tcPr>
            <w:tcW w:w="4965" w:type="dxa"/>
            <w:noWrap/>
          </w:tcPr>
          <w:p w14:paraId="5B109F1A" w14:textId="32D753A2" w:rsidR="00B52718" w:rsidRPr="00754F43" w:rsidRDefault="00B52718" w:rsidP="00B52718">
            <w:pPr>
              <w:pStyle w:val="Tabletext9pt"/>
              <w:rPr>
                <w:rFonts w:cs="Arial"/>
                <w:szCs w:val="18"/>
                <w:lang w:eastAsia="en-AU"/>
              </w:rPr>
            </w:pPr>
            <w:r w:rsidRPr="00754F43">
              <w:rPr>
                <w:rFonts w:cs="Arial"/>
                <w:color w:val="000000"/>
                <w:szCs w:val="18"/>
                <w:lang w:eastAsia="zh-CN"/>
              </w:rPr>
              <w:t>Royal Children's Hospital (Melbourne</w:t>
            </w:r>
            <w:r w:rsidR="009B04A8">
              <w:rPr>
                <w:rFonts w:cs="Arial"/>
                <w:color w:val="000000"/>
                <w:szCs w:val="18"/>
                <w:lang w:eastAsia="zh-CN"/>
              </w:rPr>
              <w:t>)</w:t>
            </w:r>
          </w:p>
        </w:tc>
        <w:tc>
          <w:tcPr>
            <w:tcW w:w="4642" w:type="dxa"/>
          </w:tcPr>
          <w:p w14:paraId="27B493D2" w14:textId="38D593C9"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7FC2E7A3" w14:textId="77777777" w:rsidTr="009D11C0">
        <w:tc>
          <w:tcPr>
            <w:tcW w:w="4965" w:type="dxa"/>
            <w:noWrap/>
          </w:tcPr>
          <w:p w14:paraId="3492879B" w14:textId="55CE4136" w:rsidR="00B52718" w:rsidRPr="00754F43" w:rsidRDefault="00B52718" w:rsidP="00B52718">
            <w:pPr>
              <w:pStyle w:val="Tabletext9pt"/>
              <w:rPr>
                <w:rFonts w:cs="Arial"/>
                <w:szCs w:val="18"/>
                <w:lang w:eastAsia="en-AU"/>
              </w:rPr>
            </w:pPr>
            <w:r w:rsidRPr="00754F43">
              <w:rPr>
                <w:rFonts w:cs="Arial"/>
                <w:color w:val="000000"/>
                <w:szCs w:val="18"/>
                <w:lang w:eastAsia="zh-CN"/>
              </w:rPr>
              <w:t>Royal Victorian Eye and Ear Hospital</w:t>
            </w:r>
          </w:p>
        </w:tc>
        <w:tc>
          <w:tcPr>
            <w:tcW w:w="4642" w:type="dxa"/>
          </w:tcPr>
          <w:p w14:paraId="74691E78" w14:textId="34874C7C"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3010BE3D" w14:textId="77777777" w:rsidTr="009D11C0">
        <w:tc>
          <w:tcPr>
            <w:tcW w:w="4965" w:type="dxa"/>
            <w:noWrap/>
          </w:tcPr>
          <w:p w14:paraId="733D56C4" w14:textId="7178E3D9" w:rsidR="00B52718" w:rsidRPr="00754F43" w:rsidRDefault="00B52718" w:rsidP="00B52718">
            <w:pPr>
              <w:pStyle w:val="Tabletext9pt"/>
              <w:rPr>
                <w:rFonts w:cs="Arial"/>
                <w:szCs w:val="18"/>
                <w:lang w:eastAsia="en-AU"/>
              </w:rPr>
            </w:pPr>
            <w:r w:rsidRPr="00754F43">
              <w:rPr>
                <w:rFonts w:cs="Arial"/>
                <w:color w:val="000000"/>
                <w:szCs w:val="18"/>
                <w:lang w:eastAsia="zh-CN"/>
              </w:rPr>
              <w:t>Royal Women's Hospital (Melbourne)</w:t>
            </w:r>
          </w:p>
        </w:tc>
        <w:tc>
          <w:tcPr>
            <w:tcW w:w="4642" w:type="dxa"/>
          </w:tcPr>
          <w:p w14:paraId="13369577" w14:textId="6CCBE592"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2EF2CBB2" w14:textId="77777777" w:rsidTr="009D11C0">
        <w:tc>
          <w:tcPr>
            <w:tcW w:w="4965" w:type="dxa"/>
            <w:noWrap/>
          </w:tcPr>
          <w:p w14:paraId="0D5EF2FE" w14:textId="7266D0D1" w:rsidR="00B52718" w:rsidRPr="00754F43" w:rsidRDefault="00B52718" w:rsidP="00B52718">
            <w:pPr>
              <w:pStyle w:val="Tabletext9pt"/>
              <w:rPr>
                <w:rFonts w:cs="Arial"/>
                <w:szCs w:val="18"/>
                <w:lang w:eastAsia="en-AU"/>
              </w:rPr>
            </w:pPr>
            <w:r w:rsidRPr="00754F43">
              <w:rPr>
                <w:rFonts w:cs="Arial"/>
                <w:color w:val="000000"/>
                <w:szCs w:val="18"/>
                <w:lang w:eastAsia="zh-CN"/>
              </w:rPr>
              <w:t>St Vincent's Hospital (Melbourne) Limited</w:t>
            </w:r>
          </w:p>
        </w:tc>
        <w:tc>
          <w:tcPr>
            <w:tcW w:w="4642" w:type="dxa"/>
          </w:tcPr>
          <w:p w14:paraId="0E9CC308" w14:textId="78EE7A51"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0A95553F" w14:textId="77777777" w:rsidTr="009D11C0">
        <w:tc>
          <w:tcPr>
            <w:tcW w:w="4965" w:type="dxa"/>
            <w:noWrap/>
          </w:tcPr>
          <w:p w14:paraId="337D3193" w14:textId="66E99C36"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Western Health</w:t>
            </w:r>
          </w:p>
        </w:tc>
        <w:tc>
          <w:tcPr>
            <w:tcW w:w="4642" w:type="dxa"/>
          </w:tcPr>
          <w:p w14:paraId="64E399EF" w14:textId="2BCCE0BC"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4BCC8451" w14:textId="77777777" w:rsidTr="009D11C0">
        <w:tc>
          <w:tcPr>
            <w:tcW w:w="4965" w:type="dxa"/>
            <w:noWrap/>
          </w:tcPr>
          <w:p w14:paraId="1DF40930" w14:textId="50B827D3" w:rsidR="00B52718" w:rsidRPr="00754F43" w:rsidRDefault="00B52718" w:rsidP="00B52718">
            <w:pPr>
              <w:pStyle w:val="Tabletext9pt"/>
              <w:rPr>
                <w:rFonts w:cs="Arial"/>
                <w:szCs w:val="18"/>
                <w:lang w:eastAsia="en-AU"/>
              </w:rPr>
            </w:pPr>
            <w:r w:rsidRPr="00754F43">
              <w:rPr>
                <w:rFonts w:cs="Arial"/>
                <w:color w:val="000000"/>
                <w:szCs w:val="18"/>
                <w:lang w:eastAsia="zh-CN"/>
              </w:rPr>
              <w:t>Albury Wodonga Health</w:t>
            </w:r>
          </w:p>
        </w:tc>
        <w:tc>
          <w:tcPr>
            <w:tcW w:w="4642" w:type="dxa"/>
          </w:tcPr>
          <w:p w14:paraId="36112BDD" w14:textId="06333F83"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2A7DC3C0" w14:textId="77777777" w:rsidTr="000522FF">
        <w:tc>
          <w:tcPr>
            <w:tcW w:w="4965" w:type="dxa"/>
            <w:noWrap/>
          </w:tcPr>
          <w:p w14:paraId="477C25F2" w14:textId="3518251B" w:rsidR="00B52718" w:rsidRPr="00754F43" w:rsidRDefault="00B52718" w:rsidP="00B52718">
            <w:pPr>
              <w:pStyle w:val="Tabletext9pt"/>
              <w:rPr>
                <w:rFonts w:cs="Arial"/>
                <w:szCs w:val="18"/>
                <w:lang w:eastAsia="en-AU"/>
              </w:rPr>
            </w:pPr>
            <w:r w:rsidRPr="00754F43">
              <w:rPr>
                <w:rFonts w:cs="Arial"/>
                <w:color w:val="000000"/>
                <w:szCs w:val="18"/>
                <w:lang w:eastAsia="zh-CN"/>
              </w:rPr>
              <w:t>Barwon Health</w:t>
            </w:r>
          </w:p>
        </w:tc>
        <w:tc>
          <w:tcPr>
            <w:tcW w:w="4642" w:type="dxa"/>
          </w:tcPr>
          <w:p w14:paraId="00C8980C" w14:textId="0C84FE68"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7DC20F21" w14:textId="77777777" w:rsidTr="000522FF">
        <w:tc>
          <w:tcPr>
            <w:tcW w:w="4965" w:type="dxa"/>
            <w:noWrap/>
          </w:tcPr>
          <w:p w14:paraId="35CB69DA" w14:textId="305503EC" w:rsidR="00B52718" w:rsidRPr="00754F43" w:rsidRDefault="00B52718" w:rsidP="00B52718">
            <w:pPr>
              <w:pStyle w:val="Tabletext9pt"/>
              <w:rPr>
                <w:rFonts w:cs="Arial"/>
                <w:szCs w:val="18"/>
                <w:lang w:eastAsia="en-AU"/>
              </w:rPr>
            </w:pPr>
            <w:r w:rsidRPr="00754F43">
              <w:rPr>
                <w:rFonts w:cs="Arial"/>
                <w:color w:val="000000"/>
                <w:szCs w:val="18"/>
                <w:lang w:eastAsia="zh-CN"/>
              </w:rPr>
              <w:t>Bendigo Health Care Group</w:t>
            </w:r>
          </w:p>
        </w:tc>
        <w:tc>
          <w:tcPr>
            <w:tcW w:w="4642" w:type="dxa"/>
          </w:tcPr>
          <w:p w14:paraId="57A8B203" w14:textId="13CA917A"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2B570F9D" w14:textId="77777777" w:rsidTr="000522FF">
        <w:tc>
          <w:tcPr>
            <w:tcW w:w="4965" w:type="dxa"/>
            <w:noWrap/>
          </w:tcPr>
          <w:p w14:paraId="18CB505D" w14:textId="58034689" w:rsidR="00B52718" w:rsidRPr="00754F43" w:rsidRDefault="00B52718" w:rsidP="00B52718">
            <w:pPr>
              <w:pStyle w:val="Tabletext9pt"/>
              <w:rPr>
                <w:rFonts w:cs="Arial"/>
                <w:szCs w:val="18"/>
                <w:lang w:eastAsia="en-AU"/>
              </w:rPr>
            </w:pPr>
            <w:r w:rsidRPr="00754F43">
              <w:rPr>
                <w:rFonts w:cs="Arial"/>
                <w:color w:val="000000"/>
                <w:szCs w:val="18"/>
                <w:lang w:eastAsia="zh-CN"/>
              </w:rPr>
              <w:t>Goulburn Valley Health</w:t>
            </w:r>
          </w:p>
        </w:tc>
        <w:tc>
          <w:tcPr>
            <w:tcW w:w="4642" w:type="dxa"/>
          </w:tcPr>
          <w:p w14:paraId="4AD6BE80" w14:textId="2A3521FC"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754735" w:rsidRPr="00754F43" w14:paraId="7D830FBA" w14:textId="77777777" w:rsidTr="002507A6">
        <w:tc>
          <w:tcPr>
            <w:tcW w:w="4965" w:type="dxa"/>
            <w:noWrap/>
          </w:tcPr>
          <w:p w14:paraId="065B26F7" w14:textId="18D58061" w:rsidR="00754735" w:rsidRPr="00754F43" w:rsidRDefault="00754735" w:rsidP="00B52718">
            <w:pPr>
              <w:pStyle w:val="Tabletext9pt"/>
              <w:rPr>
                <w:rFonts w:cs="Arial"/>
                <w:color w:val="000000"/>
                <w:szCs w:val="18"/>
                <w:lang w:eastAsia="zh-CN"/>
              </w:rPr>
            </w:pPr>
            <w:r w:rsidRPr="00754F43">
              <w:rPr>
                <w:rFonts w:cs="Arial"/>
                <w:color w:val="000000"/>
                <w:szCs w:val="18"/>
                <w:lang w:eastAsia="zh-CN"/>
              </w:rPr>
              <w:t>Grampians Health</w:t>
            </w:r>
          </w:p>
        </w:tc>
        <w:tc>
          <w:tcPr>
            <w:tcW w:w="4642" w:type="dxa"/>
          </w:tcPr>
          <w:p w14:paraId="71F27518" w14:textId="4E9CEE1D" w:rsidR="00754735" w:rsidRPr="00754F43" w:rsidRDefault="00754735" w:rsidP="00B52718">
            <w:pPr>
              <w:pStyle w:val="Tabletext9pt"/>
              <w:rPr>
                <w:rFonts w:cs="Arial"/>
                <w:color w:val="000000"/>
                <w:szCs w:val="18"/>
                <w:lang w:eastAsia="zh-CN"/>
              </w:rPr>
            </w:pPr>
            <w:r w:rsidRPr="00754F43">
              <w:rPr>
                <w:rFonts w:cs="Arial"/>
                <w:color w:val="000000"/>
                <w:szCs w:val="18"/>
                <w:lang w:eastAsia="zh-CN"/>
              </w:rPr>
              <w:t>Regional</w:t>
            </w:r>
          </w:p>
        </w:tc>
      </w:tr>
      <w:tr w:rsidR="00B52718" w:rsidRPr="00754F43" w14:paraId="4FDACEBF" w14:textId="77777777" w:rsidTr="000522FF">
        <w:tc>
          <w:tcPr>
            <w:tcW w:w="4965" w:type="dxa"/>
            <w:noWrap/>
          </w:tcPr>
          <w:p w14:paraId="45FECF14" w14:textId="77404EEA" w:rsidR="00B52718" w:rsidRPr="00754F43" w:rsidRDefault="00B52718" w:rsidP="00B52718">
            <w:pPr>
              <w:pStyle w:val="Tabletext9pt"/>
              <w:rPr>
                <w:rFonts w:cs="Arial"/>
                <w:szCs w:val="18"/>
                <w:lang w:eastAsia="en-AU"/>
              </w:rPr>
            </w:pPr>
            <w:r w:rsidRPr="00754F43">
              <w:rPr>
                <w:rFonts w:cs="Arial"/>
                <w:color w:val="000000"/>
                <w:szCs w:val="18"/>
                <w:lang w:eastAsia="zh-CN"/>
              </w:rPr>
              <w:t>Latrobe Regional Hospital</w:t>
            </w:r>
          </w:p>
        </w:tc>
        <w:tc>
          <w:tcPr>
            <w:tcW w:w="4642" w:type="dxa"/>
          </w:tcPr>
          <w:p w14:paraId="5B5B1253" w14:textId="6C8E8411"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168DE15F" w14:textId="77777777" w:rsidTr="000522FF">
        <w:tc>
          <w:tcPr>
            <w:tcW w:w="4965" w:type="dxa"/>
            <w:noWrap/>
          </w:tcPr>
          <w:p w14:paraId="183A5200" w14:textId="2BCC330B" w:rsidR="00B52718" w:rsidRPr="00754F43" w:rsidRDefault="00B52718" w:rsidP="00B52718">
            <w:pPr>
              <w:pStyle w:val="Tabletext9pt"/>
              <w:rPr>
                <w:rFonts w:cs="Arial"/>
                <w:szCs w:val="18"/>
                <w:lang w:eastAsia="en-AU"/>
              </w:rPr>
            </w:pPr>
            <w:r w:rsidRPr="00754F43">
              <w:rPr>
                <w:rFonts w:cs="Arial"/>
                <w:color w:val="000000"/>
                <w:szCs w:val="18"/>
                <w:lang w:eastAsia="zh-CN"/>
              </w:rPr>
              <w:t>Bairnsdale Regional Health Service</w:t>
            </w:r>
          </w:p>
        </w:tc>
        <w:tc>
          <w:tcPr>
            <w:tcW w:w="4642" w:type="dxa"/>
          </w:tcPr>
          <w:p w14:paraId="106890F6" w14:textId="3EB4F2F2" w:rsidR="00B52718" w:rsidRPr="00754F43" w:rsidRDefault="00B52718" w:rsidP="00B52718">
            <w:pPr>
              <w:pStyle w:val="Tabletext9pt"/>
              <w:rPr>
                <w:rFonts w:cs="Arial"/>
                <w:color w:val="000000" w:themeColor="text1"/>
                <w:szCs w:val="18"/>
                <w:lang w:eastAsia="zh-CN"/>
              </w:rPr>
            </w:pPr>
            <w:r w:rsidRPr="00754F43">
              <w:rPr>
                <w:rFonts w:cs="Arial"/>
                <w:color w:val="000000" w:themeColor="text1"/>
                <w:szCs w:val="18"/>
                <w:lang w:eastAsia="zh-CN"/>
              </w:rPr>
              <w:t>Subregional</w:t>
            </w:r>
            <w:r w:rsidR="5DEF9679" w:rsidRPr="00754F43">
              <w:rPr>
                <w:rFonts w:cs="Arial"/>
                <w:color w:val="000000" w:themeColor="text1"/>
                <w:szCs w:val="18"/>
                <w:lang w:eastAsia="zh-CN"/>
              </w:rPr>
              <w:t xml:space="preserve"> and local</w:t>
            </w:r>
          </w:p>
        </w:tc>
      </w:tr>
      <w:tr w:rsidR="00B52718" w:rsidRPr="00754F43" w14:paraId="27B9913D" w14:textId="77777777" w:rsidTr="000522FF">
        <w:tc>
          <w:tcPr>
            <w:tcW w:w="4965" w:type="dxa"/>
            <w:noWrap/>
          </w:tcPr>
          <w:p w14:paraId="5C0BAF3C" w14:textId="46454594" w:rsidR="00B52718" w:rsidRPr="00754F43" w:rsidRDefault="00B52718" w:rsidP="00B52718">
            <w:pPr>
              <w:pStyle w:val="Tabletext9pt"/>
              <w:rPr>
                <w:rFonts w:cs="Arial"/>
                <w:szCs w:val="18"/>
              </w:rPr>
            </w:pPr>
            <w:r w:rsidRPr="00754F43">
              <w:rPr>
                <w:rFonts w:cs="Arial"/>
                <w:color w:val="000000"/>
                <w:szCs w:val="18"/>
                <w:lang w:eastAsia="zh-CN"/>
              </w:rPr>
              <w:t>Bass Coast Health</w:t>
            </w:r>
          </w:p>
        </w:tc>
        <w:tc>
          <w:tcPr>
            <w:tcW w:w="4642" w:type="dxa"/>
          </w:tcPr>
          <w:p w14:paraId="474E73B4" w14:textId="26CAEC2C"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42D90B9F" w:rsidRPr="00754F43">
              <w:rPr>
                <w:rFonts w:cs="Arial"/>
                <w:color w:val="000000" w:themeColor="text1"/>
                <w:szCs w:val="18"/>
                <w:lang w:eastAsia="zh-CN"/>
              </w:rPr>
              <w:t xml:space="preserve"> and local</w:t>
            </w:r>
          </w:p>
        </w:tc>
      </w:tr>
      <w:tr w:rsidR="00B52718" w:rsidRPr="00754F43" w14:paraId="7426BE6B" w14:textId="77777777" w:rsidTr="000522FF">
        <w:tc>
          <w:tcPr>
            <w:tcW w:w="4965" w:type="dxa"/>
            <w:noWrap/>
          </w:tcPr>
          <w:p w14:paraId="1505AAA1" w14:textId="4264F190" w:rsidR="00B52718" w:rsidRPr="00754F43" w:rsidRDefault="00B52718" w:rsidP="00B52718">
            <w:pPr>
              <w:pStyle w:val="Tabletext9pt"/>
              <w:rPr>
                <w:rFonts w:cs="Arial"/>
                <w:szCs w:val="18"/>
              </w:rPr>
            </w:pPr>
            <w:r w:rsidRPr="00754F43">
              <w:rPr>
                <w:rFonts w:cs="Arial"/>
                <w:color w:val="000000"/>
                <w:szCs w:val="18"/>
                <w:lang w:eastAsia="zh-CN"/>
              </w:rPr>
              <w:t>Benalla Health</w:t>
            </w:r>
          </w:p>
        </w:tc>
        <w:tc>
          <w:tcPr>
            <w:tcW w:w="4642" w:type="dxa"/>
          </w:tcPr>
          <w:p w14:paraId="156F9152" w14:textId="75BCB075"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5ECE335A" w:rsidRPr="00754F43">
              <w:rPr>
                <w:rFonts w:cs="Arial"/>
                <w:color w:val="000000" w:themeColor="text1"/>
                <w:szCs w:val="18"/>
                <w:lang w:eastAsia="zh-CN"/>
              </w:rPr>
              <w:t xml:space="preserve"> and local</w:t>
            </w:r>
          </w:p>
        </w:tc>
      </w:tr>
      <w:tr w:rsidR="00B52718" w:rsidRPr="00754F43" w14:paraId="6EB3A9CD" w14:textId="77777777" w:rsidTr="000522FF">
        <w:tc>
          <w:tcPr>
            <w:tcW w:w="4965" w:type="dxa"/>
            <w:noWrap/>
          </w:tcPr>
          <w:p w14:paraId="322F645D" w14:textId="3FC9FFF9" w:rsidR="00B52718" w:rsidRPr="00754F43" w:rsidRDefault="00B52718" w:rsidP="00B52718">
            <w:pPr>
              <w:pStyle w:val="Tabletext9pt"/>
              <w:rPr>
                <w:rFonts w:cs="Arial"/>
                <w:szCs w:val="18"/>
              </w:rPr>
            </w:pPr>
            <w:r w:rsidRPr="00754F43">
              <w:rPr>
                <w:rFonts w:cs="Arial"/>
                <w:color w:val="000000"/>
                <w:szCs w:val="18"/>
                <w:lang w:eastAsia="zh-CN"/>
              </w:rPr>
              <w:t>Castlemaine Health</w:t>
            </w:r>
          </w:p>
        </w:tc>
        <w:tc>
          <w:tcPr>
            <w:tcW w:w="4642" w:type="dxa"/>
          </w:tcPr>
          <w:p w14:paraId="5F2A23FE" w14:textId="0CDFB6FD"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5B8537A5" w:rsidRPr="00754F43">
              <w:rPr>
                <w:rFonts w:cs="Arial"/>
                <w:color w:val="000000" w:themeColor="text1"/>
                <w:szCs w:val="18"/>
                <w:lang w:eastAsia="zh-CN"/>
              </w:rPr>
              <w:t xml:space="preserve"> and local</w:t>
            </w:r>
          </w:p>
        </w:tc>
      </w:tr>
      <w:tr w:rsidR="00B52718" w:rsidRPr="00754F43" w14:paraId="7B0F2080" w14:textId="77777777" w:rsidTr="000522FF">
        <w:tc>
          <w:tcPr>
            <w:tcW w:w="4965" w:type="dxa"/>
            <w:noWrap/>
          </w:tcPr>
          <w:p w14:paraId="7D861834" w14:textId="145E7C0F" w:rsidR="00B52718" w:rsidRPr="00754F43" w:rsidRDefault="00B52718" w:rsidP="00B52718">
            <w:pPr>
              <w:pStyle w:val="Tabletext9pt"/>
              <w:rPr>
                <w:rFonts w:cs="Arial"/>
                <w:szCs w:val="18"/>
              </w:rPr>
            </w:pPr>
            <w:r w:rsidRPr="00754F43">
              <w:rPr>
                <w:rFonts w:cs="Arial"/>
                <w:color w:val="000000"/>
                <w:szCs w:val="18"/>
                <w:lang w:eastAsia="zh-CN"/>
              </w:rPr>
              <w:t>Central Gippsland Health Service</w:t>
            </w:r>
          </w:p>
        </w:tc>
        <w:tc>
          <w:tcPr>
            <w:tcW w:w="4642" w:type="dxa"/>
          </w:tcPr>
          <w:p w14:paraId="1C5B711D" w14:textId="40057E08"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1D825E63" w:rsidRPr="00754F43">
              <w:rPr>
                <w:rFonts w:cs="Arial"/>
                <w:color w:val="000000" w:themeColor="text1"/>
                <w:szCs w:val="18"/>
                <w:lang w:eastAsia="zh-CN"/>
              </w:rPr>
              <w:t xml:space="preserve"> and local</w:t>
            </w:r>
          </w:p>
        </w:tc>
      </w:tr>
      <w:tr w:rsidR="00B52718" w:rsidRPr="00754F43" w14:paraId="145124AE" w14:textId="77777777" w:rsidTr="000522FF">
        <w:tc>
          <w:tcPr>
            <w:tcW w:w="4965" w:type="dxa"/>
            <w:noWrap/>
          </w:tcPr>
          <w:p w14:paraId="0E5ECCD5" w14:textId="27AFB77C" w:rsidR="00B52718" w:rsidRPr="00754F43" w:rsidRDefault="00B52718" w:rsidP="00B52718">
            <w:pPr>
              <w:pStyle w:val="Tabletext9pt"/>
              <w:rPr>
                <w:rFonts w:cs="Arial"/>
                <w:szCs w:val="18"/>
              </w:rPr>
            </w:pPr>
            <w:r w:rsidRPr="00754F43">
              <w:rPr>
                <w:rFonts w:cs="Arial"/>
                <w:color w:val="000000"/>
                <w:szCs w:val="18"/>
                <w:lang w:eastAsia="zh-CN"/>
              </w:rPr>
              <w:t>Colac Area Health</w:t>
            </w:r>
          </w:p>
        </w:tc>
        <w:tc>
          <w:tcPr>
            <w:tcW w:w="4642" w:type="dxa"/>
          </w:tcPr>
          <w:p w14:paraId="65E4C472" w14:textId="67A32E59"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38D61868" w:rsidRPr="00754F43">
              <w:rPr>
                <w:rFonts w:cs="Arial"/>
                <w:color w:val="000000" w:themeColor="text1"/>
                <w:szCs w:val="18"/>
                <w:lang w:eastAsia="zh-CN"/>
              </w:rPr>
              <w:t xml:space="preserve"> and local</w:t>
            </w:r>
          </w:p>
        </w:tc>
      </w:tr>
      <w:tr w:rsidR="00B52718" w:rsidRPr="00754F43" w14:paraId="41FCD65D" w14:textId="77777777" w:rsidTr="000522FF">
        <w:tc>
          <w:tcPr>
            <w:tcW w:w="4965" w:type="dxa"/>
            <w:noWrap/>
          </w:tcPr>
          <w:p w14:paraId="7A5139D9" w14:textId="74C35E85" w:rsidR="00B52718" w:rsidRPr="00754F43" w:rsidRDefault="00B52718" w:rsidP="00B52718">
            <w:pPr>
              <w:pStyle w:val="Tabletext9pt"/>
              <w:rPr>
                <w:rFonts w:cs="Arial"/>
                <w:szCs w:val="18"/>
              </w:rPr>
            </w:pPr>
            <w:r w:rsidRPr="00754F43">
              <w:rPr>
                <w:rFonts w:cs="Arial"/>
                <w:color w:val="000000"/>
                <w:szCs w:val="18"/>
                <w:lang w:eastAsia="zh-CN"/>
              </w:rPr>
              <w:t>East Grampians Health Service</w:t>
            </w:r>
          </w:p>
        </w:tc>
        <w:tc>
          <w:tcPr>
            <w:tcW w:w="4642" w:type="dxa"/>
          </w:tcPr>
          <w:p w14:paraId="19252B5A" w14:textId="03B8A447"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016EE3E7" w:rsidRPr="00754F43">
              <w:rPr>
                <w:rFonts w:cs="Arial"/>
                <w:color w:val="000000" w:themeColor="text1"/>
                <w:szCs w:val="18"/>
                <w:lang w:eastAsia="zh-CN"/>
              </w:rPr>
              <w:t xml:space="preserve"> and local</w:t>
            </w:r>
          </w:p>
        </w:tc>
      </w:tr>
      <w:tr w:rsidR="00B52718" w:rsidRPr="00754F43" w14:paraId="2FD9BAED" w14:textId="77777777" w:rsidTr="000522FF">
        <w:tc>
          <w:tcPr>
            <w:tcW w:w="4965" w:type="dxa"/>
            <w:noWrap/>
          </w:tcPr>
          <w:p w14:paraId="1BB8903E" w14:textId="3A637F00" w:rsidR="00B52718" w:rsidRPr="00754F43" w:rsidRDefault="00B52718" w:rsidP="00B52718">
            <w:pPr>
              <w:pStyle w:val="Tabletext9pt"/>
              <w:rPr>
                <w:rFonts w:cs="Arial"/>
                <w:szCs w:val="18"/>
              </w:rPr>
            </w:pPr>
            <w:r w:rsidRPr="00754F43">
              <w:rPr>
                <w:rFonts w:cs="Arial"/>
                <w:color w:val="000000"/>
                <w:szCs w:val="18"/>
                <w:lang w:eastAsia="zh-CN"/>
              </w:rPr>
              <w:t>Echuca Regional Health</w:t>
            </w:r>
          </w:p>
        </w:tc>
        <w:tc>
          <w:tcPr>
            <w:tcW w:w="4642" w:type="dxa"/>
          </w:tcPr>
          <w:p w14:paraId="128267ED" w14:textId="27030CB3"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3EDF4DC5" w:rsidRPr="00754F43">
              <w:rPr>
                <w:rFonts w:cs="Arial"/>
                <w:color w:val="000000" w:themeColor="text1"/>
                <w:szCs w:val="18"/>
                <w:lang w:eastAsia="zh-CN"/>
              </w:rPr>
              <w:t xml:space="preserve"> and local</w:t>
            </w:r>
          </w:p>
        </w:tc>
      </w:tr>
      <w:tr w:rsidR="00B52718" w:rsidRPr="00754F43" w14:paraId="5F7B125E" w14:textId="77777777" w:rsidTr="000522FF">
        <w:tc>
          <w:tcPr>
            <w:tcW w:w="4965" w:type="dxa"/>
            <w:noWrap/>
          </w:tcPr>
          <w:p w14:paraId="4EE4E90B" w14:textId="1CBD04F2" w:rsidR="00B52718" w:rsidRPr="00754F43" w:rsidRDefault="00B52718" w:rsidP="00B52718">
            <w:pPr>
              <w:pStyle w:val="Tabletext9pt"/>
              <w:rPr>
                <w:rFonts w:cs="Arial"/>
                <w:szCs w:val="18"/>
              </w:rPr>
            </w:pPr>
            <w:r w:rsidRPr="00754F43">
              <w:rPr>
                <w:rFonts w:cs="Arial"/>
                <w:color w:val="000000"/>
                <w:szCs w:val="18"/>
                <w:lang w:eastAsia="zh-CN"/>
              </w:rPr>
              <w:t>Gippsland Southern Health Service</w:t>
            </w:r>
          </w:p>
        </w:tc>
        <w:tc>
          <w:tcPr>
            <w:tcW w:w="4642" w:type="dxa"/>
          </w:tcPr>
          <w:p w14:paraId="3ECD27C2" w14:textId="3E2A13D2"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1BDE9935" w:rsidRPr="00754F43">
              <w:rPr>
                <w:rFonts w:cs="Arial"/>
                <w:color w:val="000000" w:themeColor="text1"/>
                <w:szCs w:val="18"/>
                <w:lang w:eastAsia="zh-CN"/>
              </w:rPr>
              <w:t xml:space="preserve"> and local</w:t>
            </w:r>
          </w:p>
        </w:tc>
      </w:tr>
      <w:tr w:rsidR="00B52718" w:rsidRPr="00754F43" w14:paraId="07E24ACE" w14:textId="77777777" w:rsidTr="000522FF">
        <w:tc>
          <w:tcPr>
            <w:tcW w:w="4965" w:type="dxa"/>
            <w:noWrap/>
          </w:tcPr>
          <w:p w14:paraId="0F7C98A3" w14:textId="5176DDE1" w:rsidR="00B52718" w:rsidRPr="00754F43" w:rsidRDefault="00B52718" w:rsidP="00B52718">
            <w:pPr>
              <w:pStyle w:val="Tabletext9pt"/>
              <w:rPr>
                <w:rFonts w:cs="Arial"/>
                <w:szCs w:val="18"/>
              </w:rPr>
            </w:pPr>
            <w:r w:rsidRPr="00754F43">
              <w:rPr>
                <w:rFonts w:cs="Arial"/>
                <w:color w:val="000000"/>
                <w:szCs w:val="18"/>
                <w:lang w:eastAsia="zh-CN"/>
              </w:rPr>
              <w:t>Kyabram and District Health Service</w:t>
            </w:r>
          </w:p>
        </w:tc>
        <w:tc>
          <w:tcPr>
            <w:tcW w:w="4642" w:type="dxa"/>
          </w:tcPr>
          <w:p w14:paraId="39F85BB0" w14:textId="1F0B041D"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4AB7E044" w:rsidRPr="00754F43">
              <w:rPr>
                <w:rFonts w:cs="Arial"/>
                <w:color w:val="000000" w:themeColor="text1"/>
                <w:szCs w:val="18"/>
                <w:lang w:eastAsia="zh-CN"/>
              </w:rPr>
              <w:t xml:space="preserve"> and local</w:t>
            </w:r>
          </w:p>
        </w:tc>
      </w:tr>
      <w:tr w:rsidR="00B52718" w:rsidRPr="00754F43" w14:paraId="6F8594F5" w14:textId="77777777" w:rsidTr="000522FF">
        <w:tc>
          <w:tcPr>
            <w:tcW w:w="4965" w:type="dxa"/>
            <w:noWrap/>
          </w:tcPr>
          <w:p w14:paraId="0F5C687A" w14:textId="565CEB12" w:rsidR="00B52718" w:rsidRPr="00754F43" w:rsidRDefault="00B52718" w:rsidP="00B52718">
            <w:pPr>
              <w:pStyle w:val="Tabletext9pt"/>
              <w:rPr>
                <w:rFonts w:cs="Arial"/>
                <w:szCs w:val="18"/>
              </w:rPr>
            </w:pPr>
            <w:r w:rsidRPr="00754F43">
              <w:rPr>
                <w:rFonts w:cs="Arial"/>
                <w:color w:val="000000"/>
                <w:szCs w:val="18"/>
                <w:lang w:eastAsia="zh-CN"/>
              </w:rPr>
              <w:t>Maryborough District Health Service</w:t>
            </w:r>
          </w:p>
        </w:tc>
        <w:tc>
          <w:tcPr>
            <w:tcW w:w="4642" w:type="dxa"/>
          </w:tcPr>
          <w:p w14:paraId="6720C72A" w14:textId="78C55E31"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652C37BC" w:rsidRPr="00754F43">
              <w:rPr>
                <w:rFonts w:cs="Arial"/>
                <w:color w:val="000000" w:themeColor="text1"/>
                <w:szCs w:val="18"/>
                <w:lang w:eastAsia="zh-CN"/>
              </w:rPr>
              <w:t xml:space="preserve"> and local</w:t>
            </w:r>
          </w:p>
        </w:tc>
      </w:tr>
      <w:tr w:rsidR="00B52718" w:rsidRPr="00754F43" w14:paraId="2AA6D7AB" w14:textId="77777777" w:rsidTr="000522FF">
        <w:tc>
          <w:tcPr>
            <w:tcW w:w="4965" w:type="dxa"/>
            <w:noWrap/>
          </w:tcPr>
          <w:p w14:paraId="72B0811F" w14:textId="5128ED8B" w:rsidR="00B52718" w:rsidRPr="00754F43" w:rsidRDefault="00B52718" w:rsidP="00B52718">
            <w:pPr>
              <w:pStyle w:val="Tabletext9pt"/>
              <w:rPr>
                <w:rFonts w:cs="Arial"/>
                <w:szCs w:val="18"/>
              </w:rPr>
            </w:pPr>
            <w:r w:rsidRPr="00754F43">
              <w:rPr>
                <w:rFonts w:cs="Arial"/>
                <w:color w:val="000000"/>
                <w:szCs w:val="18"/>
                <w:lang w:eastAsia="zh-CN"/>
              </w:rPr>
              <w:t>Mildura Base Hospital</w:t>
            </w:r>
          </w:p>
        </w:tc>
        <w:tc>
          <w:tcPr>
            <w:tcW w:w="4642" w:type="dxa"/>
          </w:tcPr>
          <w:p w14:paraId="785687DB" w14:textId="14600052"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09D735E4" w:rsidRPr="00754F43">
              <w:rPr>
                <w:rFonts w:cs="Arial"/>
                <w:color w:val="000000" w:themeColor="text1"/>
                <w:szCs w:val="18"/>
                <w:lang w:eastAsia="zh-CN"/>
              </w:rPr>
              <w:t xml:space="preserve"> and local</w:t>
            </w:r>
          </w:p>
        </w:tc>
      </w:tr>
      <w:tr w:rsidR="00B52718" w:rsidRPr="00754F43" w14:paraId="2EA1FF83" w14:textId="77777777" w:rsidTr="000522FF">
        <w:tc>
          <w:tcPr>
            <w:tcW w:w="4965" w:type="dxa"/>
            <w:noWrap/>
          </w:tcPr>
          <w:p w14:paraId="5DAC7F61" w14:textId="64F6C282" w:rsidR="00B52718" w:rsidRPr="00754F43" w:rsidRDefault="00B52718" w:rsidP="00B52718">
            <w:pPr>
              <w:pStyle w:val="Tabletext9pt"/>
              <w:rPr>
                <w:rFonts w:cs="Arial"/>
                <w:szCs w:val="18"/>
              </w:rPr>
            </w:pPr>
            <w:r w:rsidRPr="00754F43">
              <w:rPr>
                <w:rFonts w:cs="Arial"/>
                <w:color w:val="000000"/>
                <w:szCs w:val="18"/>
                <w:lang w:eastAsia="zh-CN"/>
              </w:rPr>
              <w:t>Northeast Health Wangaratta</w:t>
            </w:r>
          </w:p>
        </w:tc>
        <w:tc>
          <w:tcPr>
            <w:tcW w:w="4642" w:type="dxa"/>
          </w:tcPr>
          <w:p w14:paraId="3D9F9849" w14:textId="437156AF"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3E67DA37" w:rsidRPr="00754F43">
              <w:rPr>
                <w:rFonts w:cs="Arial"/>
                <w:color w:val="000000" w:themeColor="text1"/>
                <w:szCs w:val="18"/>
                <w:lang w:eastAsia="zh-CN"/>
              </w:rPr>
              <w:t xml:space="preserve"> and local</w:t>
            </w:r>
          </w:p>
        </w:tc>
      </w:tr>
      <w:tr w:rsidR="00B52718" w:rsidRPr="00754F43" w14:paraId="15AF3FB2" w14:textId="77777777" w:rsidTr="000522FF">
        <w:tc>
          <w:tcPr>
            <w:tcW w:w="4965" w:type="dxa"/>
            <w:noWrap/>
          </w:tcPr>
          <w:p w14:paraId="17D41A03" w14:textId="1AE17F9E" w:rsidR="00B52718" w:rsidRPr="00754F43" w:rsidRDefault="00B52718" w:rsidP="00B52718">
            <w:pPr>
              <w:pStyle w:val="Tabletext9pt"/>
              <w:rPr>
                <w:rFonts w:cs="Arial"/>
                <w:szCs w:val="18"/>
              </w:rPr>
            </w:pPr>
            <w:r w:rsidRPr="00754F43">
              <w:rPr>
                <w:rFonts w:cs="Arial"/>
                <w:color w:val="000000"/>
                <w:szCs w:val="18"/>
                <w:lang w:eastAsia="zh-CN"/>
              </w:rPr>
              <w:t>Portland District Health</w:t>
            </w:r>
          </w:p>
        </w:tc>
        <w:tc>
          <w:tcPr>
            <w:tcW w:w="4642" w:type="dxa"/>
          </w:tcPr>
          <w:p w14:paraId="3EF69B43" w14:textId="77777777"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4CEA9D78" w:rsidRPr="00754F43">
              <w:rPr>
                <w:rFonts w:cs="Arial"/>
                <w:color w:val="000000" w:themeColor="text1"/>
                <w:szCs w:val="18"/>
                <w:lang w:eastAsia="zh-CN"/>
              </w:rPr>
              <w:t xml:space="preserve"> and local</w:t>
            </w:r>
          </w:p>
        </w:tc>
      </w:tr>
      <w:tr w:rsidR="00B52718" w:rsidRPr="00754F43" w14:paraId="20477D5D" w14:textId="77777777" w:rsidTr="000522FF">
        <w:tc>
          <w:tcPr>
            <w:tcW w:w="4965" w:type="dxa"/>
            <w:noWrap/>
          </w:tcPr>
          <w:p w14:paraId="7F2B47C8" w14:textId="526BDB0B" w:rsidR="00B52718" w:rsidRPr="00754F43" w:rsidRDefault="00B52718" w:rsidP="00B52718">
            <w:pPr>
              <w:pStyle w:val="Tabletext9pt"/>
              <w:rPr>
                <w:rFonts w:cs="Arial"/>
                <w:szCs w:val="18"/>
              </w:rPr>
            </w:pPr>
            <w:r w:rsidRPr="00754F43">
              <w:rPr>
                <w:rFonts w:cs="Arial"/>
                <w:color w:val="000000" w:themeColor="text1"/>
                <w:szCs w:val="18"/>
                <w:lang w:eastAsia="zh-CN"/>
              </w:rPr>
              <w:t>South West Healthcare</w:t>
            </w:r>
          </w:p>
        </w:tc>
        <w:tc>
          <w:tcPr>
            <w:tcW w:w="4642" w:type="dxa"/>
          </w:tcPr>
          <w:p w14:paraId="3A6DC5BC" w14:textId="64C5C200"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550276CC" w:rsidRPr="00754F43">
              <w:rPr>
                <w:rFonts w:cs="Arial"/>
                <w:color w:val="000000" w:themeColor="text1"/>
                <w:szCs w:val="18"/>
                <w:lang w:eastAsia="zh-CN"/>
              </w:rPr>
              <w:t xml:space="preserve"> and local</w:t>
            </w:r>
          </w:p>
        </w:tc>
      </w:tr>
      <w:tr w:rsidR="00B52718" w:rsidRPr="00754F43" w14:paraId="063655BD" w14:textId="77777777" w:rsidTr="000522FF">
        <w:tc>
          <w:tcPr>
            <w:tcW w:w="4965" w:type="dxa"/>
            <w:noWrap/>
          </w:tcPr>
          <w:p w14:paraId="1E574036" w14:textId="479C9ED3" w:rsidR="00B52718" w:rsidRPr="00754F43" w:rsidRDefault="00B52718" w:rsidP="00B52718">
            <w:pPr>
              <w:pStyle w:val="Tabletext9pt"/>
              <w:rPr>
                <w:rFonts w:cs="Arial"/>
                <w:szCs w:val="18"/>
              </w:rPr>
            </w:pPr>
            <w:r w:rsidRPr="00754F43">
              <w:rPr>
                <w:rFonts w:cs="Arial"/>
                <w:color w:val="000000"/>
                <w:szCs w:val="18"/>
                <w:lang w:eastAsia="zh-CN"/>
              </w:rPr>
              <w:lastRenderedPageBreak/>
              <w:t>Swan Hill District Health</w:t>
            </w:r>
          </w:p>
        </w:tc>
        <w:tc>
          <w:tcPr>
            <w:tcW w:w="4642" w:type="dxa"/>
          </w:tcPr>
          <w:p w14:paraId="1447167C" w14:textId="756B585F"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5210333E" w:rsidRPr="00754F43">
              <w:rPr>
                <w:rFonts w:cs="Arial"/>
                <w:color w:val="000000" w:themeColor="text1"/>
                <w:szCs w:val="18"/>
                <w:lang w:eastAsia="zh-CN"/>
              </w:rPr>
              <w:t xml:space="preserve"> and local</w:t>
            </w:r>
          </w:p>
        </w:tc>
      </w:tr>
      <w:tr w:rsidR="00B52718" w:rsidRPr="00754F43" w14:paraId="624AE561" w14:textId="77777777" w:rsidTr="000522FF">
        <w:tc>
          <w:tcPr>
            <w:tcW w:w="4965" w:type="dxa"/>
            <w:noWrap/>
          </w:tcPr>
          <w:p w14:paraId="6D83DA19" w14:textId="73E949C6" w:rsidR="00B52718" w:rsidRPr="00754F43" w:rsidRDefault="00B52718" w:rsidP="00B52718">
            <w:pPr>
              <w:pStyle w:val="Tabletext9pt"/>
              <w:rPr>
                <w:rFonts w:cs="Arial"/>
                <w:szCs w:val="18"/>
              </w:rPr>
            </w:pPr>
            <w:r w:rsidRPr="00754F43">
              <w:rPr>
                <w:rFonts w:cs="Arial"/>
                <w:color w:val="000000"/>
                <w:szCs w:val="18"/>
                <w:lang w:eastAsia="zh-CN"/>
              </w:rPr>
              <w:t>West Gippsland Healthcare Group</w:t>
            </w:r>
          </w:p>
        </w:tc>
        <w:tc>
          <w:tcPr>
            <w:tcW w:w="4642" w:type="dxa"/>
          </w:tcPr>
          <w:p w14:paraId="7652D1E3" w14:textId="375A563B"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4EE1594C" w:rsidRPr="00754F43">
              <w:rPr>
                <w:rFonts w:cs="Arial"/>
                <w:color w:val="000000" w:themeColor="text1"/>
                <w:szCs w:val="18"/>
                <w:lang w:eastAsia="zh-CN"/>
              </w:rPr>
              <w:t xml:space="preserve"> and local</w:t>
            </w:r>
          </w:p>
        </w:tc>
      </w:tr>
      <w:tr w:rsidR="00B52718" w:rsidRPr="00754F43" w14:paraId="53C594BA" w14:textId="77777777" w:rsidTr="000522FF">
        <w:tc>
          <w:tcPr>
            <w:tcW w:w="4965" w:type="dxa"/>
            <w:noWrap/>
          </w:tcPr>
          <w:p w14:paraId="6E4E9413" w14:textId="0EBF12E2" w:rsidR="00B52718" w:rsidRPr="00754F43" w:rsidRDefault="00B52718" w:rsidP="00B52718">
            <w:pPr>
              <w:pStyle w:val="Tabletext9pt"/>
              <w:rPr>
                <w:rFonts w:cs="Arial"/>
                <w:szCs w:val="18"/>
              </w:rPr>
            </w:pPr>
            <w:r w:rsidRPr="00754F43">
              <w:rPr>
                <w:rFonts w:cs="Arial"/>
                <w:color w:val="000000" w:themeColor="text1"/>
                <w:szCs w:val="18"/>
                <w:lang w:eastAsia="zh-CN"/>
              </w:rPr>
              <w:t>Western District Health Service</w:t>
            </w:r>
          </w:p>
        </w:tc>
        <w:tc>
          <w:tcPr>
            <w:tcW w:w="4642" w:type="dxa"/>
          </w:tcPr>
          <w:p w14:paraId="579394F0" w14:textId="1146C85C"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5640C819" w:rsidRPr="00754F43">
              <w:rPr>
                <w:rFonts w:cs="Arial"/>
                <w:color w:val="000000" w:themeColor="text1"/>
                <w:szCs w:val="18"/>
                <w:lang w:eastAsia="zh-CN"/>
              </w:rPr>
              <w:t xml:space="preserve"> and local</w:t>
            </w:r>
          </w:p>
        </w:tc>
      </w:tr>
    </w:tbl>
    <w:p w14:paraId="066D0377" w14:textId="715D0418" w:rsidR="0031264C" w:rsidRDefault="0031264C" w:rsidP="0031264C">
      <w:pPr>
        <w:pStyle w:val="Body"/>
      </w:pPr>
      <w:bookmarkStart w:id="959" w:name="_Toc487742014"/>
      <w:bookmarkStart w:id="960" w:name="_Toc14172244"/>
    </w:p>
    <w:p w14:paraId="48904B45" w14:textId="67B576ED" w:rsidR="0031264C" w:rsidRPr="0031264C" w:rsidRDefault="0031264C" w:rsidP="008B2386">
      <w:pPr>
        <w:pStyle w:val="Body"/>
        <w:sectPr w:rsidR="0031264C" w:rsidRPr="0031264C" w:rsidSect="00482D0F">
          <w:headerReference w:type="first" r:id="rId88"/>
          <w:pgSz w:w="11906" w:h="16838" w:code="9"/>
          <w:pgMar w:top="1135" w:right="1304" w:bottom="993" w:left="1304" w:header="680" w:footer="567" w:gutter="0"/>
          <w:cols w:space="340"/>
          <w:titlePg/>
          <w:docGrid w:linePitch="360"/>
        </w:sectPr>
      </w:pPr>
    </w:p>
    <w:p w14:paraId="60D2FD44" w14:textId="154CC220" w:rsidR="000B27B9" w:rsidRDefault="000B27B9" w:rsidP="000B27B9">
      <w:pPr>
        <w:pStyle w:val="Heading2"/>
        <w:spacing w:after="440" w:line="440" w:lineRule="atLeast"/>
      </w:pPr>
      <w:bookmarkStart w:id="961" w:name="_Toc418694994"/>
      <w:bookmarkStart w:id="962" w:name="_Ref419741488"/>
      <w:bookmarkStart w:id="963" w:name="_Ref419741499"/>
      <w:bookmarkStart w:id="964" w:name="_Toc487742021"/>
      <w:bookmarkStart w:id="965" w:name="_Toc14172251"/>
      <w:bookmarkStart w:id="966" w:name="_Toc100263354"/>
      <w:bookmarkStart w:id="967" w:name="_Toc127192003"/>
      <w:bookmarkEnd w:id="931"/>
      <w:bookmarkEnd w:id="932"/>
      <w:bookmarkEnd w:id="933"/>
      <w:bookmarkEnd w:id="959"/>
      <w:bookmarkEnd w:id="960"/>
      <w:r>
        <w:lastRenderedPageBreak/>
        <w:t xml:space="preserve">Output and </w:t>
      </w:r>
      <w:r w:rsidR="00331D5D">
        <w:t>A</w:t>
      </w:r>
      <w:r>
        <w:t xml:space="preserve">ctivity </w:t>
      </w:r>
      <w:r w:rsidR="00331D5D">
        <w:t>T</w:t>
      </w:r>
      <w:r>
        <w:t>ables</w:t>
      </w:r>
      <w:bookmarkEnd w:id="961"/>
      <w:bookmarkEnd w:id="962"/>
      <w:bookmarkEnd w:id="963"/>
      <w:bookmarkEnd w:id="964"/>
      <w:bookmarkEnd w:id="965"/>
      <w:bookmarkEnd w:id="966"/>
      <w:bookmarkEnd w:id="967"/>
    </w:p>
    <w:p w14:paraId="194AF7D1" w14:textId="31E77DC7" w:rsidR="000B27B9" w:rsidRDefault="000B27B9" w:rsidP="00B92CD4">
      <w:pPr>
        <w:pStyle w:val="Body"/>
      </w:pPr>
      <w:bookmarkStart w:id="968" w:name="_Toc419623623"/>
      <w:bookmarkStart w:id="969" w:name="_Toc419623735"/>
      <w:bookmarkStart w:id="970" w:name="_Toc419644523"/>
      <w:bookmarkStart w:id="971" w:name="_Toc487742087"/>
      <w:r w:rsidRPr="00803C4D">
        <w:t xml:space="preserve">A range of inpatient, residential and community-based clinical services </w:t>
      </w:r>
      <w:r>
        <w:t xml:space="preserve">are </w:t>
      </w:r>
      <w:r w:rsidRPr="00803C4D">
        <w:t xml:space="preserve">provided to people with a mental illness and their families so that those </w:t>
      </w:r>
      <w:r>
        <w:t xml:space="preserve">who </w:t>
      </w:r>
      <w:r w:rsidRPr="00803C4D">
        <w:t>experience mental health problems can access timely, high-quality care and support to recover and live successfully in the community</w:t>
      </w:r>
      <w:r>
        <w:t xml:space="preserve"> (see </w:t>
      </w:r>
      <w:r w:rsidR="006867C6">
        <w:fldChar w:fldCharType="begin"/>
      </w:r>
      <w:r w:rsidR="006867C6">
        <w:instrText xml:space="preserve"> REF _Ref108527590 \r \h </w:instrText>
      </w:r>
      <w:r w:rsidR="006867C6">
        <w:fldChar w:fldCharType="separate"/>
      </w:r>
      <w:r w:rsidR="006D0756">
        <w:t>Table 1.27</w:t>
      </w:r>
      <w:r w:rsidR="006867C6">
        <w:fldChar w:fldCharType="end"/>
      </w:r>
      <w:r w:rsidR="002F01E4">
        <w:t xml:space="preserve"> </w:t>
      </w:r>
      <w:r w:rsidR="00DC7DFA">
        <w:fldChar w:fldCharType="begin"/>
      </w:r>
      <w:r w:rsidR="00DC7DFA">
        <w:instrText xml:space="preserve"> REF _Ref108527590 \h </w:instrText>
      </w:r>
      <w:r w:rsidR="00DC7DFA">
        <w:fldChar w:fldCharType="separate"/>
      </w:r>
      <w:r w:rsidR="00DC7DFA">
        <w:t>M</w:t>
      </w:r>
      <w:r w:rsidR="00DC7DFA" w:rsidRPr="00E7554A">
        <w:t>ental health</w:t>
      </w:r>
      <w:r w:rsidR="00DC7DFA">
        <w:t xml:space="preserve"> </w:t>
      </w:r>
      <w:r w:rsidR="00DC7DFA" w:rsidRPr="00E7554A">
        <w:t>– outputs and activities: clinical care</w:t>
      </w:r>
      <w:r w:rsidR="00DC7DFA">
        <w:t xml:space="preserve"> </w:t>
      </w:r>
      <w:r w:rsidR="00DC7DFA" w:rsidRPr="00697369">
        <w:t>2022-23</w:t>
      </w:r>
      <w:r w:rsidR="00DC7DFA">
        <w:fldChar w:fldCharType="end"/>
      </w:r>
      <w:r w:rsidR="008D4847">
        <w:t>).</w:t>
      </w:r>
    </w:p>
    <w:p w14:paraId="6C11C5CB" w14:textId="3983CB0B" w:rsidR="000B27B9" w:rsidRDefault="000B27B9" w:rsidP="003C01AD">
      <w:pPr>
        <w:pStyle w:val="Tablecaption"/>
        <w:numPr>
          <w:ilvl w:val="0"/>
          <w:numId w:val="40"/>
        </w:numPr>
      </w:pPr>
      <w:bookmarkStart w:id="972" w:name="_Toc14194756"/>
      <w:bookmarkStart w:id="973" w:name="_Toc54261412"/>
      <w:bookmarkStart w:id="974" w:name="_Toc54616286"/>
      <w:bookmarkStart w:id="975" w:name="_Ref108527590"/>
      <w:bookmarkStart w:id="976" w:name="_Toc109894120"/>
      <w:bookmarkStart w:id="977" w:name="_Toc119500901"/>
      <w:r>
        <w:t>M</w:t>
      </w:r>
      <w:r w:rsidRPr="00E7554A">
        <w:t>ental health</w:t>
      </w:r>
      <w:r>
        <w:t xml:space="preserve"> </w:t>
      </w:r>
      <w:r w:rsidRPr="00E7554A">
        <w:t>– outputs and activities: clinical care</w:t>
      </w:r>
      <w:r>
        <w:t xml:space="preserve"> </w:t>
      </w:r>
      <w:bookmarkEnd w:id="972"/>
      <w:bookmarkEnd w:id="973"/>
      <w:bookmarkEnd w:id="974"/>
      <w:r w:rsidR="005D1FCB" w:rsidRPr="00697369">
        <w:t>2022-23</w:t>
      </w:r>
      <w:bookmarkEnd w:id="975"/>
      <w:bookmarkEnd w:id="976"/>
      <w:bookmarkEnd w:id="977"/>
    </w:p>
    <w:tbl>
      <w:tblPr>
        <w:tblStyle w:val="TableGrid1"/>
        <w:tblW w:w="9299" w:type="dxa"/>
        <w:tblLook w:val="06A0" w:firstRow="1" w:lastRow="0" w:firstColumn="1" w:lastColumn="0" w:noHBand="1" w:noVBand="1"/>
      </w:tblPr>
      <w:tblGrid>
        <w:gridCol w:w="1267"/>
        <w:gridCol w:w="2802"/>
        <w:gridCol w:w="5230"/>
      </w:tblGrid>
      <w:tr w:rsidR="000B27B9" w:rsidRPr="0090298C" w14:paraId="2165459A" w14:textId="77777777" w:rsidTr="31E98B47">
        <w:trPr>
          <w:cnfStyle w:val="100000000000" w:firstRow="1" w:lastRow="0" w:firstColumn="0" w:lastColumn="0" w:oddVBand="0" w:evenVBand="0" w:oddHBand="0" w:evenHBand="0" w:firstRowFirstColumn="0" w:firstRowLastColumn="0" w:lastRowFirstColumn="0" w:lastRowLastColumn="0"/>
          <w:cantSplit/>
          <w:tblHeader/>
        </w:trPr>
        <w:tc>
          <w:tcPr>
            <w:tcW w:w="1267" w:type="dxa"/>
          </w:tcPr>
          <w:p w14:paraId="00DDF7C8" w14:textId="77777777" w:rsidR="000B27B9" w:rsidRPr="00674F20" w:rsidRDefault="000B27B9" w:rsidP="0064265C">
            <w:pPr>
              <w:pStyle w:val="Tablecolhead9pt"/>
              <w:rPr>
                <w:szCs w:val="18"/>
                <w:lang w:eastAsia="en-AU"/>
              </w:rPr>
            </w:pPr>
            <w:r w:rsidRPr="00D0520C">
              <w:rPr>
                <w:lang w:eastAsia="en-AU"/>
              </w:rPr>
              <w:t>Activity no.</w:t>
            </w:r>
          </w:p>
        </w:tc>
        <w:tc>
          <w:tcPr>
            <w:tcW w:w="2802" w:type="dxa"/>
          </w:tcPr>
          <w:p w14:paraId="5E777105" w14:textId="77777777" w:rsidR="000B27B9" w:rsidRPr="00674F20" w:rsidRDefault="000B27B9" w:rsidP="0064265C">
            <w:pPr>
              <w:pStyle w:val="Tablecolhead9pt"/>
              <w:rPr>
                <w:szCs w:val="18"/>
                <w:lang w:eastAsia="en-AU"/>
              </w:rPr>
            </w:pPr>
            <w:r w:rsidRPr="00D0520C">
              <w:rPr>
                <w:lang w:eastAsia="en-AU"/>
              </w:rPr>
              <w:t>Activity name</w:t>
            </w:r>
          </w:p>
        </w:tc>
        <w:tc>
          <w:tcPr>
            <w:tcW w:w="5230" w:type="dxa"/>
          </w:tcPr>
          <w:p w14:paraId="2737C3F5" w14:textId="77777777" w:rsidR="000B27B9" w:rsidRPr="00674F20" w:rsidRDefault="000B27B9" w:rsidP="0064265C">
            <w:pPr>
              <w:pStyle w:val="Tablecolhead9pt"/>
              <w:rPr>
                <w:szCs w:val="18"/>
                <w:lang w:eastAsia="en-AU"/>
              </w:rPr>
            </w:pPr>
            <w:r w:rsidRPr="00D0520C">
              <w:rPr>
                <w:lang w:eastAsia="en-AU"/>
              </w:rPr>
              <w:t>Activity description</w:t>
            </w:r>
          </w:p>
        </w:tc>
      </w:tr>
      <w:tr w:rsidR="000B27B9" w:rsidRPr="004E0550" w14:paraId="02C5866A" w14:textId="77777777" w:rsidTr="31E98B47">
        <w:trPr>
          <w:cantSplit/>
        </w:trPr>
        <w:tc>
          <w:tcPr>
            <w:tcW w:w="1267" w:type="dxa"/>
          </w:tcPr>
          <w:p w14:paraId="452BF63E" w14:textId="77777777" w:rsidR="000B27B9" w:rsidRPr="00674F20" w:rsidRDefault="000B27B9" w:rsidP="0064265C">
            <w:pPr>
              <w:pStyle w:val="Tabletext9pt"/>
              <w:rPr>
                <w:szCs w:val="18"/>
              </w:rPr>
            </w:pPr>
            <w:r w:rsidRPr="00674F20">
              <w:rPr>
                <w:szCs w:val="18"/>
              </w:rPr>
              <w:t>15005</w:t>
            </w:r>
          </w:p>
        </w:tc>
        <w:tc>
          <w:tcPr>
            <w:tcW w:w="2802" w:type="dxa"/>
          </w:tcPr>
          <w:p w14:paraId="4292856F" w14:textId="77777777" w:rsidR="000B27B9" w:rsidRPr="00674F20" w:rsidRDefault="000B27B9" w:rsidP="0064265C">
            <w:pPr>
              <w:pStyle w:val="Tabletext9pt"/>
              <w:rPr>
                <w:szCs w:val="18"/>
              </w:rPr>
            </w:pPr>
            <w:r w:rsidRPr="00674F20">
              <w:rPr>
                <w:szCs w:val="18"/>
              </w:rPr>
              <w:t>Crisis Assessment and Treatment</w:t>
            </w:r>
          </w:p>
        </w:tc>
        <w:tc>
          <w:tcPr>
            <w:tcW w:w="5230" w:type="dxa"/>
          </w:tcPr>
          <w:p w14:paraId="0A15D629" w14:textId="77777777" w:rsidR="000B27B9" w:rsidRPr="00674F20" w:rsidRDefault="000B27B9" w:rsidP="0064265C">
            <w:pPr>
              <w:pStyle w:val="Tabletext9pt"/>
              <w:rPr>
                <w:szCs w:val="18"/>
              </w:rPr>
            </w:pPr>
            <w:r>
              <w:rPr>
                <w:szCs w:val="18"/>
              </w:rPr>
              <w:t xml:space="preserve">A </w:t>
            </w:r>
            <w:r w:rsidRPr="00674F20">
              <w:rPr>
                <w:szCs w:val="18"/>
              </w:rPr>
              <w:t>24-hour, seven</w:t>
            </w:r>
            <w:r>
              <w:rPr>
                <w:szCs w:val="18"/>
              </w:rPr>
              <w:t>-</w:t>
            </w:r>
            <w:r w:rsidRPr="00674F20">
              <w:rPr>
                <w:szCs w:val="18"/>
              </w:rPr>
              <w:t>day</w:t>
            </w:r>
            <w:r>
              <w:rPr>
                <w:szCs w:val="18"/>
              </w:rPr>
              <w:t>-a-</w:t>
            </w:r>
            <w:r w:rsidRPr="00674F20">
              <w:rPr>
                <w:szCs w:val="18"/>
              </w:rPr>
              <w:t xml:space="preserve">week mobile crisis service </w:t>
            </w:r>
            <w:r>
              <w:rPr>
                <w:szCs w:val="18"/>
              </w:rPr>
              <w:t>that</w:t>
            </w:r>
            <w:r w:rsidRPr="00674F20">
              <w:rPr>
                <w:szCs w:val="18"/>
              </w:rPr>
              <w:t xml:space="preserve"> provide</w:t>
            </w:r>
            <w:r>
              <w:rPr>
                <w:szCs w:val="18"/>
              </w:rPr>
              <w:t>s</w:t>
            </w:r>
            <w:r w:rsidRPr="00674F20">
              <w:rPr>
                <w:szCs w:val="18"/>
              </w:rPr>
              <w:t xml:space="preserve"> effective assessment and treatment throughout the community to individuals in crisis due to a mental illness. This includes assessing the most effective and least restrictive client service options and screening inpatient bed admissions.</w:t>
            </w:r>
          </w:p>
        </w:tc>
      </w:tr>
      <w:tr w:rsidR="000B27B9" w:rsidRPr="004E0550" w14:paraId="462671D4" w14:textId="77777777" w:rsidTr="31E98B47">
        <w:trPr>
          <w:cantSplit/>
        </w:trPr>
        <w:tc>
          <w:tcPr>
            <w:tcW w:w="1267" w:type="dxa"/>
          </w:tcPr>
          <w:p w14:paraId="6EC247BA" w14:textId="77777777" w:rsidR="000B27B9" w:rsidRPr="00674F20" w:rsidRDefault="000B27B9" w:rsidP="0064265C">
            <w:pPr>
              <w:pStyle w:val="Tabletext9pt"/>
              <w:rPr>
                <w:szCs w:val="18"/>
              </w:rPr>
            </w:pPr>
            <w:r w:rsidRPr="00674F20">
              <w:rPr>
                <w:szCs w:val="18"/>
              </w:rPr>
              <w:t>15006</w:t>
            </w:r>
          </w:p>
        </w:tc>
        <w:tc>
          <w:tcPr>
            <w:tcW w:w="2802" w:type="dxa"/>
          </w:tcPr>
          <w:p w14:paraId="2E46A5C2" w14:textId="77777777" w:rsidR="000B27B9" w:rsidRPr="00674F20" w:rsidRDefault="000B27B9" w:rsidP="0064265C">
            <w:pPr>
              <w:pStyle w:val="Tabletext9pt"/>
              <w:rPr>
                <w:szCs w:val="18"/>
              </w:rPr>
            </w:pPr>
            <w:r w:rsidRPr="00674F20">
              <w:rPr>
                <w:szCs w:val="18"/>
              </w:rPr>
              <w:t>Community Care Units</w:t>
            </w:r>
          </w:p>
        </w:tc>
        <w:tc>
          <w:tcPr>
            <w:tcW w:w="5230" w:type="dxa"/>
          </w:tcPr>
          <w:p w14:paraId="6751BF58" w14:textId="4593D09F" w:rsidR="000B27B9" w:rsidRPr="00674F20" w:rsidRDefault="000B27B9" w:rsidP="0064265C">
            <w:pPr>
              <w:pStyle w:val="Tabletext9pt"/>
              <w:rPr>
                <w:szCs w:val="18"/>
              </w:rPr>
            </w:pPr>
            <w:r w:rsidRPr="00674F20">
              <w:rPr>
                <w:szCs w:val="18"/>
              </w:rPr>
              <w:t>Community care units are purpose-built units of up to 20 beds located in community settings with 24-hour staffing. They are designed for adults who require longer</w:t>
            </w:r>
            <w:r>
              <w:rPr>
                <w:szCs w:val="18"/>
              </w:rPr>
              <w:t xml:space="preserve"> </w:t>
            </w:r>
            <w:r w:rsidRPr="00674F20">
              <w:rPr>
                <w:szCs w:val="18"/>
              </w:rPr>
              <w:t>term support, on</w:t>
            </w:r>
            <w:r>
              <w:rPr>
                <w:szCs w:val="18"/>
              </w:rPr>
              <w:t>-</w:t>
            </w:r>
            <w:r w:rsidRPr="00674F20">
              <w:rPr>
                <w:szCs w:val="18"/>
              </w:rPr>
              <w:t xml:space="preserve">site clinical </w:t>
            </w:r>
            <w:r w:rsidR="00A45583" w:rsidRPr="00674F20">
              <w:rPr>
                <w:szCs w:val="18"/>
              </w:rPr>
              <w:t>services,</w:t>
            </w:r>
            <w:r w:rsidRPr="00674F20">
              <w:rPr>
                <w:szCs w:val="18"/>
              </w:rPr>
              <w:t xml:space="preserve"> and individualised rehabilitation.</w:t>
            </w:r>
          </w:p>
        </w:tc>
      </w:tr>
      <w:tr w:rsidR="000B27B9" w:rsidRPr="004E0550" w14:paraId="00F2CA6C" w14:textId="77777777" w:rsidTr="31E98B47">
        <w:trPr>
          <w:cantSplit/>
        </w:trPr>
        <w:tc>
          <w:tcPr>
            <w:tcW w:w="1267" w:type="dxa"/>
          </w:tcPr>
          <w:p w14:paraId="4BE9AA35" w14:textId="77777777" w:rsidR="000B27B9" w:rsidRPr="00674F20" w:rsidRDefault="000B27B9" w:rsidP="0064265C">
            <w:pPr>
              <w:pStyle w:val="Tabletext9pt"/>
              <w:rPr>
                <w:szCs w:val="18"/>
              </w:rPr>
            </w:pPr>
            <w:r w:rsidRPr="00674F20">
              <w:rPr>
                <w:szCs w:val="18"/>
              </w:rPr>
              <w:t>15007</w:t>
            </w:r>
          </w:p>
        </w:tc>
        <w:tc>
          <w:tcPr>
            <w:tcW w:w="2802" w:type="dxa"/>
          </w:tcPr>
          <w:p w14:paraId="5E338513" w14:textId="77777777" w:rsidR="000B27B9" w:rsidRPr="00674F20" w:rsidRDefault="000B27B9" w:rsidP="0064265C">
            <w:pPr>
              <w:pStyle w:val="Tabletext9pt"/>
              <w:rPr>
                <w:szCs w:val="18"/>
              </w:rPr>
            </w:pPr>
            <w:r w:rsidRPr="00674F20">
              <w:rPr>
                <w:szCs w:val="18"/>
              </w:rPr>
              <w:t>Adult Continuing Care</w:t>
            </w:r>
          </w:p>
        </w:tc>
        <w:tc>
          <w:tcPr>
            <w:tcW w:w="5230" w:type="dxa"/>
          </w:tcPr>
          <w:p w14:paraId="7985113A" w14:textId="77777777" w:rsidR="000B27B9" w:rsidRPr="00674F20" w:rsidRDefault="000B27B9" w:rsidP="0064265C">
            <w:pPr>
              <w:pStyle w:val="Tabletext9pt"/>
              <w:rPr>
                <w:szCs w:val="18"/>
              </w:rPr>
            </w:pPr>
            <w:r w:rsidRPr="00674F20">
              <w:rPr>
                <w:szCs w:val="18"/>
              </w:rPr>
              <w:t>A range of community-based services that provide assessment, treatment and additional continuing care and case management for adults with a mental illness.</w:t>
            </w:r>
          </w:p>
        </w:tc>
      </w:tr>
      <w:tr w:rsidR="000B27B9" w:rsidRPr="004E0550" w14:paraId="459E4BA0" w14:textId="77777777" w:rsidTr="31E98B47">
        <w:trPr>
          <w:cantSplit/>
        </w:trPr>
        <w:tc>
          <w:tcPr>
            <w:tcW w:w="1267" w:type="dxa"/>
          </w:tcPr>
          <w:p w14:paraId="7D4C3785" w14:textId="77777777" w:rsidR="000B27B9" w:rsidRPr="00674F20" w:rsidRDefault="000B27B9" w:rsidP="0064265C">
            <w:pPr>
              <w:pStyle w:val="Tabletext9pt"/>
              <w:rPr>
                <w:szCs w:val="18"/>
              </w:rPr>
            </w:pPr>
            <w:r w:rsidRPr="00674F20">
              <w:rPr>
                <w:szCs w:val="18"/>
              </w:rPr>
              <w:t>15008</w:t>
            </w:r>
          </w:p>
        </w:tc>
        <w:tc>
          <w:tcPr>
            <w:tcW w:w="2802" w:type="dxa"/>
          </w:tcPr>
          <w:p w14:paraId="6FFAE28D" w14:textId="77777777" w:rsidR="000B27B9" w:rsidRPr="00674F20" w:rsidRDefault="000B27B9" w:rsidP="0064265C">
            <w:pPr>
              <w:pStyle w:val="Tabletext9pt"/>
              <w:rPr>
                <w:szCs w:val="18"/>
              </w:rPr>
            </w:pPr>
            <w:r w:rsidRPr="00674F20">
              <w:rPr>
                <w:szCs w:val="18"/>
              </w:rPr>
              <w:t>Adult Integrated Community Service</w:t>
            </w:r>
          </w:p>
        </w:tc>
        <w:tc>
          <w:tcPr>
            <w:tcW w:w="5230" w:type="dxa"/>
          </w:tcPr>
          <w:p w14:paraId="06D21C8F" w14:textId="77777777" w:rsidR="000B27B9" w:rsidRPr="00674F20" w:rsidRDefault="000B27B9" w:rsidP="0064265C">
            <w:pPr>
              <w:pStyle w:val="Tabletext9pt"/>
              <w:rPr>
                <w:szCs w:val="18"/>
              </w:rPr>
            </w:pPr>
            <w:r w:rsidRPr="00674F20">
              <w:rPr>
                <w:szCs w:val="18"/>
              </w:rPr>
              <w:t>An integrated range of services that meet the client’s treatment needs, ensuring efficient and effective community-based mental health services</w:t>
            </w:r>
            <w:r>
              <w:rPr>
                <w:szCs w:val="18"/>
              </w:rPr>
              <w:t xml:space="preserve"> are provided</w:t>
            </w:r>
            <w:r w:rsidRPr="00674F20">
              <w:rPr>
                <w:szCs w:val="18"/>
              </w:rPr>
              <w:t>.</w:t>
            </w:r>
          </w:p>
        </w:tc>
      </w:tr>
      <w:tr w:rsidR="000B27B9" w:rsidRPr="004E0550" w14:paraId="24C42ED5" w14:textId="77777777" w:rsidTr="31E98B47">
        <w:trPr>
          <w:cantSplit/>
        </w:trPr>
        <w:tc>
          <w:tcPr>
            <w:tcW w:w="1267" w:type="dxa"/>
          </w:tcPr>
          <w:p w14:paraId="64C8235F" w14:textId="77777777" w:rsidR="000B27B9" w:rsidRPr="00674F20" w:rsidRDefault="000B27B9" w:rsidP="0064265C">
            <w:pPr>
              <w:pStyle w:val="Tabletext9pt"/>
              <w:rPr>
                <w:szCs w:val="18"/>
              </w:rPr>
            </w:pPr>
            <w:r w:rsidRPr="00674F20">
              <w:rPr>
                <w:szCs w:val="18"/>
              </w:rPr>
              <w:t>15012</w:t>
            </w:r>
          </w:p>
        </w:tc>
        <w:tc>
          <w:tcPr>
            <w:tcW w:w="2802" w:type="dxa"/>
          </w:tcPr>
          <w:p w14:paraId="6D01E314" w14:textId="77777777" w:rsidR="000B27B9" w:rsidRPr="00674F20" w:rsidRDefault="000B27B9" w:rsidP="0064265C">
            <w:pPr>
              <w:pStyle w:val="Tabletext9pt"/>
              <w:rPr>
                <w:szCs w:val="18"/>
              </w:rPr>
            </w:pPr>
            <w:r w:rsidRPr="00674F20">
              <w:rPr>
                <w:szCs w:val="18"/>
              </w:rPr>
              <w:t>Acute Care – Adult</w:t>
            </w:r>
          </w:p>
        </w:tc>
        <w:tc>
          <w:tcPr>
            <w:tcW w:w="5230" w:type="dxa"/>
          </w:tcPr>
          <w:p w14:paraId="7C7161DC" w14:textId="77777777" w:rsidR="000B27B9" w:rsidRPr="00674F20" w:rsidRDefault="000B27B9" w:rsidP="0064265C">
            <w:pPr>
              <w:pStyle w:val="Tabletext9pt"/>
              <w:rPr>
                <w:szCs w:val="18"/>
              </w:rPr>
            </w:pPr>
            <w:r w:rsidRPr="00674F20">
              <w:rPr>
                <w:szCs w:val="18"/>
              </w:rPr>
              <w:t>Acute inpatient units provide for the short-term assessment, treatment and management of mentally ill adults aged 15–65</w:t>
            </w:r>
            <w:r>
              <w:rPr>
                <w:szCs w:val="18"/>
              </w:rPr>
              <w:t xml:space="preserve"> years</w:t>
            </w:r>
            <w:r w:rsidRPr="00674F20">
              <w:rPr>
                <w:szCs w:val="18"/>
              </w:rPr>
              <w:t>. The focus is on intervention designed to reduce symptoms and promote recovery from mental illness.</w:t>
            </w:r>
          </w:p>
        </w:tc>
      </w:tr>
      <w:tr w:rsidR="000B27B9" w:rsidRPr="004E0550" w14:paraId="20693308" w14:textId="77777777" w:rsidTr="31E98B47">
        <w:trPr>
          <w:cantSplit/>
        </w:trPr>
        <w:tc>
          <w:tcPr>
            <w:tcW w:w="1267" w:type="dxa"/>
          </w:tcPr>
          <w:p w14:paraId="1545693D" w14:textId="77777777" w:rsidR="000B27B9" w:rsidRPr="00674F20" w:rsidRDefault="000B27B9" w:rsidP="0064265C">
            <w:pPr>
              <w:pStyle w:val="Tabletext9pt"/>
              <w:rPr>
                <w:szCs w:val="18"/>
              </w:rPr>
            </w:pPr>
            <w:r w:rsidRPr="00674F20">
              <w:rPr>
                <w:szCs w:val="18"/>
              </w:rPr>
              <w:t>15014</w:t>
            </w:r>
          </w:p>
        </w:tc>
        <w:tc>
          <w:tcPr>
            <w:tcW w:w="2802" w:type="dxa"/>
          </w:tcPr>
          <w:p w14:paraId="22E3040E" w14:textId="77777777" w:rsidR="000B27B9" w:rsidRPr="00674F20" w:rsidRDefault="000B27B9" w:rsidP="0064265C">
            <w:pPr>
              <w:pStyle w:val="Tabletext9pt"/>
              <w:rPr>
                <w:szCs w:val="18"/>
              </w:rPr>
            </w:pPr>
            <w:r w:rsidRPr="00674F20">
              <w:rPr>
                <w:szCs w:val="18"/>
              </w:rPr>
              <w:t>Secure Extended Care – Adult</w:t>
            </w:r>
          </w:p>
        </w:tc>
        <w:tc>
          <w:tcPr>
            <w:tcW w:w="5230" w:type="dxa"/>
          </w:tcPr>
          <w:p w14:paraId="7A1F5E15" w14:textId="77777777" w:rsidR="000B27B9" w:rsidRPr="00674F20" w:rsidRDefault="000B27B9" w:rsidP="0064265C">
            <w:pPr>
              <w:pStyle w:val="Tabletext9pt"/>
              <w:rPr>
                <w:szCs w:val="18"/>
              </w:rPr>
            </w:pPr>
            <w:r w:rsidRPr="00674F20">
              <w:rPr>
                <w:szCs w:val="18"/>
              </w:rPr>
              <w:t xml:space="preserve">Long-term inpatient treatment and support for adults aged 15–65 </w:t>
            </w:r>
            <w:r>
              <w:rPr>
                <w:szCs w:val="18"/>
              </w:rPr>
              <w:t xml:space="preserve">years </w:t>
            </w:r>
            <w:r w:rsidRPr="00674F20">
              <w:rPr>
                <w:szCs w:val="18"/>
              </w:rPr>
              <w:t xml:space="preserve">who have unremitting and severe symptoms, together with an associated significant disturbance in behaviour that inhibits the </w:t>
            </w:r>
            <w:r>
              <w:rPr>
                <w:szCs w:val="18"/>
              </w:rPr>
              <w:t>person</w:t>
            </w:r>
            <w:r w:rsidRPr="00674F20">
              <w:rPr>
                <w:szCs w:val="18"/>
              </w:rPr>
              <w:t>’s capacity to live in the community.</w:t>
            </w:r>
          </w:p>
        </w:tc>
      </w:tr>
      <w:tr w:rsidR="000B27B9" w:rsidRPr="004E0550" w14:paraId="3EFD3332" w14:textId="77777777" w:rsidTr="31E98B47">
        <w:trPr>
          <w:cantSplit/>
        </w:trPr>
        <w:tc>
          <w:tcPr>
            <w:tcW w:w="1267" w:type="dxa"/>
          </w:tcPr>
          <w:p w14:paraId="7ED786DB" w14:textId="77777777" w:rsidR="000B27B9" w:rsidRPr="00674F20" w:rsidRDefault="000B27B9" w:rsidP="0064265C">
            <w:pPr>
              <w:pStyle w:val="Tabletext9pt"/>
              <w:rPr>
                <w:szCs w:val="18"/>
              </w:rPr>
            </w:pPr>
            <w:r w:rsidRPr="00674F20">
              <w:rPr>
                <w:szCs w:val="18"/>
              </w:rPr>
              <w:t>15019</w:t>
            </w:r>
          </w:p>
        </w:tc>
        <w:tc>
          <w:tcPr>
            <w:tcW w:w="2802" w:type="dxa"/>
          </w:tcPr>
          <w:p w14:paraId="2D5D6E4E" w14:textId="77777777" w:rsidR="000B27B9" w:rsidRPr="00674F20" w:rsidRDefault="000B27B9" w:rsidP="0064265C">
            <w:pPr>
              <w:pStyle w:val="Tabletext9pt"/>
              <w:rPr>
                <w:szCs w:val="18"/>
              </w:rPr>
            </w:pPr>
            <w:r w:rsidRPr="00674F20">
              <w:rPr>
                <w:szCs w:val="18"/>
              </w:rPr>
              <w:t>Aged Persons Mental Health Community Teams</w:t>
            </w:r>
          </w:p>
        </w:tc>
        <w:tc>
          <w:tcPr>
            <w:tcW w:w="5230" w:type="dxa"/>
          </w:tcPr>
          <w:p w14:paraId="745D6BCB" w14:textId="3D0324E7" w:rsidR="000B27B9" w:rsidRPr="00674F20" w:rsidRDefault="000B27B9" w:rsidP="0064265C">
            <w:pPr>
              <w:pStyle w:val="Tabletext9pt"/>
              <w:rPr>
                <w:szCs w:val="18"/>
              </w:rPr>
            </w:pPr>
            <w:r w:rsidRPr="00674F20">
              <w:rPr>
                <w:szCs w:val="18"/>
              </w:rPr>
              <w:t xml:space="preserve">Mobile services </w:t>
            </w:r>
            <w:r>
              <w:rPr>
                <w:szCs w:val="18"/>
              </w:rPr>
              <w:t>that</w:t>
            </w:r>
            <w:r w:rsidRPr="00674F20">
              <w:rPr>
                <w:szCs w:val="18"/>
              </w:rPr>
              <w:t xml:space="preserve"> provide assessment, treatment, </w:t>
            </w:r>
            <w:r w:rsidR="00A45583" w:rsidRPr="00674F20">
              <w:rPr>
                <w:szCs w:val="18"/>
              </w:rPr>
              <w:t>rehabilitation,</w:t>
            </w:r>
            <w:r w:rsidRPr="00674F20">
              <w:rPr>
                <w:szCs w:val="18"/>
              </w:rPr>
              <w:t xml:space="preserve"> and case management for people with a mental illness primarily over 65 years of age.</w:t>
            </w:r>
          </w:p>
        </w:tc>
      </w:tr>
      <w:tr w:rsidR="000B27B9" w:rsidRPr="004E0550" w14:paraId="67943484" w14:textId="77777777" w:rsidTr="31E98B47">
        <w:trPr>
          <w:cantSplit/>
        </w:trPr>
        <w:tc>
          <w:tcPr>
            <w:tcW w:w="1267" w:type="dxa"/>
          </w:tcPr>
          <w:p w14:paraId="12A1E719" w14:textId="77777777" w:rsidR="000B27B9" w:rsidRPr="00674F20" w:rsidRDefault="000B27B9" w:rsidP="0064265C">
            <w:pPr>
              <w:pStyle w:val="Tabletext9pt"/>
              <w:rPr>
                <w:szCs w:val="18"/>
              </w:rPr>
            </w:pPr>
            <w:r w:rsidRPr="00674F20">
              <w:rPr>
                <w:szCs w:val="18"/>
              </w:rPr>
              <w:t>15022</w:t>
            </w:r>
          </w:p>
        </w:tc>
        <w:tc>
          <w:tcPr>
            <w:tcW w:w="2802" w:type="dxa"/>
          </w:tcPr>
          <w:p w14:paraId="682B6D11" w14:textId="77777777" w:rsidR="000B27B9" w:rsidRPr="00674F20" w:rsidRDefault="000B27B9" w:rsidP="0064265C">
            <w:pPr>
              <w:pStyle w:val="Tabletext9pt"/>
              <w:rPr>
                <w:szCs w:val="18"/>
              </w:rPr>
            </w:pPr>
            <w:r w:rsidRPr="00674F20">
              <w:rPr>
                <w:szCs w:val="18"/>
              </w:rPr>
              <w:t>Acute Care – Aged</w:t>
            </w:r>
          </w:p>
        </w:tc>
        <w:tc>
          <w:tcPr>
            <w:tcW w:w="5230" w:type="dxa"/>
          </w:tcPr>
          <w:p w14:paraId="65040DD9" w14:textId="77777777" w:rsidR="000B27B9" w:rsidRPr="00674F20" w:rsidRDefault="000B27B9" w:rsidP="0064265C">
            <w:pPr>
              <w:pStyle w:val="Tabletext9pt"/>
              <w:rPr>
                <w:szCs w:val="18"/>
              </w:rPr>
            </w:pPr>
            <w:r w:rsidRPr="00674F20">
              <w:rPr>
                <w:szCs w:val="18"/>
              </w:rPr>
              <w:t xml:space="preserve">Inpatient units providing short-term assessment and treatment for older people aged 65 </w:t>
            </w:r>
            <w:r>
              <w:rPr>
                <w:szCs w:val="18"/>
              </w:rPr>
              <w:t>or</w:t>
            </w:r>
            <w:r w:rsidRPr="00674F20">
              <w:rPr>
                <w:szCs w:val="18"/>
              </w:rPr>
              <w:t xml:space="preserve"> </w:t>
            </w:r>
            <w:r>
              <w:rPr>
                <w:szCs w:val="18"/>
              </w:rPr>
              <w:t>older</w:t>
            </w:r>
            <w:r w:rsidRPr="00674F20">
              <w:rPr>
                <w:szCs w:val="18"/>
              </w:rPr>
              <w:t xml:space="preserve"> with acute symptoms of mental illness who cannot safely be cared for in the community.</w:t>
            </w:r>
          </w:p>
        </w:tc>
      </w:tr>
      <w:tr w:rsidR="000B27B9" w:rsidRPr="004E0550" w14:paraId="2925BB2F" w14:textId="77777777" w:rsidTr="31E98B47">
        <w:trPr>
          <w:cantSplit/>
        </w:trPr>
        <w:tc>
          <w:tcPr>
            <w:tcW w:w="1267" w:type="dxa"/>
          </w:tcPr>
          <w:p w14:paraId="3BAFA15E" w14:textId="77777777" w:rsidR="000B27B9" w:rsidRPr="00674F20" w:rsidRDefault="000B27B9" w:rsidP="0064265C">
            <w:pPr>
              <w:pStyle w:val="Tabletext9pt"/>
              <w:rPr>
                <w:szCs w:val="18"/>
              </w:rPr>
            </w:pPr>
            <w:r w:rsidRPr="00674F20">
              <w:rPr>
                <w:szCs w:val="18"/>
              </w:rPr>
              <w:t>15026</w:t>
            </w:r>
          </w:p>
        </w:tc>
        <w:tc>
          <w:tcPr>
            <w:tcW w:w="2802" w:type="dxa"/>
          </w:tcPr>
          <w:p w14:paraId="5BCE5ED3" w14:textId="77777777" w:rsidR="000B27B9" w:rsidRPr="00674F20" w:rsidRDefault="000B27B9" w:rsidP="0064265C">
            <w:pPr>
              <w:pStyle w:val="Tabletext9pt"/>
              <w:rPr>
                <w:szCs w:val="18"/>
              </w:rPr>
            </w:pPr>
            <w:r w:rsidRPr="00674F20">
              <w:rPr>
                <w:szCs w:val="18"/>
              </w:rPr>
              <w:t>Child and Adolescent Assessment Treatment</w:t>
            </w:r>
          </w:p>
        </w:tc>
        <w:tc>
          <w:tcPr>
            <w:tcW w:w="5230" w:type="dxa"/>
          </w:tcPr>
          <w:p w14:paraId="1718B007" w14:textId="77777777" w:rsidR="000B27B9" w:rsidRPr="00674F20" w:rsidRDefault="000B27B9" w:rsidP="001626B5">
            <w:pPr>
              <w:pStyle w:val="Tabletext9pt"/>
            </w:pPr>
            <w:r w:rsidRPr="00674F20">
              <w:t>A range of services including crisis assessment, case management, individual or group therapy, family therapy, parent support and medication-based treatments for children and adolescents experiencing significant psychological distress or mental illness. Services support a timely response to referrals, including crises, delivered on an outreach basis, where appropriate.</w:t>
            </w:r>
          </w:p>
        </w:tc>
      </w:tr>
      <w:tr w:rsidR="000B27B9" w:rsidRPr="004E0550" w14:paraId="38A85FC3" w14:textId="77777777" w:rsidTr="31E98B47">
        <w:trPr>
          <w:cantSplit/>
        </w:trPr>
        <w:tc>
          <w:tcPr>
            <w:tcW w:w="1267" w:type="dxa"/>
          </w:tcPr>
          <w:p w14:paraId="278ACE38" w14:textId="77777777" w:rsidR="000B27B9" w:rsidRPr="00674F20" w:rsidRDefault="000B27B9" w:rsidP="0064265C">
            <w:pPr>
              <w:pStyle w:val="Tabletext9pt"/>
              <w:rPr>
                <w:szCs w:val="18"/>
              </w:rPr>
            </w:pPr>
            <w:r w:rsidRPr="00674F20">
              <w:rPr>
                <w:szCs w:val="18"/>
              </w:rPr>
              <w:t>15028</w:t>
            </w:r>
          </w:p>
        </w:tc>
        <w:tc>
          <w:tcPr>
            <w:tcW w:w="2802" w:type="dxa"/>
          </w:tcPr>
          <w:p w14:paraId="13161383" w14:textId="77777777" w:rsidR="000B27B9" w:rsidRPr="00674F20" w:rsidRDefault="000B27B9" w:rsidP="0064265C">
            <w:pPr>
              <w:pStyle w:val="Tabletext9pt"/>
              <w:rPr>
                <w:szCs w:val="18"/>
              </w:rPr>
            </w:pPr>
            <w:r w:rsidRPr="00674F20">
              <w:rPr>
                <w:szCs w:val="18"/>
              </w:rPr>
              <w:t>Intensive Youth Support</w:t>
            </w:r>
          </w:p>
        </w:tc>
        <w:tc>
          <w:tcPr>
            <w:tcW w:w="5230" w:type="dxa"/>
          </w:tcPr>
          <w:p w14:paraId="50F741E9" w14:textId="65A445B1" w:rsidR="000B27B9" w:rsidRPr="00674F20" w:rsidRDefault="000B27B9" w:rsidP="0064265C">
            <w:pPr>
              <w:pStyle w:val="Tabletext9pt"/>
              <w:rPr>
                <w:szCs w:val="18"/>
              </w:rPr>
            </w:pPr>
            <w:r>
              <w:rPr>
                <w:szCs w:val="18"/>
              </w:rPr>
              <w:t>M</w:t>
            </w:r>
            <w:r w:rsidRPr="00674F20">
              <w:rPr>
                <w:szCs w:val="18"/>
              </w:rPr>
              <w:t>obile intensive mental health case management and support to adolescents who display substantial and prolonged psychological disturbance</w:t>
            </w:r>
            <w:r>
              <w:rPr>
                <w:szCs w:val="18"/>
              </w:rPr>
              <w:t xml:space="preserve"> and</w:t>
            </w:r>
            <w:r w:rsidRPr="00674F20">
              <w:rPr>
                <w:szCs w:val="18"/>
              </w:rPr>
              <w:t xml:space="preserve"> have complex needs</w:t>
            </w:r>
            <w:r>
              <w:rPr>
                <w:szCs w:val="18"/>
              </w:rPr>
              <w:t xml:space="preserve"> that</w:t>
            </w:r>
            <w:r w:rsidRPr="00674F20">
              <w:rPr>
                <w:szCs w:val="18"/>
              </w:rPr>
              <w:t xml:space="preserve"> may include challenging, </w:t>
            </w:r>
            <w:r w:rsidR="00A45583" w:rsidRPr="00674F20">
              <w:rPr>
                <w:szCs w:val="18"/>
              </w:rPr>
              <w:t>at-risk,</w:t>
            </w:r>
            <w:r w:rsidRPr="00674F20">
              <w:rPr>
                <w:szCs w:val="18"/>
              </w:rPr>
              <w:t xml:space="preserve"> and suicidal behaviours, and who have been difficult to engage using less-intensive treatment approaches.</w:t>
            </w:r>
          </w:p>
        </w:tc>
      </w:tr>
      <w:tr w:rsidR="000B27B9" w:rsidRPr="004E0550" w14:paraId="16116F73" w14:textId="77777777" w:rsidTr="31E98B47">
        <w:trPr>
          <w:cantSplit/>
        </w:trPr>
        <w:tc>
          <w:tcPr>
            <w:tcW w:w="1267" w:type="dxa"/>
          </w:tcPr>
          <w:p w14:paraId="2E6E86B2" w14:textId="77777777" w:rsidR="000B27B9" w:rsidRPr="00674F20" w:rsidRDefault="000B27B9" w:rsidP="0064265C">
            <w:pPr>
              <w:pStyle w:val="Tabletext9pt"/>
              <w:rPr>
                <w:szCs w:val="18"/>
              </w:rPr>
            </w:pPr>
            <w:r w:rsidRPr="00674F20">
              <w:rPr>
                <w:szCs w:val="18"/>
              </w:rPr>
              <w:t>15030</w:t>
            </w:r>
          </w:p>
        </w:tc>
        <w:tc>
          <w:tcPr>
            <w:tcW w:w="2802" w:type="dxa"/>
          </w:tcPr>
          <w:p w14:paraId="61321FBF" w14:textId="77777777" w:rsidR="000B27B9" w:rsidRPr="00674F20" w:rsidRDefault="000B27B9" w:rsidP="0064265C">
            <w:pPr>
              <w:pStyle w:val="Tabletext9pt"/>
              <w:rPr>
                <w:szCs w:val="18"/>
              </w:rPr>
            </w:pPr>
            <w:r w:rsidRPr="00674F20">
              <w:rPr>
                <w:szCs w:val="18"/>
              </w:rPr>
              <w:t>Acute Care – Specialist Statewide</w:t>
            </w:r>
          </w:p>
        </w:tc>
        <w:tc>
          <w:tcPr>
            <w:tcW w:w="5230" w:type="dxa"/>
          </w:tcPr>
          <w:p w14:paraId="5AF8CE5B" w14:textId="77777777" w:rsidR="000B27B9" w:rsidRPr="00674F20" w:rsidRDefault="000B27B9" w:rsidP="0064265C">
            <w:pPr>
              <w:pStyle w:val="Tabletext9pt"/>
              <w:rPr>
                <w:szCs w:val="18"/>
              </w:rPr>
            </w:pPr>
            <w:r w:rsidRPr="00674F20">
              <w:rPr>
                <w:szCs w:val="18"/>
              </w:rPr>
              <w:t xml:space="preserve">A range of specialist clinical inpatient mental health assessment, treatment or consultancy services that support specific and general target groups on a </w:t>
            </w:r>
            <w:r>
              <w:rPr>
                <w:szCs w:val="18"/>
              </w:rPr>
              <w:t>statewide</w:t>
            </w:r>
            <w:r w:rsidRPr="00674F20">
              <w:rPr>
                <w:szCs w:val="18"/>
              </w:rPr>
              <w:t>, inter-regional or specific catchment area basis. The focus of these inpatient services is on clinical service provision to people with a mental illness.</w:t>
            </w:r>
          </w:p>
        </w:tc>
      </w:tr>
      <w:tr w:rsidR="000B27B9" w:rsidRPr="004E0550" w14:paraId="59F40E0F" w14:textId="77777777" w:rsidTr="31E98B47">
        <w:trPr>
          <w:cantSplit/>
        </w:trPr>
        <w:tc>
          <w:tcPr>
            <w:tcW w:w="1267" w:type="dxa"/>
          </w:tcPr>
          <w:p w14:paraId="35ED41F4" w14:textId="77777777" w:rsidR="000B27B9" w:rsidRPr="00674F20" w:rsidRDefault="000B27B9" w:rsidP="0064265C">
            <w:pPr>
              <w:pStyle w:val="Tabletext9pt"/>
              <w:rPr>
                <w:szCs w:val="18"/>
              </w:rPr>
            </w:pPr>
            <w:r w:rsidRPr="00674F20">
              <w:rPr>
                <w:szCs w:val="18"/>
              </w:rPr>
              <w:lastRenderedPageBreak/>
              <w:t>15031</w:t>
            </w:r>
          </w:p>
        </w:tc>
        <w:tc>
          <w:tcPr>
            <w:tcW w:w="2802" w:type="dxa"/>
          </w:tcPr>
          <w:p w14:paraId="6A0809CD" w14:textId="77777777" w:rsidR="000B27B9" w:rsidRPr="00674F20" w:rsidRDefault="000B27B9" w:rsidP="0064265C">
            <w:pPr>
              <w:pStyle w:val="Tabletext9pt"/>
              <w:rPr>
                <w:szCs w:val="18"/>
              </w:rPr>
            </w:pPr>
            <w:r w:rsidRPr="00674F20">
              <w:rPr>
                <w:szCs w:val="18"/>
              </w:rPr>
              <w:t>Acute Care – Child and Adolescent</w:t>
            </w:r>
          </w:p>
        </w:tc>
        <w:tc>
          <w:tcPr>
            <w:tcW w:w="5230" w:type="dxa"/>
          </w:tcPr>
          <w:p w14:paraId="516CE758" w14:textId="77777777" w:rsidR="000B27B9" w:rsidRPr="00674F20" w:rsidRDefault="000B27B9" w:rsidP="0064265C">
            <w:pPr>
              <w:pStyle w:val="Tabletext9pt"/>
              <w:rPr>
                <w:szCs w:val="18"/>
              </w:rPr>
            </w:pPr>
            <w:r w:rsidRPr="00674F20">
              <w:rPr>
                <w:szCs w:val="18"/>
              </w:rPr>
              <w:t>Inpatient units provide short-term psychiatric assessment and treatment for children and adolescents with severe psychological disturbance who cannot be effectively assessed or treated in a less-restrictive community-based setting.</w:t>
            </w:r>
          </w:p>
        </w:tc>
      </w:tr>
      <w:tr w:rsidR="000B27B9" w:rsidRPr="004E0550" w14:paraId="5B1A0F0C" w14:textId="77777777" w:rsidTr="31E98B47">
        <w:trPr>
          <w:cantSplit/>
        </w:trPr>
        <w:tc>
          <w:tcPr>
            <w:tcW w:w="1267" w:type="dxa"/>
          </w:tcPr>
          <w:p w14:paraId="02CC2F4B" w14:textId="77777777" w:rsidR="000B27B9" w:rsidRPr="00674F20" w:rsidRDefault="000B27B9" w:rsidP="0064265C">
            <w:pPr>
              <w:pStyle w:val="Tabletext9pt"/>
              <w:rPr>
                <w:szCs w:val="18"/>
              </w:rPr>
            </w:pPr>
            <w:r w:rsidRPr="00674F20">
              <w:rPr>
                <w:szCs w:val="18"/>
              </w:rPr>
              <w:t>15032</w:t>
            </w:r>
          </w:p>
        </w:tc>
        <w:tc>
          <w:tcPr>
            <w:tcW w:w="2802" w:type="dxa"/>
          </w:tcPr>
          <w:p w14:paraId="6E3EFB8D" w14:textId="77777777" w:rsidR="000B27B9" w:rsidRPr="00674F20" w:rsidRDefault="000B27B9" w:rsidP="0064265C">
            <w:pPr>
              <w:pStyle w:val="Tabletext9pt"/>
              <w:rPr>
                <w:szCs w:val="18"/>
              </w:rPr>
            </w:pPr>
            <w:r w:rsidRPr="00674F20">
              <w:rPr>
                <w:szCs w:val="18"/>
              </w:rPr>
              <w:t>Forensic Community Service</w:t>
            </w:r>
          </w:p>
        </w:tc>
        <w:tc>
          <w:tcPr>
            <w:tcW w:w="5230" w:type="dxa"/>
          </w:tcPr>
          <w:p w14:paraId="01454FFB" w14:textId="77777777" w:rsidR="000B27B9" w:rsidRPr="00674F20" w:rsidRDefault="000B27B9" w:rsidP="0064265C">
            <w:pPr>
              <w:pStyle w:val="Tabletext9pt"/>
              <w:rPr>
                <w:szCs w:val="18"/>
              </w:rPr>
            </w:pPr>
            <w:r w:rsidRPr="00674F20">
              <w:rPr>
                <w:szCs w:val="18"/>
              </w:rPr>
              <w:t>Provides community-based assessment and multidisciplinary treatment services to high-risk clients referred from a range of criminal justice agencies, mental health services and private practitioners. Also provides secondary consultations and specialist training to area mental health services.</w:t>
            </w:r>
          </w:p>
        </w:tc>
      </w:tr>
      <w:tr w:rsidR="000B27B9" w:rsidRPr="004E0550" w14:paraId="713F7407" w14:textId="77777777" w:rsidTr="31E98B47">
        <w:trPr>
          <w:cantSplit/>
        </w:trPr>
        <w:tc>
          <w:tcPr>
            <w:tcW w:w="1267" w:type="dxa"/>
          </w:tcPr>
          <w:p w14:paraId="11C0286A" w14:textId="77777777" w:rsidR="000B27B9" w:rsidRPr="00674F20" w:rsidRDefault="000B27B9" w:rsidP="0064265C">
            <w:pPr>
              <w:pStyle w:val="Tabletext9pt"/>
              <w:rPr>
                <w:szCs w:val="18"/>
              </w:rPr>
            </w:pPr>
            <w:r w:rsidRPr="00674F20">
              <w:rPr>
                <w:szCs w:val="18"/>
              </w:rPr>
              <w:t>15041</w:t>
            </w:r>
          </w:p>
        </w:tc>
        <w:tc>
          <w:tcPr>
            <w:tcW w:w="2802" w:type="dxa"/>
          </w:tcPr>
          <w:p w14:paraId="13DB1C6A" w14:textId="77777777" w:rsidR="000B27B9" w:rsidRPr="00674F20" w:rsidRDefault="000B27B9" w:rsidP="0064265C">
            <w:pPr>
              <w:pStyle w:val="Tabletext9pt"/>
              <w:rPr>
                <w:szCs w:val="18"/>
              </w:rPr>
            </w:pPr>
            <w:r w:rsidRPr="00674F20">
              <w:rPr>
                <w:szCs w:val="18"/>
              </w:rPr>
              <w:t>Acute Care – Forensic</w:t>
            </w:r>
          </w:p>
        </w:tc>
        <w:tc>
          <w:tcPr>
            <w:tcW w:w="5230" w:type="dxa"/>
          </w:tcPr>
          <w:p w14:paraId="57DDC0EF" w14:textId="35E2729A" w:rsidR="000B27B9" w:rsidRPr="00674F20" w:rsidRDefault="000B27B9" w:rsidP="0064265C">
            <w:pPr>
              <w:pStyle w:val="Tabletext9pt"/>
              <w:rPr>
                <w:szCs w:val="18"/>
              </w:rPr>
            </w:pPr>
            <w:r w:rsidRPr="00674F20">
              <w:rPr>
                <w:szCs w:val="18"/>
              </w:rPr>
              <w:t xml:space="preserve">Inpatient services for the assessment, diagnosis and treatment of the crisis and acute phases of mentally disturbed offenders referred by the courts, prison system, </w:t>
            </w:r>
            <w:r w:rsidR="00A45583" w:rsidRPr="00674F20">
              <w:rPr>
                <w:szCs w:val="18"/>
              </w:rPr>
              <w:t>police,</w:t>
            </w:r>
            <w:r w:rsidRPr="00674F20">
              <w:rPr>
                <w:szCs w:val="18"/>
              </w:rPr>
              <w:t xml:space="preserve"> and general mental health services.</w:t>
            </w:r>
          </w:p>
        </w:tc>
      </w:tr>
      <w:tr w:rsidR="000B27B9" w:rsidRPr="004E0550" w14:paraId="5E145C80" w14:textId="77777777" w:rsidTr="31E98B47">
        <w:trPr>
          <w:cantSplit/>
        </w:trPr>
        <w:tc>
          <w:tcPr>
            <w:tcW w:w="1267" w:type="dxa"/>
          </w:tcPr>
          <w:p w14:paraId="2A531D44" w14:textId="77777777" w:rsidR="000B27B9" w:rsidRPr="00674F20" w:rsidRDefault="000B27B9" w:rsidP="0064265C">
            <w:pPr>
              <w:pStyle w:val="Tabletext9pt"/>
              <w:rPr>
                <w:szCs w:val="18"/>
              </w:rPr>
            </w:pPr>
            <w:r w:rsidRPr="00674F20">
              <w:rPr>
                <w:szCs w:val="18"/>
              </w:rPr>
              <w:t>15049</w:t>
            </w:r>
          </w:p>
        </w:tc>
        <w:tc>
          <w:tcPr>
            <w:tcW w:w="2802" w:type="dxa"/>
          </w:tcPr>
          <w:p w14:paraId="519682C2" w14:textId="77777777" w:rsidR="000B27B9" w:rsidRPr="00674F20" w:rsidRDefault="000B27B9" w:rsidP="0064265C">
            <w:pPr>
              <w:pStyle w:val="Tabletext9pt"/>
              <w:rPr>
                <w:szCs w:val="18"/>
              </w:rPr>
            </w:pPr>
            <w:r w:rsidRPr="00674F20">
              <w:rPr>
                <w:szCs w:val="18"/>
              </w:rPr>
              <w:t xml:space="preserve">Aged Persons Mental Health </w:t>
            </w:r>
            <w:r>
              <w:rPr>
                <w:szCs w:val="18"/>
              </w:rPr>
              <w:t>N</w:t>
            </w:r>
            <w:r w:rsidRPr="00674F20">
              <w:rPr>
                <w:szCs w:val="18"/>
              </w:rPr>
              <w:t>ursing Home Supplement</w:t>
            </w:r>
          </w:p>
        </w:tc>
        <w:tc>
          <w:tcPr>
            <w:tcW w:w="5230" w:type="dxa"/>
          </w:tcPr>
          <w:p w14:paraId="16232A24" w14:textId="2C169593" w:rsidR="000B27B9" w:rsidRPr="00674F20" w:rsidRDefault="000B27B9" w:rsidP="0064265C">
            <w:pPr>
              <w:pStyle w:val="Tabletext9pt"/>
              <w:rPr>
                <w:szCs w:val="18"/>
              </w:rPr>
            </w:pPr>
            <w:r w:rsidRPr="00674F20">
              <w:rPr>
                <w:szCs w:val="18"/>
              </w:rPr>
              <w:t xml:space="preserve">Community residential services for aged clients who cannot be managed in the general residential system due to their level of persistent cognitive, </w:t>
            </w:r>
            <w:r w:rsidR="00A45583" w:rsidRPr="00674F20">
              <w:rPr>
                <w:szCs w:val="18"/>
              </w:rPr>
              <w:t>emotional,</w:t>
            </w:r>
            <w:r w:rsidRPr="00674F20">
              <w:rPr>
                <w:szCs w:val="18"/>
              </w:rPr>
              <w:t xml:space="preserve"> or behavioural disturbances. Services include</w:t>
            </w:r>
            <w:r>
              <w:rPr>
                <w:szCs w:val="18"/>
              </w:rPr>
              <w:t>:</w:t>
            </w:r>
            <w:r w:rsidRPr="00674F20">
              <w:rPr>
                <w:szCs w:val="18"/>
              </w:rPr>
              <w:t xml:space="preserve"> long-term accommodation; ongoing assessment, </w:t>
            </w:r>
            <w:r w:rsidR="00BE7B6C" w:rsidRPr="00674F20">
              <w:rPr>
                <w:szCs w:val="18"/>
              </w:rPr>
              <w:t>treatment,</w:t>
            </w:r>
            <w:r w:rsidRPr="00674F20">
              <w:rPr>
                <w:szCs w:val="18"/>
              </w:rPr>
              <w:t xml:space="preserve"> and care of residents</w:t>
            </w:r>
            <w:r>
              <w:rPr>
                <w:szCs w:val="18"/>
              </w:rPr>
              <w:t>;</w:t>
            </w:r>
            <w:r w:rsidRPr="00674F20">
              <w:rPr>
                <w:szCs w:val="18"/>
              </w:rPr>
              <w:t xml:space="preserve"> rehabilitation</w:t>
            </w:r>
            <w:r>
              <w:rPr>
                <w:szCs w:val="18"/>
              </w:rPr>
              <w:t>;</w:t>
            </w:r>
            <w:r w:rsidRPr="00674F20">
              <w:rPr>
                <w:szCs w:val="18"/>
              </w:rPr>
              <w:t xml:space="preserve"> and respite care.</w:t>
            </w:r>
          </w:p>
        </w:tc>
      </w:tr>
      <w:tr w:rsidR="000B27B9" w:rsidRPr="004E0550" w14:paraId="34773E39" w14:textId="77777777" w:rsidTr="31E98B47">
        <w:trPr>
          <w:cantSplit/>
        </w:trPr>
        <w:tc>
          <w:tcPr>
            <w:tcW w:w="1267" w:type="dxa"/>
          </w:tcPr>
          <w:p w14:paraId="4E2D87E5" w14:textId="77777777" w:rsidR="000B27B9" w:rsidRPr="00674F20" w:rsidRDefault="000B27B9" w:rsidP="0064265C">
            <w:pPr>
              <w:pStyle w:val="Tabletext9pt"/>
              <w:rPr>
                <w:szCs w:val="18"/>
              </w:rPr>
            </w:pPr>
            <w:r w:rsidRPr="00674F20">
              <w:rPr>
                <w:szCs w:val="18"/>
              </w:rPr>
              <w:t>15054</w:t>
            </w:r>
          </w:p>
        </w:tc>
        <w:tc>
          <w:tcPr>
            <w:tcW w:w="2802" w:type="dxa"/>
          </w:tcPr>
          <w:p w14:paraId="43C33D86" w14:textId="77777777" w:rsidR="000B27B9" w:rsidRPr="00674F20" w:rsidRDefault="000B27B9" w:rsidP="0064265C">
            <w:pPr>
              <w:pStyle w:val="Tabletext9pt"/>
              <w:rPr>
                <w:szCs w:val="18"/>
              </w:rPr>
            </w:pPr>
            <w:r w:rsidRPr="00674F20">
              <w:rPr>
                <w:szCs w:val="18"/>
              </w:rPr>
              <w:t xml:space="preserve">Training – </w:t>
            </w:r>
            <w:r>
              <w:rPr>
                <w:szCs w:val="18"/>
              </w:rPr>
              <w:t>Statewide</w:t>
            </w:r>
          </w:p>
        </w:tc>
        <w:tc>
          <w:tcPr>
            <w:tcW w:w="5230" w:type="dxa"/>
          </w:tcPr>
          <w:p w14:paraId="341C15A6" w14:textId="77777777" w:rsidR="000B27B9" w:rsidRPr="00674F20" w:rsidRDefault="000B27B9" w:rsidP="0064265C">
            <w:pPr>
              <w:pStyle w:val="Tabletext9pt"/>
              <w:rPr>
                <w:szCs w:val="18"/>
              </w:rPr>
            </w:pPr>
            <w:r w:rsidRPr="00674F20">
              <w:rPr>
                <w:szCs w:val="18"/>
              </w:rPr>
              <w:t>All activities associated with training and staff development.</w:t>
            </w:r>
          </w:p>
        </w:tc>
      </w:tr>
      <w:tr w:rsidR="000B27B9" w:rsidRPr="004E0550" w14:paraId="6C0CDE78" w14:textId="77777777" w:rsidTr="31E98B47">
        <w:trPr>
          <w:cantSplit/>
        </w:trPr>
        <w:tc>
          <w:tcPr>
            <w:tcW w:w="1267" w:type="dxa"/>
          </w:tcPr>
          <w:p w14:paraId="5D9ADE08" w14:textId="77777777" w:rsidR="000B27B9" w:rsidRPr="00674F20" w:rsidRDefault="000B27B9" w:rsidP="0064265C">
            <w:pPr>
              <w:pStyle w:val="Tabletext9pt"/>
              <w:rPr>
                <w:szCs w:val="18"/>
              </w:rPr>
            </w:pPr>
            <w:r w:rsidRPr="00674F20">
              <w:rPr>
                <w:szCs w:val="18"/>
              </w:rPr>
              <w:t>15057</w:t>
            </w:r>
          </w:p>
        </w:tc>
        <w:tc>
          <w:tcPr>
            <w:tcW w:w="2802" w:type="dxa"/>
          </w:tcPr>
          <w:p w14:paraId="1944C422" w14:textId="77777777" w:rsidR="000B27B9" w:rsidRPr="00674F20" w:rsidRDefault="000B27B9" w:rsidP="0064265C">
            <w:pPr>
              <w:pStyle w:val="Tabletext9pt"/>
              <w:rPr>
                <w:szCs w:val="18"/>
              </w:rPr>
            </w:pPr>
            <w:r w:rsidRPr="00674F20">
              <w:rPr>
                <w:szCs w:val="18"/>
              </w:rPr>
              <w:t>Prevention and Recovery Care</w:t>
            </w:r>
          </w:p>
        </w:tc>
        <w:tc>
          <w:tcPr>
            <w:tcW w:w="5230" w:type="dxa"/>
          </w:tcPr>
          <w:p w14:paraId="7E24FD0D" w14:textId="77777777" w:rsidR="000B27B9" w:rsidRPr="00674F20" w:rsidRDefault="000B27B9" w:rsidP="0064265C">
            <w:pPr>
              <w:pStyle w:val="Tabletext9pt"/>
              <w:rPr>
                <w:szCs w:val="18"/>
              </w:rPr>
            </w:pPr>
            <w:r w:rsidRPr="00674F20">
              <w:rPr>
                <w:szCs w:val="18"/>
              </w:rPr>
              <w:t>Prevention and recovery care subacute clinical bed-based treatment services option for people with a significant mental health problem requiring pre-crisis or post-acute treatment and support. Prevention and recovery care assists in averting acute inpatient admission and facilitates earlier discharge from inpatient units. It is not a substitute for inpatient admission.</w:t>
            </w:r>
          </w:p>
        </w:tc>
      </w:tr>
      <w:tr w:rsidR="000B27B9" w:rsidRPr="004E0550" w14:paraId="025F8AD4" w14:textId="77777777" w:rsidTr="31E98B47">
        <w:trPr>
          <w:cantSplit/>
        </w:trPr>
        <w:tc>
          <w:tcPr>
            <w:tcW w:w="1267" w:type="dxa"/>
          </w:tcPr>
          <w:p w14:paraId="44BFA073" w14:textId="77777777" w:rsidR="000B27B9" w:rsidRPr="00674F20" w:rsidRDefault="000B27B9" w:rsidP="0064265C">
            <w:pPr>
              <w:pStyle w:val="Tabletext9pt"/>
              <w:rPr>
                <w:szCs w:val="18"/>
              </w:rPr>
            </w:pPr>
            <w:r w:rsidRPr="00674F20">
              <w:rPr>
                <w:szCs w:val="18"/>
              </w:rPr>
              <w:t>15060</w:t>
            </w:r>
          </w:p>
        </w:tc>
        <w:tc>
          <w:tcPr>
            <w:tcW w:w="2802" w:type="dxa"/>
          </w:tcPr>
          <w:p w14:paraId="067B2330" w14:textId="77777777" w:rsidR="000B27B9" w:rsidRPr="00674F20" w:rsidRDefault="000B27B9" w:rsidP="0064265C">
            <w:pPr>
              <w:pStyle w:val="Tabletext9pt"/>
              <w:rPr>
                <w:szCs w:val="18"/>
              </w:rPr>
            </w:pPr>
            <w:r w:rsidRPr="00674F20">
              <w:rPr>
                <w:szCs w:val="18"/>
              </w:rPr>
              <w:t>Homeless Outreach Psychiatric Services</w:t>
            </w:r>
          </w:p>
        </w:tc>
        <w:tc>
          <w:tcPr>
            <w:tcW w:w="5230" w:type="dxa"/>
          </w:tcPr>
          <w:p w14:paraId="3D019FE3" w14:textId="38908796" w:rsidR="000B27B9" w:rsidRPr="00674F20" w:rsidRDefault="000B27B9" w:rsidP="0064265C">
            <w:pPr>
              <w:pStyle w:val="Tabletext9pt"/>
              <w:rPr>
                <w:szCs w:val="18"/>
              </w:rPr>
            </w:pPr>
            <w:r w:rsidRPr="00674F20">
              <w:rPr>
                <w:szCs w:val="18"/>
              </w:rPr>
              <w:t xml:space="preserve">Outreach services that provide assessment, treatment, </w:t>
            </w:r>
            <w:r w:rsidR="00BE7B6C" w:rsidRPr="00674F20">
              <w:rPr>
                <w:szCs w:val="18"/>
              </w:rPr>
              <w:t>rehabilitation,</w:t>
            </w:r>
            <w:r w:rsidRPr="00674F20">
              <w:rPr>
                <w:szCs w:val="18"/>
              </w:rPr>
              <w:t xml:space="preserve"> and case management for homeless people with a mental illness. Also includes secondary consultation and support to the homelessness service sector.</w:t>
            </w:r>
          </w:p>
        </w:tc>
      </w:tr>
      <w:tr w:rsidR="000B27B9" w:rsidRPr="004E0550" w14:paraId="6A03770C" w14:textId="77777777" w:rsidTr="31E98B47">
        <w:trPr>
          <w:cantSplit/>
        </w:trPr>
        <w:tc>
          <w:tcPr>
            <w:tcW w:w="1267" w:type="dxa"/>
          </w:tcPr>
          <w:p w14:paraId="265DA5CF" w14:textId="77777777" w:rsidR="000B27B9" w:rsidRPr="00674F20" w:rsidRDefault="000B27B9" w:rsidP="0064265C">
            <w:pPr>
              <w:pStyle w:val="Tabletext9pt"/>
              <w:rPr>
                <w:szCs w:val="18"/>
              </w:rPr>
            </w:pPr>
            <w:r w:rsidRPr="00674F20">
              <w:rPr>
                <w:szCs w:val="18"/>
              </w:rPr>
              <w:t>15070</w:t>
            </w:r>
          </w:p>
        </w:tc>
        <w:tc>
          <w:tcPr>
            <w:tcW w:w="2802" w:type="dxa"/>
          </w:tcPr>
          <w:p w14:paraId="71AEB1EB" w14:textId="77777777" w:rsidR="000B27B9" w:rsidRPr="00674F20" w:rsidRDefault="000B27B9" w:rsidP="0064265C">
            <w:pPr>
              <w:pStyle w:val="Tabletext9pt"/>
              <w:rPr>
                <w:szCs w:val="18"/>
              </w:rPr>
            </w:pPr>
            <w:r w:rsidRPr="00674F20">
              <w:rPr>
                <w:szCs w:val="18"/>
              </w:rPr>
              <w:t>Academic Positions – Health Services</w:t>
            </w:r>
          </w:p>
        </w:tc>
        <w:tc>
          <w:tcPr>
            <w:tcW w:w="5230" w:type="dxa"/>
          </w:tcPr>
          <w:p w14:paraId="55EC6C4C" w14:textId="77777777" w:rsidR="000B27B9" w:rsidRPr="00674F20" w:rsidRDefault="000B27B9" w:rsidP="0064265C">
            <w:pPr>
              <w:pStyle w:val="Tabletext9pt"/>
              <w:rPr>
                <w:szCs w:val="18"/>
              </w:rPr>
            </w:pPr>
            <w:r w:rsidRPr="00674F20">
              <w:rPr>
                <w:szCs w:val="18"/>
              </w:rPr>
              <w:t>All activities associated with specified academic positions attached to tertiary institutions, regardless of the location of the position.</w:t>
            </w:r>
          </w:p>
        </w:tc>
      </w:tr>
      <w:tr w:rsidR="000B27B9" w:rsidRPr="004E0550" w14:paraId="6ECCCEC6" w14:textId="77777777" w:rsidTr="31E98B47">
        <w:trPr>
          <w:cantSplit/>
        </w:trPr>
        <w:tc>
          <w:tcPr>
            <w:tcW w:w="1267" w:type="dxa"/>
          </w:tcPr>
          <w:p w14:paraId="21FB0697" w14:textId="77777777" w:rsidR="000B27B9" w:rsidRPr="00674F20" w:rsidRDefault="000B27B9" w:rsidP="0064265C">
            <w:pPr>
              <w:pStyle w:val="Tabletext9pt"/>
              <w:rPr>
                <w:szCs w:val="18"/>
              </w:rPr>
            </w:pPr>
            <w:r w:rsidRPr="00674F20">
              <w:rPr>
                <w:szCs w:val="18"/>
              </w:rPr>
              <w:t>15071</w:t>
            </w:r>
          </w:p>
        </w:tc>
        <w:tc>
          <w:tcPr>
            <w:tcW w:w="2802" w:type="dxa"/>
          </w:tcPr>
          <w:p w14:paraId="363892AB" w14:textId="77777777" w:rsidR="000B27B9" w:rsidRPr="00674F20" w:rsidRDefault="000B27B9" w:rsidP="0064265C">
            <w:pPr>
              <w:pStyle w:val="Tabletext9pt"/>
              <w:rPr>
                <w:szCs w:val="18"/>
              </w:rPr>
            </w:pPr>
            <w:r w:rsidRPr="00674F20">
              <w:rPr>
                <w:szCs w:val="18"/>
              </w:rPr>
              <w:t>Training – Graduate Year Training</w:t>
            </w:r>
          </w:p>
        </w:tc>
        <w:tc>
          <w:tcPr>
            <w:tcW w:w="5230" w:type="dxa"/>
          </w:tcPr>
          <w:p w14:paraId="335F6C5C" w14:textId="77777777" w:rsidR="000B27B9" w:rsidRPr="00674F20" w:rsidRDefault="000B27B9" w:rsidP="0064265C">
            <w:pPr>
              <w:pStyle w:val="Tabletext9pt"/>
              <w:rPr>
                <w:szCs w:val="18"/>
              </w:rPr>
            </w:pPr>
            <w:r w:rsidRPr="00674F20">
              <w:rPr>
                <w:szCs w:val="18"/>
              </w:rPr>
              <w:t xml:space="preserve">Funding provided to </w:t>
            </w:r>
            <w:r>
              <w:rPr>
                <w:szCs w:val="18"/>
              </w:rPr>
              <w:t>h</w:t>
            </w:r>
            <w:r w:rsidRPr="00674F20">
              <w:rPr>
                <w:szCs w:val="18"/>
              </w:rPr>
              <w:t xml:space="preserve">ealth </w:t>
            </w:r>
            <w:r>
              <w:rPr>
                <w:szCs w:val="18"/>
              </w:rPr>
              <w:t>s</w:t>
            </w:r>
            <w:r w:rsidRPr="00674F20">
              <w:rPr>
                <w:szCs w:val="18"/>
              </w:rPr>
              <w:t>ervices to support nurses and allied health staff participating in specialist mental health graduate-year programs for training, supervision, backfill and subsidy to enable reduced clinical loads during orientation phase.</w:t>
            </w:r>
          </w:p>
        </w:tc>
      </w:tr>
      <w:tr w:rsidR="000B27B9" w:rsidRPr="004E0550" w14:paraId="7F9E47FF" w14:textId="77777777" w:rsidTr="31E98B47">
        <w:trPr>
          <w:cantSplit/>
        </w:trPr>
        <w:tc>
          <w:tcPr>
            <w:tcW w:w="1267" w:type="dxa"/>
          </w:tcPr>
          <w:p w14:paraId="42257B77" w14:textId="77777777" w:rsidR="000B27B9" w:rsidRPr="00674F20" w:rsidRDefault="000B27B9" w:rsidP="0064265C">
            <w:pPr>
              <w:pStyle w:val="Tabletext9pt"/>
              <w:rPr>
                <w:szCs w:val="18"/>
              </w:rPr>
            </w:pPr>
            <w:r w:rsidRPr="00674F20">
              <w:rPr>
                <w:szCs w:val="18"/>
              </w:rPr>
              <w:t>15200</w:t>
            </w:r>
          </w:p>
        </w:tc>
        <w:tc>
          <w:tcPr>
            <w:tcW w:w="2802" w:type="dxa"/>
          </w:tcPr>
          <w:p w14:paraId="32FE4FAF" w14:textId="77777777" w:rsidR="000B27B9" w:rsidRPr="00674F20" w:rsidRDefault="000B27B9" w:rsidP="0064265C">
            <w:pPr>
              <w:pStyle w:val="Tabletext9pt"/>
              <w:rPr>
                <w:szCs w:val="18"/>
              </w:rPr>
            </w:pPr>
            <w:r w:rsidRPr="00674F20">
              <w:rPr>
                <w:szCs w:val="18"/>
              </w:rPr>
              <w:t xml:space="preserve">Community Specialist </w:t>
            </w:r>
            <w:r>
              <w:rPr>
                <w:szCs w:val="18"/>
              </w:rPr>
              <w:t>Statewide</w:t>
            </w:r>
            <w:r w:rsidRPr="00674F20">
              <w:rPr>
                <w:szCs w:val="18"/>
              </w:rPr>
              <w:t xml:space="preserve"> Services</w:t>
            </w:r>
          </w:p>
        </w:tc>
        <w:tc>
          <w:tcPr>
            <w:tcW w:w="5230" w:type="dxa"/>
          </w:tcPr>
          <w:p w14:paraId="6143C30A" w14:textId="77777777" w:rsidR="000B27B9" w:rsidRPr="00674F20" w:rsidRDefault="000B27B9" w:rsidP="0064265C">
            <w:pPr>
              <w:pStyle w:val="Tabletext9pt"/>
              <w:rPr>
                <w:szCs w:val="18"/>
              </w:rPr>
            </w:pPr>
            <w:r w:rsidRPr="00674F20">
              <w:rPr>
                <w:szCs w:val="18"/>
              </w:rPr>
              <w:t xml:space="preserve">A range of specialist clinical community mental health assessment, treatment or consultancy services </w:t>
            </w:r>
            <w:r>
              <w:rPr>
                <w:szCs w:val="18"/>
              </w:rPr>
              <w:t>that</w:t>
            </w:r>
            <w:r w:rsidRPr="00674F20">
              <w:rPr>
                <w:szCs w:val="18"/>
              </w:rPr>
              <w:t xml:space="preserve"> support specific and general target groups on a </w:t>
            </w:r>
            <w:r>
              <w:rPr>
                <w:szCs w:val="18"/>
              </w:rPr>
              <w:t>statewide</w:t>
            </w:r>
            <w:r w:rsidRPr="00674F20">
              <w:rPr>
                <w:szCs w:val="18"/>
              </w:rPr>
              <w:t>, inter-regional or specific catchment area basis. The focus of these community services is on a clinical service provision to people with a mental illness.</w:t>
            </w:r>
          </w:p>
        </w:tc>
      </w:tr>
      <w:tr w:rsidR="000B27B9" w:rsidRPr="004E0550" w14:paraId="3AE59A38" w14:textId="77777777" w:rsidTr="31E98B47">
        <w:trPr>
          <w:cantSplit/>
        </w:trPr>
        <w:tc>
          <w:tcPr>
            <w:tcW w:w="1267" w:type="dxa"/>
          </w:tcPr>
          <w:p w14:paraId="763CFB04" w14:textId="77777777" w:rsidR="000B27B9" w:rsidRPr="00674F20" w:rsidRDefault="000B27B9" w:rsidP="0064265C">
            <w:pPr>
              <w:pStyle w:val="Tabletext9pt"/>
              <w:rPr>
                <w:szCs w:val="18"/>
              </w:rPr>
            </w:pPr>
            <w:r w:rsidRPr="00674F20">
              <w:rPr>
                <w:szCs w:val="18"/>
              </w:rPr>
              <w:t>15203</w:t>
            </w:r>
          </w:p>
        </w:tc>
        <w:tc>
          <w:tcPr>
            <w:tcW w:w="2802" w:type="dxa"/>
          </w:tcPr>
          <w:p w14:paraId="1C76D28C" w14:textId="77777777" w:rsidR="000B27B9" w:rsidRPr="00674F20" w:rsidRDefault="000B27B9" w:rsidP="0064265C">
            <w:pPr>
              <w:pStyle w:val="Tabletext9pt"/>
              <w:rPr>
                <w:szCs w:val="18"/>
              </w:rPr>
            </w:pPr>
            <w:r>
              <w:rPr>
                <w:szCs w:val="18"/>
              </w:rPr>
              <w:t>Statewide</w:t>
            </w:r>
            <w:r w:rsidRPr="00674F20">
              <w:rPr>
                <w:szCs w:val="18"/>
              </w:rPr>
              <w:t xml:space="preserve"> Support – Clinical Services</w:t>
            </w:r>
          </w:p>
        </w:tc>
        <w:tc>
          <w:tcPr>
            <w:tcW w:w="5230" w:type="dxa"/>
          </w:tcPr>
          <w:p w14:paraId="157815B6" w14:textId="77777777" w:rsidR="000B27B9" w:rsidRPr="00674F20" w:rsidRDefault="000B27B9" w:rsidP="0064265C">
            <w:pPr>
              <w:pStyle w:val="Tabletext9pt"/>
              <w:rPr>
                <w:szCs w:val="18"/>
              </w:rPr>
            </w:pPr>
            <w:r w:rsidRPr="00674F20">
              <w:rPr>
                <w:szCs w:val="18"/>
              </w:rPr>
              <w:t xml:space="preserve">A range of services including resourcing to the clinical mental health service system on a </w:t>
            </w:r>
            <w:r>
              <w:rPr>
                <w:szCs w:val="18"/>
              </w:rPr>
              <w:t>statewide</w:t>
            </w:r>
            <w:r w:rsidRPr="00674F20">
              <w:rPr>
                <w:szCs w:val="18"/>
              </w:rPr>
              <w:t>, inter-regional or specific</w:t>
            </w:r>
            <w:r>
              <w:rPr>
                <w:szCs w:val="18"/>
              </w:rPr>
              <w:t>-</w:t>
            </w:r>
            <w:r w:rsidRPr="00674F20">
              <w:rPr>
                <w:szCs w:val="18"/>
              </w:rPr>
              <w:t>purpose basis.</w:t>
            </w:r>
          </w:p>
        </w:tc>
      </w:tr>
      <w:tr w:rsidR="000B27B9" w:rsidRPr="004E0550" w14:paraId="54D677F2" w14:textId="77777777" w:rsidTr="31E98B47">
        <w:trPr>
          <w:cantSplit/>
        </w:trPr>
        <w:tc>
          <w:tcPr>
            <w:tcW w:w="1267" w:type="dxa"/>
          </w:tcPr>
          <w:p w14:paraId="155A2B8A" w14:textId="77777777" w:rsidR="000B27B9" w:rsidRPr="00674F20" w:rsidRDefault="000B27B9" w:rsidP="0064265C">
            <w:pPr>
              <w:pStyle w:val="Tabletext9pt"/>
              <w:rPr>
                <w:szCs w:val="18"/>
              </w:rPr>
            </w:pPr>
            <w:r w:rsidRPr="00674F20">
              <w:rPr>
                <w:szCs w:val="18"/>
              </w:rPr>
              <w:t>15250</w:t>
            </w:r>
          </w:p>
        </w:tc>
        <w:tc>
          <w:tcPr>
            <w:tcW w:w="2802" w:type="dxa"/>
          </w:tcPr>
          <w:p w14:paraId="3F4514C4" w14:textId="77777777" w:rsidR="000B27B9" w:rsidRPr="00674F20" w:rsidRDefault="000B27B9" w:rsidP="0064265C">
            <w:pPr>
              <w:pStyle w:val="Tabletext9pt"/>
              <w:rPr>
                <w:szCs w:val="18"/>
              </w:rPr>
            </w:pPr>
            <w:r w:rsidRPr="00674F20">
              <w:rPr>
                <w:szCs w:val="18"/>
              </w:rPr>
              <w:t>Aged Persons Mental Health Hostel Supplement</w:t>
            </w:r>
          </w:p>
        </w:tc>
        <w:tc>
          <w:tcPr>
            <w:tcW w:w="5230" w:type="dxa"/>
          </w:tcPr>
          <w:p w14:paraId="583A6F8E" w14:textId="0A9BA5C8" w:rsidR="000B27B9" w:rsidRPr="00674F20" w:rsidRDefault="000B27B9" w:rsidP="0064265C">
            <w:pPr>
              <w:pStyle w:val="Tabletext9pt"/>
              <w:rPr>
                <w:szCs w:val="18"/>
              </w:rPr>
            </w:pPr>
            <w:r w:rsidRPr="00674F20">
              <w:rPr>
                <w:szCs w:val="18"/>
              </w:rPr>
              <w:t xml:space="preserve">Hostel-based community residential services for aged clients who cannot be managed in the general residential system due to their level of persistent cognitive, </w:t>
            </w:r>
            <w:r w:rsidR="00BE7B6C" w:rsidRPr="00674F20">
              <w:rPr>
                <w:szCs w:val="18"/>
              </w:rPr>
              <w:t>emotional,</w:t>
            </w:r>
            <w:r w:rsidRPr="00674F20">
              <w:rPr>
                <w:szCs w:val="18"/>
              </w:rPr>
              <w:t xml:space="preserve"> or behavioural disturbances. Services include long-term accommodation, ongoing assessment, treatment and care of residents, low-level nursing home or hostel care, </w:t>
            </w:r>
            <w:r w:rsidR="00BE7B6C" w:rsidRPr="00674F20">
              <w:rPr>
                <w:szCs w:val="18"/>
              </w:rPr>
              <w:t>rehabilitation,</w:t>
            </w:r>
            <w:r w:rsidRPr="00674F20">
              <w:rPr>
                <w:szCs w:val="18"/>
              </w:rPr>
              <w:t xml:space="preserve"> and respite care.</w:t>
            </w:r>
          </w:p>
        </w:tc>
      </w:tr>
      <w:tr w:rsidR="000B27B9" w:rsidRPr="004E0550" w14:paraId="5FE8C107" w14:textId="77777777" w:rsidTr="31E98B47">
        <w:trPr>
          <w:cantSplit/>
        </w:trPr>
        <w:tc>
          <w:tcPr>
            <w:tcW w:w="1267" w:type="dxa"/>
          </w:tcPr>
          <w:p w14:paraId="42C46531" w14:textId="77777777" w:rsidR="000B27B9" w:rsidRPr="00674F20" w:rsidRDefault="000B27B9" w:rsidP="0064265C">
            <w:pPr>
              <w:pStyle w:val="Tabletext9pt"/>
              <w:rPr>
                <w:szCs w:val="18"/>
              </w:rPr>
            </w:pPr>
            <w:r w:rsidRPr="00674F20">
              <w:rPr>
                <w:szCs w:val="18"/>
              </w:rPr>
              <w:t>15251</w:t>
            </w:r>
          </w:p>
        </w:tc>
        <w:tc>
          <w:tcPr>
            <w:tcW w:w="2802" w:type="dxa"/>
          </w:tcPr>
          <w:p w14:paraId="036AE052" w14:textId="77777777" w:rsidR="000B27B9" w:rsidRPr="00674F20" w:rsidRDefault="000B27B9" w:rsidP="0064265C">
            <w:pPr>
              <w:pStyle w:val="Tabletext9pt"/>
              <w:rPr>
                <w:szCs w:val="18"/>
              </w:rPr>
            </w:pPr>
            <w:r w:rsidRPr="00674F20">
              <w:rPr>
                <w:szCs w:val="18"/>
              </w:rPr>
              <w:t>Consultation and Liaison</w:t>
            </w:r>
          </w:p>
        </w:tc>
        <w:tc>
          <w:tcPr>
            <w:tcW w:w="5230" w:type="dxa"/>
          </w:tcPr>
          <w:p w14:paraId="362C6343" w14:textId="371B1806" w:rsidR="000B27B9" w:rsidRPr="00674F20" w:rsidRDefault="000B27B9" w:rsidP="0064265C">
            <w:pPr>
              <w:pStyle w:val="Tabletext9pt"/>
              <w:rPr>
                <w:szCs w:val="18"/>
              </w:rPr>
            </w:pPr>
            <w:r w:rsidRPr="00674F20">
              <w:rPr>
                <w:szCs w:val="18"/>
              </w:rPr>
              <w:t xml:space="preserve">Consultation liaison psychiatry is the diagnosis, </w:t>
            </w:r>
            <w:r w:rsidR="00BE7B6C" w:rsidRPr="00674F20">
              <w:rPr>
                <w:szCs w:val="18"/>
              </w:rPr>
              <w:t>treatment,</w:t>
            </w:r>
            <w:r w:rsidRPr="00674F20">
              <w:rPr>
                <w:szCs w:val="18"/>
              </w:rPr>
              <w:t xml:space="preserve"> and prevention of psychiatric morbidity among physically ill patients who are patients of an acute general hospital. This activity includes </w:t>
            </w:r>
            <w:r>
              <w:rPr>
                <w:szCs w:val="18"/>
              </w:rPr>
              <w:t>providing</w:t>
            </w:r>
            <w:r w:rsidRPr="00674F20">
              <w:rPr>
                <w:szCs w:val="18"/>
              </w:rPr>
              <w:t xml:space="preserve"> psychiatric assessment, consultation, liaison and education services to non-psychiatric health professionals and their patients.</w:t>
            </w:r>
          </w:p>
        </w:tc>
      </w:tr>
      <w:tr w:rsidR="000B27B9" w:rsidRPr="004E0550" w14:paraId="61192579" w14:textId="77777777" w:rsidTr="31E98B47">
        <w:trPr>
          <w:cantSplit/>
        </w:trPr>
        <w:tc>
          <w:tcPr>
            <w:tcW w:w="1267" w:type="dxa"/>
          </w:tcPr>
          <w:p w14:paraId="7F421284" w14:textId="77777777" w:rsidR="000B27B9" w:rsidRPr="00674F20" w:rsidRDefault="000B27B9" w:rsidP="0064265C">
            <w:pPr>
              <w:pStyle w:val="Tabletext9pt"/>
              <w:rPr>
                <w:szCs w:val="18"/>
              </w:rPr>
            </w:pPr>
            <w:r w:rsidRPr="00674F20">
              <w:rPr>
                <w:szCs w:val="18"/>
              </w:rPr>
              <w:lastRenderedPageBreak/>
              <w:t>15262</w:t>
            </w:r>
          </w:p>
        </w:tc>
        <w:tc>
          <w:tcPr>
            <w:tcW w:w="2802" w:type="dxa"/>
          </w:tcPr>
          <w:p w14:paraId="24CD3E27" w14:textId="77777777" w:rsidR="000B27B9" w:rsidRPr="00674F20" w:rsidRDefault="000B27B9" w:rsidP="0064265C">
            <w:pPr>
              <w:pStyle w:val="Tabletext9pt"/>
              <w:rPr>
                <w:szCs w:val="18"/>
              </w:rPr>
            </w:pPr>
            <w:r w:rsidRPr="00674F20">
              <w:rPr>
                <w:szCs w:val="18"/>
              </w:rPr>
              <w:t>Prevention and Promotion</w:t>
            </w:r>
          </w:p>
        </w:tc>
        <w:tc>
          <w:tcPr>
            <w:tcW w:w="5230" w:type="dxa"/>
          </w:tcPr>
          <w:p w14:paraId="70D61CBB" w14:textId="77777777" w:rsidR="000B27B9" w:rsidRPr="00674F20" w:rsidRDefault="000B27B9" w:rsidP="0064265C">
            <w:pPr>
              <w:pStyle w:val="Tabletext9pt"/>
              <w:rPr>
                <w:szCs w:val="18"/>
              </w:rPr>
            </w:pPr>
            <w:r w:rsidRPr="00674F20">
              <w:rPr>
                <w:szCs w:val="18"/>
              </w:rPr>
              <w:t>The development and delivery of mental health promotion and the prevention of mental health problems and disorders.</w:t>
            </w:r>
          </w:p>
        </w:tc>
      </w:tr>
      <w:tr w:rsidR="000B27B9" w:rsidRPr="004E0550" w14:paraId="4D5CC564" w14:textId="77777777" w:rsidTr="31E98B47">
        <w:trPr>
          <w:cantSplit/>
        </w:trPr>
        <w:tc>
          <w:tcPr>
            <w:tcW w:w="1267" w:type="dxa"/>
          </w:tcPr>
          <w:p w14:paraId="1CBF7065" w14:textId="77777777" w:rsidR="000B27B9" w:rsidRPr="00674F20" w:rsidRDefault="000B27B9" w:rsidP="0064265C">
            <w:pPr>
              <w:pStyle w:val="Tabletext9pt"/>
              <w:rPr>
                <w:szCs w:val="18"/>
              </w:rPr>
            </w:pPr>
            <w:r w:rsidRPr="00674F20">
              <w:rPr>
                <w:szCs w:val="18"/>
              </w:rPr>
              <w:t>15264</w:t>
            </w:r>
          </w:p>
        </w:tc>
        <w:tc>
          <w:tcPr>
            <w:tcW w:w="2802" w:type="dxa"/>
          </w:tcPr>
          <w:p w14:paraId="77479992" w14:textId="77777777" w:rsidR="000B27B9" w:rsidRPr="00674F20" w:rsidRDefault="000B27B9" w:rsidP="0064265C">
            <w:pPr>
              <w:pStyle w:val="Tabletext9pt"/>
              <w:rPr>
                <w:szCs w:val="18"/>
              </w:rPr>
            </w:pPr>
            <w:r w:rsidRPr="00674F20">
              <w:rPr>
                <w:szCs w:val="18"/>
              </w:rPr>
              <w:t>Consumer Participation</w:t>
            </w:r>
          </w:p>
        </w:tc>
        <w:tc>
          <w:tcPr>
            <w:tcW w:w="5230" w:type="dxa"/>
          </w:tcPr>
          <w:p w14:paraId="10DB6FCD" w14:textId="1DA4B404" w:rsidR="000B27B9" w:rsidRPr="00674F20" w:rsidRDefault="000B27B9" w:rsidP="0064265C">
            <w:pPr>
              <w:pStyle w:val="Tabletext9pt"/>
              <w:rPr>
                <w:szCs w:val="18"/>
              </w:rPr>
            </w:pPr>
            <w:r w:rsidRPr="00674F20">
              <w:rPr>
                <w:szCs w:val="18"/>
              </w:rPr>
              <w:t>Participation of consumers, which may include employ</w:t>
            </w:r>
            <w:r>
              <w:rPr>
                <w:szCs w:val="18"/>
              </w:rPr>
              <w:t>ing</w:t>
            </w:r>
            <w:r w:rsidRPr="00674F20">
              <w:rPr>
                <w:szCs w:val="18"/>
              </w:rPr>
              <w:t xml:space="preserve"> consumer consultants to provide input into service planning, </w:t>
            </w:r>
            <w:r w:rsidR="00BE7B6C" w:rsidRPr="00674F20">
              <w:rPr>
                <w:szCs w:val="18"/>
              </w:rPr>
              <w:t>development,</w:t>
            </w:r>
            <w:r w:rsidRPr="00674F20">
              <w:rPr>
                <w:szCs w:val="18"/>
              </w:rPr>
              <w:t xml:space="preserve"> and evaluation, establish consumer networks and become involved in consumer participation plans for area mental health services.</w:t>
            </w:r>
          </w:p>
        </w:tc>
      </w:tr>
      <w:tr w:rsidR="000B27B9" w:rsidRPr="004E0550" w14:paraId="73CB31B0" w14:textId="77777777" w:rsidTr="31E98B47">
        <w:trPr>
          <w:cantSplit/>
        </w:trPr>
        <w:tc>
          <w:tcPr>
            <w:tcW w:w="1267" w:type="dxa"/>
          </w:tcPr>
          <w:p w14:paraId="7B0D76D3" w14:textId="77777777" w:rsidR="000B27B9" w:rsidRPr="00674F20" w:rsidRDefault="000B27B9" w:rsidP="0064265C">
            <w:pPr>
              <w:pStyle w:val="Tabletext9pt"/>
              <w:rPr>
                <w:szCs w:val="18"/>
              </w:rPr>
            </w:pPr>
            <w:r w:rsidRPr="00674F20">
              <w:rPr>
                <w:szCs w:val="18"/>
              </w:rPr>
              <w:t>15265</w:t>
            </w:r>
          </w:p>
        </w:tc>
        <w:tc>
          <w:tcPr>
            <w:tcW w:w="2802" w:type="dxa"/>
          </w:tcPr>
          <w:p w14:paraId="4E947343" w14:textId="77777777" w:rsidR="000B27B9" w:rsidRPr="00674F20" w:rsidRDefault="000B27B9" w:rsidP="0064265C">
            <w:pPr>
              <w:pStyle w:val="Tabletext9pt"/>
              <w:rPr>
                <w:szCs w:val="18"/>
              </w:rPr>
            </w:pPr>
            <w:r w:rsidRPr="00674F20">
              <w:rPr>
                <w:szCs w:val="18"/>
              </w:rPr>
              <w:t>Ethnic Consultants</w:t>
            </w:r>
          </w:p>
        </w:tc>
        <w:tc>
          <w:tcPr>
            <w:tcW w:w="5230" w:type="dxa"/>
          </w:tcPr>
          <w:p w14:paraId="3016BFDC" w14:textId="77777777" w:rsidR="000B27B9" w:rsidRPr="00674F20" w:rsidRDefault="000B27B9" w:rsidP="0064265C">
            <w:pPr>
              <w:pStyle w:val="Tabletext9pt"/>
              <w:rPr>
                <w:szCs w:val="18"/>
              </w:rPr>
            </w:pPr>
            <w:r w:rsidRPr="00674F20">
              <w:rPr>
                <w:szCs w:val="18"/>
              </w:rPr>
              <w:t>Strategies that increase the accessibility of mental health services for people from culturally diverse backgrounds</w:t>
            </w:r>
            <w:r>
              <w:rPr>
                <w:szCs w:val="18"/>
              </w:rPr>
              <w:t>.</w:t>
            </w:r>
            <w:r w:rsidRPr="00674F20">
              <w:rPr>
                <w:szCs w:val="18"/>
              </w:rPr>
              <w:t xml:space="preserve"> </w:t>
            </w:r>
            <w:r>
              <w:rPr>
                <w:szCs w:val="18"/>
              </w:rPr>
              <w:t>This includes</w:t>
            </w:r>
            <w:r w:rsidRPr="00674F20">
              <w:rPr>
                <w:szCs w:val="18"/>
              </w:rPr>
              <w:t xml:space="preserve"> develop</w:t>
            </w:r>
            <w:r>
              <w:rPr>
                <w:szCs w:val="18"/>
              </w:rPr>
              <w:t>ing</w:t>
            </w:r>
            <w:r w:rsidRPr="00674F20">
              <w:rPr>
                <w:szCs w:val="18"/>
              </w:rPr>
              <w:t xml:space="preserve"> and implement</w:t>
            </w:r>
            <w:r>
              <w:rPr>
                <w:szCs w:val="18"/>
              </w:rPr>
              <w:t>ing</w:t>
            </w:r>
            <w:r w:rsidRPr="00674F20">
              <w:rPr>
                <w:szCs w:val="18"/>
              </w:rPr>
              <w:t xml:space="preserve"> strategic plans for </w:t>
            </w:r>
            <w:r>
              <w:rPr>
                <w:szCs w:val="18"/>
              </w:rPr>
              <w:t>providing</w:t>
            </w:r>
            <w:r w:rsidRPr="00674F20">
              <w:rPr>
                <w:szCs w:val="18"/>
              </w:rPr>
              <w:t xml:space="preserve"> culturally sensitive services and </w:t>
            </w:r>
            <w:r>
              <w:rPr>
                <w:szCs w:val="18"/>
              </w:rPr>
              <w:t xml:space="preserve">for </w:t>
            </w:r>
            <w:r w:rsidRPr="00674F20">
              <w:rPr>
                <w:szCs w:val="18"/>
              </w:rPr>
              <w:t>establish</w:t>
            </w:r>
            <w:r>
              <w:rPr>
                <w:szCs w:val="18"/>
              </w:rPr>
              <w:t>ing</w:t>
            </w:r>
            <w:r w:rsidRPr="00674F20">
              <w:rPr>
                <w:szCs w:val="18"/>
              </w:rPr>
              <w:t xml:space="preserve"> and maint</w:t>
            </w:r>
            <w:r>
              <w:rPr>
                <w:szCs w:val="18"/>
              </w:rPr>
              <w:t>aining</w:t>
            </w:r>
            <w:r w:rsidRPr="00674F20">
              <w:rPr>
                <w:szCs w:val="18"/>
              </w:rPr>
              <w:t xml:space="preserve"> partnerships with ethnic community groups and bilingual health workers.</w:t>
            </w:r>
          </w:p>
        </w:tc>
      </w:tr>
      <w:tr w:rsidR="000B27B9" w:rsidRPr="004E0550" w14:paraId="0BD8C2AA" w14:textId="77777777" w:rsidTr="31E98B47">
        <w:trPr>
          <w:cantSplit/>
        </w:trPr>
        <w:tc>
          <w:tcPr>
            <w:tcW w:w="1267" w:type="dxa"/>
          </w:tcPr>
          <w:p w14:paraId="553E13D0" w14:textId="77777777" w:rsidR="000B27B9" w:rsidRPr="00674F20" w:rsidRDefault="000B27B9" w:rsidP="0064265C">
            <w:pPr>
              <w:pStyle w:val="Tabletext9pt"/>
              <w:rPr>
                <w:szCs w:val="18"/>
              </w:rPr>
            </w:pPr>
            <w:r w:rsidRPr="00674F20">
              <w:rPr>
                <w:szCs w:val="18"/>
              </w:rPr>
              <w:t>15267</w:t>
            </w:r>
          </w:p>
        </w:tc>
        <w:tc>
          <w:tcPr>
            <w:tcW w:w="2802" w:type="dxa"/>
          </w:tcPr>
          <w:p w14:paraId="498AFB89" w14:textId="77777777" w:rsidR="000B27B9" w:rsidRPr="00674F20" w:rsidRDefault="000B27B9" w:rsidP="0064265C">
            <w:pPr>
              <w:pStyle w:val="Tabletext9pt"/>
              <w:rPr>
                <w:szCs w:val="18"/>
              </w:rPr>
            </w:pPr>
            <w:r w:rsidRPr="00674F20">
              <w:rPr>
                <w:szCs w:val="18"/>
              </w:rPr>
              <w:t>Research and Evaluation</w:t>
            </w:r>
          </w:p>
        </w:tc>
        <w:tc>
          <w:tcPr>
            <w:tcW w:w="5230" w:type="dxa"/>
          </w:tcPr>
          <w:p w14:paraId="73E0A2F7" w14:textId="63B7C3CB" w:rsidR="000B27B9" w:rsidRPr="00674F20" w:rsidRDefault="000B27B9" w:rsidP="0064265C">
            <w:pPr>
              <w:pStyle w:val="Tabletext9pt"/>
              <w:rPr>
                <w:szCs w:val="18"/>
              </w:rPr>
            </w:pPr>
            <w:r w:rsidRPr="00674F20">
              <w:rPr>
                <w:szCs w:val="18"/>
              </w:rPr>
              <w:t xml:space="preserve">All activities associated with academic appointments, </w:t>
            </w:r>
            <w:r w:rsidR="00BE7B6C" w:rsidRPr="00674F20">
              <w:rPr>
                <w:szCs w:val="18"/>
              </w:rPr>
              <w:t>research,</w:t>
            </w:r>
            <w:r w:rsidRPr="00674F20">
              <w:rPr>
                <w:szCs w:val="18"/>
              </w:rPr>
              <w:t xml:space="preserve"> and evaluation.</w:t>
            </w:r>
          </w:p>
        </w:tc>
      </w:tr>
      <w:tr w:rsidR="000B27B9" w:rsidRPr="004E0550" w14:paraId="41A6BDB5" w14:textId="77777777" w:rsidTr="31E98B47">
        <w:trPr>
          <w:cantSplit/>
        </w:trPr>
        <w:tc>
          <w:tcPr>
            <w:tcW w:w="1267" w:type="dxa"/>
          </w:tcPr>
          <w:p w14:paraId="15B09AA6" w14:textId="77777777" w:rsidR="000B27B9" w:rsidRPr="00674F20" w:rsidRDefault="000B27B9" w:rsidP="0064265C">
            <w:pPr>
              <w:pStyle w:val="Tabletext9pt"/>
              <w:rPr>
                <w:szCs w:val="18"/>
              </w:rPr>
            </w:pPr>
            <w:r w:rsidRPr="00674F20">
              <w:rPr>
                <w:szCs w:val="18"/>
              </w:rPr>
              <w:t>15272</w:t>
            </w:r>
          </w:p>
        </w:tc>
        <w:tc>
          <w:tcPr>
            <w:tcW w:w="2802" w:type="dxa"/>
          </w:tcPr>
          <w:p w14:paraId="33299032" w14:textId="77777777" w:rsidR="000B27B9" w:rsidRPr="00674F20" w:rsidRDefault="000B27B9" w:rsidP="0064265C">
            <w:pPr>
              <w:pStyle w:val="Tabletext9pt"/>
              <w:rPr>
                <w:szCs w:val="18"/>
              </w:rPr>
            </w:pPr>
            <w:r w:rsidRPr="00674F20">
              <w:rPr>
                <w:szCs w:val="18"/>
              </w:rPr>
              <w:t>Quality Incentive Strategy</w:t>
            </w:r>
          </w:p>
        </w:tc>
        <w:tc>
          <w:tcPr>
            <w:tcW w:w="5230" w:type="dxa"/>
          </w:tcPr>
          <w:p w14:paraId="5C8DA95A" w14:textId="77777777" w:rsidR="000B27B9" w:rsidRPr="00674F20" w:rsidRDefault="000B27B9" w:rsidP="0064265C">
            <w:pPr>
              <w:pStyle w:val="Tabletext9pt"/>
              <w:rPr>
                <w:szCs w:val="18"/>
              </w:rPr>
            </w:pPr>
            <w:r w:rsidRPr="00674F20">
              <w:rPr>
                <w:szCs w:val="18"/>
              </w:rPr>
              <w:t>Financial incentives for service quality in adult, aged persons and child and adolescent mental health services. The QIS includes measures of consumer and carer satisfaction, service responsiveness and timeliness of data reporting.</w:t>
            </w:r>
          </w:p>
        </w:tc>
      </w:tr>
      <w:tr w:rsidR="000B27B9" w:rsidRPr="004E0550" w14:paraId="2E948119" w14:textId="77777777" w:rsidTr="31E98B47">
        <w:trPr>
          <w:cantSplit/>
        </w:trPr>
        <w:tc>
          <w:tcPr>
            <w:tcW w:w="1267" w:type="dxa"/>
          </w:tcPr>
          <w:p w14:paraId="026A685D" w14:textId="77777777" w:rsidR="000B27B9" w:rsidRPr="00674F20" w:rsidRDefault="000B27B9" w:rsidP="0064265C">
            <w:pPr>
              <w:pStyle w:val="Tabletext9pt"/>
              <w:rPr>
                <w:szCs w:val="18"/>
              </w:rPr>
            </w:pPr>
            <w:r w:rsidRPr="00674F20">
              <w:rPr>
                <w:szCs w:val="18"/>
              </w:rPr>
              <w:t>15300</w:t>
            </w:r>
          </w:p>
        </w:tc>
        <w:tc>
          <w:tcPr>
            <w:tcW w:w="2802" w:type="dxa"/>
          </w:tcPr>
          <w:p w14:paraId="47325648" w14:textId="77777777" w:rsidR="000B27B9" w:rsidRPr="00674F20" w:rsidRDefault="000B27B9" w:rsidP="0064265C">
            <w:pPr>
              <w:pStyle w:val="Tabletext9pt"/>
              <w:rPr>
                <w:szCs w:val="18"/>
              </w:rPr>
            </w:pPr>
            <w:r w:rsidRPr="00674F20">
              <w:rPr>
                <w:szCs w:val="18"/>
              </w:rPr>
              <w:t>Conduct Disorder Program</w:t>
            </w:r>
          </w:p>
        </w:tc>
        <w:tc>
          <w:tcPr>
            <w:tcW w:w="5230" w:type="dxa"/>
          </w:tcPr>
          <w:p w14:paraId="7124DF39" w14:textId="77777777" w:rsidR="000B27B9" w:rsidRPr="00674F20" w:rsidRDefault="000B27B9" w:rsidP="0064265C">
            <w:pPr>
              <w:pStyle w:val="Tabletext9pt"/>
              <w:rPr>
                <w:szCs w:val="18"/>
              </w:rPr>
            </w:pPr>
            <w:r w:rsidRPr="00674F20">
              <w:rPr>
                <w:szCs w:val="18"/>
              </w:rPr>
              <w:t>Services that provide prevention programs for children and young people at risk and clinical services for those with established conduct disorder.</w:t>
            </w:r>
          </w:p>
        </w:tc>
      </w:tr>
      <w:tr w:rsidR="000B27B9" w:rsidRPr="004E0550" w14:paraId="08E50CD3" w14:textId="77777777" w:rsidTr="31E98B47">
        <w:trPr>
          <w:cantSplit/>
        </w:trPr>
        <w:tc>
          <w:tcPr>
            <w:tcW w:w="1267" w:type="dxa"/>
          </w:tcPr>
          <w:p w14:paraId="12296B6F" w14:textId="77777777" w:rsidR="000B27B9" w:rsidRPr="00674F20" w:rsidRDefault="000B27B9" w:rsidP="0064265C">
            <w:pPr>
              <w:pStyle w:val="Tabletext9pt"/>
              <w:rPr>
                <w:szCs w:val="18"/>
              </w:rPr>
            </w:pPr>
            <w:r w:rsidRPr="00674F20">
              <w:rPr>
                <w:szCs w:val="18"/>
              </w:rPr>
              <w:t>15320</w:t>
            </w:r>
          </w:p>
        </w:tc>
        <w:tc>
          <w:tcPr>
            <w:tcW w:w="2802" w:type="dxa"/>
          </w:tcPr>
          <w:p w14:paraId="5A0B4283" w14:textId="77777777" w:rsidR="000B27B9" w:rsidRPr="00674F20" w:rsidRDefault="000B27B9" w:rsidP="0064265C">
            <w:pPr>
              <w:pStyle w:val="Tabletext9pt"/>
              <w:rPr>
                <w:szCs w:val="18"/>
              </w:rPr>
            </w:pPr>
            <w:r w:rsidRPr="00674F20">
              <w:rPr>
                <w:szCs w:val="18"/>
              </w:rPr>
              <w:t>Early Psychosis Program</w:t>
            </w:r>
          </w:p>
        </w:tc>
        <w:tc>
          <w:tcPr>
            <w:tcW w:w="5230" w:type="dxa"/>
          </w:tcPr>
          <w:p w14:paraId="7D037679" w14:textId="3C64E841" w:rsidR="000B27B9" w:rsidRPr="00674F20" w:rsidRDefault="000B27B9" w:rsidP="0064265C">
            <w:pPr>
              <w:pStyle w:val="Tabletext9pt"/>
              <w:rPr>
                <w:szCs w:val="18"/>
              </w:rPr>
            </w:pPr>
            <w:r w:rsidRPr="00674F20">
              <w:rPr>
                <w:szCs w:val="18"/>
              </w:rPr>
              <w:t>Specialist treatment and improved continuity of care services for young people with an emerging disorder, particularly coexisting substance abuse problems.</w:t>
            </w:r>
          </w:p>
        </w:tc>
      </w:tr>
      <w:tr w:rsidR="000B27B9" w:rsidRPr="004E0550" w14:paraId="58281C88" w14:textId="77777777" w:rsidTr="31E98B47">
        <w:trPr>
          <w:cantSplit/>
        </w:trPr>
        <w:tc>
          <w:tcPr>
            <w:tcW w:w="1267" w:type="dxa"/>
          </w:tcPr>
          <w:p w14:paraId="5629C0B6" w14:textId="77777777" w:rsidR="000B27B9" w:rsidRPr="00674F20" w:rsidRDefault="000B27B9" w:rsidP="0064265C">
            <w:pPr>
              <w:pStyle w:val="Tabletext9pt"/>
              <w:rPr>
                <w:szCs w:val="18"/>
              </w:rPr>
            </w:pPr>
            <w:r w:rsidRPr="00674F20">
              <w:rPr>
                <w:szCs w:val="18"/>
              </w:rPr>
              <w:t>15321</w:t>
            </w:r>
          </w:p>
        </w:tc>
        <w:tc>
          <w:tcPr>
            <w:tcW w:w="2802" w:type="dxa"/>
          </w:tcPr>
          <w:p w14:paraId="1AD2D997" w14:textId="77777777" w:rsidR="000B27B9" w:rsidRPr="00674F20" w:rsidRDefault="000B27B9" w:rsidP="0064265C">
            <w:pPr>
              <w:pStyle w:val="Tabletext9pt"/>
              <w:rPr>
                <w:szCs w:val="18"/>
              </w:rPr>
            </w:pPr>
            <w:r w:rsidRPr="00674F20">
              <w:rPr>
                <w:szCs w:val="18"/>
              </w:rPr>
              <w:t>Koori Liaison Officers</w:t>
            </w:r>
          </w:p>
        </w:tc>
        <w:tc>
          <w:tcPr>
            <w:tcW w:w="5230" w:type="dxa"/>
          </w:tcPr>
          <w:p w14:paraId="25F236AC" w14:textId="77777777" w:rsidR="000B27B9" w:rsidRPr="00674F20" w:rsidRDefault="000B27B9" w:rsidP="0064265C">
            <w:pPr>
              <w:pStyle w:val="Tabletext9pt"/>
              <w:rPr>
                <w:szCs w:val="18"/>
              </w:rPr>
            </w:pPr>
            <w:r w:rsidRPr="00674F20">
              <w:rPr>
                <w:szCs w:val="18"/>
              </w:rPr>
              <w:t>All activities associated with the mental health Koori liaison positions.</w:t>
            </w:r>
          </w:p>
        </w:tc>
      </w:tr>
      <w:tr w:rsidR="000B27B9" w:rsidRPr="004E0550" w14:paraId="58C72A0B" w14:textId="77777777" w:rsidTr="31E98B47">
        <w:trPr>
          <w:cantSplit/>
        </w:trPr>
        <w:tc>
          <w:tcPr>
            <w:tcW w:w="1267" w:type="dxa"/>
          </w:tcPr>
          <w:p w14:paraId="15DB6227" w14:textId="77777777" w:rsidR="000B27B9" w:rsidRPr="00674F20" w:rsidRDefault="000B27B9" w:rsidP="0064265C">
            <w:pPr>
              <w:pStyle w:val="Tabletext9pt"/>
              <w:rPr>
                <w:szCs w:val="18"/>
              </w:rPr>
            </w:pPr>
            <w:r w:rsidRPr="00674F20">
              <w:rPr>
                <w:szCs w:val="18"/>
              </w:rPr>
              <w:t>15351</w:t>
            </w:r>
          </w:p>
        </w:tc>
        <w:tc>
          <w:tcPr>
            <w:tcW w:w="2802" w:type="dxa"/>
          </w:tcPr>
          <w:p w14:paraId="1C51365B" w14:textId="77777777" w:rsidR="000B27B9" w:rsidRPr="00674F20" w:rsidRDefault="000B27B9" w:rsidP="0064265C">
            <w:pPr>
              <w:pStyle w:val="Tabletext9pt"/>
              <w:rPr>
                <w:szCs w:val="18"/>
              </w:rPr>
            </w:pPr>
            <w:r w:rsidRPr="00674F20">
              <w:rPr>
                <w:szCs w:val="18"/>
              </w:rPr>
              <w:t xml:space="preserve">Community Specialist </w:t>
            </w:r>
            <w:r>
              <w:rPr>
                <w:szCs w:val="18"/>
              </w:rPr>
              <w:t>Statewide</w:t>
            </w:r>
            <w:r w:rsidRPr="00674F20">
              <w:rPr>
                <w:szCs w:val="18"/>
              </w:rPr>
              <w:t xml:space="preserve"> Services – Eating Disorders</w:t>
            </w:r>
          </w:p>
        </w:tc>
        <w:tc>
          <w:tcPr>
            <w:tcW w:w="5230" w:type="dxa"/>
          </w:tcPr>
          <w:p w14:paraId="729EFFC5" w14:textId="77777777" w:rsidR="000B27B9" w:rsidRPr="00674F20" w:rsidRDefault="000B27B9" w:rsidP="0064265C">
            <w:pPr>
              <w:pStyle w:val="Tabletext9pt"/>
              <w:rPr>
                <w:szCs w:val="18"/>
              </w:rPr>
            </w:pPr>
            <w:r w:rsidRPr="00674F20">
              <w:rPr>
                <w:szCs w:val="18"/>
              </w:rPr>
              <w:t xml:space="preserve">A range of specialist clinical community mental health assessment, treatment or consultancy services that support eating disorder groups on a </w:t>
            </w:r>
            <w:r>
              <w:rPr>
                <w:szCs w:val="18"/>
              </w:rPr>
              <w:t>statewide</w:t>
            </w:r>
            <w:r w:rsidRPr="00674F20">
              <w:rPr>
                <w:szCs w:val="18"/>
              </w:rPr>
              <w:t>, inter-regional or specific catchment area basis. The focus of these community services is on a clinical service provision to people with a mental illness.</w:t>
            </w:r>
          </w:p>
        </w:tc>
      </w:tr>
      <w:tr w:rsidR="000B27B9" w:rsidRPr="004E0550" w14:paraId="2027E78C" w14:textId="77777777" w:rsidTr="31E98B47">
        <w:trPr>
          <w:cantSplit/>
        </w:trPr>
        <w:tc>
          <w:tcPr>
            <w:tcW w:w="1267" w:type="dxa"/>
          </w:tcPr>
          <w:p w14:paraId="6BA4BD0A" w14:textId="77777777" w:rsidR="000B27B9" w:rsidRPr="00674F20" w:rsidRDefault="000B27B9" w:rsidP="0064265C">
            <w:pPr>
              <w:pStyle w:val="Tabletext9pt"/>
              <w:rPr>
                <w:szCs w:val="18"/>
              </w:rPr>
            </w:pPr>
            <w:r w:rsidRPr="00674F20">
              <w:rPr>
                <w:szCs w:val="18"/>
              </w:rPr>
              <w:t>15352</w:t>
            </w:r>
          </w:p>
        </w:tc>
        <w:tc>
          <w:tcPr>
            <w:tcW w:w="2802" w:type="dxa"/>
          </w:tcPr>
          <w:p w14:paraId="29F508B1" w14:textId="77777777" w:rsidR="000B27B9" w:rsidRPr="00674F20" w:rsidRDefault="000B27B9" w:rsidP="0064265C">
            <w:pPr>
              <w:pStyle w:val="Tabletext9pt"/>
              <w:rPr>
                <w:szCs w:val="18"/>
              </w:rPr>
            </w:pPr>
            <w:r w:rsidRPr="00674F20">
              <w:rPr>
                <w:szCs w:val="18"/>
              </w:rPr>
              <w:t xml:space="preserve">Aged </w:t>
            </w:r>
            <w:r>
              <w:rPr>
                <w:szCs w:val="18"/>
              </w:rPr>
              <w:t>P</w:t>
            </w:r>
            <w:r w:rsidRPr="00674F20">
              <w:rPr>
                <w:szCs w:val="18"/>
              </w:rPr>
              <w:t xml:space="preserve">ersons </w:t>
            </w:r>
            <w:r>
              <w:rPr>
                <w:szCs w:val="18"/>
              </w:rPr>
              <w:t>I</w:t>
            </w:r>
            <w:r w:rsidRPr="00674F20">
              <w:rPr>
                <w:szCs w:val="18"/>
              </w:rPr>
              <w:t xml:space="preserve">ntensive </w:t>
            </w:r>
            <w:r>
              <w:rPr>
                <w:szCs w:val="18"/>
              </w:rPr>
              <w:t>C</w:t>
            </w:r>
            <w:r w:rsidRPr="00674F20">
              <w:rPr>
                <w:szCs w:val="18"/>
              </w:rPr>
              <w:t xml:space="preserve">ommunity </w:t>
            </w:r>
            <w:r>
              <w:rPr>
                <w:szCs w:val="18"/>
              </w:rPr>
              <w:t>T</w:t>
            </w:r>
            <w:r w:rsidRPr="00674F20">
              <w:rPr>
                <w:szCs w:val="18"/>
              </w:rPr>
              <w:t>reatment</w:t>
            </w:r>
          </w:p>
        </w:tc>
        <w:tc>
          <w:tcPr>
            <w:tcW w:w="5230" w:type="dxa"/>
          </w:tcPr>
          <w:p w14:paraId="385B430C" w14:textId="77777777" w:rsidR="000B27B9" w:rsidRPr="00674F20" w:rsidRDefault="000B27B9" w:rsidP="0064265C">
            <w:pPr>
              <w:pStyle w:val="Tabletext9pt"/>
              <w:rPr>
                <w:szCs w:val="18"/>
              </w:rPr>
            </w:pPr>
            <w:r w:rsidRPr="00674F20">
              <w:rPr>
                <w:szCs w:val="18"/>
              </w:rPr>
              <w:t xml:space="preserve">Short-term assessment and treatment for </w:t>
            </w:r>
            <w:r>
              <w:rPr>
                <w:szCs w:val="18"/>
              </w:rPr>
              <w:t>people</w:t>
            </w:r>
            <w:r w:rsidRPr="00674F20">
              <w:rPr>
                <w:szCs w:val="18"/>
              </w:rPr>
              <w:t xml:space="preserve"> over 65 years of age with acute symptoms of a mental illness, delivered in community settings.</w:t>
            </w:r>
          </w:p>
        </w:tc>
      </w:tr>
      <w:tr w:rsidR="000B27B9" w:rsidRPr="004E0550" w14:paraId="042668B3" w14:textId="77777777" w:rsidTr="31E98B47">
        <w:trPr>
          <w:cantSplit/>
        </w:trPr>
        <w:tc>
          <w:tcPr>
            <w:tcW w:w="1267" w:type="dxa"/>
          </w:tcPr>
          <w:p w14:paraId="35EAA493" w14:textId="77777777" w:rsidR="000B27B9" w:rsidRPr="00674F20" w:rsidRDefault="000B27B9" w:rsidP="0064265C">
            <w:pPr>
              <w:pStyle w:val="Tabletext9pt"/>
              <w:rPr>
                <w:szCs w:val="18"/>
              </w:rPr>
            </w:pPr>
            <w:r w:rsidRPr="00674F20">
              <w:rPr>
                <w:szCs w:val="18"/>
              </w:rPr>
              <w:t>15353</w:t>
            </w:r>
          </w:p>
        </w:tc>
        <w:tc>
          <w:tcPr>
            <w:tcW w:w="2802" w:type="dxa"/>
          </w:tcPr>
          <w:p w14:paraId="05B87685" w14:textId="77777777" w:rsidR="000B27B9" w:rsidRPr="00674F20" w:rsidRDefault="000B27B9" w:rsidP="0064265C">
            <w:pPr>
              <w:pStyle w:val="Tabletext9pt"/>
              <w:rPr>
                <w:szCs w:val="18"/>
              </w:rPr>
            </w:pPr>
            <w:r w:rsidRPr="00674F20">
              <w:rPr>
                <w:szCs w:val="18"/>
              </w:rPr>
              <w:t>Acute Care – Mother Baby</w:t>
            </w:r>
            <w:r>
              <w:rPr>
                <w:szCs w:val="18"/>
              </w:rPr>
              <w:t xml:space="preserve"> (now known as Parent and Infant services)</w:t>
            </w:r>
          </w:p>
        </w:tc>
        <w:tc>
          <w:tcPr>
            <w:tcW w:w="5230" w:type="dxa"/>
          </w:tcPr>
          <w:p w14:paraId="10A77B00" w14:textId="77777777" w:rsidR="000B27B9" w:rsidRPr="00674F20" w:rsidRDefault="000B27B9" w:rsidP="0064265C">
            <w:pPr>
              <w:pStyle w:val="Tabletext9pt"/>
              <w:rPr>
                <w:szCs w:val="18"/>
              </w:rPr>
            </w:pPr>
            <w:r w:rsidRPr="00674F20">
              <w:rPr>
                <w:szCs w:val="18"/>
              </w:rPr>
              <w:t xml:space="preserve">A range of specialist clinical inpatient mental health assessment, treatment or consultancy services </w:t>
            </w:r>
            <w:r>
              <w:rPr>
                <w:szCs w:val="18"/>
              </w:rPr>
              <w:t>that</w:t>
            </w:r>
            <w:r w:rsidRPr="00674F20">
              <w:rPr>
                <w:szCs w:val="18"/>
              </w:rPr>
              <w:t xml:space="preserve"> support mother and baby groups on a </w:t>
            </w:r>
            <w:r>
              <w:rPr>
                <w:szCs w:val="18"/>
              </w:rPr>
              <w:t>statewide</w:t>
            </w:r>
            <w:r w:rsidRPr="00674F20">
              <w:rPr>
                <w:szCs w:val="18"/>
              </w:rPr>
              <w:t>, inter-regional or specific catchment area basis. The focus of these inpatient services is on clinical service provision to people with a mental illness.</w:t>
            </w:r>
          </w:p>
        </w:tc>
      </w:tr>
      <w:tr w:rsidR="000B27B9" w:rsidRPr="004E0550" w14:paraId="17AF9DEE" w14:textId="77777777" w:rsidTr="31E98B47">
        <w:trPr>
          <w:cantSplit/>
        </w:trPr>
        <w:tc>
          <w:tcPr>
            <w:tcW w:w="1267" w:type="dxa"/>
          </w:tcPr>
          <w:p w14:paraId="508B4942" w14:textId="77777777" w:rsidR="000B27B9" w:rsidRPr="00674F20" w:rsidRDefault="000B27B9" w:rsidP="0064265C">
            <w:pPr>
              <w:pStyle w:val="Tabletext9pt"/>
              <w:rPr>
                <w:szCs w:val="18"/>
              </w:rPr>
            </w:pPr>
            <w:r w:rsidRPr="00674F20">
              <w:rPr>
                <w:szCs w:val="18"/>
              </w:rPr>
              <w:t>15354</w:t>
            </w:r>
          </w:p>
        </w:tc>
        <w:tc>
          <w:tcPr>
            <w:tcW w:w="2802" w:type="dxa"/>
          </w:tcPr>
          <w:p w14:paraId="0A864597" w14:textId="77777777" w:rsidR="000B27B9" w:rsidRPr="00674F20" w:rsidRDefault="000B27B9" w:rsidP="0064265C">
            <w:pPr>
              <w:pStyle w:val="Tabletext9pt"/>
              <w:rPr>
                <w:szCs w:val="18"/>
              </w:rPr>
            </w:pPr>
            <w:r w:rsidRPr="00674F20">
              <w:rPr>
                <w:szCs w:val="18"/>
              </w:rPr>
              <w:t>Acute Care – Eating Disorders</w:t>
            </w:r>
          </w:p>
        </w:tc>
        <w:tc>
          <w:tcPr>
            <w:tcW w:w="5230" w:type="dxa"/>
          </w:tcPr>
          <w:p w14:paraId="5C2878D0" w14:textId="77777777" w:rsidR="000B27B9" w:rsidRPr="00674F20" w:rsidRDefault="000B27B9" w:rsidP="0064265C">
            <w:pPr>
              <w:pStyle w:val="Tabletext9pt"/>
              <w:rPr>
                <w:szCs w:val="18"/>
              </w:rPr>
            </w:pPr>
            <w:r w:rsidRPr="00674F20">
              <w:rPr>
                <w:szCs w:val="18"/>
              </w:rPr>
              <w:t xml:space="preserve">A range of specialist clinical inpatient mental health assessment, treatment or consultancy services </w:t>
            </w:r>
            <w:r>
              <w:rPr>
                <w:szCs w:val="18"/>
              </w:rPr>
              <w:t>that</w:t>
            </w:r>
            <w:r w:rsidRPr="00674F20">
              <w:rPr>
                <w:szCs w:val="18"/>
              </w:rPr>
              <w:t xml:space="preserve"> support eating disorder groups on a </w:t>
            </w:r>
            <w:r>
              <w:rPr>
                <w:szCs w:val="18"/>
              </w:rPr>
              <w:t>statewide</w:t>
            </w:r>
            <w:r w:rsidRPr="00674F20">
              <w:rPr>
                <w:szCs w:val="18"/>
              </w:rPr>
              <w:t>, inter-regional or specific catchment area basis. The focus of these inpatient services is on clinical service provision to people with a mental illness.</w:t>
            </w:r>
          </w:p>
        </w:tc>
      </w:tr>
      <w:tr w:rsidR="000B27B9" w:rsidRPr="004E0550" w14:paraId="55CE245F" w14:textId="77777777" w:rsidTr="31E98B47">
        <w:trPr>
          <w:cantSplit/>
        </w:trPr>
        <w:tc>
          <w:tcPr>
            <w:tcW w:w="1267" w:type="dxa"/>
          </w:tcPr>
          <w:p w14:paraId="474A692F" w14:textId="77777777" w:rsidR="000B27B9" w:rsidRPr="00674F20" w:rsidRDefault="000B27B9" w:rsidP="0064265C">
            <w:pPr>
              <w:pStyle w:val="Tabletext9pt"/>
              <w:rPr>
                <w:szCs w:val="18"/>
              </w:rPr>
            </w:pPr>
            <w:r w:rsidRPr="00674F20">
              <w:rPr>
                <w:szCs w:val="18"/>
              </w:rPr>
              <w:t>15355</w:t>
            </w:r>
          </w:p>
        </w:tc>
        <w:tc>
          <w:tcPr>
            <w:tcW w:w="2802" w:type="dxa"/>
          </w:tcPr>
          <w:p w14:paraId="0CB212FC" w14:textId="77777777" w:rsidR="000B27B9" w:rsidRPr="00674F20" w:rsidRDefault="000B27B9" w:rsidP="0064265C">
            <w:pPr>
              <w:pStyle w:val="Tabletext9pt"/>
              <w:rPr>
                <w:szCs w:val="18"/>
              </w:rPr>
            </w:pPr>
            <w:r w:rsidRPr="00674F20">
              <w:rPr>
                <w:szCs w:val="18"/>
              </w:rPr>
              <w:t>Emergency Department Crisis Assessment</w:t>
            </w:r>
          </w:p>
        </w:tc>
        <w:tc>
          <w:tcPr>
            <w:tcW w:w="5230" w:type="dxa"/>
          </w:tcPr>
          <w:p w14:paraId="268EF808" w14:textId="77777777" w:rsidR="000B27B9" w:rsidRPr="00674F20" w:rsidRDefault="000B27B9" w:rsidP="0064265C">
            <w:pPr>
              <w:pStyle w:val="Tabletext9pt"/>
              <w:rPr>
                <w:szCs w:val="18"/>
              </w:rPr>
            </w:pPr>
            <w:r w:rsidRPr="00674F20">
              <w:rPr>
                <w:szCs w:val="18"/>
              </w:rPr>
              <w:t xml:space="preserve">Extended-hours coverage in emergency departments for mobile crisis services that provide effective assessment and treatment throughout the community to </w:t>
            </w:r>
            <w:r>
              <w:rPr>
                <w:szCs w:val="18"/>
              </w:rPr>
              <w:t>people</w:t>
            </w:r>
            <w:r w:rsidRPr="00674F20">
              <w:rPr>
                <w:szCs w:val="18"/>
              </w:rPr>
              <w:t xml:space="preserve"> in crisis due to a mental illness.</w:t>
            </w:r>
          </w:p>
        </w:tc>
      </w:tr>
      <w:tr w:rsidR="000B27B9" w:rsidRPr="004E0550" w14:paraId="5CA4F2C9" w14:textId="77777777" w:rsidTr="31E98B47">
        <w:trPr>
          <w:cantSplit/>
        </w:trPr>
        <w:tc>
          <w:tcPr>
            <w:tcW w:w="1267" w:type="dxa"/>
          </w:tcPr>
          <w:p w14:paraId="605625B4" w14:textId="77777777" w:rsidR="000B27B9" w:rsidRPr="00674F20" w:rsidRDefault="000B27B9" w:rsidP="0064265C">
            <w:pPr>
              <w:pStyle w:val="Tabletext9pt"/>
              <w:rPr>
                <w:szCs w:val="18"/>
              </w:rPr>
            </w:pPr>
            <w:r w:rsidRPr="00674F20">
              <w:rPr>
                <w:szCs w:val="18"/>
              </w:rPr>
              <w:t>15357</w:t>
            </w:r>
          </w:p>
        </w:tc>
        <w:tc>
          <w:tcPr>
            <w:tcW w:w="2802" w:type="dxa"/>
          </w:tcPr>
          <w:p w14:paraId="63F15862" w14:textId="062ED138" w:rsidR="000B27B9" w:rsidRPr="00674F20" w:rsidRDefault="000B27B9" w:rsidP="0064265C">
            <w:pPr>
              <w:pStyle w:val="Tabletext9pt"/>
              <w:rPr>
                <w:szCs w:val="18"/>
              </w:rPr>
            </w:pPr>
            <w:r w:rsidRPr="00674F20">
              <w:rPr>
                <w:szCs w:val="18"/>
              </w:rPr>
              <w:t>Community Specialist</w:t>
            </w:r>
            <w:r w:rsidR="006B4DBF">
              <w:rPr>
                <w:szCs w:val="18"/>
              </w:rPr>
              <w:t xml:space="preserve"> </w:t>
            </w:r>
            <w:r>
              <w:rPr>
                <w:szCs w:val="18"/>
              </w:rPr>
              <w:t>Statewide</w:t>
            </w:r>
            <w:r w:rsidRPr="00674F20">
              <w:rPr>
                <w:szCs w:val="18"/>
              </w:rPr>
              <w:t xml:space="preserve"> Services – Non-Government</w:t>
            </w:r>
          </w:p>
        </w:tc>
        <w:tc>
          <w:tcPr>
            <w:tcW w:w="5230" w:type="dxa"/>
          </w:tcPr>
          <w:p w14:paraId="3CD89A51" w14:textId="77777777" w:rsidR="000B27B9" w:rsidRPr="00674F20" w:rsidRDefault="000B27B9" w:rsidP="0064265C">
            <w:pPr>
              <w:pStyle w:val="Tabletext9pt"/>
              <w:rPr>
                <w:szCs w:val="18"/>
              </w:rPr>
            </w:pPr>
            <w:r w:rsidRPr="00674F20">
              <w:rPr>
                <w:szCs w:val="18"/>
              </w:rPr>
              <w:t xml:space="preserve">A range of specialist clinical community mental health assessment, treatment or consultancy services delivered by non-government organisations </w:t>
            </w:r>
            <w:r>
              <w:rPr>
                <w:szCs w:val="18"/>
              </w:rPr>
              <w:t>that</w:t>
            </w:r>
            <w:r w:rsidRPr="00674F20">
              <w:rPr>
                <w:szCs w:val="18"/>
              </w:rPr>
              <w:t xml:space="preserve"> support groups on a </w:t>
            </w:r>
            <w:r>
              <w:rPr>
                <w:szCs w:val="18"/>
              </w:rPr>
              <w:t>statewide</w:t>
            </w:r>
            <w:r w:rsidRPr="00674F20">
              <w:rPr>
                <w:szCs w:val="18"/>
              </w:rPr>
              <w:t>, inter-regional or specific catchment area basis. The focus of these community services is clinical service provision to people with a mental illness.</w:t>
            </w:r>
          </w:p>
        </w:tc>
      </w:tr>
      <w:tr w:rsidR="000B27B9" w:rsidRPr="004E0550" w14:paraId="41478BA2" w14:textId="77777777" w:rsidTr="31E98B47">
        <w:trPr>
          <w:cantSplit/>
        </w:trPr>
        <w:tc>
          <w:tcPr>
            <w:tcW w:w="1267" w:type="dxa"/>
          </w:tcPr>
          <w:p w14:paraId="3F02EF4C" w14:textId="77777777" w:rsidR="000B27B9" w:rsidRPr="00674F20" w:rsidRDefault="000B27B9" w:rsidP="0064265C">
            <w:pPr>
              <w:pStyle w:val="Tabletext9pt"/>
              <w:rPr>
                <w:szCs w:val="18"/>
              </w:rPr>
            </w:pPr>
            <w:r w:rsidRPr="00674F20">
              <w:rPr>
                <w:szCs w:val="18"/>
              </w:rPr>
              <w:lastRenderedPageBreak/>
              <w:t>15359</w:t>
            </w:r>
          </w:p>
        </w:tc>
        <w:tc>
          <w:tcPr>
            <w:tcW w:w="2802" w:type="dxa"/>
          </w:tcPr>
          <w:p w14:paraId="6EA30E20" w14:textId="77777777" w:rsidR="000B27B9" w:rsidRPr="00674F20" w:rsidRDefault="000B27B9" w:rsidP="0064265C">
            <w:pPr>
              <w:pStyle w:val="Tabletext9pt"/>
              <w:rPr>
                <w:szCs w:val="18"/>
              </w:rPr>
            </w:pPr>
            <w:r w:rsidRPr="00674F20">
              <w:rPr>
                <w:szCs w:val="18"/>
              </w:rPr>
              <w:t>System Capacity Development – Non-Government</w:t>
            </w:r>
          </w:p>
        </w:tc>
        <w:tc>
          <w:tcPr>
            <w:tcW w:w="5230" w:type="dxa"/>
          </w:tcPr>
          <w:p w14:paraId="0061C176" w14:textId="77777777" w:rsidR="000B27B9" w:rsidRPr="00674F20" w:rsidRDefault="000B27B9" w:rsidP="0064265C">
            <w:pPr>
              <w:pStyle w:val="Tabletext9pt"/>
              <w:rPr>
                <w:szCs w:val="18"/>
              </w:rPr>
            </w:pPr>
            <w:r>
              <w:rPr>
                <w:szCs w:val="18"/>
              </w:rPr>
              <w:t>B</w:t>
            </w:r>
            <w:r w:rsidRPr="00674F20">
              <w:rPr>
                <w:szCs w:val="18"/>
              </w:rPr>
              <w:t>lock grants provided for a specified purpose or as a contribution towards a program that assists with developing system capacity. They exclude funding for clinical positions.</w:t>
            </w:r>
          </w:p>
        </w:tc>
      </w:tr>
      <w:tr w:rsidR="000B27B9" w:rsidRPr="004E0550" w14:paraId="7ACBF0EE" w14:textId="77777777" w:rsidTr="31E98B47">
        <w:trPr>
          <w:cantSplit/>
        </w:trPr>
        <w:tc>
          <w:tcPr>
            <w:tcW w:w="1267" w:type="dxa"/>
          </w:tcPr>
          <w:p w14:paraId="70C48F6E" w14:textId="77777777" w:rsidR="000B27B9" w:rsidRPr="00674F20" w:rsidRDefault="000B27B9" w:rsidP="0064265C">
            <w:pPr>
              <w:pStyle w:val="Tabletext9pt"/>
              <w:rPr>
                <w:szCs w:val="18"/>
              </w:rPr>
            </w:pPr>
            <w:r w:rsidRPr="00674F20">
              <w:rPr>
                <w:szCs w:val="18"/>
              </w:rPr>
              <w:t>15361</w:t>
            </w:r>
          </w:p>
        </w:tc>
        <w:tc>
          <w:tcPr>
            <w:tcW w:w="2802" w:type="dxa"/>
          </w:tcPr>
          <w:p w14:paraId="3FBF656C" w14:textId="77777777" w:rsidR="000B27B9" w:rsidRPr="00674F20" w:rsidRDefault="000B27B9" w:rsidP="0064265C">
            <w:pPr>
              <w:pStyle w:val="Tabletext9pt"/>
              <w:rPr>
                <w:szCs w:val="18"/>
              </w:rPr>
            </w:pPr>
            <w:r w:rsidRPr="00674F20">
              <w:rPr>
                <w:szCs w:val="18"/>
              </w:rPr>
              <w:t>Academic Positions – Other</w:t>
            </w:r>
          </w:p>
        </w:tc>
        <w:tc>
          <w:tcPr>
            <w:tcW w:w="5230" w:type="dxa"/>
          </w:tcPr>
          <w:p w14:paraId="2CA2C0D2" w14:textId="77777777" w:rsidR="000B27B9" w:rsidRPr="00674F20" w:rsidRDefault="000B27B9" w:rsidP="0064265C">
            <w:pPr>
              <w:pStyle w:val="Tabletext9pt"/>
              <w:rPr>
                <w:szCs w:val="18"/>
              </w:rPr>
            </w:pPr>
            <w:r w:rsidRPr="00674F20">
              <w:rPr>
                <w:szCs w:val="18"/>
              </w:rPr>
              <w:t>All activities associated with specified academic positions attached to tertiary institutions, regardless of the location of the position.</w:t>
            </w:r>
          </w:p>
        </w:tc>
      </w:tr>
      <w:tr w:rsidR="000B27B9" w:rsidRPr="004E0550" w14:paraId="5ECEFBEF" w14:textId="77777777" w:rsidTr="31E98B47">
        <w:trPr>
          <w:cantSplit/>
        </w:trPr>
        <w:tc>
          <w:tcPr>
            <w:tcW w:w="1267" w:type="dxa"/>
          </w:tcPr>
          <w:p w14:paraId="7CE6E6F3" w14:textId="77777777" w:rsidR="000B27B9" w:rsidRPr="00674F20" w:rsidRDefault="000B27B9" w:rsidP="0064265C">
            <w:pPr>
              <w:pStyle w:val="Tabletext9pt"/>
              <w:rPr>
                <w:szCs w:val="18"/>
              </w:rPr>
            </w:pPr>
            <w:r w:rsidRPr="00674F20">
              <w:rPr>
                <w:szCs w:val="18"/>
              </w:rPr>
              <w:t>15362</w:t>
            </w:r>
          </w:p>
        </w:tc>
        <w:tc>
          <w:tcPr>
            <w:tcW w:w="2802" w:type="dxa"/>
          </w:tcPr>
          <w:p w14:paraId="4136E84C" w14:textId="77777777" w:rsidR="000B27B9" w:rsidRPr="00674F20" w:rsidRDefault="000B27B9" w:rsidP="0064265C">
            <w:pPr>
              <w:pStyle w:val="Tabletext9pt"/>
              <w:rPr>
                <w:szCs w:val="18"/>
              </w:rPr>
            </w:pPr>
            <w:r w:rsidRPr="00674F20">
              <w:rPr>
                <w:szCs w:val="18"/>
              </w:rPr>
              <w:t>Workforce Support</w:t>
            </w:r>
          </w:p>
        </w:tc>
        <w:tc>
          <w:tcPr>
            <w:tcW w:w="5230" w:type="dxa"/>
          </w:tcPr>
          <w:p w14:paraId="727A745D" w14:textId="77777777" w:rsidR="000B27B9" w:rsidRPr="00674F20" w:rsidRDefault="000B27B9" w:rsidP="0064265C">
            <w:pPr>
              <w:pStyle w:val="Tabletext9pt"/>
              <w:rPr>
                <w:szCs w:val="18"/>
              </w:rPr>
            </w:pPr>
            <w:r w:rsidRPr="00674F20">
              <w:rPr>
                <w:szCs w:val="18"/>
              </w:rPr>
              <w:t xml:space="preserve">Specialist clinical inpatient mental health assessment, short-term admission and treatment services that support neuropsychiatric disorders on a </w:t>
            </w:r>
            <w:r>
              <w:rPr>
                <w:szCs w:val="18"/>
              </w:rPr>
              <w:t>statewide</w:t>
            </w:r>
            <w:r w:rsidRPr="00674F20">
              <w:rPr>
                <w:szCs w:val="18"/>
              </w:rPr>
              <w:t>, inter-regional or specific catchment area basis.</w:t>
            </w:r>
          </w:p>
        </w:tc>
      </w:tr>
      <w:tr w:rsidR="000B27B9" w:rsidRPr="004E0550" w14:paraId="4578FE35" w14:textId="77777777" w:rsidTr="31E98B47">
        <w:trPr>
          <w:cantSplit/>
        </w:trPr>
        <w:tc>
          <w:tcPr>
            <w:tcW w:w="1267" w:type="dxa"/>
          </w:tcPr>
          <w:p w14:paraId="45A3EC3F" w14:textId="77777777" w:rsidR="000B27B9" w:rsidRPr="00674F20" w:rsidRDefault="000B27B9" w:rsidP="0064265C">
            <w:pPr>
              <w:pStyle w:val="Tabletext9pt"/>
              <w:rPr>
                <w:szCs w:val="18"/>
              </w:rPr>
            </w:pPr>
            <w:r w:rsidRPr="00674F20">
              <w:rPr>
                <w:szCs w:val="18"/>
              </w:rPr>
              <w:t>15366</w:t>
            </w:r>
          </w:p>
        </w:tc>
        <w:tc>
          <w:tcPr>
            <w:tcW w:w="2802" w:type="dxa"/>
          </w:tcPr>
          <w:p w14:paraId="3CAB005B" w14:textId="3AD287F1" w:rsidR="000B27B9" w:rsidRPr="00674F20" w:rsidRDefault="000B27B9" w:rsidP="0064265C">
            <w:pPr>
              <w:pStyle w:val="Tabletext9pt"/>
              <w:rPr>
                <w:szCs w:val="18"/>
              </w:rPr>
            </w:pPr>
            <w:r w:rsidRPr="00674F20">
              <w:rPr>
                <w:szCs w:val="18"/>
              </w:rPr>
              <w:t>Suicide Prevention</w:t>
            </w:r>
          </w:p>
        </w:tc>
        <w:tc>
          <w:tcPr>
            <w:tcW w:w="5230" w:type="dxa"/>
          </w:tcPr>
          <w:p w14:paraId="07398A3D" w14:textId="4D1D0F62" w:rsidR="000B27B9" w:rsidRPr="00674F20" w:rsidRDefault="000B27B9" w:rsidP="0064265C">
            <w:pPr>
              <w:pStyle w:val="Tabletext9pt"/>
              <w:rPr>
                <w:szCs w:val="18"/>
              </w:rPr>
            </w:pPr>
            <w:r w:rsidRPr="00674F20">
              <w:rPr>
                <w:szCs w:val="18"/>
              </w:rPr>
              <w:t xml:space="preserve">Programs </w:t>
            </w:r>
            <w:r>
              <w:rPr>
                <w:szCs w:val="18"/>
              </w:rPr>
              <w:t xml:space="preserve">that aim to reduce suicide among </w:t>
            </w:r>
            <w:r w:rsidR="0063396E">
              <w:rPr>
                <w:szCs w:val="18"/>
              </w:rPr>
              <w:t xml:space="preserve">adults </w:t>
            </w:r>
            <w:r w:rsidR="00B62EBC">
              <w:rPr>
                <w:szCs w:val="18"/>
              </w:rPr>
              <w:t>(26 +)</w:t>
            </w:r>
            <w:r w:rsidR="0063396E">
              <w:rPr>
                <w:szCs w:val="18"/>
              </w:rPr>
              <w:t xml:space="preserve"> and </w:t>
            </w:r>
            <w:r>
              <w:rPr>
                <w:szCs w:val="18"/>
              </w:rPr>
              <w:t>young people</w:t>
            </w:r>
            <w:r w:rsidR="00B62EBC">
              <w:rPr>
                <w:szCs w:val="18"/>
              </w:rPr>
              <w:t xml:space="preserve"> (0-25)</w:t>
            </w:r>
            <w:r>
              <w:rPr>
                <w:szCs w:val="18"/>
              </w:rPr>
              <w:t xml:space="preserve">. Programs that </w:t>
            </w:r>
            <w:r w:rsidRPr="00674F20">
              <w:rPr>
                <w:szCs w:val="18"/>
              </w:rPr>
              <w:t xml:space="preserve">provide preventive support, </w:t>
            </w:r>
            <w:r w:rsidR="00BE7B6C" w:rsidRPr="00674F20">
              <w:rPr>
                <w:szCs w:val="18"/>
              </w:rPr>
              <w:t>activities,</w:t>
            </w:r>
            <w:r w:rsidRPr="00674F20">
              <w:rPr>
                <w:szCs w:val="18"/>
              </w:rPr>
              <w:t xml:space="preserve"> and early intervention services to </w:t>
            </w:r>
            <w:r w:rsidR="00B62EBC">
              <w:rPr>
                <w:szCs w:val="18"/>
              </w:rPr>
              <w:t>adults</w:t>
            </w:r>
            <w:r w:rsidR="00B62EBC" w:rsidDel="00B3759D">
              <w:rPr>
                <w:szCs w:val="18"/>
              </w:rPr>
              <w:t xml:space="preserve"> </w:t>
            </w:r>
            <w:r w:rsidR="00B62EBC">
              <w:rPr>
                <w:szCs w:val="18"/>
              </w:rPr>
              <w:t xml:space="preserve">and </w:t>
            </w:r>
            <w:r w:rsidRPr="00674F20">
              <w:rPr>
                <w:szCs w:val="18"/>
              </w:rPr>
              <w:t xml:space="preserve">young </w:t>
            </w:r>
            <w:r>
              <w:rPr>
                <w:szCs w:val="18"/>
              </w:rPr>
              <w:t xml:space="preserve">people </w:t>
            </w:r>
            <w:r w:rsidRPr="00674F20">
              <w:rPr>
                <w:szCs w:val="18"/>
              </w:rPr>
              <w:t>their family and friends and the broader community.</w:t>
            </w:r>
            <w:r>
              <w:rPr>
                <w:szCs w:val="18"/>
              </w:rPr>
              <w:t xml:space="preserve"> Includes the Hospital Outreach Post-suicidal Engagement (HOPE) program.</w:t>
            </w:r>
          </w:p>
        </w:tc>
      </w:tr>
      <w:tr w:rsidR="000B27B9" w14:paraId="66BC0347" w14:textId="77777777" w:rsidTr="31E98B47">
        <w:trPr>
          <w:cantSplit/>
        </w:trPr>
        <w:tc>
          <w:tcPr>
            <w:tcW w:w="1267" w:type="dxa"/>
          </w:tcPr>
          <w:p w14:paraId="4DBD0BFF" w14:textId="77777777" w:rsidR="000B27B9" w:rsidRDefault="000B27B9">
            <w:pPr>
              <w:pStyle w:val="Tabletext9pt"/>
              <w:rPr>
                <w:szCs w:val="18"/>
              </w:rPr>
            </w:pPr>
            <w:r>
              <w:rPr>
                <w:szCs w:val="18"/>
              </w:rPr>
              <w:t>15060</w:t>
            </w:r>
          </w:p>
        </w:tc>
        <w:tc>
          <w:tcPr>
            <w:tcW w:w="2802" w:type="dxa"/>
          </w:tcPr>
          <w:p w14:paraId="6882202F" w14:textId="77777777" w:rsidR="000B27B9" w:rsidRDefault="000B27B9">
            <w:pPr>
              <w:pStyle w:val="Tabletext9pt"/>
              <w:rPr>
                <w:szCs w:val="18"/>
              </w:rPr>
            </w:pPr>
            <w:r>
              <w:rPr>
                <w:szCs w:val="18"/>
              </w:rPr>
              <w:t>Mental Health and AOD Hubs</w:t>
            </w:r>
          </w:p>
        </w:tc>
        <w:tc>
          <w:tcPr>
            <w:tcW w:w="5230" w:type="dxa"/>
          </w:tcPr>
          <w:p w14:paraId="63199027" w14:textId="77777777" w:rsidR="000B27B9" w:rsidRDefault="000B27B9">
            <w:pPr>
              <w:pStyle w:val="Tabletext9pt"/>
              <w:rPr>
                <w:szCs w:val="18"/>
              </w:rPr>
            </w:pPr>
            <w:r>
              <w:rPr>
                <w:szCs w:val="18"/>
              </w:rPr>
              <w:t>People presenting at emergency departments with acute mental health and alcohol and other drug (AOD) issues can be fast-tracked to specialist, dedicated care, providing them with the right support sooner and easing pressure on emergency departments</w:t>
            </w:r>
            <w:r w:rsidRPr="001A147A">
              <w:rPr>
                <w:szCs w:val="18"/>
              </w:rPr>
              <w:t>.</w:t>
            </w:r>
          </w:p>
        </w:tc>
      </w:tr>
      <w:tr w:rsidR="000B27B9" w14:paraId="3909BA44" w14:textId="77777777" w:rsidTr="31E98B47">
        <w:trPr>
          <w:cantSplit/>
        </w:trPr>
        <w:tc>
          <w:tcPr>
            <w:tcW w:w="1267" w:type="dxa"/>
          </w:tcPr>
          <w:p w14:paraId="55D6B633" w14:textId="77777777" w:rsidR="000B27B9" w:rsidRDefault="000B27B9">
            <w:pPr>
              <w:pStyle w:val="Tabletext9pt"/>
              <w:rPr>
                <w:szCs w:val="18"/>
              </w:rPr>
            </w:pPr>
            <w:r>
              <w:rPr>
                <w:szCs w:val="18"/>
              </w:rPr>
              <w:t>38001</w:t>
            </w:r>
          </w:p>
        </w:tc>
        <w:tc>
          <w:tcPr>
            <w:tcW w:w="2802" w:type="dxa"/>
          </w:tcPr>
          <w:p w14:paraId="2918A296" w14:textId="77777777" w:rsidR="000B27B9" w:rsidRDefault="000B27B9">
            <w:pPr>
              <w:pStyle w:val="Tabletext9pt"/>
              <w:rPr>
                <w:szCs w:val="18"/>
              </w:rPr>
            </w:pPr>
            <w:r w:rsidRPr="001A147A">
              <w:rPr>
                <w:szCs w:val="18"/>
              </w:rPr>
              <w:t>Family Violence Reform</w:t>
            </w:r>
          </w:p>
          <w:p w14:paraId="31222916" w14:textId="77777777" w:rsidR="000B27B9" w:rsidRPr="001A147A" w:rsidRDefault="000B27B9" w:rsidP="0064265C">
            <w:pPr>
              <w:pStyle w:val="Tabletext9pt"/>
              <w:rPr>
                <w:szCs w:val="18"/>
              </w:rPr>
            </w:pPr>
            <w:r>
              <w:rPr>
                <w:szCs w:val="18"/>
              </w:rPr>
              <w:t>(Not Mental Health output)</w:t>
            </w:r>
          </w:p>
        </w:tc>
        <w:tc>
          <w:tcPr>
            <w:tcW w:w="5230" w:type="dxa"/>
          </w:tcPr>
          <w:p w14:paraId="068F0D9B" w14:textId="77777777" w:rsidR="000B27B9" w:rsidRPr="001A147A" w:rsidRDefault="000B27B9">
            <w:pPr>
              <w:pStyle w:val="Tabletext9pt"/>
              <w:rPr>
                <w:szCs w:val="18"/>
              </w:rPr>
            </w:pPr>
            <w:r w:rsidRPr="001A147A">
              <w:rPr>
                <w:szCs w:val="18"/>
              </w:rPr>
              <w:t xml:space="preserve">Specialist </w:t>
            </w:r>
            <w:r>
              <w:rPr>
                <w:szCs w:val="18"/>
              </w:rPr>
              <w:t>f</w:t>
            </w:r>
            <w:r w:rsidRPr="001A147A">
              <w:rPr>
                <w:szCs w:val="18"/>
              </w:rPr>
              <w:t xml:space="preserve">amily </w:t>
            </w:r>
            <w:r>
              <w:rPr>
                <w:szCs w:val="18"/>
              </w:rPr>
              <w:t>v</w:t>
            </w:r>
            <w:r w:rsidRPr="001A147A">
              <w:rPr>
                <w:szCs w:val="18"/>
              </w:rPr>
              <w:t xml:space="preserve">iolence program to drive family violence service development, capacity building and sector collaboration. </w:t>
            </w:r>
            <w:r>
              <w:rPr>
                <w:szCs w:val="18"/>
              </w:rPr>
              <w:t>The program i</w:t>
            </w:r>
            <w:r w:rsidRPr="001A147A">
              <w:rPr>
                <w:szCs w:val="18"/>
              </w:rPr>
              <w:t>ncrease</w:t>
            </w:r>
            <w:r>
              <w:rPr>
                <w:szCs w:val="18"/>
              </w:rPr>
              <w:t>s</w:t>
            </w:r>
            <w:r w:rsidRPr="001A147A">
              <w:rPr>
                <w:szCs w:val="18"/>
              </w:rPr>
              <w:t xml:space="preserve"> the capacity of mental health services and AOD agencies to recognise and respond appropriately to family violence at both the agency and individual practitioner levels.</w:t>
            </w:r>
          </w:p>
        </w:tc>
      </w:tr>
      <w:tr w:rsidR="000B27B9" w14:paraId="644B13BC" w14:textId="77777777" w:rsidTr="31E98B47">
        <w:trPr>
          <w:cantSplit/>
        </w:trPr>
        <w:tc>
          <w:tcPr>
            <w:tcW w:w="1267" w:type="dxa"/>
          </w:tcPr>
          <w:p w14:paraId="453B9D11" w14:textId="77777777" w:rsidR="000B27B9" w:rsidRDefault="000B27B9">
            <w:pPr>
              <w:pStyle w:val="Tabletext9pt"/>
              <w:rPr>
                <w:szCs w:val="18"/>
              </w:rPr>
            </w:pPr>
            <w:r>
              <w:rPr>
                <w:szCs w:val="18"/>
              </w:rPr>
              <w:t>15026</w:t>
            </w:r>
          </w:p>
        </w:tc>
        <w:tc>
          <w:tcPr>
            <w:tcW w:w="2802" w:type="dxa"/>
          </w:tcPr>
          <w:p w14:paraId="1B057144" w14:textId="77777777" w:rsidR="000B27B9" w:rsidRPr="001A147A" w:rsidRDefault="000B27B9">
            <w:pPr>
              <w:pStyle w:val="Tabletext9pt"/>
              <w:rPr>
                <w:szCs w:val="18"/>
              </w:rPr>
            </w:pPr>
            <w:r w:rsidRPr="001A147A">
              <w:rPr>
                <w:szCs w:val="18"/>
              </w:rPr>
              <w:t>Child Clinical Specialist</w:t>
            </w:r>
          </w:p>
        </w:tc>
        <w:tc>
          <w:tcPr>
            <w:tcW w:w="5230" w:type="dxa"/>
          </w:tcPr>
          <w:p w14:paraId="3AD6FA3F" w14:textId="12D36FD5" w:rsidR="000B27B9" w:rsidRPr="001A147A" w:rsidRDefault="000B27B9" w:rsidP="003C01AD">
            <w:pPr>
              <w:pStyle w:val="Tabletext9pt"/>
              <w:numPr>
                <w:ilvl w:val="0"/>
                <w:numId w:val="30"/>
              </w:numPr>
            </w:pPr>
            <w:r>
              <w:t xml:space="preserve">Improve the leadership and responsiveness in engaging, </w:t>
            </w:r>
            <w:r w:rsidR="00BE7B6C">
              <w:t>assessing,</w:t>
            </w:r>
            <w:r>
              <w:t xml:space="preserve"> and treating children (aged 0–12 years) with behaviour disorders linked to mental illness, such as conduct disorder and precursors, depression and anxiety, and their families/caregivers.</w:t>
            </w:r>
          </w:p>
        </w:tc>
      </w:tr>
      <w:tr w:rsidR="000B27B9" w14:paraId="0310A446" w14:textId="77777777" w:rsidTr="31E98B47">
        <w:trPr>
          <w:cantSplit/>
        </w:trPr>
        <w:tc>
          <w:tcPr>
            <w:tcW w:w="1267" w:type="dxa"/>
          </w:tcPr>
          <w:p w14:paraId="2F40ECC3" w14:textId="77777777" w:rsidR="000B27B9" w:rsidRDefault="000B27B9">
            <w:pPr>
              <w:pStyle w:val="Tabletext9pt"/>
              <w:rPr>
                <w:szCs w:val="18"/>
              </w:rPr>
            </w:pPr>
            <w:r>
              <w:rPr>
                <w:szCs w:val="18"/>
              </w:rPr>
              <w:t>15057</w:t>
            </w:r>
          </w:p>
        </w:tc>
        <w:tc>
          <w:tcPr>
            <w:tcW w:w="2802" w:type="dxa"/>
          </w:tcPr>
          <w:p w14:paraId="68C7CA08" w14:textId="77777777" w:rsidR="000B27B9" w:rsidRPr="001A147A" w:rsidRDefault="000B27B9">
            <w:pPr>
              <w:pStyle w:val="Tabletext9pt"/>
              <w:rPr>
                <w:szCs w:val="18"/>
              </w:rPr>
            </w:pPr>
            <w:r w:rsidRPr="001A147A">
              <w:rPr>
                <w:szCs w:val="18"/>
              </w:rPr>
              <w:t>PARC Supplement</w:t>
            </w:r>
          </w:p>
        </w:tc>
        <w:tc>
          <w:tcPr>
            <w:tcW w:w="5230" w:type="dxa"/>
          </w:tcPr>
          <w:p w14:paraId="539E82E6" w14:textId="77777777" w:rsidR="000B27B9" w:rsidRPr="001A147A" w:rsidRDefault="000B27B9">
            <w:pPr>
              <w:pStyle w:val="Tabletext9pt"/>
              <w:rPr>
                <w:szCs w:val="18"/>
              </w:rPr>
            </w:pPr>
            <w:r w:rsidRPr="001A147A">
              <w:rPr>
                <w:szCs w:val="18"/>
              </w:rPr>
              <w:t>Improve</w:t>
            </w:r>
            <w:r>
              <w:rPr>
                <w:szCs w:val="18"/>
              </w:rPr>
              <w:t>s</w:t>
            </w:r>
            <w:r w:rsidRPr="001A147A">
              <w:rPr>
                <w:szCs w:val="18"/>
              </w:rPr>
              <w:t xml:space="preserve"> the capacity of </w:t>
            </w:r>
            <w:r>
              <w:rPr>
                <w:szCs w:val="18"/>
              </w:rPr>
              <w:t>p</w:t>
            </w:r>
            <w:r w:rsidRPr="001A147A">
              <w:rPr>
                <w:szCs w:val="18"/>
              </w:rPr>
              <w:t xml:space="preserve">revention and </w:t>
            </w:r>
            <w:r>
              <w:rPr>
                <w:szCs w:val="18"/>
              </w:rPr>
              <w:t>r</w:t>
            </w:r>
            <w:r w:rsidRPr="001A147A">
              <w:rPr>
                <w:szCs w:val="18"/>
              </w:rPr>
              <w:t xml:space="preserve">ecovery </w:t>
            </w:r>
            <w:r>
              <w:rPr>
                <w:szCs w:val="18"/>
              </w:rPr>
              <w:t>c</w:t>
            </w:r>
            <w:r w:rsidRPr="001A147A">
              <w:rPr>
                <w:szCs w:val="18"/>
              </w:rPr>
              <w:t xml:space="preserve">are </w:t>
            </w:r>
            <w:r>
              <w:rPr>
                <w:szCs w:val="18"/>
              </w:rPr>
              <w:t>(PARC) u</w:t>
            </w:r>
            <w:r w:rsidRPr="001A147A">
              <w:rPr>
                <w:szCs w:val="18"/>
              </w:rPr>
              <w:t>nits to accept patients being discharged from acute inpatient units by</w:t>
            </w:r>
            <w:r>
              <w:rPr>
                <w:szCs w:val="18"/>
              </w:rPr>
              <w:t xml:space="preserve"> </w:t>
            </w:r>
            <w:r w:rsidRPr="001A147A">
              <w:rPr>
                <w:szCs w:val="18"/>
              </w:rPr>
              <w:t xml:space="preserve">providing extra clinical input. </w:t>
            </w:r>
          </w:p>
        </w:tc>
      </w:tr>
      <w:tr w:rsidR="000B27B9" w14:paraId="7C158608" w14:textId="77777777" w:rsidTr="31E98B47">
        <w:trPr>
          <w:cantSplit/>
        </w:trPr>
        <w:tc>
          <w:tcPr>
            <w:tcW w:w="1267" w:type="dxa"/>
          </w:tcPr>
          <w:p w14:paraId="307AC86E" w14:textId="77777777" w:rsidR="000B27B9" w:rsidRDefault="000B27B9">
            <w:pPr>
              <w:pStyle w:val="Tabletext9pt"/>
              <w:rPr>
                <w:szCs w:val="18"/>
              </w:rPr>
            </w:pPr>
            <w:r>
              <w:rPr>
                <w:szCs w:val="18"/>
              </w:rPr>
              <w:t>15054</w:t>
            </w:r>
          </w:p>
        </w:tc>
        <w:tc>
          <w:tcPr>
            <w:tcW w:w="2802" w:type="dxa"/>
          </w:tcPr>
          <w:p w14:paraId="7167E3E0" w14:textId="77777777" w:rsidR="000B27B9" w:rsidRPr="001A147A" w:rsidRDefault="000B27B9">
            <w:pPr>
              <w:pStyle w:val="Tabletext9pt"/>
              <w:rPr>
                <w:szCs w:val="18"/>
              </w:rPr>
            </w:pPr>
            <w:r w:rsidRPr="001A147A">
              <w:rPr>
                <w:szCs w:val="18"/>
              </w:rPr>
              <w:t xml:space="preserve">Aboriginal </w:t>
            </w:r>
            <w:r>
              <w:rPr>
                <w:szCs w:val="18"/>
              </w:rPr>
              <w:t>M</w:t>
            </w:r>
            <w:r w:rsidRPr="001A147A">
              <w:rPr>
                <w:szCs w:val="18"/>
              </w:rPr>
              <w:t xml:space="preserve">ental </w:t>
            </w:r>
            <w:r>
              <w:rPr>
                <w:szCs w:val="18"/>
              </w:rPr>
              <w:t>H</w:t>
            </w:r>
            <w:r w:rsidRPr="001A147A">
              <w:rPr>
                <w:szCs w:val="18"/>
              </w:rPr>
              <w:t xml:space="preserve">ealth </w:t>
            </w:r>
            <w:r>
              <w:rPr>
                <w:szCs w:val="18"/>
              </w:rPr>
              <w:t>T</w:t>
            </w:r>
            <w:r w:rsidRPr="001A147A">
              <w:rPr>
                <w:szCs w:val="18"/>
              </w:rPr>
              <w:t xml:space="preserve">raineeship </w:t>
            </w:r>
            <w:r>
              <w:rPr>
                <w:szCs w:val="18"/>
              </w:rPr>
              <w:t>P</w:t>
            </w:r>
            <w:r w:rsidRPr="001A147A">
              <w:rPr>
                <w:szCs w:val="18"/>
              </w:rPr>
              <w:t>rogram</w:t>
            </w:r>
          </w:p>
        </w:tc>
        <w:tc>
          <w:tcPr>
            <w:tcW w:w="5230" w:type="dxa"/>
          </w:tcPr>
          <w:p w14:paraId="399DF6E5" w14:textId="77777777" w:rsidR="000B27B9" w:rsidRPr="001A147A" w:rsidRDefault="000B27B9">
            <w:pPr>
              <w:pStyle w:val="Tabletext9pt"/>
              <w:rPr>
                <w:szCs w:val="18"/>
              </w:rPr>
            </w:pPr>
            <w:r w:rsidRPr="001A147A">
              <w:rPr>
                <w:szCs w:val="18"/>
              </w:rPr>
              <w:t xml:space="preserve">All activities associated with supporting full-time employment to 10 Aboriginal mental health </w:t>
            </w:r>
            <w:r>
              <w:rPr>
                <w:szCs w:val="18"/>
              </w:rPr>
              <w:t>t</w:t>
            </w:r>
            <w:r w:rsidRPr="001A147A">
              <w:rPr>
                <w:szCs w:val="18"/>
              </w:rPr>
              <w:t>r</w:t>
            </w:r>
            <w:r>
              <w:rPr>
                <w:szCs w:val="18"/>
              </w:rPr>
              <w:t>a</w:t>
            </w:r>
            <w:r w:rsidRPr="001A147A">
              <w:rPr>
                <w:szCs w:val="18"/>
              </w:rPr>
              <w:t>ineeship positions who will undergo supervised workplace training and clinical placements over three years while concurrently completing the three-year full-time Bachelor of Health Science (Mental Health) degree at Charles Sturt University.</w:t>
            </w:r>
          </w:p>
        </w:tc>
      </w:tr>
      <w:tr w:rsidR="000B27B9" w14:paraId="50769340" w14:textId="77777777" w:rsidTr="31E98B47">
        <w:trPr>
          <w:cantSplit/>
        </w:trPr>
        <w:tc>
          <w:tcPr>
            <w:tcW w:w="1267" w:type="dxa"/>
          </w:tcPr>
          <w:p w14:paraId="60C3CEC0" w14:textId="77777777" w:rsidR="000B27B9" w:rsidRDefault="000B27B9">
            <w:pPr>
              <w:pStyle w:val="Tabletext9pt"/>
              <w:rPr>
                <w:szCs w:val="18"/>
              </w:rPr>
            </w:pPr>
            <w:r>
              <w:rPr>
                <w:szCs w:val="18"/>
              </w:rPr>
              <w:t>15300</w:t>
            </w:r>
          </w:p>
        </w:tc>
        <w:tc>
          <w:tcPr>
            <w:tcW w:w="2802" w:type="dxa"/>
          </w:tcPr>
          <w:p w14:paraId="52DF80AD" w14:textId="77777777" w:rsidR="000B27B9" w:rsidRPr="001A147A" w:rsidRDefault="000B27B9">
            <w:pPr>
              <w:pStyle w:val="Tabletext9pt"/>
              <w:rPr>
                <w:szCs w:val="18"/>
              </w:rPr>
            </w:pPr>
            <w:r w:rsidRPr="001A147A">
              <w:rPr>
                <w:szCs w:val="18"/>
              </w:rPr>
              <w:t xml:space="preserve">Personality </w:t>
            </w:r>
            <w:r>
              <w:rPr>
                <w:szCs w:val="18"/>
              </w:rPr>
              <w:t>D</w:t>
            </w:r>
            <w:r w:rsidRPr="001A147A">
              <w:rPr>
                <w:szCs w:val="18"/>
              </w:rPr>
              <w:t xml:space="preserve">isorder </w:t>
            </w:r>
            <w:r>
              <w:rPr>
                <w:szCs w:val="18"/>
              </w:rPr>
              <w:t>S</w:t>
            </w:r>
            <w:r w:rsidRPr="001A147A">
              <w:rPr>
                <w:szCs w:val="18"/>
              </w:rPr>
              <w:t xml:space="preserve">pecialist </w:t>
            </w:r>
            <w:r>
              <w:rPr>
                <w:szCs w:val="18"/>
              </w:rPr>
              <w:t>P</w:t>
            </w:r>
            <w:r w:rsidRPr="001A147A">
              <w:rPr>
                <w:szCs w:val="18"/>
              </w:rPr>
              <w:t>rogram</w:t>
            </w:r>
          </w:p>
        </w:tc>
        <w:tc>
          <w:tcPr>
            <w:tcW w:w="5230" w:type="dxa"/>
          </w:tcPr>
          <w:p w14:paraId="63586063" w14:textId="0AF0803C" w:rsidR="000B27B9" w:rsidRPr="001A147A" w:rsidRDefault="000B27B9">
            <w:pPr>
              <w:pStyle w:val="Tabletext9pt"/>
              <w:rPr>
                <w:szCs w:val="18"/>
              </w:rPr>
            </w:pPr>
            <w:r w:rsidRPr="001A147A">
              <w:rPr>
                <w:szCs w:val="18"/>
              </w:rPr>
              <w:t xml:space="preserve">Assessment, </w:t>
            </w:r>
            <w:r w:rsidR="00BE7B6C" w:rsidRPr="001A147A">
              <w:rPr>
                <w:szCs w:val="18"/>
              </w:rPr>
              <w:t>treatment,</w:t>
            </w:r>
            <w:r w:rsidRPr="001A147A">
              <w:rPr>
                <w:szCs w:val="18"/>
              </w:rPr>
              <w:t xml:space="preserve"> and support for people with severe personality disorders who are at high risk of suicide, high</w:t>
            </w:r>
            <w:r>
              <w:rPr>
                <w:szCs w:val="18"/>
              </w:rPr>
              <w:t>-</w:t>
            </w:r>
            <w:r w:rsidRPr="001A147A">
              <w:rPr>
                <w:szCs w:val="18"/>
              </w:rPr>
              <w:t>lethality self-harm or violent or aggressive behaviours</w:t>
            </w:r>
            <w:r>
              <w:rPr>
                <w:szCs w:val="18"/>
              </w:rPr>
              <w:t>.</w:t>
            </w:r>
          </w:p>
        </w:tc>
      </w:tr>
      <w:tr w:rsidR="000B27B9" w14:paraId="66A52AB8" w14:textId="77777777" w:rsidTr="31E98B47">
        <w:trPr>
          <w:cantSplit/>
        </w:trPr>
        <w:tc>
          <w:tcPr>
            <w:tcW w:w="1267" w:type="dxa"/>
          </w:tcPr>
          <w:p w14:paraId="6FFBDD8E" w14:textId="77777777" w:rsidR="000B27B9" w:rsidRDefault="000B27B9">
            <w:pPr>
              <w:pStyle w:val="Tabletext9pt"/>
              <w:rPr>
                <w:szCs w:val="18"/>
              </w:rPr>
            </w:pPr>
            <w:r>
              <w:rPr>
                <w:szCs w:val="18"/>
              </w:rPr>
              <w:t>15365</w:t>
            </w:r>
          </w:p>
        </w:tc>
        <w:tc>
          <w:tcPr>
            <w:tcW w:w="2802" w:type="dxa"/>
          </w:tcPr>
          <w:p w14:paraId="2C6F9297" w14:textId="77777777" w:rsidR="000B27B9" w:rsidRPr="001A147A" w:rsidRDefault="000B27B9">
            <w:pPr>
              <w:pStyle w:val="Tabletext9pt"/>
              <w:rPr>
                <w:szCs w:val="18"/>
              </w:rPr>
            </w:pPr>
            <w:r>
              <w:rPr>
                <w:szCs w:val="18"/>
              </w:rPr>
              <w:t>Perinatal Emotional Health Program</w:t>
            </w:r>
          </w:p>
        </w:tc>
        <w:tc>
          <w:tcPr>
            <w:tcW w:w="5230" w:type="dxa"/>
          </w:tcPr>
          <w:p w14:paraId="4F576406" w14:textId="77777777" w:rsidR="000B27B9" w:rsidRPr="002931EF" w:rsidRDefault="000B27B9" w:rsidP="003C01AD">
            <w:pPr>
              <w:pStyle w:val="Tabletext9pt"/>
              <w:numPr>
                <w:ilvl w:val="0"/>
                <w:numId w:val="30"/>
              </w:numPr>
            </w:pPr>
            <w:r>
              <w:t>Improve early detection of antenatal and postnatal depression and provide better support and treatment for expectant and new mothers experiencing depression.</w:t>
            </w:r>
          </w:p>
        </w:tc>
      </w:tr>
      <w:tr w:rsidR="000B27B9" w14:paraId="2BA69296" w14:textId="77777777" w:rsidTr="31E98B47">
        <w:trPr>
          <w:cantSplit/>
        </w:trPr>
        <w:tc>
          <w:tcPr>
            <w:tcW w:w="1267" w:type="dxa"/>
          </w:tcPr>
          <w:p w14:paraId="6964CE4D" w14:textId="77777777" w:rsidR="000B27B9" w:rsidRDefault="000B27B9">
            <w:pPr>
              <w:pStyle w:val="Tabletext9pt"/>
              <w:rPr>
                <w:szCs w:val="18"/>
              </w:rPr>
            </w:pPr>
            <w:r>
              <w:rPr>
                <w:szCs w:val="18"/>
              </w:rPr>
              <w:t>15371</w:t>
            </w:r>
          </w:p>
        </w:tc>
        <w:tc>
          <w:tcPr>
            <w:tcW w:w="2802" w:type="dxa"/>
          </w:tcPr>
          <w:p w14:paraId="5B4B4AAB" w14:textId="77777777" w:rsidR="000B27B9" w:rsidRPr="00F22C63" w:rsidRDefault="000B27B9" w:rsidP="003C01AD">
            <w:pPr>
              <w:pStyle w:val="Tabletext9pt"/>
              <w:numPr>
                <w:ilvl w:val="0"/>
                <w:numId w:val="30"/>
              </w:numPr>
            </w:pPr>
            <w:r>
              <w:t>Forensic Mental Health in Community Health</w:t>
            </w:r>
          </w:p>
        </w:tc>
        <w:tc>
          <w:tcPr>
            <w:tcW w:w="5230" w:type="dxa"/>
          </w:tcPr>
          <w:p w14:paraId="727C7522" w14:textId="77777777" w:rsidR="000B27B9" w:rsidRPr="00F22C63" w:rsidRDefault="000B27B9" w:rsidP="003C01AD">
            <w:pPr>
              <w:pStyle w:val="Tabletext9pt"/>
              <w:numPr>
                <w:ilvl w:val="0"/>
                <w:numId w:val="30"/>
              </w:numPr>
            </w:pPr>
            <w:r>
              <w:t>Delivery of community-based mental health services and supports to forensic clients with a moderate mental health condition referred by Corrections Victoria.</w:t>
            </w:r>
          </w:p>
        </w:tc>
      </w:tr>
    </w:tbl>
    <w:p w14:paraId="62643B46" w14:textId="53BDBB34" w:rsidR="000B27B9" w:rsidRDefault="006867C6" w:rsidP="006A5ACF">
      <w:pPr>
        <w:pStyle w:val="Bodyaftertablefigure"/>
      </w:pPr>
      <w:r>
        <w:fldChar w:fldCharType="begin"/>
      </w:r>
      <w:r>
        <w:instrText xml:space="preserve"> REF _Ref108527609 \r \h </w:instrText>
      </w:r>
      <w:r>
        <w:fldChar w:fldCharType="separate"/>
      </w:r>
      <w:r w:rsidR="006D0756">
        <w:t>Table 1.28</w:t>
      </w:r>
      <w:r>
        <w:fldChar w:fldCharType="end"/>
      </w:r>
      <w:r>
        <w:t xml:space="preserve"> </w:t>
      </w:r>
      <w:r w:rsidR="000B27B9">
        <w:t>shows outputs and activities for m</w:t>
      </w:r>
      <w:r w:rsidR="000B27B9" w:rsidRPr="00E7554A">
        <w:t>ental health community support services</w:t>
      </w:r>
      <w:r w:rsidR="000B27B9">
        <w:t>. MHCSS are a range of rehabilitation and support services provided to youth and adults with a psychiatric disability, and their families and carers, so that those experiencing mental health problems can access timely, high-quality care and support to recover and reintegrate into the community.</w:t>
      </w:r>
    </w:p>
    <w:p w14:paraId="3A42DC4C" w14:textId="6EE40BB9" w:rsidR="000B27B9" w:rsidRPr="00697369" w:rsidRDefault="000B27B9" w:rsidP="003C01AD">
      <w:pPr>
        <w:pStyle w:val="Tablecaption"/>
        <w:numPr>
          <w:ilvl w:val="0"/>
          <w:numId w:val="40"/>
        </w:numPr>
      </w:pPr>
      <w:bookmarkStart w:id="978" w:name="_Toc14194757"/>
      <w:bookmarkStart w:id="979" w:name="_Toc54261413"/>
      <w:bookmarkStart w:id="980" w:name="_Toc54616287"/>
      <w:bookmarkStart w:id="981" w:name="_Ref108527609"/>
      <w:bookmarkStart w:id="982" w:name="_Toc109894121"/>
      <w:bookmarkStart w:id="983" w:name="_Toc119500902"/>
      <w:r>
        <w:lastRenderedPageBreak/>
        <w:t>M</w:t>
      </w:r>
      <w:r w:rsidRPr="00E7554A">
        <w:t>ental health community support services</w:t>
      </w:r>
      <w:r>
        <w:t xml:space="preserve"> </w:t>
      </w:r>
      <w:r w:rsidR="00A82C07" w:rsidRPr="00E7554A">
        <w:t>– outputs and activities</w:t>
      </w:r>
      <w:r w:rsidR="00A82C07">
        <w:t xml:space="preserve"> </w:t>
      </w:r>
      <w:bookmarkEnd w:id="978"/>
      <w:bookmarkEnd w:id="979"/>
      <w:bookmarkEnd w:id="980"/>
      <w:r w:rsidR="005D1FCB" w:rsidRPr="00697369">
        <w:t>2022</w:t>
      </w:r>
      <w:r w:rsidR="00352B64">
        <w:t>–</w:t>
      </w:r>
      <w:r w:rsidR="005D1FCB" w:rsidRPr="00697369">
        <w:t>23</w:t>
      </w:r>
      <w:bookmarkEnd w:id="981"/>
      <w:bookmarkEnd w:id="982"/>
      <w:bookmarkEnd w:id="983"/>
    </w:p>
    <w:tbl>
      <w:tblPr>
        <w:tblStyle w:val="TableGrid1"/>
        <w:tblW w:w="9299" w:type="dxa"/>
        <w:tblLook w:val="06A0" w:firstRow="1" w:lastRow="0" w:firstColumn="1" w:lastColumn="0" w:noHBand="1" w:noVBand="1"/>
      </w:tblPr>
      <w:tblGrid>
        <w:gridCol w:w="2001"/>
        <w:gridCol w:w="2956"/>
        <w:gridCol w:w="4342"/>
      </w:tblGrid>
      <w:tr w:rsidR="001F1F73" w14:paraId="75F90631" w14:textId="77777777" w:rsidTr="001F1F73">
        <w:trPr>
          <w:cnfStyle w:val="100000000000" w:firstRow="1" w:lastRow="0" w:firstColumn="0" w:lastColumn="0" w:oddVBand="0" w:evenVBand="0" w:oddHBand="0" w:evenHBand="0" w:firstRowFirstColumn="0" w:firstRowLastColumn="0" w:lastRowFirstColumn="0" w:lastRowLastColumn="0"/>
          <w:cantSplit/>
          <w:tblHeader/>
        </w:trPr>
        <w:tc>
          <w:tcPr>
            <w:tcW w:w="2001" w:type="dxa"/>
            <w:tcBorders>
              <w:top w:val="single" w:sz="4" w:space="0" w:color="auto"/>
              <w:left w:val="single" w:sz="4" w:space="0" w:color="auto"/>
              <w:bottom w:val="single" w:sz="4" w:space="0" w:color="auto"/>
              <w:right w:val="single" w:sz="4" w:space="0" w:color="auto"/>
            </w:tcBorders>
            <w:hideMark/>
          </w:tcPr>
          <w:p w14:paraId="6FFB0CA8" w14:textId="77777777" w:rsidR="001F1F73" w:rsidRDefault="001F1F73">
            <w:pPr>
              <w:pStyle w:val="Tablecolhead9pt"/>
              <w:rPr>
                <w:szCs w:val="18"/>
                <w:lang w:eastAsia="en-AU"/>
              </w:rPr>
            </w:pPr>
            <w:bookmarkStart w:id="984" w:name="_Toc419623625"/>
            <w:bookmarkStart w:id="985" w:name="_Toc419623737"/>
            <w:bookmarkStart w:id="986" w:name="_Toc419644525"/>
            <w:bookmarkStart w:id="987" w:name="_Toc487742089"/>
            <w:bookmarkEnd w:id="968"/>
            <w:bookmarkEnd w:id="969"/>
            <w:bookmarkEnd w:id="970"/>
            <w:bookmarkEnd w:id="971"/>
            <w:r>
              <w:rPr>
                <w:lang w:eastAsia="en-AU"/>
              </w:rPr>
              <w:t>Activity no.</w:t>
            </w:r>
          </w:p>
        </w:tc>
        <w:tc>
          <w:tcPr>
            <w:tcW w:w="2956" w:type="dxa"/>
            <w:tcBorders>
              <w:top w:val="single" w:sz="4" w:space="0" w:color="auto"/>
              <w:left w:val="single" w:sz="4" w:space="0" w:color="auto"/>
              <w:bottom w:val="single" w:sz="4" w:space="0" w:color="auto"/>
              <w:right w:val="single" w:sz="4" w:space="0" w:color="auto"/>
            </w:tcBorders>
            <w:hideMark/>
          </w:tcPr>
          <w:p w14:paraId="0D216E30" w14:textId="77777777" w:rsidR="001F1F73" w:rsidRDefault="001F1F73">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568CE34E" w14:textId="77777777" w:rsidR="001F1F73" w:rsidRDefault="001F1F73">
            <w:pPr>
              <w:pStyle w:val="Tablecolhead9pt"/>
              <w:rPr>
                <w:szCs w:val="18"/>
                <w:lang w:eastAsia="en-AU"/>
              </w:rPr>
            </w:pPr>
            <w:r>
              <w:rPr>
                <w:lang w:eastAsia="en-AU"/>
              </w:rPr>
              <w:t>Activity description</w:t>
            </w:r>
          </w:p>
        </w:tc>
      </w:tr>
      <w:tr w:rsidR="001F1F73" w14:paraId="3E9906EC"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6D6F845A" w14:textId="77777777" w:rsidR="001F1F73" w:rsidRDefault="001F1F73">
            <w:pPr>
              <w:pStyle w:val="Tabletext9pt"/>
              <w:rPr>
                <w:szCs w:val="18"/>
              </w:rPr>
            </w:pPr>
            <w:r>
              <w:rPr>
                <w:szCs w:val="18"/>
              </w:rPr>
              <w:t>15067</w:t>
            </w:r>
          </w:p>
        </w:tc>
        <w:tc>
          <w:tcPr>
            <w:tcW w:w="2956" w:type="dxa"/>
            <w:tcBorders>
              <w:top w:val="single" w:sz="4" w:space="0" w:color="auto"/>
              <w:left w:val="single" w:sz="4" w:space="0" w:color="auto"/>
              <w:bottom w:val="single" w:sz="4" w:space="0" w:color="auto"/>
              <w:right w:val="single" w:sz="4" w:space="0" w:color="auto"/>
            </w:tcBorders>
            <w:hideMark/>
          </w:tcPr>
          <w:p w14:paraId="6A3568F4" w14:textId="77777777" w:rsidR="001F1F73" w:rsidRDefault="001F1F73">
            <w:pPr>
              <w:pStyle w:val="Tabletext9pt"/>
              <w:rPr>
                <w:szCs w:val="18"/>
              </w:rPr>
            </w:pPr>
            <w:r>
              <w:rPr>
                <w:szCs w:val="18"/>
              </w:rPr>
              <w:t>Planned Respite – In Home</w:t>
            </w:r>
          </w:p>
        </w:tc>
        <w:tc>
          <w:tcPr>
            <w:tcW w:w="4342" w:type="dxa"/>
            <w:tcBorders>
              <w:top w:val="single" w:sz="4" w:space="0" w:color="auto"/>
              <w:left w:val="single" w:sz="4" w:space="0" w:color="auto"/>
              <w:bottom w:val="single" w:sz="4" w:space="0" w:color="auto"/>
              <w:right w:val="single" w:sz="4" w:space="0" w:color="auto"/>
            </w:tcBorders>
            <w:hideMark/>
          </w:tcPr>
          <w:p w14:paraId="1E084703" w14:textId="77777777" w:rsidR="001F1F73" w:rsidRDefault="001F1F73">
            <w:pPr>
              <w:pStyle w:val="Tabletext9pt"/>
              <w:rPr>
                <w:szCs w:val="18"/>
              </w:rPr>
            </w:pPr>
            <w:r>
              <w:rPr>
                <w:szCs w:val="18"/>
              </w:rPr>
              <w:t>In-home planned respite services assist in sustaining existing relationships between people with a mental illness and their carers by providing short-term respite at home.</w:t>
            </w:r>
          </w:p>
        </w:tc>
      </w:tr>
      <w:tr w:rsidR="001F1F73" w14:paraId="3812A13E"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FAB547E" w14:textId="77777777" w:rsidR="001F1F73" w:rsidRDefault="001F1F73">
            <w:pPr>
              <w:pStyle w:val="Tabletext9pt"/>
              <w:rPr>
                <w:szCs w:val="18"/>
              </w:rPr>
            </w:pPr>
            <w:r>
              <w:rPr>
                <w:szCs w:val="18"/>
              </w:rPr>
              <w:t>15068</w:t>
            </w:r>
          </w:p>
        </w:tc>
        <w:tc>
          <w:tcPr>
            <w:tcW w:w="2956" w:type="dxa"/>
            <w:tcBorders>
              <w:top w:val="single" w:sz="4" w:space="0" w:color="auto"/>
              <w:left w:val="single" w:sz="4" w:space="0" w:color="auto"/>
              <w:bottom w:val="single" w:sz="4" w:space="0" w:color="auto"/>
              <w:right w:val="single" w:sz="4" w:space="0" w:color="auto"/>
            </w:tcBorders>
            <w:hideMark/>
          </w:tcPr>
          <w:p w14:paraId="3AD52790" w14:textId="77777777" w:rsidR="001F1F73" w:rsidRDefault="001F1F73">
            <w:pPr>
              <w:pStyle w:val="Tabletext9pt"/>
              <w:rPr>
                <w:szCs w:val="18"/>
              </w:rPr>
            </w:pPr>
            <w:r>
              <w:rPr>
                <w:szCs w:val="18"/>
              </w:rPr>
              <w:t>Planned Respite – Community</w:t>
            </w:r>
          </w:p>
        </w:tc>
        <w:tc>
          <w:tcPr>
            <w:tcW w:w="4342" w:type="dxa"/>
            <w:tcBorders>
              <w:top w:val="single" w:sz="4" w:space="0" w:color="auto"/>
              <w:left w:val="single" w:sz="4" w:space="0" w:color="auto"/>
              <w:bottom w:val="single" w:sz="4" w:space="0" w:color="auto"/>
              <w:right w:val="single" w:sz="4" w:space="0" w:color="auto"/>
            </w:tcBorders>
            <w:hideMark/>
          </w:tcPr>
          <w:p w14:paraId="1E5B8539" w14:textId="77777777" w:rsidR="001F1F73" w:rsidRDefault="001F1F73">
            <w:pPr>
              <w:pStyle w:val="Tabletext9pt"/>
              <w:rPr>
                <w:szCs w:val="18"/>
              </w:rPr>
            </w:pPr>
            <w:r>
              <w:rPr>
                <w:szCs w:val="18"/>
              </w:rPr>
              <w:t>Community planned respite services assist in sustaining existing relationships between people with a mental illness and their carers by providing short-term respite in the community.</w:t>
            </w:r>
          </w:p>
        </w:tc>
      </w:tr>
      <w:tr w:rsidR="001F1F73" w14:paraId="01E1DD00"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3DC09094" w14:textId="77777777" w:rsidR="001F1F73" w:rsidRDefault="001F1F73">
            <w:pPr>
              <w:pStyle w:val="Tabletext9pt"/>
              <w:rPr>
                <w:szCs w:val="18"/>
              </w:rPr>
            </w:pPr>
            <w:r>
              <w:rPr>
                <w:szCs w:val="18"/>
              </w:rPr>
              <w:t>15069</w:t>
            </w:r>
          </w:p>
        </w:tc>
        <w:tc>
          <w:tcPr>
            <w:tcW w:w="2956" w:type="dxa"/>
            <w:tcBorders>
              <w:top w:val="single" w:sz="4" w:space="0" w:color="auto"/>
              <w:left w:val="single" w:sz="4" w:space="0" w:color="auto"/>
              <w:bottom w:val="single" w:sz="4" w:space="0" w:color="auto"/>
              <w:right w:val="single" w:sz="4" w:space="0" w:color="auto"/>
            </w:tcBorders>
            <w:hideMark/>
          </w:tcPr>
          <w:p w14:paraId="1F775B6E" w14:textId="77777777" w:rsidR="001F1F73" w:rsidRDefault="001F1F73">
            <w:pPr>
              <w:pStyle w:val="Tabletext9pt"/>
              <w:rPr>
                <w:szCs w:val="18"/>
              </w:rPr>
            </w:pPr>
            <w:r>
              <w:rPr>
                <w:szCs w:val="18"/>
              </w:rPr>
              <w:t>Planned Respite – Residential</w:t>
            </w:r>
          </w:p>
        </w:tc>
        <w:tc>
          <w:tcPr>
            <w:tcW w:w="4342" w:type="dxa"/>
            <w:tcBorders>
              <w:top w:val="single" w:sz="4" w:space="0" w:color="auto"/>
              <w:left w:val="single" w:sz="4" w:space="0" w:color="auto"/>
              <w:bottom w:val="single" w:sz="4" w:space="0" w:color="auto"/>
              <w:right w:val="single" w:sz="4" w:space="0" w:color="auto"/>
            </w:tcBorders>
            <w:hideMark/>
          </w:tcPr>
          <w:p w14:paraId="40FB4063" w14:textId="77777777" w:rsidR="001F1F73" w:rsidRDefault="001F1F73">
            <w:pPr>
              <w:pStyle w:val="Tabletext9pt"/>
              <w:rPr>
                <w:szCs w:val="18"/>
              </w:rPr>
            </w:pPr>
            <w:r>
              <w:rPr>
                <w:szCs w:val="18"/>
              </w:rPr>
              <w:t>Residential planned respite services assist in sustaining existing relationships between people with a mental illness and their carers by providing short-term respite in a residential situation.</w:t>
            </w:r>
          </w:p>
        </w:tc>
      </w:tr>
      <w:tr w:rsidR="001F1F73" w14:paraId="45C4468E"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50E803F8" w14:textId="77777777" w:rsidR="001F1F73" w:rsidRDefault="001F1F73">
            <w:pPr>
              <w:pStyle w:val="Tabletext9pt"/>
              <w:rPr>
                <w:szCs w:val="18"/>
              </w:rPr>
            </w:pPr>
            <w:r>
              <w:rPr>
                <w:szCs w:val="18"/>
              </w:rPr>
              <w:t>15074</w:t>
            </w:r>
          </w:p>
        </w:tc>
        <w:tc>
          <w:tcPr>
            <w:tcW w:w="2956" w:type="dxa"/>
            <w:tcBorders>
              <w:top w:val="single" w:sz="4" w:space="0" w:color="auto"/>
              <w:left w:val="single" w:sz="4" w:space="0" w:color="auto"/>
              <w:bottom w:val="single" w:sz="4" w:space="0" w:color="auto"/>
              <w:right w:val="single" w:sz="4" w:space="0" w:color="auto"/>
            </w:tcBorders>
            <w:hideMark/>
          </w:tcPr>
          <w:p w14:paraId="6FED190F" w14:textId="77777777" w:rsidR="001F1F73" w:rsidRDefault="001F1F73">
            <w:pPr>
              <w:pStyle w:val="Tabletext9pt"/>
              <w:rPr>
                <w:szCs w:val="18"/>
              </w:rPr>
            </w:pPr>
            <w:r>
              <w:rPr>
                <w:szCs w:val="18"/>
              </w:rPr>
              <w:t>Training – MHCSS</w:t>
            </w:r>
          </w:p>
        </w:tc>
        <w:tc>
          <w:tcPr>
            <w:tcW w:w="4342" w:type="dxa"/>
            <w:tcBorders>
              <w:top w:val="single" w:sz="4" w:space="0" w:color="auto"/>
              <w:left w:val="single" w:sz="4" w:space="0" w:color="auto"/>
              <w:bottom w:val="single" w:sz="4" w:space="0" w:color="auto"/>
              <w:right w:val="single" w:sz="4" w:space="0" w:color="auto"/>
            </w:tcBorders>
            <w:hideMark/>
          </w:tcPr>
          <w:p w14:paraId="75E74EBB" w14:textId="77777777" w:rsidR="001F1F73" w:rsidRDefault="001F1F73">
            <w:pPr>
              <w:pStyle w:val="Tabletext9pt"/>
              <w:rPr>
                <w:szCs w:val="18"/>
              </w:rPr>
            </w:pPr>
            <w:r>
              <w:rPr>
                <w:szCs w:val="18"/>
              </w:rPr>
              <w:t>This includes all MHCSS activities associated with training and staff development of funded agency staff. It also includes training for participants of funded agencies and their carers. It does not include training provided as part of a mutual support and self-help (MSSH) service or as part of a community development function of any MHCSS-funded agency.</w:t>
            </w:r>
          </w:p>
        </w:tc>
      </w:tr>
      <w:tr w:rsidR="001F1F73" w14:paraId="02EFA248"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15D3A1B6" w14:textId="77777777" w:rsidR="001F1F73" w:rsidRDefault="001F1F73">
            <w:pPr>
              <w:pStyle w:val="Tabletext9pt"/>
              <w:rPr>
                <w:szCs w:val="18"/>
              </w:rPr>
            </w:pPr>
            <w:r>
              <w:rPr>
                <w:szCs w:val="18"/>
              </w:rPr>
              <w:t>15075</w:t>
            </w:r>
          </w:p>
        </w:tc>
        <w:tc>
          <w:tcPr>
            <w:tcW w:w="2956" w:type="dxa"/>
            <w:tcBorders>
              <w:top w:val="single" w:sz="4" w:space="0" w:color="auto"/>
              <w:left w:val="single" w:sz="4" w:space="0" w:color="auto"/>
              <w:bottom w:val="single" w:sz="4" w:space="0" w:color="auto"/>
              <w:right w:val="single" w:sz="4" w:space="0" w:color="auto"/>
            </w:tcBorders>
            <w:hideMark/>
          </w:tcPr>
          <w:p w14:paraId="72EF7AB6" w14:textId="77777777" w:rsidR="001F1F73" w:rsidRDefault="001F1F73">
            <w:pPr>
              <w:pStyle w:val="Tabletext9pt"/>
              <w:rPr>
                <w:szCs w:val="18"/>
              </w:rPr>
            </w:pPr>
            <w:r>
              <w:rPr>
                <w:szCs w:val="18"/>
              </w:rPr>
              <w:t>MHCSS Carer Support</w:t>
            </w:r>
          </w:p>
        </w:tc>
        <w:tc>
          <w:tcPr>
            <w:tcW w:w="4342" w:type="dxa"/>
            <w:tcBorders>
              <w:top w:val="single" w:sz="4" w:space="0" w:color="auto"/>
              <w:left w:val="single" w:sz="4" w:space="0" w:color="auto"/>
              <w:bottom w:val="single" w:sz="4" w:space="0" w:color="auto"/>
              <w:right w:val="single" w:sz="4" w:space="0" w:color="auto"/>
            </w:tcBorders>
            <w:hideMark/>
          </w:tcPr>
          <w:p w14:paraId="68438FC7" w14:textId="77777777" w:rsidR="001F1F73" w:rsidRDefault="001F1F73">
            <w:pPr>
              <w:pStyle w:val="Tabletext9pt"/>
              <w:rPr>
                <w:szCs w:val="18"/>
              </w:rPr>
            </w:pPr>
            <w:r>
              <w:rPr>
                <w:szCs w:val="18"/>
              </w:rPr>
              <w:t>This includes those services and programs that have as their primary client the carer of a person with a mental illness, and that do not fit into the components of ‘planned respite’ or MSSH.</w:t>
            </w:r>
          </w:p>
        </w:tc>
      </w:tr>
      <w:tr w:rsidR="001F1F73" w14:paraId="2E11B540"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3E316798" w14:textId="77777777" w:rsidR="001F1F73" w:rsidRDefault="001F1F73">
            <w:pPr>
              <w:pStyle w:val="Tabletext9pt"/>
              <w:rPr>
                <w:szCs w:val="18"/>
              </w:rPr>
            </w:pPr>
            <w:r>
              <w:rPr>
                <w:szCs w:val="18"/>
              </w:rPr>
              <w:t>15076</w:t>
            </w:r>
          </w:p>
        </w:tc>
        <w:tc>
          <w:tcPr>
            <w:tcW w:w="2956" w:type="dxa"/>
            <w:tcBorders>
              <w:top w:val="single" w:sz="4" w:space="0" w:color="auto"/>
              <w:left w:val="single" w:sz="4" w:space="0" w:color="auto"/>
              <w:bottom w:val="single" w:sz="4" w:space="0" w:color="auto"/>
              <w:right w:val="single" w:sz="4" w:space="0" w:color="auto"/>
            </w:tcBorders>
            <w:hideMark/>
          </w:tcPr>
          <w:p w14:paraId="085FF7FC" w14:textId="77777777" w:rsidR="001F1F73" w:rsidRDefault="001F1F73">
            <w:pPr>
              <w:pStyle w:val="Tabletext9pt"/>
              <w:rPr>
                <w:szCs w:val="18"/>
              </w:rPr>
            </w:pPr>
            <w:r>
              <w:rPr>
                <w:szCs w:val="18"/>
              </w:rPr>
              <w:t>MHCSS Centrally Funded Support</w:t>
            </w:r>
          </w:p>
        </w:tc>
        <w:tc>
          <w:tcPr>
            <w:tcW w:w="4342" w:type="dxa"/>
            <w:tcBorders>
              <w:top w:val="single" w:sz="4" w:space="0" w:color="auto"/>
              <w:left w:val="single" w:sz="4" w:space="0" w:color="auto"/>
              <w:bottom w:val="single" w:sz="4" w:space="0" w:color="auto"/>
              <w:right w:val="single" w:sz="4" w:space="0" w:color="auto"/>
            </w:tcBorders>
            <w:hideMark/>
          </w:tcPr>
          <w:p w14:paraId="64B926C8" w14:textId="77777777" w:rsidR="001F1F73" w:rsidRDefault="001F1F73">
            <w:pPr>
              <w:pStyle w:val="Tabletext9pt"/>
              <w:rPr>
                <w:szCs w:val="18"/>
              </w:rPr>
            </w:pPr>
            <w:r>
              <w:rPr>
                <w:szCs w:val="18"/>
              </w:rPr>
              <w:t>Funding provided by central office for MHCSS services on a specific-purpose grant.</w:t>
            </w:r>
          </w:p>
        </w:tc>
      </w:tr>
      <w:tr w:rsidR="001F1F73" w14:paraId="37BA3856"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86335FB" w14:textId="77777777" w:rsidR="001F1F73" w:rsidRDefault="001F1F73">
            <w:pPr>
              <w:pStyle w:val="Tabletext9pt"/>
              <w:rPr>
                <w:szCs w:val="18"/>
              </w:rPr>
            </w:pPr>
            <w:r>
              <w:rPr>
                <w:szCs w:val="18"/>
              </w:rPr>
              <w:t>15091</w:t>
            </w:r>
          </w:p>
        </w:tc>
        <w:tc>
          <w:tcPr>
            <w:tcW w:w="2956" w:type="dxa"/>
            <w:tcBorders>
              <w:top w:val="single" w:sz="4" w:space="0" w:color="auto"/>
              <w:left w:val="single" w:sz="4" w:space="0" w:color="auto"/>
              <w:bottom w:val="single" w:sz="4" w:space="0" w:color="auto"/>
              <w:right w:val="single" w:sz="4" w:space="0" w:color="auto"/>
            </w:tcBorders>
            <w:hideMark/>
          </w:tcPr>
          <w:p w14:paraId="111AE74E" w14:textId="77777777" w:rsidR="001F1F73" w:rsidRDefault="001F1F73">
            <w:pPr>
              <w:pStyle w:val="Tabletext9pt"/>
              <w:rPr>
                <w:szCs w:val="18"/>
              </w:rPr>
            </w:pPr>
            <w:r>
              <w:rPr>
                <w:szCs w:val="18"/>
              </w:rPr>
              <w:t>MSSH Statewide Specialist Availability Grant</w:t>
            </w:r>
          </w:p>
        </w:tc>
        <w:tc>
          <w:tcPr>
            <w:tcW w:w="4342" w:type="dxa"/>
            <w:tcBorders>
              <w:top w:val="single" w:sz="4" w:space="0" w:color="auto"/>
              <w:left w:val="single" w:sz="4" w:space="0" w:color="auto"/>
              <w:bottom w:val="single" w:sz="4" w:space="0" w:color="auto"/>
              <w:right w:val="single" w:sz="4" w:space="0" w:color="auto"/>
            </w:tcBorders>
            <w:hideMark/>
          </w:tcPr>
          <w:p w14:paraId="50285E65" w14:textId="77777777" w:rsidR="001F1F73" w:rsidRDefault="001F1F73">
            <w:pPr>
              <w:pStyle w:val="Tabletext9pt"/>
              <w:rPr>
                <w:szCs w:val="18"/>
              </w:rPr>
            </w:pPr>
            <w:r>
              <w:rPr>
                <w:szCs w:val="18"/>
              </w:rPr>
              <w:t>Availability grants are only provided to statewide specialist MSSH organisations. This is a block grant that encompasses two of the five core MSSH activities: individual support, referral, and advocacy; and information development and dissemination.</w:t>
            </w:r>
          </w:p>
        </w:tc>
      </w:tr>
      <w:tr w:rsidR="001F1F73" w14:paraId="6104081B"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E100771" w14:textId="77777777" w:rsidR="001F1F73" w:rsidRDefault="001F1F73">
            <w:pPr>
              <w:pStyle w:val="Tabletext9pt"/>
              <w:rPr>
                <w:szCs w:val="18"/>
              </w:rPr>
            </w:pPr>
            <w:r>
              <w:rPr>
                <w:szCs w:val="18"/>
              </w:rPr>
              <w:t>15092</w:t>
            </w:r>
          </w:p>
        </w:tc>
        <w:tc>
          <w:tcPr>
            <w:tcW w:w="2956" w:type="dxa"/>
            <w:tcBorders>
              <w:top w:val="single" w:sz="4" w:space="0" w:color="auto"/>
              <w:left w:val="single" w:sz="4" w:space="0" w:color="auto"/>
              <w:bottom w:val="single" w:sz="4" w:space="0" w:color="auto"/>
              <w:right w:val="single" w:sz="4" w:space="0" w:color="auto"/>
            </w:tcBorders>
            <w:hideMark/>
          </w:tcPr>
          <w:p w14:paraId="47FA6FD7" w14:textId="77777777" w:rsidR="001F1F73" w:rsidRDefault="001F1F73">
            <w:pPr>
              <w:pStyle w:val="Tabletext9pt"/>
              <w:rPr>
                <w:szCs w:val="18"/>
              </w:rPr>
            </w:pPr>
            <w:r>
              <w:rPr>
                <w:szCs w:val="18"/>
              </w:rPr>
              <w:t>MSSH Individual Support Referral and Advocacy</w:t>
            </w:r>
          </w:p>
        </w:tc>
        <w:tc>
          <w:tcPr>
            <w:tcW w:w="4342" w:type="dxa"/>
            <w:tcBorders>
              <w:top w:val="single" w:sz="4" w:space="0" w:color="auto"/>
              <w:left w:val="single" w:sz="4" w:space="0" w:color="auto"/>
              <w:bottom w:val="single" w:sz="4" w:space="0" w:color="auto"/>
              <w:right w:val="single" w:sz="4" w:space="0" w:color="auto"/>
            </w:tcBorders>
            <w:hideMark/>
          </w:tcPr>
          <w:p w14:paraId="6DA15342" w14:textId="77777777" w:rsidR="001F1F73" w:rsidRDefault="001F1F73">
            <w:pPr>
              <w:pStyle w:val="Tabletext9pt"/>
              <w:rPr>
                <w:szCs w:val="18"/>
              </w:rPr>
            </w:pPr>
            <w:r>
              <w:rPr>
                <w:szCs w:val="18"/>
              </w:rPr>
              <w:t>Direct contacts between the service provider and the client for information and advice, including referral and one-on-one support. Clients include those with a mental illness, their carers or friends and family members and health professionals.</w:t>
            </w:r>
          </w:p>
        </w:tc>
      </w:tr>
      <w:tr w:rsidR="001F1F73" w14:paraId="38BCD345"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2B7DAD5" w14:textId="77777777" w:rsidR="001F1F73" w:rsidRDefault="001F1F73">
            <w:pPr>
              <w:pStyle w:val="Tabletext9pt"/>
              <w:rPr>
                <w:szCs w:val="18"/>
              </w:rPr>
            </w:pPr>
            <w:r>
              <w:rPr>
                <w:szCs w:val="18"/>
              </w:rPr>
              <w:t>15093</w:t>
            </w:r>
          </w:p>
        </w:tc>
        <w:tc>
          <w:tcPr>
            <w:tcW w:w="2956" w:type="dxa"/>
            <w:tcBorders>
              <w:top w:val="single" w:sz="4" w:space="0" w:color="auto"/>
              <w:left w:val="single" w:sz="4" w:space="0" w:color="auto"/>
              <w:bottom w:val="single" w:sz="4" w:space="0" w:color="auto"/>
              <w:right w:val="single" w:sz="4" w:space="0" w:color="auto"/>
            </w:tcBorders>
            <w:hideMark/>
          </w:tcPr>
          <w:p w14:paraId="12531438" w14:textId="77777777" w:rsidR="001F1F73" w:rsidRDefault="001F1F73">
            <w:pPr>
              <w:pStyle w:val="Tabletext9pt"/>
              <w:rPr>
                <w:szCs w:val="18"/>
              </w:rPr>
            </w:pPr>
            <w:r>
              <w:rPr>
                <w:szCs w:val="18"/>
              </w:rPr>
              <w:t>MSSH Information Development and Dissemination</w:t>
            </w:r>
          </w:p>
        </w:tc>
        <w:tc>
          <w:tcPr>
            <w:tcW w:w="4342" w:type="dxa"/>
            <w:tcBorders>
              <w:top w:val="single" w:sz="4" w:space="0" w:color="auto"/>
              <w:left w:val="single" w:sz="4" w:space="0" w:color="auto"/>
              <w:bottom w:val="single" w:sz="4" w:space="0" w:color="auto"/>
              <w:right w:val="single" w:sz="4" w:space="0" w:color="auto"/>
            </w:tcBorders>
            <w:hideMark/>
          </w:tcPr>
          <w:p w14:paraId="183B5F1E" w14:textId="77777777" w:rsidR="001F1F73" w:rsidRDefault="001F1F73">
            <w:pPr>
              <w:pStyle w:val="Tabletext9pt"/>
              <w:rPr>
                <w:szCs w:val="18"/>
              </w:rPr>
            </w:pPr>
            <w:r>
              <w:rPr>
                <w:szCs w:val="18"/>
              </w:rPr>
              <w:t>Costs associated with developing primary reference material. This does not include disseminating existing materials developed by other organisations to clients in the course of normal business. It can include website development costs, writing and so on.</w:t>
            </w:r>
          </w:p>
        </w:tc>
      </w:tr>
      <w:tr w:rsidR="001F1F73" w14:paraId="100DAE4E"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3F01E1F2" w14:textId="77777777" w:rsidR="001F1F73" w:rsidRDefault="001F1F73">
            <w:pPr>
              <w:pStyle w:val="Tabletext9pt"/>
              <w:rPr>
                <w:szCs w:val="18"/>
              </w:rPr>
            </w:pPr>
            <w:r>
              <w:rPr>
                <w:szCs w:val="18"/>
              </w:rPr>
              <w:t>15094</w:t>
            </w:r>
          </w:p>
        </w:tc>
        <w:tc>
          <w:tcPr>
            <w:tcW w:w="2956" w:type="dxa"/>
            <w:tcBorders>
              <w:top w:val="single" w:sz="4" w:space="0" w:color="auto"/>
              <w:left w:val="single" w:sz="4" w:space="0" w:color="auto"/>
              <w:bottom w:val="single" w:sz="4" w:space="0" w:color="auto"/>
              <w:right w:val="single" w:sz="4" w:space="0" w:color="auto"/>
            </w:tcBorders>
            <w:hideMark/>
          </w:tcPr>
          <w:p w14:paraId="4645DFA0" w14:textId="77777777" w:rsidR="001F1F73" w:rsidRDefault="001F1F73">
            <w:pPr>
              <w:pStyle w:val="Tabletext9pt"/>
              <w:rPr>
                <w:szCs w:val="18"/>
              </w:rPr>
            </w:pPr>
            <w:r>
              <w:rPr>
                <w:szCs w:val="18"/>
              </w:rPr>
              <w:t>MSSH Groups Support</w:t>
            </w:r>
          </w:p>
        </w:tc>
        <w:tc>
          <w:tcPr>
            <w:tcW w:w="4342" w:type="dxa"/>
            <w:tcBorders>
              <w:top w:val="single" w:sz="4" w:space="0" w:color="auto"/>
              <w:left w:val="single" w:sz="4" w:space="0" w:color="auto"/>
              <w:bottom w:val="single" w:sz="4" w:space="0" w:color="auto"/>
              <w:right w:val="single" w:sz="4" w:space="0" w:color="auto"/>
            </w:tcBorders>
            <w:hideMark/>
          </w:tcPr>
          <w:p w14:paraId="01A0C762" w14:textId="77777777" w:rsidR="001F1F73" w:rsidRDefault="001F1F73">
            <w:pPr>
              <w:pStyle w:val="Tabletext9pt"/>
              <w:rPr>
                <w:szCs w:val="18"/>
              </w:rPr>
            </w:pPr>
            <w:r>
              <w:rPr>
                <w:szCs w:val="18"/>
              </w:rPr>
              <w:t>Facilitated support groups conducted for clients with a mental illness, their carers or friends or family members.</w:t>
            </w:r>
          </w:p>
        </w:tc>
      </w:tr>
      <w:tr w:rsidR="001F1F73" w14:paraId="1C25ED4A"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7E4A68C" w14:textId="77777777" w:rsidR="001F1F73" w:rsidRDefault="001F1F73">
            <w:pPr>
              <w:pStyle w:val="Tabletext9pt"/>
              <w:rPr>
                <w:szCs w:val="18"/>
              </w:rPr>
            </w:pPr>
            <w:r>
              <w:rPr>
                <w:szCs w:val="18"/>
              </w:rPr>
              <w:t>15095</w:t>
            </w:r>
          </w:p>
        </w:tc>
        <w:tc>
          <w:tcPr>
            <w:tcW w:w="2956" w:type="dxa"/>
            <w:tcBorders>
              <w:top w:val="single" w:sz="4" w:space="0" w:color="auto"/>
              <w:left w:val="single" w:sz="4" w:space="0" w:color="auto"/>
              <w:bottom w:val="single" w:sz="4" w:space="0" w:color="auto"/>
              <w:right w:val="single" w:sz="4" w:space="0" w:color="auto"/>
            </w:tcBorders>
            <w:hideMark/>
          </w:tcPr>
          <w:p w14:paraId="19D647C1" w14:textId="77777777" w:rsidR="001F1F73" w:rsidRDefault="001F1F73">
            <w:pPr>
              <w:pStyle w:val="Tabletext9pt"/>
              <w:rPr>
                <w:szCs w:val="18"/>
              </w:rPr>
            </w:pPr>
            <w:r>
              <w:rPr>
                <w:szCs w:val="18"/>
              </w:rPr>
              <w:t>MSSH Groups Education and Training</w:t>
            </w:r>
          </w:p>
        </w:tc>
        <w:tc>
          <w:tcPr>
            <w:tcW w:w="4342" w:type="dxa"/>
            <w:tcBorders>
              <w:top w:val="single" w:sz="4" w:space="0" w:color="auto"/>
              <w:left w:val="single" w:sz="4" w:space="0" w:color="auto"/>
              <w:bottom w:val="single" w:sz="4" w:space="0" w:color="auto"/>
              <w:right w:val="single" w:sz="4" w:space="0" w:color="auto"/>
            </w:tcBorders>
            <w:hideMark/>
          </w:tcPr>
          <w:p w14:paraId="4C8B6EC9" w14:textId="77777777" w:rsidR="001F1F73" w:rsidRDefault="001F1F73">
            <w:pPr>
              <w:pStyle w:val="Tabletext9pt"/>
              <w:rPr>
                <w:szCs w:val="18"/>
              </w:rPr>
            </w:pPr>
            <w:r>
              <w:rPr>
                <w:szCs w:val="18"/>
              </w:rPr>
              <w:t>This refers to groups conducted to provide training or information and education for members of the public or health professionals.</w:t>
            </w:r>
          </w:p>
        </w:tc>
      </w:tr>
      <w:tr w:rsidR="001F1F73" w14:paraId="3CB5298F"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60CE24E" w14:textId="77777777" w:rsidR="001F1F73" w:rsidRDefault="001F1F73">
            <w:pPr>
              <w:pStyle w:val="Tabletext9pt"/>
              <w:rPr>
                <w:szCs w:val="18"/>
              </w:rPr>
            </w:pPr>
            <w:r>
              <w:rPr>
                <w:szCs w:val="18"/>
              </w:rPr>
              <w:t>15096</w:t>
            </w:r>
          </w:p>
        </w:tc>
        <w:tc>
          <w:tcPr>
            <w:tcW w:w="2956" w:type="dxa"/>
            <w:tcBorders>
              <w:top w:val="single" w:sz="4" w:space="0" w:color="auto"/>
              <w:left w:val="single" w:sz="4" w:space="0" w:color="auto"/>
              <w:bottom w:val="single" w:sz="4" w:space="0" w:color="auto"/>
              <w:right w:val="single" w:sz="4" w:space="0" w:color="auto"/>
            </w:tcBorders>
            <w:hideMark/>
          </w:tcPr>
          <w:p w14:paraId="6752D3E7" w14:textId="77777777" w:rsidR="001F1F73" w:rsidRDefault="001F1F73">
            <w:pPr>
              <w:pStyle w:val="Tabletext9pt"/>
              <w:rPr>
                <w:szCs w:val="18"/>
              </w:rPr>
            </w:pPr>
            <w:r>
              <w:rPr>
                <w:szCs w:val="18"/>
              </w:rPr>
              <w:t>MSSH Volunteer Coordination</w:t>
            </w:r>
          </w:p>
        </w:tc>
        <w:tc>
          <w:tcPr>
            <w:tcW w:w="4342" w:type="dxa"/>
            <w:tcBorders>
              <w:top w:val="single" w:sz="4" w:space="0" w:color="auto"/>
              <w:left w:val="single" w:sz="4" w:space="0" w:color="auto"/>
              <w:bottom w:val="single" w:sz="4" w:space="0" w:color="auto"/>
              <w:right w:val="single" w:sz="4" w:space="0" w:color="auto"/>
            </w:tcBorders>
            <w:hideMark/>
          </w:tcPr>
          <w:p w14:paraId="6F9831A3" w14:textId="77777777" w:rsidR="001F1F73" w:rsidRDefault="001F1F73">
            <w:pPr>
              <w:pStyle w:val="Tabletext9pt"/>
              <w:rPr>
                <w:szCs w:val="18"/>
              </w:rPr>
            </w:pPr>
            <w:r>
              <w:rPr>
                <w:szCs w:val="18"/>
              </w:rPr>
              <w:t>Volunteer coordination refers to those activities associated with recruitment, training and education, support, and management of volunteers.</w:t>
            </w:r>
          </w:p>
        </w:tc>
      </w:tr>
      <w:tr w:rsidR="001F1F73" w14:paraId="58E5636F"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D0829CB" w14:textId="77777777" w:rsidR="001F1F73" w:rsidRDefault="001F1F73">
            <w:pPr>
              <w:pStyle w:val="Tabletext9pt"/>
              <w:rPr>
                <w:szCs w:val="18"/>
              </w:rPr>
            </w:pPr>
            <w:r>
              <w:rPr>
                <w:szCs w:val="18"/>
              </w:rPr>
              <w:t>15097</w:t>
            </w:r>
          </w:p>
        </w:tc>
        <w:tc>
          <w:tcPr>
            <w:tcW w:w="2956" w:type="dxa"/>
            <w:tcBorders>
              <w:top w:val="single" w:sz="4" w:space="0" w:color="auto"/>
              <w:left w:val="single" w:sz="4" w:space="0" w:color="auto"/>
              <w:bottom w:val="single" w:sz="4" w:space="0" w:color="auto"/>
              <w:right w:val="single" w:sz="4" w:space="0" w:color="auto"/>
            </w:tcBorders>
            <w:hideMark/>
          </w:tcPr>
          <w:p w14:paraId="0D38183B" w14:textId="77777777" w:rsidR="001F1F73" w:rsidRDefault="001F1F73">
            <w:pPr>
              <w:pStyle w:val="Tabletext9pt"/>
              <w:rPr>
                <w:szCs w:val="18"/>
              </w:rPr>
            </w:pPr>
            <w:r>
              <w:rPr>
                <w:szCs w:val="18"/>
              </w:rPr>
              <w:t>Supported Accommodation – 24-Hour Support Model</w:t>
            </w:r>
          </w:p>
        </w:tc>
        <w:tc>
          <w:tcPr>
            <w:tcW w:w="4342" w:type="dxa"/>
            <w:tcBorders>
              <w:top w:val="single" w:sz="4" w:space="0" w:color="auto"/>
              <w:left w:val="single" w:sz="4" w:space="0" w:color="auto"/>
              <w:bottom w:val="single" w:sz="4" w:space="0" w:color="auto"/>
              <w:right w:val="single" w:sz="4" w:space="0" w:color="auto"/>
            </w:tcBorders>
            <w:hideMark/>
          </w:tcPr>
          <w:p w14:paraId="3C064DD9" w14:textId="77777777" w:rsidR="001F1F73" w:rsidRDefault="001F1F73">
            <w:pPr>
              <w:pStyle w:val="Tabletext9pt"/>
              <w:rPr>
                <w:szCs w:val="18"/>
              </w:rPr>
            </w:pPr>
            <w:r>
              <w:rPr>
                <w:szCs w:val="18"/>
              </w:rPr>
              <w:t>Staff provide on-site support 24 hours a day, seven days a week. This type of model is generally delivered in a larger facility. Under this model residents normally have their own bedroom but may share bathroom facilities and communal areas such as a lounge and kitchen.</w:t>
            </w:r>
          </w:p>
        </w:tc>
      </w:tr>
      <w:tr w:rsidR="001F1F73" w14:paraId="7600EACA"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3247ED9" w14:textId="77777777" w:rsidR="001F1F73" w:rsidRDefault="001F1F73">
            <w:pPr>
              <w:pStyle w:val="Tabletext9pt"/>
              <w:rPr>
                <w:szCs w:val="18"/>
              </w:rPr>
            </w:pPr>
            <w:r>
              <w:rPr>
                <w:szCs w:val="18"/>
              </w:rPr>
              <w:lastRenderedPageBreak/>
              <w:t>15098</w:t>
            </w:r>
          </w:p>
        </w:tc>
        <w:tc>
          <w:tcPr>
            <w:tcW w:w="2956" w:type="dxa"/>
            <w:tcBorders>
              <w:top w:val="single" w:sz="4" w:space="0" w:color="auto"/>
              <w:left w:val="single" w:sz="4" w:space="0" w:color="auto"/>
              <w:bottom w:val="single" w:sz="4" w:space="0" w:color="auto"/>
              <w:right w:val="single" w:sz="4" w:space="0" w:color="auto"/>
            </w:tcBorders>
            <w:hideMark/>
          </w:tcPr>
          <w:p w14:paraId="5A234FC1" w14:textId="77777777" w:rsidR="001F1F73" w:rsidRDefault="001F1F73">
            <w:pPr>
              <w:pStyle w:val="Tabletext9pt"/>
              <w:rPr>
                <w:szCs w:val="18"/>
              </w:rPr>
            </w:pPr>
            <w:r>
              <w:rPr>
                <w:szCs w:val="18"/>
              </w:rPr>
              <w:t>Supported Accommodation – Non-24-Hour Support</w:t>
            </w:r>
          </w:p>
        </w:tc>
        <w:tc>
          <w:tcPr>
            <w:tcW w:w="4342" w:type="dxa"/>
            <w:tcBorders>
              <w:top w:val="single" w:sz="4" w:space="0" w:color="auto"/>
              <w:left w:val="single" w:sz="4" w:space="0" w:color="auto"/>
              <w:bottom w:val="single" w:sz="4" w:space="0" w:color="auto"/>
              <w:right w:val="single" w:sz="4" w:space="0" w:color="auto"/>
            </w:tcBorders>
            <w:hideMark/>
          </w:tcPr>
          <w:p w14:paraId="17B781F2" w14:textId="32EC5F61" w:rsidR="001F1F73" w:rsidRDefault="001F1F73">
            <w:pPr>
              <w:pStyle w:val="Tabletext9pt"/>
              <w:rPr>
                <w:szCs w:val="18"/>
              </w:rPr>
            </w:pPr>
            <w:r>
              <w:rPr>
                <w:szCs w:val="18"/>
              </w:rPr>
              <w:t>Support is provided either in a cluster environment on the same site or in units and houses located within close geographic proximity. Support is provided during standard work</w:t>
            </w:r>
            <w:r w:rsidR="006B4DBF">
              <w:rPr>
                <w:szCs w:val="18"/>
              </w:rPr>
              <w:t>-</w:t>
            </w:r>
            <w:r>
              <w:rPr>
                <w:szCs w:val="18"/>
              </w:rPr>
              <w:t>hours (9.00 am to 5.00 pm Monday to Friday) and after hours and weekend support or on-call. Note: this activity is progressively transitioning to the National Disability Insurance Scheme.</w:t>
            </w:r>
          </w:p>
        </w:tc>
      </w:tr>
      <w:tr w:rsidR="001F1F73" w14:paraId="1717E590"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1C3C4B56" w14:textId="77777777" w:rsidR="001F1F73" w:rsidRDefault="001F1F73">
            <w:pPr>
              <w:pStyle w:val="Tabletext9pt"/>
              <w:rPr>
                <w:szCs w:val="18"/>
              </w:rPr>
            </w:pPr>
            <w:r>
              <w:rPr>
                <w:szCs w:val="18"/>
              </w:rPr>
              <w:t>15099</w:t>
            </w:r>
          </w:p>
        </w:tc>
        <w:tc>
          <w:tcPr>
            <w:tcW w:w="2956" w:type="dxa"/>
            <w:tcBorders>
              <w:top w:val="single" w:sz="4" w:space="0" w:color="auto"/>
              <w:left w:val="single" w:sz="4" w:space="0" w:color="auto"/>
              <w:bottom w:val="single" w:sz="4" w:space="0" w:color="auto"/>
              <w:right w:val="single" w:sz="4" w:space="0" w:color="auto"/>
            </w:tcBorders>
            <w:hideMark/>
          </w:tcPr>
          <w:p w14:paraId="5022D0C6" w14:textId="77777777" w:rsidR="001F1F73" w:rsidRDefault="001F1F73">
            <w:pPr>
              <w:pStyle w:val="Tabletext9pt"/>
              <w:rPr>
                <w:szCs w:val="18"/>
              </w:rPr>
            </w:pPr>
            <w:r>
              <w:rPr>
                <w:szCs w:val="18"/>
              </w:rPr>
              <w:t>ACCO Services – Mental Health</w:t>
            </w:r>
          </w:p>
        </w:tc>
        <w:tc>
          <w:tcPr>
            <w:tcW w:w="4342" w:type="dxa"/>
            <w:tcBorders>
              <w:top w:val="single" w:sz="4" w:space="0" w:color="auto"/>
              <w:left w:val="single" w:sz="4" w:space="0" w:color="auto"/>
              <w:bottom w:val="single" w:sz="4" w:space="0" w:color="auto"/>
              <w:right w:val="single" w:sz="4" w:space="0" w:color="auto"/>
            </w:tcBorders>
            <w:hideMark/>
          </w:tcPr>
          <w:p w14:paraId="62B00E0D" w14:textId="77777777" w:rsidR="001F1F73" w:rsidRDefault="001F1F73">
            <w:pPr>
              <w:pStyle w:val="Tabletext9pt"/>
              <w:rPr>
                <w:szCs w:val="18"/>
              </w:rPr>
            </w:pPr>
            <w:r>
              <w:rPr>
                <w:szCs w:val="18"/>
              </w:rPr>
              <w:t>Funding for those mental health services provided by Aboriginal community-controlled organisations.</w:t>
            </w:r>
          </w:p>
        </w:tc>
      </w:tr>
      <w:tr w:rsidR="001F1F73" w14:paraId="3A1DDD05"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ACE7AD1" w14:textId="77777777" w:rsidR="001F1F73" w:rsidRDefault="001F1F73">
            <w:pPr>
              <w:pStyle w:val="Tabletext9pt"/>
              <w:rPr>
                <w:szCs w:val="18"/>
              </w:rPr>
            </w:pPr>
            <w:r>
              <w:rPr>
                <w:szCs w:val="18"/>
              </w:rPr>
              <w:t>15266</w:t>
            </w:r>
          </w:p>
        </w:tc>
        <w:tc>
          <w:tcPr>
            <w:tcW w:w="2956" w:type="dxa"/>
            <w:tcBorders>
              <w:top w:val="single" w:sz="4" w:space="0" w:color="auto"/>
              <w:left w:val="single" w:sz="4" w:space="0" w:color="auto"/>
              <w:bottom w:val="single" w:sz="4" w:space="0" w:color="auto"/>
              <w:right w:val="single" w:sz="4" w:space="0" w:color="auto"/>
            </w:tcBorders>
            <w:hideMark/>
          </w:tcPr>
          <w:p w14:paraId="2E4A4B90" w14:textId="77777777" w:rsidR="001F1F73" w:rsidRDefault="001F1F73">
            <w:pPr>
              <w:pStyle w:val="Tabletext9pt"/>
              <w:rPr>
                <w:szCs w:val="18"/>
              </w:rPr>
            </w:pPr>
            <w:r>
              <w:rPr>
                <w:szCs w:val="18"/>
              </w:rPr>
              <w:t>Statewide Support – MHCSS</w:t>
            </w:r>
          </w:p>
        </w:tc>
        <w:tc>
          <w:tcPr>
            <w:tcW w:w="4342" w:type="dxa"/>
            <w:tcBorders>
              <w:top w:val="single" w:sz="4" w:space="0" w:color="auto"/>
              <w:left w:val="single" w:sz="4" w:space="0" w:color="auto"/>
              <w:bottom w:val="single" w:sz="4" w:space="0" w:color="auto"/>
              <w:right w:val="single" w:sz="4" w:space="0" w:color="auto"/>
            </w:tcBorders>
            <w:hideMark/>
          </w:tcPr>
          <w:p w14:paraId="7341B085" w14:textId="77777777" w:rsidR="001F1F73" w:rsidRDefault="001F1F73">
            <w:pPr>
              <w:pStyle w:val="Tabletext9pt"/>
              <w:rPr>
                <w:szCs w:val="18"/>
              </w:rPr>
            </w:pPr>
            <w:r>
              <w:rPr>
                <w:rFonts w:cs="Arial"/>
                <w:szCs w:val="18"/>
              </w:rPr>
              <w:t>The statewide funding stream supports the activities of peak organisations that provide advocacy and sector leadership and specialist organisations that provide a range of targeted mental health advocacy and social inclusion services.</w:t>
            </w:r>
          </w:p>
        </w:tc>
      </w:tr>
      <w:tr w:rsidR="001F1F73" w14:paraId="2119F91B"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26B4E8A7" w14:textId="77777777" w:rsidR="001F1F73" w:rsidRDefault="001F1F73">
            <w:pPr>
              <w:pStyle w:val="Tabletext9pt"/>
              <w:rPr>
                <w:szCs w:val="18"/>
              </w:rPr>
            </w:pPr>
            <w:r>
              <w:rPr>
                <w:szCs w:val="18"/>
              </w:rPr>
              <w:t>15501</w:t>
            </w:r>
          </w:p>
        </w:tc>
        <w:tc>
          <w:tcPr>
            <w:tcW w:w="2956" w:type="dxa"/>
            <w:tcBorders>
              <w:top w:val="single" w:sz="4" w:space="0" w:color="auto"/>
              <w:left w:val="single" w:sz="4" w:space="0" w:color="auto"/>
              <w:bottom w:val="single" w:sz="4" w:space="0" w:color="auto"/>
              <w:right w:val="single" w:sz="4" w:space="0" w:color="auto"/>
            </w:tcBorders>
            <w:hideMark/>
          </w:tcPr>
          <w:p w14:paraId="054E0E5C" w14:textId="77777777" w:rsidR="001F1F73" w:rsidRDefault="001F1F73">
            <w:pPr>
              <w:pStyle w:val="Tabletext9pt"/>
              <w:rPr>
                <w:szCs w:val="18"/>
              </w:rPr>
            </w:pPr>
            <w:r>
              <w:rPr>
                <w:szCs w:val="18"/>
              </w:rPr>
              <w:t>Community Intake Assessment Function</w:t>
            </w:r>
          </w:p>
        </w:tc>
        <w:tc>
          <w:tcPr>
            <w:tcW w:w="4342" w:type="dxa"/>
            <w:tcBorders>
              <w:top w:val="single" w:sz="4" w:space="0" w:color="auto"/>
              <w:left w:val="single" w:sz="4" w:space="0" w:color="auto"/>
              <w:bottom w:val="single" w:sz="4" w:space="0" w:color="auto"/>
              <w:right w:val="single" w:sz="4" w:space="0" w:color="auto"/>
            </w:tcBorders>
            <w:hideMark/>
          </w:tcPr>
          <w:p w14:paraId="1E89A209" w14:textId="77777777" w:rsidR="001F1F73" w:rsidRDefault="001F1F73">
            <w:pPr>
              <w:pStyle w:val="Tabletext9pt"/>
              <w:rPr>
                <w:szCs w:val="18"/>
              </w:rPr>
            </w:pPr>
            <w:r>
              <w:rPr>
                <w:szCs w:val="18"/>
              </w:rPr>
              <w:t>Determines and prioritises client eligibility for MHCSS. Note: this activity will be affected by the transition of MHCSS services to the National Disability Insurance Scheme.</w:t>
            </w:r>
          </w:p>
        </w:tc>
      </w:tr>
      <w:tr w:rsidR="001F1F73" w14:paraId="09A466C8"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C763F5F" w14:textId="77777777" w:rsidR="001F1F73" w:rsidRDefault="001F1F73">
            <w:pPr>
              <w:pStyle w:val="Tabletext9pt"/>
              <w:rPr>
                <w:szCs w:val="18"/>
              </w:rPr>
            </w:pPr>
            <w:r>
              <w:rPr>
                <w:szCs w:val="18"/>
              </w:rPr>
              <w:t>15503</w:t>
            </w:r>
          </w:p>
        </w:tc>
        <w:tc>
          <w:tcPr>
            <w:tcW w:w="2956" w:type="dxa"/>
            <w:tcBorders>
              <w:top w:val="single" w:sz="4" w:space="0" w:color="auto"/>
              <w:left w:val="single" w:sz="4" w:space="0" w:color="auto"/>
              <w:bottom w:val="single" w:sz="4" w:space="0" w:color="auto"/>
              <w:right w:val="single" w:sz="4" w:space="0" w:color="auto"/>
            </w:tcBorders>
            <w:hideMark/>
          </w:tcPr>
          <w:p w14:paraId="5F6A130D" w14:textId="77777777" w:rsidR="001F1F73" w:rsidRDefault="001F1F73">
            <w:pPr>
              <w:pStyle w:val="Tabletext9pt"/>
              <w:rPr>
                <w:szCs w:val="18"/>
              </w:rPr>
            </w:pPr>
            <w:r>
              <w:rPr>
                <w:szCs w:val="18"/>
              </w:rPr>
              <w:t>Youth Residential Rehabilitation – 24 Hour</w:t>
            </w:r>
          </w:p>
        </w:tc>
        <w:tc>
          <w:tcPr>
            <w:tcW w:w="4342" w:type="dxa"/>
            <w:tcBorders>
              <w:top w:val="single" w:sz="4" w:space="0" w:color="auto"/>
              <w:left w:val="single" w:sz="4" w:space="0" w:color="auto"/>
              <w:bottom w:val="single" w:sz="4" w:space="0" w:color="auto"/>
              <w:right w:val="single" w:sz="4" w:space="0" w:color="auto"/>
            </w:tcBorders>
            <w:hideMark/>
          </w:tcPr>
          <w:p w14:paraId="0369B72A" w14:textId="77777777" w:rsidR="001F1F73" w:rsidRDefault="001F1F73">
            <w:pPr>
              <w:pStyle w:val="Tabletext9pt"/>
              <w:rPr>
                <w:szCs w:val="18"/>
              </w:rPr>
            </w:pPr>
            <w:r>
              <w:rPr>
                <w:szCs w:val="18"/>
              </w:rPr>
              <w:t>Youth residential rehabilitation provides transitional accommodation with rehabilitation support. Support is provided at the facility 24 hours a day, seven days a week.</w:t>
            </w:r>
          </w:p>
        </w:tc>
      </w:tr>
      <w:tr w:rsidR="001F1F73" w14:paraId="552193D4"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307B3B1" w14:textId="77777777" w:rsidR="001F1F73" w:rsidRDefault="001F1F73">
            <w:pPr>
              <w:pStyle w:val="Tabletext9pt"/>
              <w:rPr>
                <w:szCs w:val="18"/>
              </w:rPr>
            </w:pPr>
            <w:r>
              <w:rPr>
                <w:szCs w:val="18"/>
              </w:rPr>
              <w:t>15504</w:t>
            </w:r>
          </w:p>
        </w:tc>
        <w:tc>
          <w:tcPr>
            <w:tcW w:w="2956" w:type="dxa"/>
            <w:tcBorders>
              <w:top w:val="single" w:sz="4" w:space="0" w:color="auto"/>
              <w:left w:val="single" w:sz="4" w:space="0" w:color="auto"/>
              <w:bottom w:val="single" w:sz="4" w:space="0" w:color="auto"/>
              <w:right w:val="single" w:sz="4" w:space="0" w:color="auto"/>
            </w:tcBorders>
            <w:hideMark/>
          </w:tcPr>
          <w:p w14:paraId="59854725" w14:textId="77777777" w:rsidR="001F1F73" w:rsidRDefault="001F1F73">
            <w:pPr>
              <w:pStyle w:val="Tabletext9pt"/>
              <w:rPr>
                <w:szCs w:val="18"/>
              </w:rPr>
            </w:pPr>
            <w:r>
              <w:rPr>
                <w:szCs w:val="18"/>
              </w:rPr>
              <w:t>Youth Residential Rehabilitation – Non-24-Hour</w:t>
            </w:r>
          </w:p>
        </w:tc>
        <w:tc>
          <w:tcPr>
            <w:tcW w:w="4342" w:type="dxa"/>
            <w:tcBorders>
              <w:top w:val="single" w:sz="4" w:space="0" w:color="auto"/>
              <w:left w:val="single" w:sz="4" w:space="0" w:color="auto"/>
              <w:bottom w:val="single" w:sz="4" w:space="0" w:color="auto"/>
              <w:right w:val="single" w:sz="4" w:space="0" w:color="auto"/>
            </w:tcBorders>
            <w:hideMark/>
          </w:tcPr>
          <w:p w14:paraId="690738F9" w14:textId="77777777" w:rsidR="001F1F73" w:rsidRDefault="001F1F73">
            <w:pPr>
              <w:pStyle w:val="Tabletext9pt"/>
              <w:rPr>
                <w:szCs w:val="18"/>
              </w:rPr>
            </w:pPr>
            <w:r>
              <w:rPr>
                <w:szCs w:val="18"/>
              </w:rPr>
              <w:t>Youth residential rehabilitation provides transitional accommodation with rehabilitation support. Support is provided at the facility on a non-24-hour basis.</w:t>
            </w:r>
          </w:p>
        </w:tc>
      </w:tr>
      <w:tr w:rsidR="001F1F73" w14:paraId="3AA11F17"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4311106" w14:textId="77777777" w:rsidR="001F1F73" w:rsidRDefault="001F1F73">
            <w:pPr>
              <w:pStyle w:val="Tabletext9pt"/>
              <w:rPr>
                <w:szCs w:val="18"/>
              </w:rPr>
            </w:pPr>
            <w:r>
              <w:rPr>
                <w:szCs w:val="18"/>
              </w:rPr>
              <w:t>15507</w:t>
            </w:r>
          </w:p>
        </w:tc>
        <w:tc>
          <w:tcPr>
            <w:tcW w:w="2956" w:type="dxa"/>
            <w:tcBorders>
              <w:top w:val="single" w:sz="4" w:space="0" w:color="auto"/>
              <w:left w:val="single" w:sz="4" w:space="0" w:color="auto"/>
              <w:bottom w:val="single" w:sz="4" w:space="0" w:color="auto"/>
              <w:right w:val="single" w:sz="4" w:space="0" w:color="auto"/>
            </w:tcBorders>
            <w:hideMark/>
          </w:tcPr>
          <w:p w14:paraId="6966C0F5" w14:textId="77777777" w:rsidR="001F1F73" w:rsidRDefault="001F1F73">
            <w:pPr>
              <w:pStyle w:val="Tabletext9pt"/>
              <w:rPr>
                <w:szCs w:val="18"/>
              </w:rPr>
            </w:pPr>
            <w:r>
              <w:rPr>
                <w:szCs w:val="18"/>
              </w:rPr>
              <w:t>Continuity of Support</w:t>
            </w:r>
          </w:p>
        </w:tc>
        <w:tc>
          <w:tcPr>
            <w:tcW w:w="4342" w:type="dxa"/>
            <w:tcBorders>
              <w:top w:val="single" w:sz="4" w:space="0" w:color="auto"/>
              <w:left w:val="single" w:sz="4" w:space="0" w:color="auto"/>
              <w:bottom w:val="single" w:sz="4" w:space="0" w:color="auto"/>
              <w:right w:val="single" w:sz="4" w:space="0" w:color="auto"/>
            </w:tcBorders>
            <w:hideMark/>
          </w:tcPr>
          <w:p w14:paraId="26057689" w14:textId="77777777" w:rsidR="001F1F73" w:rsidRDefault="001F1F73">
            <w:pPr>
              <w:pStyle w:val="Tabletext9pt"/>
              <w:rPr>
                <w:szCs w:val="18"/>
              </w:rPr>
            </w:pPr>
            <w:r>
              <w:rPr>
                <w:szCs w:val="18"/>
              </w:rPr>
              <w:t xml:space="preserve">Continuity of support arrangements for current clients of MHCSS that are transitioning to the National Disability Insurance Scheme (NDIS) who are not eligible to become a NDIS participant because they do not meet the age and residency access requirements outlined in the </w:t>
            </w:r>
            <w:r>
              <w:rPr>
                <w:i/>
                <w:szCs w:val="18"/>
              </w:rPr>
              <w:t>National Disability Insurance Act 2013</w:t>
            </w:r>
            <w:r>
              <w:rPr>
                <w:szCs w:val="18"/>
              </w:rPr>
              <w:t>.</w:t>
            </w:r>
          </w:p>
        </w:tc>
      </w:tr>
    </w:tbl>
    <w:p w14:paraId="42676125" w14:textId="5CDB9E04" w:rsidR="000B27B9" w:rsidRDefault="006867C6" w:rsidP="00352B64">
      <w:pPr>
        <w:pStyle w:val="Bodyaftertablefigure"/>
      </w:pPr>
      <w:r>
        <w:fldChar w:fldCharType="begin"/>
      </w:r>
      <w:r>
        <w:instrText xml:space="preserve"> REF _Ref108527680 \r \h </w:instrText>
      </w:r>
      <w:r>
        <w:fldChar w:fldCharType="separate"/>
      </w:r>
      <w:r w:rsidR="006D0756">
        <w:t>Table 1.29</w:t>
      </w:r>
      <w:r>
        <w:fldChar w:fldCharType="end"/>
      </w:r>
      <w:r>
        <w:t xml:space="preserve"> </w:t>
      </w:r>
      <w:r w:rsidR="000B27B9">
        <w:t xml:space="preserve">shows </w:t>
      </w:r>
      <w:r w:rsidR="000B27B9" w:rsidRPr="00E7554A">
        <w:t>outputs and activities</w:t>
      </w:r>
      <w:r w:rsidR="000B27B9">
        <w:t xml:space="preserve"> for</w:t>
      </w:r>
      <w:r w:rsidR="000B27B9" w:rsidRPr="00E7554A">
        <w:t xml:space="preserve"> drug prevention and control</w:t>
      </w:r>
      <w:r w:rsidR="000B27B9">
        <w:t>. These</w:t>
      </w:r>
      <w:r w:rsidR="000B27B9" w:rsidRPr="003D22A1">
        <w:t xml:space="preserve"> </w:t>
      </w:r>
      <w:r w:rsidR="000B27B9">
        <w:t>e</w:t>
      </w:r>
      <w:r w:rsidR="000B27B9" w:rsidRPr="0088682D">
        <w:t xml:space="preserve">ncourage all Victorians to minimise the harmful effects of illicit and licit drugs, including alcohol, by providing a comprehensive range </w:t>
      </w:r>
      <w:r w:rsidR="000B27B9" w:rsidRPr="00352B64">
        <w:t>of</w:t>
      </w:r>
      <w:r w:rsidR="000B27B9" w:rsidRPr="0088682D">
        <w:t xml:space="preserve"> strategies</w:t>
      </w:r>
      <w:r w:rsidR="000B27B9">
        <w:t xml:space="preserve"> that</w:t>
      </w:r>
      <w:r w:rsidR="000B27B9" w:rsidRPr="0088682D">
        <w:t xml:space="preserve"> focus on enhanced community and professional education, targeted prevention and early intervention, and the use of effective regulation.</w:t>
      </w:r>
    </w:p>
    <w:p w14:paraId="1306B324" w14:textId="1F09E2EF" w:rsidR="000B27B9" w:rsidRPr="00697369" w:rsidRDefault="000B27B9" w:rsidP="003C01AD">
      <w:pPr>
        <w:pStyle w:val="Tablecaption"/>
        <w:numPr>
          <w:ilvl w:val="0"/>
          <w:numId w:val="40"/>
        </w:numPr>
      </w:pPr>
      <w:bookmarkStart w:id="988" w:name="_Toc14194758"/>
      <w:bookmarkStart w:id="989" w:name="_Toc54261414"/>
      <w:bookmarkStart w:id="990" w:name="_Toc54616288"/>
      <w:bookmarkStart w:id="991" w:name="_Ref108527680"/>
      <w:bookmarkStart w:id="992" w:name="_Toc109894122"/>
      <w:bookmarkStart w:id="993" w:name="_Toc119500903"/>
      <w:r>
        <w:t>D</w:t>
      </w:r>
      <w:r w:rsidRPr="00E7554A">
        <w:t>rug services – outputs and activities: drug prevention and control</w:t>
      </w:r>
      <w:r>
        <w:t xml:space="preserve"> </w:t>
      </w:r>
      <w:bookmarkEnd w:id="988"/>
      <w:bookmarkEnd w:id="989"/>
      <w:bookmarkEnd w:id="990"/>
      <w:r w:rsidR="005D1FCB" w:rsidRPr="00697369">
        <w:t>2022</w:t>
      </w:r>
      <w:r w:rsidR="00352B64">
        <w:t>–</w:t>
      </w:r>
      <w:r w:rsidR="005D1FCB" w:rsidRPr="00697369">
        <w:t>23</w:t>
      </w:r>
      <w:bookmarkEnd w:id="991"/>
      <w:bookmarkEnd w:id="992"/>
      <w:bookmarkEnd w:id="993"/>
    </w:p>
    <w:tbl>
      <w:tblPr>
        <w:tblStyle w:val="TableGrid1"/>
        <w:tblW w:w="9299" w:type="dxa"/>
        <w:tblLook w:val="06A0" w:firstRow="1" w:lastRow="0" w:firstColumn="1" w:lastColumn="0" w:noHBand="1" w:noVBand="1"/>
      </w:tblPr>
      <w:tblGrid>
        <w:gridCol w:w="1980"/>
        <w:gridCol w:w="2977"/>
        <w:gridCol w:w="4342"/>
      </w:tblGrid>
      <w:tr w:rsidR="002B30D8" w14:paraId="4D5DA2A2" w14:textId="77777777" w:rsidTr="002B30D8">
        <w:trPr>
          <w:cnfStyle w:val="100000000000" w:firstRow="1" w:lastRow="0" w:firstColumn="0" w:lastColumn="0" w:oddVBand="0" w:evenVBand="0" w:oddHBand="0" w:evenHBand="0" w:firstRowFirstColumn="0" w:firstRowLastColumn="0" w:lastRowFirstColumn="0" w:lastRowLastColumn="0"/>
          <w:cantSplit/>
          <w:tblHeader/>
        </w:trPr>
        <w:tc>
          <w:tcPr>
            <w:tcW w:w="1980" w:type="dxa"/>
            <w:tcBorders>
              <w:top w:val="single" w:sz="4" w:space="0" w:color="auto"/>
              <w:left w:val="single" w:sz="4" w:space="0" w:color="auto"/>
              <w:bottom w:val="single" w:sz="4" w:space="0" w:color="auto"/>
              <w:right w:val="single" w:sz="4" w:space="0" w:color="auto"/>
            </w:tcBorders>
            <w:hideMark/>
          </w:tcPr>
          <w:p w14:paraId="6696788B" w14:textId="77777777" w:rsidR="002B30D8" w:rsidRDefault="002B30D8">
            <w:pPr>
              <w:pStyle w:val="Tablecolhead9pt"/>
              <w:rPr>
                <w:szCs w:val="18"/>
                <w:lang w:eastAsia="en-AU"/>
              </w:rPr>
            </w:pPr>
            <w:bookmarkStart w:id="994" w:name="_Toc419623626"/>
            <w:bookmarkStart w:id="995" w:name="_Toc419623738"/>
            <w:bookmarkStart w:id="996" w:name="_Toc419644526"/>
            <w:bookmarkStart w:id="997" w:name="_Toc487742090"/>
            <w:bookmarkEnd w:id="984"/>
            <w:bookmarkEnd w:id="985"/>
            <w:bookmarkEnd w:id="986"/>
            <w:bookmarkEnd w:id="987"/>
            <w:r>
              <w:rPr>
                <w:lang w:eastAsia="en-AU"/>
              </w:rPr>
              <w:t>Activity no.</w:t>
            </w:r>
          </w:p>
        </w:tc>
        <w:tc>
          <w:tcPr>
            <w:tcW w:w="2977" w:type="dxa"/>
            <w:tcBorders>
              <w:top w:val="single" w:sz="4" w:space="0" w:color="auto"/>
              <w:left w:val="single" w:sz="4" w:space="0" w:color="auto"/>
              <w:bottom w:val="single" w:sz="4" w:space="0" w:color="auto"/>
              <w:right w:val="single" w:sz="4" w:space="0" w:color="auto"/>
            </w:tcBorders>
            <w:hideMark/>
          </w:tcPr>
          <w:p w14:paraId="359B4BA8" w14:textId="77777777" w:rsidR="002B30D8" w:rsidRDefault="002B30D8">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21B239BC" w14:textId="77777777" w:rsidR="002B30D8" w:rsidRDefault="002B30D8">
            <w:pPr>
              <w:pStyle w:val="Tablecolhead9pt"/>
              <w:rPr>
                <w:szCs w:val="18"/>
                <w:lang w:eastAsia="en-AU"/>
              </w:rPr>
            </w:pPr>
            <w:r>
              <w:rPr>
                <w:lang w:eastAsia="en-AU"/>
              </w:rPr>
              <w:t>Activity description</w:t>
            </w:r>
          </w:p>
        </w:tc>
      </w:tr>
      <w:tr w:rsidR="002B30D8" w14:paraId="4692119C"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1C3509AE" w14:textId="77777777" w:rsidR="002B30D8" w:rsidRDefault="002B30D8">
            <w:pPr>
              <w:pStyle w:val="Tabletext9pt"/>
              <w:rPr>
                <w:szCs w:val="18"/>
              </w:rPr>
            </w:pPr>
            <w:r>
              <w:rPr>
                <w:szCs w:val="18"/>
              </w:rPr>
              <w:t>34001</w:t>
            </w:r>
          </w:p>
        </w:tc>
        <w:tc>
          <w:tcPr>
            <w:tcW w:w="2977" w:type="dxa"/>
            <w:tcBorders>
              <w:top w:val="single" w:sz="4" w:space="0" w:color="auto"/>
              <w:left w:val="single" w:sz="4" w:space="0" w:color="auto"/>
              <w:bottom w:val="single" w:sz="4" w:space="0" w:color="auto"/>
              <w:right w:val="single" w:sz="4" w:space="0" w:color="auto"/>
            </w:tcBorders>
            <w:hideMark/>
          </w:tcPr>
          <w:p w14:paraId="39C1101C" w14:textId="77777777" w:rsidR="002B30D8" w:rsidRDefault="002B30D8">
            <w:pPr>
              <w:pStyle w:val="Tabletext9pt"/>
              <w:rPr>
                <w:szCs w:val="18"/>
              </w:rPr>
            </w:pPr>
            <w:r>
              <w:rPr>
                <w:szCs w:val="18"/>
              </w:rPr>
              <w:t>Family Counselling</w:t>
            </w:r>
          </w:p>
        </w:tc>
        <w:tc>
          <w:tcPr>
            <w:tcW w:w="4342" w:type="dxa"/>
            <w:tcBorders>
              <w:top w:val="single" w:sz="4" w:space="0" w:color="auto"/>
              <w:left w:val="single" w:sz="4" w:space="0" w:color="auto"/>
              <w:bottom w:val="single" w:sz="4" w:space="0" w:color="auto"/>
              <w:right w:val="single" w:sz="4" w:space="0" w:color="auto"/>
            </w:tcBorders>
            <w:hideMark/>
          </w:tcPr>
          <w:p w14:paraId="3E93C8FB" w14:textId="77777777" w:rsidR="002B30D8" w:rsidRDefault="002B30D8">
            <w:pPr>
              <w:pStyle w:val="Tabletext9pt"/>
            </w:pPr>
            <w:r>
              <w:t>A variety of supports for family members of people who use AOD, including information, advice, referral, brief interventions and single-session therapies, counselling, peer support and education programs. It aims to deliver additional capacity for family support in each catchment area that is responsive to local need and complements existing family support services so service providers, referrers and affected community members know what is available and how to access it.</w:t>
            </w:r>
          </w:p>
        </w:tc>
      </w:tr>
      <w:tr w:rsidR="002B30D8" w14:paraId="596A3549"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6CBA7200" w14:textId="77777777" w:rsidR="002B30D8" w:rsidRDefault="002B30D8">
            <w:pPr>
              <w:pStyle w:val="Tabletext9pt"/>
              <w:rPr>
                <w:szCs w:val="18"/>
              </w:rPr>
            </w:pPr>
            <w:r>
              <w:rPr>
                <w:szCs w:val="18"/>
              </w:rPr>
              <w:t>34003</w:t>
            </w:r>
          </w:p>
        </w:tc>
        <w:tc>
          <w:tcPr>
            <w:tcW w:w="2977" w:type="dxa"/>
            <w:tcBorders>
              <w:top w:val="single" w:sz="4" w:space="0" w:color="auto"/>
              <w:left w:val="single" w:sz="4" w:space="0" w:color="auto"/>
              <w:bottom w:val="single" w:sz="4" w:space="0" w:color="auto"/>
              <w:right w:val="single" w:sz="4" w:space="0" w:color="auto"/>
            </w:tcBorders>
            <w:hideMark/>
          </w:tcPr>
          <w:p w14:paraId="47B44C28" w14:textId="77777777" w:rsidR="002B30D8" w:rsidRDefault="002B30D8">
            <w:pPr>
              <w:pStyle w:val="Tabletext9pt"/>
              <w:rPr>
                <w:szCs w:val="18"/>
              </w:rPr>
            </w:pPr>
            <w:r>
              <w:rPr>
                <w:szCs w:val="18"/>
              </w:rPr>
              <w:t>Poisons Information</w:t>
            </w:r>
          </w:p>
        </w:tc>
        <w:tc>
          <w:tcPr>
            <w:tcW w:w="4342" w:type="dxa"/>
            <w:tcBorders>
              <w:top w:val="single" w:sz="4" w:space="0" w:color="auto"/>
              <w:left w:val="single" w:sz="4" w:space="0" w:color="auto"/>
              <w:bottom w:val="single" w:sz="4" w:space="0" w:color="auto"/>
              <w:right w:val="single" w:sz="4" w:space="0" w:color="auto"/>
            </w:tcBorders>
            <w:hideMark/>
          </w:tcPr>
          <w:p w14:paraId="6ADA7292" w14:textId="77777777" w:rsidR="002B30D8" w:rsidRDefault="002B30D8">
            <w:pPr>
              <w:pStyle w:val="Tabletext9pt"/>
            </w:pPr>
            <w:r>
              <w:rPr>
                <w:szCs w:val="18"/>
              </w:rPr>
              <w:t>Provides information and advice to the public on drugs and poisons, especially following exposure.</w:t>
            </w:r>
          </w:p>
        </w:tc>
      </w:tr>
      <w:tr w:rsidR="002B30D8" w14:paraId="2BA3CF9B"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5A8B213C" w14:textId="77777777" w:rsidR="002B30D8" w:rsidRDefault="002B30D8">
            <w:pPr>
              <w:pStyle w:val="Tabletext9pt"/>
              <w:rPr>
                <w:szCs w:val="18"/>
              </w:rPr>
            </w:pPr>
            <w:r>
              <w:rPr>
                <w:szCs w:val="18"/>
              </w:rPr>
              <w:t>34004</w:t>
            </w:r>
          </w:p>
        </w:tc>
        <w:tc>
          <w:tcPr>
            <w:tcW w:w="2977" w:type="dxa"/>
            <w:tcBorders>
              <w:top w:val="single" w:sz="4" w:space="0" w:color="auto"/>
              <w:left w:val="single" w:sz="4" w:space="0" w:color="auto"/>
              <w:bottom w:val="single" w:sz="4" w:space="0" w:color="auto"/>
              <w:right w:val="single" w:sz="4" w:space="0" w:color="auto"/>
            </w:tcBorders>
            <w:hideMark/>
          </w:tcPr>
          <w:p w14:paraId="2686F455" w14:textId="77777777" w:rsidR="002B30D8" w:rsidRDefault="002B30D8">
            <w:pPr>
              <w:pStyle w:val="Tabletext9pt"/>
              <w:rPr>
                <w:szCs w:val="18"/>
              </w:rPr>
            </w:pPr>
            <w:r>
              <w:rPr>
                <w:szCs w:val="18"/>
              </w:rPr>
              <w:t>Client Information and Support</w:t>
            </w:r>
          </w:p>
        </w:tc>
        <w:tc>
          <w:tcPr>
            <w:tcW w:w="4342" w:type="dxa"/>
            <w:tcBorders>
              <w:top w:val="single" w:sz="4" w:space="0" w:color="auto"/>
              <w:left w:val="single" w:sz="4" w:space="0" w:color="auto"/>
              <w:bottom w:val="single" w:sz="4" w:space="0" w:color="auto"/>
              <w:right w:val="single" w:sz="4" w:space="0" w:color="auto"/>
            </w:tcBorders>
            <w:hideMark/>
          </w:tcPr>
          <w:p w14:paraId="22582C2F" w14:textId="77777777" w:rsidR="002B30D8" w:rsidRDefault="002B30D8">
            <w:pPr>
              <w:pStyle w:val="Tabletext9pt"/>
              <w:rPr>
                <w:szCs w:val="18"/>
              </w:rPr>
            </w:pPr>
            <w:r>
              <w:t>Provides information, training, support, advice, and referrals to equip people to manage and respond to harmful drug use</w:t>
            </w:r>
            <w:r>
              <w:rPr>
                <w:szCs w:val="18"/>
              </w:rPr>
              <w:t>.</w:t>
            </w:r>
          </w:p>
        </w:tc>
      </w:tr>
      <w:tr w:rsidR="002B30D8" w14:paraId="37BABD93"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4660408E" w14:textId="77777777" w:rsidR="002B30D8" w:rsidRDefault="002B30D8">
            <w:pPr>
              <w:pStyle w:val="Tabletext9pt"/>
              <w:rPr>
                <w:szCs w:val="18"/>
              </w:rPr>
            </w:pPr>
            <w:r>
              <w:rPr>
                <w:szCs w:val="18"/>
              </w:rPr>
              <w:lastRenderedPageBreak/>
              <w:t>34006</w:t>
            </w:r>
          </w:p>
        </w:tc>
        <w:tc>
          <w:tcPr>
            <w:tcW w:w="2977" w:type="dxa"/>
            <w:tcBorders>
              <w:top w:val="single" w:sz="4" w:space="0" w:color="auto"/>
              <w:left w:val="single" w:sz="4" w:space="0" w:color="auto"/>
              <w:bottom w:val="single" w:sz="4" w:space="0" w:color="auto"/>
              <w:right w:val="single" w:sz="4" w:space="0" w:color="auto"/>
            </w:tcBorders>
            <w:hideMark/>
          </w:tcPr>
          <w:p w14:paraId="759959DB" w14:textId="77777777" w:rsidR="002B30D8" w:rsidRDefault="002B30D8">
            <w:pPr>
              <w:pStyle w:val="Tabletext9pt"/>
              <w:rPr>
                <w:szCs w:val="18"/>
              </w:rPr>
            </w:pPr>
            <w:r>
              <w:rPr>
                <w:szCs w:val="18"/>
              </w:rPr>
              <w:t>Targeted Interventions</w:t>
            </w:r>
          </w:p>
        </w:tc>
        <w:tc>
          <w:tcPr>
            <w:tcW w:w="4342" w:type="dxa"/>
            <w:tcBorders>
              <w:top w:val="single" w:sz="4" w:space="0" w:color="auto"/>
              <w:left w:val="single" w:sz="4" w:space="0" w:color="auto"/>
              <w:bottom w:val="single" w:sz="4" w:space="0" w:color="auto"/>
              <w:right w:val="single" w:sz="4" w:space="0" w:color="auto"/>
            </w:tcBorders>
            <w:hideMark/>
          </w:tcPr>
          <w:p w14:paraId="17191156" w14:textId="77777777" w:rsidR="002B30D8" w:rsidRDefault="002B30D8">
            <w:pPr>
              <w:pStyle w:val="Tabletext9pt"/>
              <w:rPr>
                <w:szCs w:val="18"/>
              </w:rPr>
            </w:pPr>
            <w:r>
              <w:rPr>
                <w:noProof/>
              </w:rPr>
              <w:t>Provides programs and services that prevent or reduce harms associated with alcohol and other drug use.</w:t>
            </w:r>
          </w:p>
        </w:tc>
      </w:tr>
      <w:tr w:rsidR="002B30D8" w14:paraId="380823A9"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12078620" w14:textId="77777777" w:rsidR="002B30D8" w:rsidRDefault="002B30D8">
            <w:pPr>
              <w:pStyle w:val="Tabletext9pt"/>
              <w:rPr>
                <w:szCs w:val="18"/>
              </w:rPr>
            </w:pPr>
            <w:r>
              <w:rPr>
                <w:szCs w:val="18"/>
              </w:rPr>
              <w:t>34020</w:t>
            </w:r>
          </w:p>
        </w:tc>
        <w:tc>
          <w:tcPr>
            <w:tcW w:w="2977" w:type="dxa"/>
            <w:tcBorders>
              <w:top w:val="single" w:sz="4" w:space="0" w:color="auto"/>
              <w:left w:val="single" w:sz="4" w:space="0" w:color="auto"/>
              <w:bottom w:val="single" w:sz="4" w:space="0" w:color="auto"/>
              <w:right w:val="single" w:sz="4" w:space="0" w:color="auto"/>
            </w:tcBorders>
            <w:hideMark/>
          </w:tcPr>
          <w:p w14:paraId="45B1254F" w14:textId="77777777" w:rsidR="002B30D8" w:rsidRDefault="002B30D8">
            <w:pPr>
              <w:pStyle w:val="Tabletext9pt"/>
              <w:rPr>
                <w:szCs w:val="18"/>
              </w:rPr>
            </w:pPr>
            <w:r>
              <w:rPr>
                <w:szCs w:val="18"/>
              </w:rPr>
              <w:t>Community Education</w:t>
            </w:r>
          </w:p>
        </w:tc>
        <w:tc>
          <w:tcPr>
            <w:tcW w:w="4342" w:type="dxa"/>
            <w:tcBorders>
              <w:top w:val="single" w:sz="4" w:space="0" w:color="auto"/>
              <w:left w:val="single" w:sz="4" w:space="0" w:color="auto"/>
              <w:bottom w:val="single" w:sz="4" w:space="0" w:color="auto"/>
              <w:right w:val="single" w:sz="4" w:space="0" w:color="auto"/>
            </w:tcBorders>
            <w:hideMark/>
          </w:tcPr>
          <w:p w14:paraId="37F11D91" w14:textId="77777777" w:rsidR="002B30D8" w:rsidRDefault="002B30D8">
            <w:pPr>
              <w:pStyle w:val="Tabletext9pt"/>
              <w:rPr>
                <w:szCs w:val="18"/>
              </w:rPr>
            </w:pPr>
            <w:r>
              <w:rPr>
                <w:szCs w:val="18"/>
              </w:rPr>
              <w:t>Provides different groups in the community with information about the impacts of substance use and, in the case of parents, resources to inform their children about substance use issues.</w:t>
            </w:r>
          </w:p>
        </w:tc>
      </w:tr>
      <w:tr w:rsidR="002B30D8" w14:paraId="14D97FB9"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2B4CD806" w14:textId="77777777" w:rsidR="002B30D8" w:rsidRDefault="002B30D8">
            <w:pPr>
              <w:pStyle w:val="Tabletext9pt"/>
              <w:rPr>
                <w:szCs w:val="18"/>
              </w:rPr>
            </w:pPr>
            <w:r>
              <w:rPr>
                <w:szCs w:val="18"/>
              </w:rPr>
              <w:t>34021</w:t>
            </w:r>
          </w:p>
        </w:tc>
        <w:tc>
          <w:tcPr>
            <w:tcW w:w="2977" w:type="dxa"/>
            <w:tcBorders>
              <w:top w:val="single" w:sz="4" w:space="0" w:color="auto"/>
              <w:left w:val="single" w:sz="4" w:space="0" w:color="auto"/>
              <w:bottom w:val="single" w:sz="4" w:space="0" w:color="auto"/>
              <w:right w:val="single" w:sz="4" w:space="0" w:color="auto"/>
            </w:tcBorders>
            <w:hideMark/>
          </w:tcPr>
          <w:p w14:paraId="3E08188D" w14:textId="77777777" w:rsidR="002B30D8" w:rsidRDefault="002B30D8">
            <w:pPr>
              <w:pStyle w:val="Tabletext9pt"/>
              <w:rPr>
                <w:szCs w:val="18"/>
              </w:rPr>
            </w:pPr>
            <w:r>
              <w:rPr>
                <w:szCs w:val="18"/>
              </w:rPr>
              <w:t>Local Initiatives</w:t>
            </w:r>
          </w:p>
        </w:tc>
        <w:tc>
          <w:tcPr>
            <w:tcW w:w="4342" w:type="dxa"/>
            <w:tcBorders>
              <w:top w:val="single" w:sz="4" w:space="0" w:color="auto"/>
              <w:left w:val="single" w:sz="4" w:space="0" w:color="auto"/>
              <w:bottom w:val="single" w:sz="4" w:space="0" w:color="auto"/>
              <w:right w:val="single" w:sz="4" w:space="0" w:color="auto"/>
            </w:tcBorders>
            <w:hideMark/>
          </w:tcPr>
          <w:p w14:paraId="57A29FCE" w14:textId="77777777" w:rsidR="002B30D8" w:rsidRDefault="002B30D8">
            <w:pPr>
              <w:pStyle w:val="Tabletext9pt"/>
              <w:rPr>
                <w:szCs w:val="18"/>
              </w:rPr>
            </w:pPr>
            <w:r>
              <w:t>Delivers programs, services, and projects to support local stakeholders, business, residents, and communities to reduce harms related to alcohol and other drug use or dependence</w:t>
            </w:r>
            <w:r>
              <w:rPr>
                <w:szCs w:val="18"/>
              </w:rPr>
              <w:t>.</w:t>
            </w:r>
          </w:p>
        </w:tc>
      </w:tr>
      <w:tr w:rsidR="002B30D8" w14:paraId="10B52FBC"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7705A688" w14:textId="77777777" w:rsidR="002B30D8" w:rsidRDefault="002B30D8">
            <w:pPr>
              <w:pStyle w:val="Tabletext9pt"/>
              <w:rPr>
                <w:szCs w:val="18"/>
              </w:rPr>
            </w:pPr>
            <w:r>
              <w:rPr>
                <w:szCs w:val="18"/>
              </w:rPr>
              <w:t>34070</w:t>
            </w:r>
          </w:p>
        </w:tc>
        <w:tc>
          <w:tcPr>
            <w:tcW w:w="2977" w:type="dxa"/>
            <w:tcBorders>
              <w:top w:val="single" w:sz="4" w:space="0" w:color="auto"/>
              <w:left w:val="single" w:sz="4" w:space="0" w:color="auto"/>
              <w:bottom w:val="single" w:sz="4" w:space="0" w:color="auto"/>
              <w:right w:val="single" w:sz="4" w:space="0" w:color="auto"/>
            </w:tcBorders>
            <w:hideMark/>
          </w:tcPr>
          <w:p w14:paraId="2ED2B6CE" w14:textId="77777777" w:rsidR="002B30D8" w:rsidRDefault="002B30D8">
            <w:pPr>
              <w:pStyle w:val="Tabletext9pt"/>
              <w:rPr>
                <w:szCs w:val="18"/>
              </w:rPr>
            </w:pPr>
            <w:r>
              <w:rPr>
                <w:szCs w:val="18"/>
              </w:rPr>
              <w:t>Needle and Syringe Program</w:t>
            </w:r>
          </w:p>
        </w:tc>
        <w:tc>
          <w:tcPr>
            <w:tcW w:w="4342" w:type="dxa"/>
            <w:tcBorders>
              <w:top w:val="single" w:sz="4" w:space="0" w:color="auto"/>
              <w:left w:val="single" w:sz="4" w:space="0" w:color="auto"/>
              <w:bottom w:val="single" w:sz="4" w:space="0" w:color="auto"/>
              <w:right w:val="single" w:sz="4" w:space="0" w:color="auto"/>
            </w:tcBorders>
            <w:hideMark/>
          </w:tcPr>
          <w:p w14:paraId="64BBB900" w14:textId="77777777" w:rsidR="002B30D8" w:rsidRDefault="002B30D8">
            <w:pPr>
              <w:pStyle w:val="Tabletext9pt"/>
              <w:rPr>
                <w:szCs w:val="18"/>
              </w:rPr>
            </w:pPr>
            <w:r>
              <w:rPr>
                <w:szCs w:val="18"/>
              </w:rPr>
              <w:t>Makes available sterile injecting equipment for injection drug users, promote safe disposal, promote safer injecting practices, and provide information, education, and referral.</w:t>
            </w:r>
          </w:p>
        </w:tc>
      </w:tr>
    </w:tbl>
    <w:p w14:paraId="0A83D062" w14:textId="5BA92959" w:rsidR="000B27B9" w:rsidRDefault="006867C6" w:rsidP="00352B64">
      <w:pPr>
        <w:pStyle w:val="Bodyaftertablefigure"/>
      </w:pPr>
      <w:r>
        <w:fldChar w:fldCharType="begin"/>
      </w:r>
      <w:r>
        <w:instrText xml:space="preserve"> REF _Ref108527699 \r \h </w:instrText>
      </w:r>
      <w:r>
        <w:fldChar w:fldCharType="separate"/>
      </w:r>
      <w:r w:rsidR="006D0756">
        <w:t>Table 1.30</w:t>
      </w:r>
      <w:r>
        <w:fldChar w:fldCharType="end"/>
      </w:r>
      <w:r>
        <w:t xml:space="preserve"> </w:t>
      </w:r>
      <w:r w:rsidR="000B27B9">
        <w:t xml:space="preserve">shows </w:t>
      </w:r>
      <w:r w:rsidR="000B27B9" w:rsidRPr="00E7554A">
        <w:t>outputs and activities</w:t>
      </w:r>
      <w:r w:rsidR="000B27B9">
        <w:t xml:space="preserve"> for</w:t>
      </w:r>
      <w:r w:rsidR="000B27B9" w:rsidRPr="00E7554A">
        <w:t xml:space="preserve"> drug treatment and rehabilitation</w:t>
      </w:r>
      <w:r w:rsidR="000B27B9">
        <w:t>.</w:t>
      </w:r>
      <w:r w:rsidR="000B27B9" w:rsidRPr="007120A8">
        <w:t xml:space="preserve"> </w:t>
      </w:r>
      <w:r w:rsidR="000B27B9">
        <w:t>Drug services a</w:t>
      </w:r>
      <w:r w:rsidR="000B27B9" w:rsidRPr="0088682D">
        <w:t xml:space="preserve">ssist the community and individuals to control and reduce the harmful effects of illicit and licit drugs, including alcohol, </w:t>
      </w:r>
      <w:r w:rsidR="000B27B9">
        <w:t>by providing</w:t>
      </w:r>
      <w:r w:rsidR="000B27B9" w:rsidRPr="0088682D">
        <w:t xml:space="preserve"> community-based services</w:t>
      </w:r>
      <w:r w:rsidR="000B27B9">
        <w:t>, non-residential and residential treatment services, education and training, and support services.</w:t>
      </w:r>
    </w:p>
    <w:p w14:paraId="7DDDEB0E" w14:textId="4F49340C" w:rsidR="000B27B9" w:rsidRPr="00697369" w:rsidRDefault="000B27B9" w:rsidP="003C01AD">
      <w:pPr>
        <w:pStyle w:val="Tablecaption"/>
        <w:numPr>
          <w:ilvl w:val="0"/>
          <w:numId w:val="40"/>
        </w:numPr>
      </w:pPr>
      <w:bookmarkStart w:id="998" w:name="_Toc14194759"/>
      <w:bookmarkStart w:id="999" w:name="_Toc54261415"/>
      <w:bookmarkStart w:id="1000" w:name="_Toc54616289"/>
      <w:bookmarkStart w:id="1001" w:name="_Ref108527699"/>
      <w:bookmarkStart w:id="1002" w:name="_Toc109894123"/>
      <w:bookmarkStart w:id="1003" w:name="_Toc119500904"/>
      <w:r>
        <w:t>D</w:t>
      </w:r>
      <w:r w:rsidRPr="00E7554A">
        <w:t>rug services – outputs and activities: drug treatment and rehabilitation</w:t>
      </w:r>
      <w:r>
        <w:t xml:space="preserve"> </w:t>
      </w:r>
      <w:bookmarkEnd w:id="998"/>
      <w:bookmarkEnd w:id="999"/>
      <w:bookmarkEnd w:id="1000"/>
      <w:r w:rsidR="005D1FCB" w:rsidRPr="00697369">
        <w:t>2022-23</w:t>
      </w:r>
      <w:bookmarkEnd w:id="1001"/>
      <w:bookmarkEnd w:id="1002"/>
      <w:bookmarkEnd w:id="1003"/>
    </w:p>
    <w:tbl>
      <w:tblPr>
        <w:tblStyle w:val="TableGrid1"/>
        <w:tblW w:w="9299" w:type="dxa"/>
        <w:tblLook w:val="06A0" w:firstRow="1" w:lastRow="0" w:firstColumn="1" w:lastColumn="0" w:noHBand="1" w:noVBand="1"/>
      </w:tblPr>
      <w:tblGrid>
        <w:gridCol w:w="1980"/>
        <w:gridCol w:w="2977"/>
        <w:gridCol w:w="4342"/>
      </w:tblGrid>
      <w:tr w:rsidR="002B30D8" w14:paraId="4F6EF678" w14:textId="77777777" w:rsidTr="24978AEB">
        <w:trPr>
          <w:cnfStyle w:val="100000000000" w:firstRow="1" w:lastRow="0" w:firstColumn="0" w:lastColumn="0" w:oddVBand="0" w:evenVBand="0" w:oddHBand="0" w:evenHBand="0" w:firstRowFirstColumn="0" w:firstRowLastColumn="0" w:lastRowFirstColumn="0" w:lastRowLastColumn="0"/>
          <w:cantSplit/>
          <w:tblHeader/>
        </w:trPr>
        <w:tc>
          <w:tcPr>
            <w:tcW w:w="1980" w:type="dxa"/>
            <w:tcBorders>
              <w:top w:val="single" w:sz="4" w:space="0" w:color="auto"/>
              <w:left w:val="single" w:sz="4" w:space="0" w:color="auto"/>
              <w:bottom w:val="single" w:sz="4" w:space="0" w:color="auto"/>
              <w:right w:val="single" w:sz="4" w:space="0" w:color="auto"/>
            </w:tcBorders>
            <w:hideMark/>
          </w:tcPr>
          <w:p w14:paraId="11B7D248" w14:textId="77777777" w:rsidR="002B30D8" w:rsidRDefault="002B30D8">
            <w:pPr>
              <w:pStyle w:val="Tablecolhead9pt"/>
              <w:rPr>
                <w:szCs w:val="18"/>
                <w:lang w:eastAsia="en-AU"/>
              </w:rPr>
            </w:pPr>
            <w:bookmarkStart w:id="1004" w:name="_Toc14194760"/>
            <w:bookmarkStart w:id="1005" w:name="_Ref14204298"/>
            <w:bookmarkStart w:id="1006" w:name="_Toc54261416"/>
            <w:bookmarkStart w:id="1007" w:name="_Toc54616290"/>
            <w:bookmarkStart w:id="1008" w:name="_Ref423017896"/>
            <w:bookmarkStart w:id="1009" w:name="_Ref423017904"/>
            <w:bookmarkStart w:id="1010" w:name="_Ref393440229"/>
            <w:bookmarkStart w:id="1011" w:name="_Toc419623627"/>
            <w:bookmarkStart w:id="1012" w:name="_Toc419623739"/>
            <w:bookmarkStart w:id="1013" w:name="_Toc419644527"/>
            <w:bookmarkStart w:id="1014" w:name="_Toc487742091"/>
            <w:bookmarkEnd w:id="994"/>
            <w:bookmarkEnd w:id="995"/>
            <w:bookmarkEnd w:id="996"/>
            <w:bookmarkEnd w:id="997"/>
            <w:r>
              <w:rPr>
                <w:lang w:eastAsia="en-AU"/>
              </w:rPr>
              <w:t>Activity no.</w:t>
            </w:r>
          </w:p>
        </w:tc>
        <w:tc>
          <w:tcPr>
            <w:tcW w:w="2977" w:type="dxa"/>
            <w:tcBorders>
              <w:top w:val="single" w:sz="4" w:space="0" w:color="auto"/>
              <w:left w:val="single" w:sz="4" w:space="0" w:color="auto"/>
              <w:bottom w:val="single" w:sz="4" w:space="0" w:color="auto"/>
              <w:right w:val="single" w:sz="4" w:space="0" w:color="auto"/>
            </w:tcBorders>
            <w:hideMark/>
          </w:tcPr>
          <w:p w14:paraId="540AD87D" w14:textId="77777777" w:rsidR="002B30D8" w:rsidRDefault="002B30D8">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3F20266D" w14:textId="77777777" w:rsidR="002B30D8" w:rsidRDefault="002B30D8">
            <w:pPr>
              <w:pStyle w:val="Tablecolhead9pt"/>
              <w:rPr>
                <w:szCs w:val="18"/>
                <w:lang w:eastAsia="en-AU"/>
              </w:rPr>
            </w:pPr>
            <w:r>
              <w:rPr>
                <w:lang w:eastAsia="en-AU"/>
              </w:rPr>
              <w:t>Activity description</w:t>
            </w:r>
          </w:p>
        </w:tc>
      </w:tr>
      <w:tr w:rsidR="002B30D8" w14:paraId="1F7B09D2"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6EF22F62" w14:textId="77777777" w:rsidR="002B30D8" w:rsidRDefault="002B30D8">
            <w:pPr>
              <w:pStyle w:val="Tabletext9pt"/>
              <w:rPr>
                <w:szCs w:val="18"/>
              </w:rPr>
            </w:pPr>
            <w:r>
              <w:rPr>
                <w:szCs w:val="18"/>
              </w:rPr>
              <w:t>34022</w:t>
            </w:r>
          </w:p>
        </w:tc>
        <w:tc>
          <w:tcPr>
            <w:tcW w:w="2977" w:type="dxa"/>
            <w:tcBorders>
              <w:top w:val="single" w:sz="4" w:space="0" w:color="auto"/>
              <w:left w:val="single" w:sz="4" w:space="0" w:color="auto"/>
              <w:bottom w:val="single" w:sz="4" w:space="0" w:color="auto"/>
              <w:right w:val="single" w:sz="4" w:space="0" w:color="auto"/>
            </w:tcBorders>
            <w:hideMark/>
          </w:tcPr>
          <w:p w14:paraId="5C10C1FA" w14:textId="77777777" w:rsidR="002B30D8" w:rsidRDefault="002B30D8">
            <w:pPr>
              <w:pStyle w:val="Tabletext9pt"/>
              <w:rPr>
                <w:szCs w:val="18"/>
              </w:rPr>
            </w:pPr>
            <w:r>
              <w:rPr>
                <w:szCs w:val="18"/>
              </w:rPr>
              <w:t>Capacity Building</w:t>
            </w:r>
          </w:p>
        </w:tc>
        <w:tc>
          <w:tcPr>
            <w:tcW w:w="4342" w:type="dxa"/>
            <w:tcBorders>
              <w:top w:val="single" w:sz="4" w:space="0" w:color="auto"/>
              <w:left w:val="single" w:sz="4" w:space="0" w:color="auto"/>
              <w:bottom w:val="single" w:sz="4" w:space="0" w:color="auto"/>
              <w:right w:val="single" w:sz="4" w:space="0" w:color="auto"/>
            </w:tcBorders>
            <w:hideMark/>
          </w:tcPr>
          <w:p w14:paraId="09EE8BEF" w14:textId="77777777" w:rsidR="002B30D8" w:rsidRDefault="002B30D8">
            <w:pPr>
              <w:pStyle w:val="Tabletext9pt"/>
              <w:rPr>
                <w:szCs w:val="18"/>
              </w:rPr>
            </w:pPr>
            <w:r>
              <w:rPr>
                <w:szCs w:val="18"/>
              </w:rPr>
              <w:t xml:space="preserve">To improve the ability of organisations to identify and respond to AOD support needs of specific cohorts of clients and their families. </w:t>
            </w:r>
          </w:p>
        </w:tc>
      </w:tr>
      <w:tr w:rsidR="002B30D8" w14:paraId="5ADF2CAA"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4E348765" w14:textId="77777777" w:rsidR="002B30D8" w:rsidRDefault="002B30D8">
            <w:pPr>
              <w:pStyle w:val="Tabletext9pt"/>
              <w:rPr>
                <w:szCs w:val="18"/>
              </w:rPr>
            </w:pPr>
            <w:r>
              <w:rPr>
                <w:szCs w:val="18"/>
              </w:rPr>
              <w:t>34024</w:t>
            </w:r>
          </w:p>
        </w:tc>
        <w:tc>
          <w:tcPr>
            <w:tcW w:w="2977" w:type="dxa"/>
            <w:tcBorders>
              <w:top w:val="single" w:sz="4" w:space="0" w:color="auto"/>
              <w:left w:val="single" w:sz="4" w:space="0" w:color="auto"/>
              <w:bottom w:val="single" w:sz="4" w:space="0" w:color="auto"/>
              <w:right w:val="single" w:sz="4" w:space="0" w:color="auto"/>
            </w:tcBorders>
            <w:hideMark/>
          </w:tcPr>
          <w:p w14:paraId="503AF9D1" w14:textId="77777777" w:rsidR="002B30D8" w:rsidRDefault="002B30D8">
            <w:pPr>
              <w:pStyle w:val="Tabletext9pt"/>
              <w:rPr>
                <w:szCs w:val="18"/>
              </w:rPr>
            </w:pPr>
            <w:r>
              <w:rPr>
                <w:szCs w:val="18"/>
              </w:rPr>
              <w:t>Education and Training</w:t>
            </w:r>
          </w:p>
        </w:tc>
        <w:tc>
          <w:tcPr>
            <w:tcW w:w="4342" w:type="dxa"/>
            <w:tcBorders>
              <w:top w:val="single" w:sz="4" w:space="0" w:color="auto"/>
              <w:left w:val="single" w:sz="4" w:space="0" w:color="auto"/>
              <w:bottom w:val="single" w:sz="4" w:space="0" w:color="auto"/>
              <w:right w:val="single" w:sz="4" w:space="0" w:color="auto"/>
            </w:tcBorders>
            <w:hideMark/>
          </w:tcPr>
          <w:p w14:paraId="018EB5C0" w14:textId="77777777" w:rsidR="002B30D8" w:rsidRDefault="002B30D8" w:rsidP="003C01AD">
            <w:pPr>
              <w:pStyle w:val="Tabletext9pt"/>
              <w:numPr>
                <w:ilvl w:val="0"/>
                <w:numId w:val="32"/>
              </w:numPr>
            </w:pPr>
            <w:r>
              <w:t>To provide information, training, consultancy, curriculum, and training needs analysis for workers, including peer workers, in dealing with clients with alcohol and drug problems, and education to alcohol and drug treatment clients.</w:t>
            </w:r>
          </w:p>
        </w:tc>
      </w:tr>
      <w:tr w:rsidR="002B30D8" w14:paraId="5385B369"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3EC14C27" w14:textId="77777777" w:rsidR="002B30D8" w:rsidRDefault="002B30D8">
            <w:pPr>
              <w:pStyle w:val="Tabletext9pt"/>
              <w:rPr>
                <w:szCs w:val="18"/>
              </w:rPr>
            </w:pPr>
            <w:r>
              <w:rPr>
                <w:szCs w:val="18"/>
              </w:rPr>
              <w:t>34025</w:t>
            </w:r>
          </w:p>
        </w:tc>
        <w:tc>
          <w:tcPr>
            <w:tcW w:w="2977" w:type="dxa"/>
            <w:tcBorders>
              <w:top w:val="single" w:sz="4" w:space="0" w:color="auto"/>
              <w:left w:val="single" w:sz="4" w:space="0" w:color="auto"/>
              <w:bottom w:val="single" w:sz="4" w:space="0" w:color="auto"/>
              <w:right w:val="single" w:sz="4" w:space="0" w:color="auto"/>
            </w:tcBorders>
            <w:hideMark/>
          </w:tcPr>
          <w:p w14:paraId="189343AB" w14:textId="77777777" w:rsidR="002B30D8" w:rsidRDefault="002B30D8">
            <w:pPr>
              <w:pStyle w:val="Tabletext9pt"/>
              <w:rPr>
                <w:szCs w:val="18"/>
              </w:rPr>
            </w:pPr>
            <w:r>
              <w:rPr>
                <w:szCs w:val="18"/>
              </w:rPr>
              <w:t>Research, Service Development, Evaluation</w:t>
            </w:r>
          </w:p>
        </w:tc>
        <w:tc>
          <w:tcPr>
            <w:tcW w:w="4342" w:type="dxa"/>
            <w:tcBorders>
              <w:top w:val="single" w:sz="4" w:space="0" w:color="auto"/>
              <w:left w:val="single" w:sz="4" w:space="0" w:color="auto"/>
              <w:bottom w:val="single" w:sz="4" w:space="0" w:color="auto"/>
              <w:right w:val="single" w:sz="4" w:space="0" w:color="auto"/>
            </w:tcBorders>
            <w:hideMark/>
          </w:tcPr>
          <w:p w14:paraId="6497C63E" w14:textId="77777777" w:rsidR="002B30D8" w:rsidRDefault="002B30D8" w:rsidP="003C01AD">
            <w:pPr>
              <w:pStyle w:val="Tabletext9pt"/>
              <w:numPr>
                <w:ilvl w:val="0"/>
                <w:numId w:val="32"/>
              </w:numPr>
            </w:pPr>
            <w:r>
              <w:t>To develop and enhance high-quality public health research into AOD issues, including targeted and general population surveys, risk and protective factors and effects of AOD use and evaluation of services.</w:t>
            </w:r>
          </w:p>
          <w:p w14:paraId="2D9D3189" w14:textId="77777777" w:rsidR="002B30D8" w:rsidRDefault="002B30D8" w:rsidP="003C01AD">
            <w:pPr>
              <w:pStyle w:val="Tabletext9pt"/>
              <w:numPr>
                <w:ilvl w:val="0"/>
                <w:numId w:val="32"/>
              </w:numPr>
            </w:pPr>
            <w:r>
              <w:t>This activity supports the delivery of a range of initiatives to equip the specialist AOD sector to prevent the harmful uptake of AOD use, intervene earlier, deliver effective treatments and other holistic health interventions, and better understand the impact of AOD use across the community.</w:t>
            </w:r>
          </w:p>
          <w:p w14:paraId="028215A9" w14:textId="77777777" w:rsidR="002B30D8" w:rsidRDefault="002B30D8">
            <w:pPr>
              <w:pStyle w:val="Tabletext9pt"/>
              <w:rPr>
                <w:szCs w:val="18"/>
              </w:rPr>
            </w:pPr>
            <w:r>
              <w:rPr>
                <w:szCs w:val="18"/>
              </w:rPr>
              <w:t>This enables the application of research findings, which inform policy, planning and practice.</w:t>
            </w:r>
          </w:p>
        </w:tc>
      </w:tr>
      <w:tr w:rsidR="002B30D8" w14:paraId="258FA004"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4B4093C5" w14:textId="77777777" w:rsidR="002B30D8" w:rsidRDefault="002B30D8">
            <w:pPr>
              <w:pStyle w:val="Tabletext9pt"/>
              <w:rPr>
                <w:szCs w:val="18"/>
              </w:rPr>
            </w:pPr>
            <w:r>
              <w:rPr>
                <w:szCs w:val="18"/>
              </w:rPr>
              <w:t>34040</w:t>
            </w:r>
          </w:p>
        </w:tc>
        <w:tc>
          <w:tcPr>
            <w:tcW w:w="2977" w:type="dxa"/>
            <w:tcBorders>
              <w:top w:val="single" w:sz="4" w:space="0" w:color="auto"/>
              <w:left w:val="single" w:sz="4" w:space="0" w:color="auto"/>
              <w:bottom w:val="single" w:sz="4" w:space="0" w:color="auto"/>
              <w:right w:val="single" w:sz="4" w:space="0" w:color="auto"/>
            </w:tcBorders>
            <w:hideMark/>
          </w:tcPr>
          <w:p w14:paraId="0771C822" w14:textId="77777777" w:rsidR="002B30D8" w:rsidRDefault="002B30D8">
            <w:pPr>
              <w:pStyle w:val="Tabletext9pt"/>
              <w:rPr>
                <w:szCs w:val="18"/>
              </w:rPr>
            </w:pPr>
            <w:r>
              <w:rPr>
                <w:szCs w:val="18"/>
              </w:rPr>
              <w:t>Education (FOCiS)</w:t>
            </w:r>
          </w:p>
        </w:tc>
        <w:tc>
          <w:tcPr>
            <w:tcW w:w="4342" w:type="dxa"/>
            <w:tcBorders>
              <w:top w:val="single" w:sz="4" w:space="0" w:color="auto"/>
              <w:left w:val="single" w:sz="4" w:space="0" w:color="auto"/>
              <w:bottom w:val="single" w:sz="4" w:space="0" w:color="auto"/>
              <w:right w:val="single" w:sz="4" w:space="0" w:color="auto"/>
            </w:tcBorders>
            <w:hideMark/>
          </w:tcPr>
          <w:p w14:paraId="3317727B" w14:textId="77777777" w:rsidR="002B30D8" w:rsidRDefault="002B30D8">
            <w:pPr>
              <w:pStyle w:val="Tabletext9pt"/>
              <w:rPr>
                <w:szCs w:val="18"/>
              </w:rPr>
            </w:pPr>
            <w:r>
              <w:rPr>
                <w:szCs w:val="18"/>
              </w:rPr>
              <w:t>To provide a drug education program for people requiring it as a condition of their sentence for possessing a small amount of illicit drugs. The aim is to increase the likelihood of the individual maintaining behaviour that reduces drug-related harm.</w:t>
            </w:r>
          </w:p>
        </w:tc>
      </w:tr>
      <w:tr w:rsidR="002B30D8" w14:paraId="5A092BF4"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11FA904C" w14:textId="77777777" w:rsidR="002B30D8" w:rsidRDefault="002B30D8">
            <w:pPr>
              <w:pStyle w:val="Tabletext9pt"/>
              <w:rPr>
                <w:szCs w:val="18"/>
              </w:rPr>
            </w:pPr>
            <w:r>
              <w:rPr>
                <w:szCs w:val="18"/>
              </w:rPr>
              <w:t>34041</w:t>
            </w:r>
          </w:p>
        </w:tc>
        <w:tc>
          <w:tcPr>
            <w:tcW w:w="2977" w:type="dxa"/>
            <w:tcBorders>
              <w:top w:val="single" w:sz="4" w:space="0" w:color="auto"/>
              <w:left w:val="single" w:sz="4" w:space="0" w:color="auto"/>
              <w:bottom w:val="single" w:sz="4" w:space="0" w:color="auto"/>
              <w:right w:val="single" w:sz="4" w:space="0" w:color="auto"/>
            </w:tcBorders>
            <w:hideMark/>
          </w:tcPr>
          <w:p w14:paraId="547E7B17" w14:textId="77777777" w:rsidR="002B30D8" w:rsidRDefault="002B30D8">
            <w:pPr>
              <w:pStyle w:val="Tabletext9pt"/>
              <w:rPr>
                <w:szCs w:val="18"/>
              </w:rPr>
            </w:pPr>
            <w:r>
              <w:rPr>
                <w:szCs w:val="18"/>
              </w:rPr>
              <w:t>Youth Day Program</w:t>
            </w:r>
          </w:p>
        </w:tc>
        <w:tc>
          <w:tcPr>
            <w:tcW w:w="4342" w:type="dxa"/>
            <w:tcBorders>
              <w:top w:val="single" w:sz="4" w:space="0" w:color="auto"/>
              <w:left w:val="single" w:sz="4" w:space="0" w:color="auto"/>
              <w:bottom w:val="single" w:sz="4" w:space="0" w:color="auto"/>
              <w:right w:val="single" w:sz="4" w:space="0" w:color="auto"/>
            </w:tcBorders>
            <w:hideMark/>
          </w:tcPr>
          <w:p w14:paraId="13450623" w14:textId="77777777" w:rsidR="002B30D8" w:rsidRDefault="002B30D8">
            <w:pPr>
              <w:pStyle w:val="Tabletext9pt"/>
              <w:rPr>
                <w:szCs w:val="18"/>
              </w:rPr>
            </w:pPr>
            <w:r>
              <w:rPr>
                <w:szCs w:val="18"/>
              </w:rPr>
              <w:t>To support young people who are currently involved in treatment with youth AOD treatment services and to complement these services to provide a pathway for the client following treatment.</w:t>
            </w:r>
          </w:p>
        </w:tc>
      </w:tr>
      <w:tr w:rsidR="002B30D8" w14:paraId="07BBFD5B"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CE8152C" w14:textId="77777777" w:rsidR="002B30D8" w:rsidRDefault="002B30D8">
            <w:pPr>
              <w:pStyle w:val="Tabletext9pt"/>
              <w:rPr>
                <w:szCs w:val="18"/>
              </w:rPr>
            </w:pPr>
            <w:r>
              <w:rPr>
                <w:szCs w:val="18"/>
              </w:rPr>
              <w:lastRenderedPageBreak/>
              <w:t>34042</w:t>
            </w:r>
          </w:p>
        </w:tc>
        <w:tc>
          <w:tcPr>
            <w:tcW w:w="2977" w:type="dxa"/>
            <w:tcBorders>
              <w:top w:val="single" w:sz="4" w:space="0" w:color="auto"/>
              <w:left w:val="single" w:sz="4" w:space="0" w:color="auto"/>
              <w:bottom w:val="single" w:sz="4" w:space="0" w:color="auto"/>
              <w:right w:val="single" w:sz="4" w:space="0" w:color="auto"/>
            </w:tcBorders>
            <w:hideMark/>
          </w:tcPr>
          <w:p w14:paraId="5E80F12E" w14:textId="77777777" w:rsidR="002B30D8" w:rsidRDefault="002B30D8">
            <w:pPr>
              <w:pStyle w:val="Tabletext9pt"/>
              <w:rPr>
                <w:szCs w:val="18"/>
              </w:rPr>
            </w:pPr>
            <w:r>
              <w:rPr>
                <w:szCs w:val="18"/>
              </w:rPr>
              <w:t>Community Offenders Advice and Treatment</w:t>
            </w:r>
          </w:p>
        </w:tc>
        <w:tc>
          <w:tcPr>
            <w:tcW w:w="4342" w:type="dxa"/>
            <w:tcBorders>
              <w:top w:val="single" w:sz="4" w:space="0" w:color="auto"/>
              <w:left w:val="single" w:sz="4" w:space="0" w:color="auto"/>
              <w:bottom w:val="single" w:sz="4" w:space="0" w:color="auto"/>
              <w:right w:val="single" w:sz="4" w:space="0" w:color="auto"/>
            </w:tcBorders>
            <w:hideMark/>
          </w:tcPr>
          <w:p w14:paraId="13B15465" w14:textId="77777777" w:rsidR="002B30D8" w:rsidRDefault="002B30D8">
            <w:pPr>
              <w:pStyle w:val="Tabletext9pt"/>
              <w:rPr>
                <w:szCs w:val="18"/>
              </w:rPr>
            </w:pPr>
            <w:r>
              <w:rPr>
                <w:szCs w:val="18"/>
              </w:rPr>
              <w:t>To provide post-sentence assessments and treatment plans for offenders who have received a community-based disposition from the courts.</w:t>
            </w:r>
          </w:p>
          <w:p w14:paraId="14FF62A3" w14:textId="77777777" w:rsidR="002B30D8" w:rsidRDefault="002B30D8">
            <w:pPr>
              <w:pStyle w:val="Tabletext9pt"/>
              <w:rPr>
                <w:szCs w:val="18"/>
              </w:rPr>
            </w:pPr>
            <w:r>
              <w:rPr>
                <w:szCs w:val="18"/>
              </w:rPr>
              <w:t>To provide pre-sentence assessments (in exceptional circumstances) as ordered by the court and treatment plans for offenders whose offending is related to drug use.</w:t>
            </w:r>
          </w:p>
          <w:p w14:paraId="2477C6AE" w14:textId="77777777" w:rsidR="002B30D8" w:rsidRDefault="002B30D8">
            <w:pPr>
              <w:pStyle w:val="Tabletext9pt"/>
              <w:rPr>
                <w:szCs w:val="18"/>
              </w:rPr>
            </w:pPr>
            <w:r>
              <w:rPr>
                <w:szCs w:val="18"/>
              </w:rPr>
              <w:t>To provide pre-release assessment and treatment plans on release for prisoners on parole with an AOD treatment condition and offenders who have received a custody and community treatment order.</w:t>
            </w:r>
          </w:p>
          <w:p w14:paraId="220DD548" w14:textId="77777777" w:rsidR="002B30D8" w:rsidRDefault="002B30D8">
            <w:pPr>
              <w:pStyle w:val="Tabletext9pt"/>
              <w:rPr>
                <w:szCs w:val="18"/>
              </w:rPr>
            </w:pPr>
            <w:r>
              <w:rPr>
                <w:szCs w:val="18"/>
              </w:rPr>
              <w:t>To purchase appropriate treatment from AOD agencies for offenders who have received a community-based disposition with an AOD treatment condition.</w:t>
            </w:r>
          </w:p>
        </w:tc>
      </w:tr>
      <w:tr w:rsidR="002B30D8" w14:paraId="7A212C64"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51F34980" w14:textId="77777777" w:rsidR="002B30D8" w:rsidRDefault="002B30D8">
            <w:pPr>
              <w:pStyle w:val="Tabletext9pt"/>
              <w:rPr>
                <w:szCs w:val="18"/>
              </w:rPr>
            </w:pPr>
            <w:r>
              <w:rPr>
                <w:szCs w:val="18"/>
              </w:rPr>
              <w:t>34044</w:t>
            </w:r>
          </w:p>
        </w:tc>
        <w:tc>
          <w:tcPr>
            <w:tcW w:w="2977" w:type="dxa"/>
            <w:tcBorders>
              <w:top w:val="single" w:sz="4" w:space="0" w:color="auto"/>
              <w:left w:val="single" w:sz="4" w:space="0" w:color="auto"/>
              <w:bottom w:val="single" w:sz="4" w:space="0" w:color="auto"/>
              <w:right w:val="single" w:sz="4" w:space="0" w:color="auto"/>
            </w:tcBorders>
            <w:hideMark/>
          </w:tcPr>
          <w:p w14:paraId="7D578B3D" w14:textId="77777777" w:rsidR="002B30D8" w:rsidRDefault="002B30D8">
            <w:pPr>
              <w:pStyle w:val="Tabletext9pt"/>
              <w:rPr>
                <w:szCs w:val="18"/>
              </w:rPr>
            </w:pPr>
            <w:r>
              <w:rPr>
                <w:szCs w:val="18"/>
              </w:rPr>
              <w:t>Ante and Post Natal Support</w:t>
            </w:r>
          </w:p>
        </w:tc>
        <w:tc>
          <w:tcPr>
            <w:tcW w:w="4342" w:type="dxa"/>
            <w:tcBorders>
              <w:top w:val="single" w:sz="4" w:space="0" w:color="auto"/>
              <w:left w:val="single" w:sz="4" w:space="0" w:color="auto"/>
              <w:bottom w:val="single" w:sz="4" w:space="0" w:color="auto"/>
              <w:right w:val="single" w:sz="4" w:space="0" w:color="auto"/>
            </w:tcBorders>
            <w:hideMark/>
          </w:tcPr>
          <w:p w14:paraId="228597E7" w14:textId="77777777" w:rsidR="002B30D8" w:rsidRDefault="002B30D8">
            <w:pPr>
              <w:pStyle w:val="Tabletext9pt"/>
              <w:rPr>
                <w:szCs w:val="18"/>
              </w:rPr>
            </w:pPr>
            <w:r>
              <w:rPr>
                <w:szCs w:val="18"/>
              </w:rPr>
              <w:t>To provide inpatient, outpatient, distance case management and secondary consultation activities to minimise the harms of AOD use to mothers and their children.</w:t>
            </w:r>
          </w:p>
        </w:tc>
      </w:tr>
      <w:tr w:rsidR="002B30D8" w14:paraId="41F303F0"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65B0F05C" w14:textId="77777777" w:rsidR="002B30D8" w:rsidRDefault="002B30D8">
            <w:pPr>
              <w:pStyle w:val="Tabletext9pt"/>
              <w:rPr>
                <w:szCs w:val="18"/>
              </w:rPr>
            </w:pPr>
            <w:r>
              <w:rPr>
                <w:szCs w:val="18"/>
              </w:rPr>
              <w:t>34046</w:t>
            </w:r>
          </w:p>
        </w:tc>
        <w:tc>
          <w:tcPr>
            <w:tcW w:w="2977" w:type="dxa"/>
            <w:tcBorders>
              <w:top w:val="single" w:sz="4" w:space="0" w:color="auto"/>
              <w:left w:val="single" w:sz="4" w:space="0" w:color="auto"/>
              <w:bottom w:val="single" w:sz="4" w:space="0" w:color="auto"/>
              <w:right w:val="single" w:sz="4" w:space="0" w:color="auto"/>
            </w:tcBorders>
            <w:hideMark/>
          </w:tcPr>
          <w:p w14:paraId="5001F953" w14:textId="77777777" w:rsidR="002B30D8" w:rsidRDefault="002B30D8">
            <w:pPr>
              <w:pStyle w:val="Tabletext9pt"/>
              <w:rPr>
                <w:szCs w:val="18"/>
              </w:rPr>
            </w:pPr>
            <w:r>
              <w:rPr>
                <w:szCs w:val="18"/>
              </w:rPr>
              <w:t>Youth Alcohol and Drug Supported Accommodation</w:t>
            </w:r>
          </w:p>
        </w:tc>
        <w:tc>
          <w:tcPr>
            <w:tcW w:w="4342" w:type="dxa"/>
            <w:tcBorders>
              <w:top w:val="single" w:sz="4" w:space="0" w:color="auto"/>
              <w:left w:val="single" w:sz="4" w:space="0" w:color="auto"/>
              <w:bottom w:val="single" w:sz="4" w:space="0" w:color="auto"/>
              <w:right w:val="single" w:sz="4" w:space="0" w:color="auto"/>
            </w:tcBorders>
            <w:hideMark/>
          </w:tcPr>
          <w:p w14:paraId="76C6C150" w14:textId="77777777" w:rsidR="002B30D8" w:rsidRDefault="002B30D8">
            <w:pPr>
              <w:pStyle w:val="Tabletext9pt"/>
              <w:rPr>
                <w:szCs w:val="18"/>
              </w:rPr>
            </w:pPr>
            <w:r>
              <w:rPr>
                <w:szCs w:val="18"/>
              </w:rPr>
              <w:t>To provide short-term accommodation support to those who require assistance in controlling their AOD use.</w:t>
            </w:r>
          </w:p>
        </w:tc>
      </w:tr>
      <w:tr w:rsidR="002B30D8" w14:paraId="5DEFB874"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2EADAFE" w14:textId="77777777" w:rsidR="002B30D8" w:rsidRDefault="002B30D8">
            <w:pPr>
              <w:pStyle w:val="Tabletext9pt"/>
              <w:rPr>
                <w:szCs w:val="18"/>
              </w:rPr>
            </w:pPr>
            <w:r>
              <w:rPr>
                <w:szCs w:val="18"/>
              </w:rPr>
              <w:t>34047</w:t>
            </w:r>
          </w:p>
        </w:tc>
        <w:tc>
          <w:tcPr>
            <w:tcW w:w="2977" w:type="dxa"/>
            <w:tcBorders>
              <w:top w:val="single" w:sz="4" w:space="0" w:color="auto"/>
              <w:left w:val="single" w:sz="4" w:space="0" w:color="auto"/>
              <w:bottom w:val="single" w:sz="4" w:space="0" w:color="auto"/>
              <w:right w:val="single" w:sz="4" w:space="0" w:color="auto"/>
            </w:tcBorders>
            <w:hideMark/>
          </w:tcPr>
          <w:p w14:paraId="26DFFCB8" w14:textId="77777777" w:rsidR="002B30D8" w:rsidRDefault="002B30D8">
            <w:pPr>
              <w:pStyle w:val="Tabletext9pt"/>
              <w:rPr>
                <w:szCs w:val="18"/>
              </w:rPr>
            </w:pPr>
            <w:r>
              <w:rPr>
                <w:szCs w:val="18"/>
              </w:rPr>
              <w:t>Specialist Pharmacotherapy Program</w:t>
            </w:r>
          </w:p>
        </w:tc>
        <w:tc>
          <w:tcPr>
            <w:tcW w:w="4342" w:type="dxa"/>
            <w:tcBorders>
              <w:top w:val="single" w:sz="4" w:space="0" w:color="auto"/>
              <w:left w:val="single" w:sz="4" w:space="0" w:color="auto"/>
              <w:bottom w:val="single" w:sz="4" w:space="0" w:color="auto"/>
              <w:right w:val="single" w:sz="4" w:space="0" w:color="auto"/>
            </w:tcBorders>
            <w:hideMark/>
          </w:tcPr>
          <w:p w14:paraId="79EEEC64" w14:textId="77777777" w:rsidR="002B30D8" w:rsidRDefault="002B30D8">
            <w:pPr>
              <w:pStyle w:val="Tabletext9pt"/>
              <w:rPr>
                <w:szCs w:val="18"/>
              </w:rPr>
            </w:pPr>
            <w:r>
              <w:rPr>
                <w:szCs w:val="18"/>
              </w:rPr>
              <w:t>To provide specialist assessment, treatment and stabilisation for people receiving methadone who have complex medical, psychiatric, or psychosocial problems and to provide training and consultancy services for relevant health practitioners.</w:t>
            </w:r>
          </w:p>
        </w:tc>
      </w:tr>
      <w:tr w:rsidR="002B30D8" w14:paraId="594076D7"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50842B5B" w14:textId="77777777" w:rsidR="002B30D8" w:rsidRDefault="002B30D8">
            <w:pPr>
              <w:pStyle w:val="Tabletext9pt"/>
              <w:rPr>
                <w:szCs w:val="18"/>
              </w:rPr>
            </w:pPr>
            <w:r>
              <w:rPr>
                <w:szCs w:val="18"/>
              </w:rPr>
              <w:t>34048</w:t>
            </w:r>
          </w:p>
        </w:tc>
        <w:tc>
          <w:tcPr>
            <w:tcW w:w="2977" w:type="dxa"/>
            <w:tcBorders>
              <w:top w:val="single" w:sz="4" w:space="0" w:color="auto"/>
              <w:left w:val="single" w:sz="4" w:space="0" w:color="auto"/>
              <w:bottom w:val="single" w:sz="4" w:space="0" w:color="auto"/>
              <w:right w:val="single" w:sz="4" w:space="0" w:color="auto"/>
            </w:tcBorders>
            <w:hideMark/>
          </w:tcPr>
          <w:p w14:paraId="79802D81" w14:textId="77777777" w:rsidR="002B30D8" w:rsidRDefault="002B30D8">
            <w:pPr>
              <w:pStyle w:val="Tabletext9pt"/>
              <w:rPr>
                <w:szCs w:val="18"/>
              </w:rPr>
            </w:pPr>
            <w:r>
              <w:rPr>
                <w:szCs w:val="18"/>
              </w:rPr>
              <w:t>Outdoor Therapy</w:t>
            </w:r>
          </w:p>
        </w:tc>
        <w:tc>
          <w:tcPr>
            <w:tcW w:w="4342" w:type="dxa"/>
            <w:tcBorders>
              <w:top w:val="single" w:sz="4" w:space="0" w:color="auto"/>
              <w:left w:val="single" w:sz="4" w:space="0" w:color="auto"/>
              <w:bottom w:val="single" w:sz="4" w:space="0" w:color="auto"/>
              <w:right w:val="single" w:sz="4" w:space="0" w:color="auto"/>
            </w:tcBorders>
            <w:hideMark/>
          </w:tcPr>
          <w:p w14:paraId="455E99D6" w14:textId="77777777" w:rsidR="002B30D8" w:rsidRDefault="002B30D8">
            <w:pPr>
              <w:pStyle w:val="Tabletext9pt"/>
              <w:rPr>
                <w:szCs w:val="18"/>
              </w:rPr>
            </w:pPr>
            <w:r>
              <w:rPr>
                <w:szCs w:val="18"/>
              </w:rPr>
              <w:t>To coordinate case-managed, therapeutic wilderness adventures for young people aged 12–21 years who have AOD issues and to facilitate wilderness adventure skills in the AOD sector.</w:t>
            </w:r>
          </w:p>
        </w:tc>
      </w:tr>
      <w:tr w:rsidR="002B30D8" w14:paraId="692BDD5F"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191BF69E" w14:textId="77777777" w:rsidR="002B30D8" w:rsidRDefault="002B30D8">
            <w:pPr>
              <w:pStyle w:val="Tabletext9pt"/>
              <w:rPr>
                <w:szCs w:val="18"/>
              </w:rPr>
            </w:pPr>
            <w:r>
              <w:rPr>
                <w:szCs w:val="18"/>
              </w:rPr>
              <w:t>34049</w:t>
            </w:r>
          </w:p>
        </w:tc>
        <w:tc>
          <w:tcPr>
            <w:tcW w:w="2977" w:type="dxa"/>
            <w:tcBorders>
              <w:top w:val="single" w:sz="4" w:space="0" w:color="auto"/>
              <w:left w:val="single" w:sz="4" w:space="0" w:color="auto"/>
              <w:bottom w:val="single" w:sz="4" w:space="0" w:color="auto"/>
              <w:right w:val="single" w:sz="4" w:space="0" w:color="auto"/>
            </w:tcBorders>
            <w:hideMark/>
          </w:tcPr>
          <w:p w14:paraId="60D0BD13" w14:textId="77777777" w:rsidR="002B30D8" w:rsidRDefault="002B30D8">
            <w:pPr>
              <w:pStyle w:val="Tabletext9pt"/>
              <w:rPr>
                <w:szCs w:val="18"/>
              </w:rPr>
            </w:pPr>
            <w:r>
              <w:rPr>
                <w:szCs w:val="18"/>
              </w:rPr>
              <w:t>Koori Community Alcohol and Drug Worker</w:t>
            </w:r>
          </w:p>
        </w:tc>
        <w:tc>
          <w:tcPr>
            <w:tcW w:w="4342" w:type="dxa"/>
            <w:tcBorders>
              <w:top w:val="single" w:sz="4" w:space="0" w:color="auto"/>
              <w:left w:val="single" w:sz="4" w:space="0" w:color="auto"/>
              <w:bottom w:val="single" w:sz="4" w:space="0" w:color="auto"/>
              <w:right w:val="single" w:sz="4" w:space="0" w:color="auto"/>
            </w:tcBorders>
            <w:hideMark/>
          </w:tcPr>
          <w:p w14:paraId="42F26C27" w14:textId="77777777" w:rsidR="002B30D8" w:rsidRDefault="002B30D8">
            <w:pPr>
              <w:pStyle w:val="Tabletext9pt"/>
              <w:rPr>
                <w:szCs w:val="18"/>
              </w:rPr>
            </w:pPr>
            <w:r>
              <w:rPr>
                <w:szCs w:val="18"/>
              </w:rPr>
              <w:t>Aboriginal AOD diversion workers operate in mainstream AOD services located near Koori courts. Their role is to provide a link between the Koori court, the Aboriginal community and the AOD treatment service system, and to provide a service tailored to the needs of offenders appearing before the Koori court.</w:t>
            </w:r>
          </w:p>
        </w:tc>
      </w:tr>
      <w:tr w:rsidR="002B30D8" w14:paraId="5BB9A86A"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52D8711C" w14:textId="77777777" w:rsidR="002B30D8" w:rsidRDefault="002B30D8">
            <w:pPr>
              <w:pStyle w:val="Tabletext9pt"/>
              <w:rPr>
                <w:szCs w:val="18"/>
              </w:rPr>
            </w:pPr>
            <w:r>
              <w:rPr>
                <w:szCs w:val="18"/>
              </w:rPr>
              <w:t>34050</w:t>
            </w:r>
          </w:p>
        </w:tc>
        <w:tc>
          <w:tcPr>
            <w:tcW w:w="2977" w:type="dxa"/>
            <w:tcBorders>
              <w:top w:val="single" w:sz="4" w:space="0" w:color="auto"/>
              <w:left w:val="single" w:sz="4" w:space="0" w:color="auto"/>
              <w:bottom w:val="single" w:sz="4" w:space="0" w:color="auto"/>
              <w:right w:val="single" w:sz="4" w:space="0" w:color="auto"/>
            </w:tcBorders>
            <w:hideMark/>
          </w:tcPr>
          <w:p w14:paraId="547812B7" w14:textId="77777777" w:rsidR="002B30D8" w:rsidRDefault="002B30D8">
            <w:pPr>
              <w:pStyle w:val="Tabletext9pt"/>
              <w:rPr>
                <w:szCs w:val="18"/>
              </w:rPr>
            </w:pPr>
            <w:r>
              <w:rPr>
                <w:szCs w:val="18"/>
              </w:rPr>
              <w:t>Adult Residential Drug Withdrawal</w:t>
            </w:r>
          </w:p>
        </w:tc>
        <w:tc>
          <w:tcPr>
            <w:tcW w:w="4342" w:type="dxa"/>
            <w:tcBorders>
              <w:top w:val="single" w:sz="4" w:space="0" w:color="auto"/>
              <w:left w:val="single" w:sz="4" w:space="0" w:color="auto"/>
              <w:bottom w:val="single" w:sz="4" w:space="0" w:color="auto"/>
              <w:right w:val="single" w:sz="4" w:space="0" w:color="auto"/>
            </w:tcBorders>
            <w:hideMark/>
          </w:tcPr>
          <w:p w14:paraId="1D72E4A1" w14:textId="77777777" w:rsidR="002B30D8" w:rsidRDefault="002B30D8">
            <w:pPr>
              <w:pStyle w:val="Tabletext9pt"/>
              <w:rPr>
                <w:szCs w:val="18"/>
              </w:rPr>
            </w:pPr>
            <w:r>
              <w:rPr>
                <w:szCs w:val="18"/>
              </w:rPr>
              <w:t>To provide support clients to safely withdraw from AOD dependence in a supervised residential or hospital facility.</w:t>
            </w:r>
          </w:p>
        </w:tc>
      </w:tr>
      <w:tr w:rsidR="002B30D8" w14:paraId="7FA2BC6E"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7C7EBF9F" w14:textId="77777777" w:rsidR="002B30D8" w:rsidRDefault="002B30D8">
            <w:pPr>
              <w:pStyle w:val="Tabletext9pt"/>
              <w:rPr>
                <w:szCs w:val="18"/>
              </w:rPr>
            </w:pPr>
            <w:r>
              <w:rPr>
                <w:szCs w:val="18"/>
              </w:rPr>
              <w:t>34053</w:t>
            </w:r>
          </w:p>
        </w:tc>
        <w:tc>
          <w:tcPr>
            <w:tcW w:w="2977" w:type="dxa"/>
            <w:tcBorders>
              <w:top w:val="single" w:sz="4" w:space="0" w:color="auto"/>
              <w:left w:val="single" w:sz="4" w:space="0" w:color="auto"/>
              <w:bottom w:val="single" w:sz="4" w:space="0" w:color="auto"/>
              <w:right w:val="single" w:sz="4" w:space="0" w:color="auto"/>
            </w:tcBorders>
            <w:hideMark/>
          </w:tcPr>
          <w:p w14:paraId="258A4427" w14:textId="77777777" w:rsidR="002B30D8" w:rsidRDefault="002B30D8">
            <w:pPr>
              <w:pStyle w:val="Tabletext9pt"/>
              <w:rPr>
                <w:szCs w:val="18"/>
              </w:rPr>
            </w:pPr>
            <w:r>
              <w:rPr>
                <w:szCs w:val="18"/>
              </w:rPr>
              <w:t>Adult Residential Rehabilitation</w:t>
            </w:r>
          </w:p>
        </w:tc>
        <w:tc>
          <w:tcPr>
            <w:tcW w:w="4342" w:type="dxa"/>
            <w:tcBorders>
              <w:top w:val="single" w:sz="4" w:space="0" w:color="auto"/>
              <w:left w:val="single" w:sz="4" w:space="0" w:color="auto"/>
              <w:bottom w:val="single" w:sz="4" w:space="0" w:color="auto"/>
              <w:right w:val="single" w:sz="4" w:space="0" w:color="auto"/>
            </w:tcBorders>
            <w:hideMark/>
          </w:tcPr>
          <w:p w14:paraId="44655CB7" w14:textId="77777777" w:rsidR="002B30D8" w:rsidRDefault="002B30D8">
            <w:pPr>
              <w:pStyle w:val="Tabletext9pt"/>
              <w:rPr>
                <w:szCs w:val="18"/>
              </w:rPr>
            </w:pPr>
            <w:r>
              <w:rPr>
                <w:szCs w:val="18"/>
              </w:rPr>
              <w:t>To deliver a mix of evidence-based treatment interventions in a structured and therapeutic residential environment for people to address issues related to their AOD use and prepare for reintegration into community living.</w:t>
            </w:r>
          </w:p>
        </w:tc>
      </w:tr>
      <w:tr w:rsidR="002B30D8" w14:paraId="5A3EDE59"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123D401" w14:textId="77777777" w:rsidR="002B30D8" w:rsidRDefault="002B30D8">
            <w:pPr>
              <w:pStyle w:val="Tabletext9pt"/>
              <w:rPr>
                <w:szCs w:val="18"/>
              </w:rPr>
            </w:pPr>
            <w:r>
              <w:rPr>
                <w:szCs w:val="18"/>
              </w:rPr>
              <w:t>34054</w:t>
            </w:r>
          </w:p>
        </w:tc>
        <w:tc>
          <w:tcPr>
            <w:tcW w:w="2977" w:type="dxa"/>
            <w:tcBorders>
              <w:top w:val="single" w:sz="4" w:space="0" w:color="auto"/>
              <w:left w:val="single" w:sz="4" w:space="0" w:color="auto"/>
              <w:bottom w:val="single" w:sz="4" w:space="0" w:color="auto"/>
              <w:right w:val="single" w:sz="4" w:space="0" w:color="auto"/>
            </w:tcBorders>
            <w:hideMark/>
          </w:tcPr>
          <w:p w14:paraId="7688F091" w14:textId="77777777" w:rsidR="002B30D8" w:rsidRDefault="002B30D8">
            <w:pPr>
              <w:pStyle w:val="Tabletext9pt"/>
              <w:rPr>
                <w:szCs w:val="18"/>
              </w:rPr>
            </w:pPr>
            <w:r>
              <w:rPr>
                <w:szCs w:val="18"/>
              </w:rPr>
              <w:t>Peer Support</w:t>
            </w:r>
          </w:p>
        </w:tc>
        <w:tc>
          <w:tcPr>
            <w:tcW w:w="4342" w:type="dxa"/>
            <w:tcBorders>
              <w:top w:val="single" w:sz="4" w:space="0" w:color="auto"/>
              <w:left w:val="single" w:sz="4" w:space="0" w:color="auto"/>
              <w:bottom w:val="single" w:sz="4" w:space="0" w:color="auto"/>
              <w:right w:val="single" w:sz="4" w:space="0" w:color="auto"/>
            </w:tcBorders>
            <w:hideMark/>
          </w:tcPr>
          <w:p w14:paraId="7E81F271" w14:textId="77777777" w:rsidR="002B30D8" w:rsidRDefault="002B30D8">
            <w:pPr>
              <w:pStyle w:val="Tabletext9pt"/>
              <w:rPr>
                <w:szCs w:val="18"/>
              </w:rPr>
            </w:pPr>
            <w:r>
              <w:rPr>
                <w:szCs w:val="18"/>
              </w:rPr>
              <w:t>Peer support facilitates workers with lived experience of AOD use to provide information and support to other people with AOD use to improve their health, wellbeing, and safety, and facilitate access to treatment and support services.</w:t>
            </w:r>
          </w:p>
        </w:tc>
      </w:tr>
      <w:tr w:rsidR="002B30D8" w14:paraId="3DB2590F"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38E4DB91" w14:textId="77777777" w:rsidR="002B30D8" w:rsidRDefault="002B30D8">
            <w:pPr>
              <w:pStyle w:val="Tabletext9pt"/>
              <w:rPr>
                <w:szCs w:val="18"/>
              </w:rPr>
            </w:pPr>
            <w:r>
              <w:rPr>
                <w:szCs w:val="18"/>
              </w:rPr>
              <w:t>34056</w:t>
            </w:r>
          </w:p>
        </w:tc>
        <w:tc>
          <w:tcPr>
            <w:tcW w:w="2977" w:type="dxa"/>
            <w:tcBorders>
              <w:top w:val="single" w:sz="4" w:space="0" w:color="auto"/>
              <w:left w:val="single" w:sz="4" w:space="0" w:color="auto"/>
              <w:bottom w:val="single" w:sz="4" w:space="0" w:color="auto"/>
              <w:right w:val="single" w:sz="4" w:space="0" w:color="auto"/>
            </w:tcBorders>
            <w:hideMark/>
          </w:tcPr>
          <w:p w14:paraId="3EC81E58" w14:textId="77777777" w:rsidR="002B30D8" w:rsidRDefault="002B30D8">
            <w:pPr>
              <w:pStyle w:val="Tabletext9pt"/>
              <w:rPr>
                <w:szCs w:val="18"/>
              </w:rPr>
            </w:pPr>
            <w:r>
              <w:rPr>
                <w:szCs w:val="18"/>
              </w:rPr>
              <w:t>Youth Residential Drug Withdrawal</w:t>
            </w:r>
          </w:p>
        </w:tc>
        <w:tc>
          <w:tcPr>
            <w:tcW w:w="4342" w:type="dxa"/>
            <w:tcBorders>
              <w:top w:val="single" w:sz="4" w:space="0" w:color="auto"/>
              <w:left w:val="single" w:sz="4" w:space="0" w:color="auto"/>
              <w:bottom w:val="single" w:sz="4" w:space="0" w:color="auto"/>
              <w:right w:val="single" w:sz="4" w:space="0" w:color="auto"/>
            </w:tcBorders>
            <w:hideMark/>
          </w:tcPr>
          <w:p w14:paraId="1E40F98D" w14:textId="77777777" w:rsidR="002B30D8" w:rsidRDefault="002B30D8">
            <w:pPr>
              <w:pStyle w:val="Tabletext9pt"/>
              <w:rPr>
                <w:szCs w:val="18"/>
              </w:rPr>
            </w:pPr>
            <w:r>
              <w:rPr>
                <w:szCs w:val="18"/>
              </w:rPr>
              <w:t>To provide a short-term drug withdrawal, time out and intensive support residential service for young people aged 12–21 years in a physically and emotionally safe, drug-free environment within a multidisciplinary, psychosocial health framework.</w:t>
            </w:r>
          </w:p>
        </w:tc>
      </w:tr>
      <w:tr w:rsidR="002B30D8" w14:paraId="613BB538"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7E0F6F2F" w14:textId="77777777" w:rsidR="002B30D8" w:rsidRDefault="002B30D8">
            <w:pPr>
              <w:pStyle w:val="Tabletext9pt"/>
              <w:rPr>
                <w:szCs w:val="18"/>
              </w:rPr>
            </w:pPr>
            <w:r>
              <w:rPr>
                <w:szCs w:val="18"/>
              </w:rPr>
              <w:lastRenderedPageBreak/>
              <w:t>34057</w:t>
            </w:r>
          </w:p>
        </w:tc>
        <w:tc>
          <w:tcPr>
            <w:tcW w:w="2977" w:type="dxa"/>
            <w:tcBorders>
              <w:top w:val="single" w:sz="4" w:space="0" w:color="auto"/>
              <w:left w:val="single" w:sz="4" w:space="0" w:color="auto"/>
              <w:bottom w:val="single" w:sz="4" w:space="0" w:color="auto"/>
              <w:right w:val="single" w:sz="4" w:space="0" w:color="auto"/>
            </w:tcBorders>
            <w:hideMark/>
          </w:tcPr>
          <w:p w14:paraId="31295D01" w14:textId="77777777" w:rsidR="002B30D8" w:rsidRDefault="002B30D8">
            <w:pPr>
              <w:pStyle w:val="Tabletext9pt"/>
              <w:rPr>
                <w:szCs w:val="18"/>
              </w:rPr>
            </w:pPr>
            <w:r>
              <w:rPr>
                <w:szCs w:val="18"/>
              </w:rPr>
              <w:t>Pharmacotherapy Regional Outreach</w:t>
            </w:r>
          </w:p>
        </w:tc>
        <w:tc>
          <w:tcPr>
            <w:tcW w:w="4342" w:type="dxa"/>
            <w:tcBorders>
              <w:top w:val="single" w:sz="4" w:space="0" w:color="auto"/>
              <w:left w:val="single" w:sz="4" w:space="0" w:color="auto"/>
              <w:bottom w:val="single" w:sz="4" w:space="0" w:color="auto"/>
              <w:right w:val="single" w:sz="4" w:space="0" w:color="auto"/>
            </w:tcBorders>
            <w:hideMark/>
          </w:tcPr>
          <w:p w14:paraId="1AE1BDD1" w14:textId="77777777" w:rsidR="002B30D8" w:rsidRDefault="002B30D8">
            <w:pPr>
              <w:pStyle w:val="Tabletext9pt"/>
              <w:rPr>
                <w:szCs w:val="18"/>
              </w:rPr>
            </w:pPr>
            <w:r>
              <w:rPr>
                <w:szCs w:val="18"/>
              </w:rPr>
              <w:t>To support and enhance the role of trained general practitioners and dispensers of drug substitute pharmacotherapies in encouraging, recruiting, and retaining opiate-dependent people in drug substitution programs.</w:t>
            </w:r>
          </w:p>
        </w:tc>
      </w:tr>
      <w:tr w:rsidR="002B30D8" w14:paraId="08C5B05F"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4AA40B52" w14:textId="77777777" w:rsidR="002B30D8" w:rsidRDefault="002B30D8">
            <w:pPr>
              <w:pStyle w:val="Tabletext9pt"/>
              <w:rPr>
                <w:szCs w:val="18"/>
              </w:rPr>
            </w:pPr>
            <w:r>
              <w:rPr>
                <w:szCs w:val="18"/>
              </w:rPr>
              <w:t>34061</w:t>
            </w:r>
          </w:p>
        </w:tc>
        <w:tc>
          <w:tcPr>
            <w:tcW w:w="2977" w:type="dxa"/>
            <w:tcBorders>
              <w:top w:val="single" w:sz="4" w:space="0" w:color="auto"/>
              <w:left w:val="single" w:sz="4" w:space="0" w:color="auto"/>
              <w:bottom w:val="single" w:sz="4" w:space="0" w:color="auto"/>
              <w:right w:val="single" w:sz="4" w:space="0" w:color="auto"/>
            </w:tcBorders>
            <w:hideMark/>
          </w:tcPr>
          <w:p w14:paraId="12532ACC" w14:textId="77777777" w:rsidR="002B30D8" w:rsidRDefault="002B30D8">
            <w:pPr>
              <w:pStyle w:val="Tabletext9pt"/>
              <w:rPr>
                <w:szCs w:val="18"/>
              </w:rPr>
            </w:pPr>
            <w:r>
              <w:rPr>
                <w:szCs w:val="18"/>
              </w:rPr>
              <w:t>Mobile Drug Safety</w:t>
            </w:r>
          </w:p>
        </w:tc>
        <w:tc>
          <w:tcPr>
            <w:tcW w:w="4342" w:type="dxa"/>
            <w:tcBorders>
              <w:top w:val="single" w:sz="4" w:space="0" w:color="auto"/>
              <w:left w:val="single" w:sz="4" w:space="0" w:color="auto"/>
              <w:bottom w:val="single" w:sz="4" w:space="0" w:color="auto"/>
              <w:right w:val="single" w:sz="4" w:space="0" w:color="auto"/>
            </w:tcBorders>
            <w:hideMark/>
          </w:tcPr>
          <w:p w14:paraId="1B9D9E11" w14:textId="77777777" w:rsidR="002B30D8" w:rsidRDefault="002B30D8">
            <w:pPr>
              <w:pStyle w:val="Tabletext9pt"/>
              <w:rPr>
                <w:szCs w:val="18"/>
              </w:rPr>
            </w:pPr>
            <w:r>
              <w:rPr>
                <w:szCs w:val="18"/>
              </w:rPr>
              <w:t>To provide education on drug safety to drug users and refer users for treatment and rehabilitation.</w:t>
            </w:r>
          </w:p>
        </w:tc>
      </w:tr>
      <w:tr w:rsidR="002B30D8" w14:paraId="338F0ACE"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30BD6D9" w14:textId="77777777" w:rsidR="002B30D8" w:rsidRDefault="002B30D8">
            <w:pPr>
              <w:pStyle w:val="Tabletext9pt"/>
              <w:rPr>
                <w:szCs w:val="18"/>
              </w:rPr>
            </w:pPr>
            <w:r>
              <w:rPr>
                <w:szCs w:val="18"/>
              </w:rPr>
              <w:t>34062</w:t>
            </w:r>
          </w:p>
        </w:tc>
        <w:tc>
          <w:tcPr>
            <w:tcW w:w="2977" w:type="dxa"/>
            <w:tcBorders>
              <w:top w:val="single" w:sz="4" w:space="0" w:color="auto"/>
              <w:left w:val="single" w:sz="4" w:space="0" w:color="auto"/>
              <w:bottom w:val="single" w:sz="4" w:space="0" w:color="auto"/>
              <w:right w:val="single" w:sz="4" w:space="0" w:color="auto"/>
            </w:tcBorders>
            <w:hideMark/>
          </w:tcPr>
          <w:p w14:paraId="183E0E5D" w14:textId="77777777" w:rsidR="002B30D8" w:rsidRDefault="002B30D8">
            <w:pPr>
              <w:pStyle w:val="Tabletext9pt"/>
              <w:rPr>
                <w:szCs w:val="18"/>
              </w:rPr>
            </w:pPr>
            <w:r>
              <w:rPr>
                <w:szCs w:val="18"/>
              </w:rPr>
              <w:t>Mobile Overdose Response</w:t>
            </w:r>
          </w:p>
        </w:tc>
        <w:tc>
          <w:tcPr>
            <w:tcW w:w="4342" w:type="dxa"/>
            <w:tcBorders>
              <w:top w:val="single" w:sz="4" w:space="0" w:color="auto"/>
              <w:left w:val="single" w:sz="4" w:space="0" w:color="auto"/>
              <w:bottom w:val="single" w:sz="4" w:space="0" w:color="auto"/>
              <w:right w:val="single" w:sz="4" w:space="0" w:color="auto"/>
            </w:tcBorders>
            <w:hideMark/>
          </w:tcPr>
          <w:p w14:paraId="1FB9BCDC" w14:textId="77777777" w:rsidR="002B30D8" w:rsidRDefault="002B30D8">
            <w:pPr>
              <w:pStyle w:val="Tabletext9pt"/>
              <w:rPr>
                <w:szCs w:val="18"/>
              </w:rPr>
            </w:pPr>
            <w:r>
              <w:rPr>
                <w:szCs w:val="18"/>
              </w:rPr>
              <w:t>To provide counselling, information and support to non-fatal overdose clients and facilitate access to treatment and support services.</w:t>
            </w:r>
          </w:p>
        </w:tc>
      </w:tr>
      <w:tr w:rsidR="002B30D8" w14:paraId="2210378C"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119E543C" w14:textId="77777777" w:rsidR="002B30D8" w:rsidRDefault="002B30D8">
            <w:pPr>
              <w:pStyle w:val="Tabletext9pt"/>
              <w:rPr>
                <w:szCs w:val="18"/>
              </w:rPr>
            </w:pPr>
            <w:r>
              <w:rPr>
                <w:szCs w:val="18"/>
              </w:rPr>
              <w:t>34064</w:t>
            </w:r>
          </w:p>
        </w:tc>
        <w:tc>
          <w:tcPr>
            <w:tcW w:w="2977" w:type="dxa"/>
            <w:tcBorders>
              <w:top w:val="single" w:sz="4" w:space="0" w:color="auto"/>
              <w:left w:val="single" w:sz="4" w:space="0" w:color="auto"/>
              <w:bottom w:val="single" w:sz="4" w:space="0" w:color="auto"/>
              <w:right w:val="single" w:sz="4" w:space="0" w:color="auto"/>
            </w:tcBorders>
            <w:hideMark/>
          </w:tcPr>
          <w:p w14:paraId="02123BA5" w14:textId="77777777" w:rsidR="002B30D8" w:rsidRDefault="002B30D8">
            <w:pPr>
              <w:pStyle w:val="Tabletext9pt"/>
              <w:rPr>
                <w:szCs w:val="18"/>
              </w:rPr>
            </w:pPr>
            <w:r>
              <w:rPr>
                <w:szCs w:val="18"/>
              </w:rPr>
              <w:t>Youth Home-based Withdrawal</w:t>
            </w:r>
          </w:p>
        </w:tc>
        <w:tc>
          <w:tcPr>
            <w:tcW w:w="4342" w:type="dxa"/>
            <w:tcBorders>
              <w:top w:val="single" w:sz="4" w:space="0" w:color="auto"/>
              <w:left w:val="single" w:sz="4" w:space="0" w:color="auto"/>
              <w:bottom w:val="single" w:sz="4" w:space="0" w:color="auto"/>
              <w:right w:val="single" w:sz="4" w:space="0" w:color="auto"/>
            </w:tcBorders>
            <w:hideMark/>
          </w:tcPr>
          <w:p w14:paraId="1086E51D" w14:textId="77777777" w:rsidR="002B30D8" w:rsidRDefault="002B30D8">
            <w:pPr>
              <w:pStyle w:val="Tabletext9pt"/>
              <w:rPr>
                <w:szCs w:val="18"/>
              </w:rPr>
            </w:pPr>
            <w:r>
              <w:rPr>
                <w:szCs w:val="18"/>
              </w:rPr>
              <w:t>To provide a safe and effective drug withdrawal in a home-based setting with medical, pharmacotherapy and supportive care.</w:t>
            </w:r>
          </w:p>
        </w:tc>
      </w:tr>
      <w:tr w:rsidR="002B30D8" w14:paraId="72A91775"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632FAE34" w14:textId="77777777" w:rsidR="002B30D8" w:rsidRDefault="002B30D8">
            <w:pPr>
              <w:pStyle w:val="Tabletext9pt"/>
              <w:rPr>
                <w:szCs w:val="18"/>
              </w:rPr>
            </w:pPr>
            <w:r>
              <w:rPr>
                <w:szCs w:val="18"/>
              </w:rPr>
              <w:t>34071</w:t>
            </w:r>
          </w:p>
        </w:tc>
        <w:tc>
          <w:tcPr>
            <w:tcW w:w="2977" w:type="dxa"/>
            <w:tcBorders>
              <w:top w:val="single" w:sz="4" w:space="0" w:color="auto"/>
              <w:left w:val="single" w:sz="4" w:space="0" w:color="auto"/>
              <w:bottom w:val="single" w:sz="4" w:space="0" w:color="auto"/>
              <w:right w:val="single" w:sz="4" w:space="0" w:color="auto"/>
            </w:tcBorders>
            <w:hideMark/>
          </w:tcPr>
          <w:p w14:paraId="373AF182" w14:textId="77777777" w:rsidR="002B30D8" w:rsidRDefault="002B30D8">
            <w:pPr>
              <w:pStyle w:val="Tabletext9pt"/>
              <w:rPr>
                <w:szCs w:val="18"/>
              </w:rPr>
            </w:pPr>
            <w:r>
              <w:rPr>
                <w:szCs w:val="18"/>
              </w:rPr>
              <w:t>Youth Outreach</w:t>
            </w:r>
          </w:p>
        </w:tc>
        <w:tc>
          <w:tcPr>
            <w:tcW w:w="4342" w:type="dxa"/>
            <w:tcBorders>
              <w:top w:val="single" w:sz="4" w:space="0" w:color="auto"/>
              <w:left w:val="single" w:sz="4" w:space="0" w:color="auto"/>
              <w:bottom w:val="single" w:sz="4" w:space="0" w:color="auto"/>
              <w:right w:val="single" w:sz="4" w:space="0" w:color="auto"/>
            </w:tcBorders>
            <w:hideMark/>
          </w:tcPr>
          <w:p w14:paraId="6B4FE24A" w14:textId="77777777" w:rsidR="002B30D8" w:rsidRDefault="002B30D8">
            <w:pPr>
              <w:pStyle w:val="Tabletext9pt"/>
              <w:rPr>
                <w:szCs w:val="18"/>
              </w:rPr>
            </w:pPr>
            <w:r>
              <w:rPr>
                <w:szCs w:val="18"/>
              </w:rPr>
              <w:t>To support generalist agencies that work with young people, through information, education, and training by providing youth-specific services. Includes mobile treatment and support service that provides assessment, support, and ongoing case coordination to young people with AOD issues on their own or in a neutral environment. .</w:t>
            </w:r>
          </w:p>
        </w:tc>
      </w:tr>
      <w:tr w:rsidR="002B30D8" w14:paraId="23A83D8F"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5BF5D6F8" w14:textId="77777777" w:rsidR="002B30D8" w:rsidRDefault="002B30D8">
            <w:pPr>
              <w:pStyle w:val="Tabletext9pt"/>
              <w:rPr>
                <w:szCs w:val="18"/>
              </w:rPr>
            </w:pPr>
            <w:r>
              <w:rPr>
                <w:szCs w:val="18"/>
              </w:rPr>
              <w:t>34074</w:t>
            </w:r>
          </w:p>
        </w:tc>
        <w:tc>
          <w:tcPr>
            <w:tcW w:w="2977" w:type="dxa"/>
            <w:tcBorders>
              <w:top w:val="single" w:sz="4" w:space="0" w:color="auto"/>
              <w:left w:val="single" w:sz="4" w:space="0" w:color="auto"/>
              <w:bottom w:val="single" w:sz="4" w:space="0" w:color="auto"/>
              <w:right w:val="single" w:sz="4" w:space="0" w:color="auto"/>
            </w:tcBorders>
            <w:hideMark/>
          </w:tcPr>
          <w:p w14:paraId="0144BE7D" w14:textId="77777777" w:rsidR="002B30D8" w:rsidRDefault="002B30D8">
            <w:pPr>
              <w:pStyle w:val="Tabletext9pt"/>
              <w:rPr>
                <w:szCs w:val="18"/>
              </w:rPr>
            </w:pPr>
            <w:r>
              <w:rPr>
                <w:szCs w:val="18"/>
              </w:rPr>
              <w:t>Counselling Consultancy and Continuing Care</w:t>
            </w:r>
          </w:p>
        </w:tc>
        <w:tc>
          <w:tcPr>
            <w:tcW w:w="4342" w:type="dxa"/>
            <w:tcBorders>
              <w:top w:val="single" w:sz="4" w:space="0" w:color="auto"/>
              <w:left w:val="single" w:sz="4" w:space="0" w:color="auto"/>
              <w:bottom w:val="single" w:sz="4" w:space="0" w:color="auto"/>
              <w:right w:val="single" w:sz="4" w:space="0" w:color="auto"/>
            </w:tcBorders>
            <w:hideMark/>
          </w:tcPr>
          <w:p w14:paraId="454C8572" w14:textId="77777777" w:rsidR="002B30D8" w:rsidRDefault="002B30D8">
            <w:pPr>
              <w:pStyle w:val="Tabletext9pt"/>
              <w:rPr>
                <w:szCs w:val="18"/>
              </w:rPr>
            </w:pPr>
            <w:r>
              <w:rPr>
                <w:szCs w:val="18"/>
              </w:rPr>
              <w:t>AOD youth consultants provide secondary consultation, support and advice to child protection clients and staff in out-of-home care residential facilities, adolescent community placement and secure welfare services.</w:t>
            </w:r>
          </w:p>
        </w:tc>
      </w:tr>
      <w:tr w:rsidR="002B30D8" w14:paraId="39289081"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084E5F69" w14:textId="77777777" w:rsidR="002B30D8" w:rsidRDefault="002B30D8">
            <w:pPr>
              <w:pStyle w:val="Tabletext9pt"/>
              <w:rPr>
                <w:szCs w:val="18"/>
              </w:rPr>
            </w:pPr>
            <w:r>
              <w:rPr>
                <w:szCs w:val="18"/>
              </w:rPr>
              <w:t>34076</w:t>
            </w:r>
          </w:p>
        </w:tc>
        <w:tc>
          <w:tcPr>
            <w:tcW w:w="2977" w:type="dxa"/>
            <w:tcBorders>
              <w:top w:val="single" w:sz="4" w:space="0" w:color="auto"/>
              <w:left w:val="single" w:sz="4" w:space="0" w:color="auto"/>
              <w:bottom w:val="single" w:sz="4" w:space="0" w:color="auto"/>
              <w:right w:val="single" w:sz="4" w:space="0" w:color="auto"/>
            </w:tcBorders>
            <w:hideMark/>
          </w:tcPr>
          <w:p w14:paraId="41AEE50F" w14:textId="77777777" w:rsidR="002B30D8" w:rsidRDefault="002B30D8">
            <w:pPr>
              <w:pStyle w:val="Tabletext9pt"/>
              <w:rPr>
                <w:szCs w:val="18"/>
              </w:rPr>
            </w:pPr>
            <w:r>
              <w:rPr>
                <w:szCs w:val="18"/>
              </w:rPr>
              <w:t>Statewide Support – Drug Treatment and Rehabilitation</w:t>
            </w:r>
          </w:p>
        </w:tc>
        <w:tc>
          <w:tcPr>
            <w:tcW w:w="4342" w:type="dxa"/>
            <w:tcBorders>
              <w:top w:val="single" w:sz="4" w:space="0" w:color="auto"/>
              <w:left w:val="single" w:sz="4" w:space="0" w:color="auto"/>
              <w:bottom w:val="single" w:sz="4" w:space="0" w:color="auto"/>
              <w:right w:val="single" w:sz="4" w:space="0" w:color="auto"/>
            </w:tcBorders>
            <w:hideMark/>
          </w:tcPr>
          <w:p w14:paraId="6D9646D7" w14:textId="77777777" w:rsidR="002B30D8" w:rsidRDefault="002B30D8">
            <w:pPr>
              <w:pStyle w:val="Tabletext9pt"/>
              <w:rPr>
                <w:szCs w:val="18"/>
              </w:rPr>
            </w:pPr>
            <w:r>
              <w:rPr>
                <w:szCs w:val="18"/>
              </w:rPr>
              <w:t>A range of services, including resourcing to the drug treatment and rehabilitation service system on a statewide, interregional or specific-purpose basis.</w:t>
            </w:r>
          </w:p>
        </w:tc>
      </w:tr>
      <w:tr w:rsidR="002B30D8" w14:paraId="75F90DE3"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643C7C01" w14:textId="77777777" w:rsidR="002B30D8" w:rsidRDefault="002B30D8">
            <w:pPr>
              <w:pStyle w:val="Tabletext9pt"/>
              <w:rPr>
                <w:szCs w:val="18"/>
              </w:rPr>
            </w:pPr>
            <w:r>
              <w:rPr>
                <w:szCs w:val="18"/>
              </w:rPr>
              <w:t>34078</w:t>
            </w:r>
          </w:p>
        </w:tc>
        <w:tc>
          <w:tcPr>
            <w:tcW w:w="2977" w:type="dxa"/>
            <w:tcBorders>
              <w:top w:val="single" w:sz="4" w:space="0" w:color="auto"/>
              <w:left w:val="single" w:sz="4" w:space="0" w:color="auto"/>
              <w:bottom w:val="single" w:sz="4" w:space="0" w:color="auto"/>
              <w:right w:val="single" w:sz="4" w:space="0" w:color="auto"/>
            </w:tcBorders>
            <w:hideMark/>
          </w:tcPr>
          <w:p w14:paraId="7F6E15B7" w14:textId="77777777" w:rsidR="002B30D8" w:rsidRDefault="002B30D8">
            <w:pPr>
              <w:pStyle w:val="Tabletext9pt"/>
              <w:rPr>
                <w:szCs w:val="18"/>
              </w:rPr>
            </w:pPr>
            <w:r>
              <w:rPr>
                <w:szCs w:val="18"/>
              </w:rPr>
              <w:t>ACCO Services – Drug Services</w:t>
            </w:r>
          </w:p>
        </w:tc>
        <w:tc>
          <w:tcPr>
            <w:tcW w:w="4342" w:type="dxa"/>
            <w:tcBorders>
              <w:top w:val="single" w:sz="4" w:space="0" w:color="auto"/>
              <w:left w:val="single" w:sz="4" w:space="0" w:color="auto"/>
              <w:bottom w:val="single" w:sz="4" w:space="0" w:color="auto"/>
              <w:right w:val="single" w:sz="4" w:space="0" w:color="auto"/>
            </w:tcBorders>
            <w:hideMark/>
          </w:tcPr>
          <w:p w14:paraId="3D440823" w14:textId="77777777" w:rsidR="002B30D8" w:rsidRDefault="002B30D8">
            <w:pPr>
              <w:pStyle w:val="Tabletext9pt"/>
              <w:rPr>
                <w:szCs w:val="18"/>
              </w:rPr>
            </w:pPr>
            <w:r>
              <w:rPr>
                <w:szCs w:val="18"/>
              </w:rPr>
              <w:t>Aboriginal AOD workers provide Aboriginal people and families with a range of prevention, early intervention and group support services including counselling, brief intervention, and referral to appropriate AOD services (e.g. withdrawal and rehabilitation treatment, care coordination and ongoing support).</w:t>
            </w:r>
          </w:p>
        </w:tc>
      </w:tr>
      <w:tr w:rsidR="002B30D8" w14:paraId="646F842D"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6E96C23C" w14:textId="77777777" w:rsidR="002B30D8" w:rsidRDefault="002B30D8">
            <w:pPr>
              <w:pStyle w:val="Tabletext9pt"/>
              <w:rPr>
                <w:szCs w:val="18"/>
              </w:rPr>
            </w:pPr>
            <w:r>
              <w:rPr>
                <w:szCs w:val="18"/>
              </w:rPr>
              <w:t>34079</w:t>
            </w:r>
          </w:p>
        </w:tc>
        <w:tc>
          <w:tcPr>
            <w:tcW w:w="2977" w:type="dxa"/>
            <w:tcBorders>
              <w:top w:val="single" w:sz="4" w:space="0" w:color="auto"/>
              <w:left w:val="single" w:sz="4" w:space="0" w:color="auto"/>
              <w:bottom w:val="single" w:sz="4" w:space="0" w:color="auto"/>
              <w:right w:val="single" w:sz="4" w:space="0" w:color="auto"/>
            </w:tcBorders>
            <w:hideMark/>
          </w:tcPr>
          <w:p w14:paraId="28A672E8" w14:textId="77777777" w:rsidR="002B30D8" w:rsidRDefault="002B30D8">
            <w:pPr>
              <w:pStyle w:val="Tabletext9pt"/>
              <w:rPr>
                <w:szCs w:val="18"/>
              </w:rPr>
            </w:pPr>
            <w:r>
              <w:rPr>
                <w:szCs w:val="18"/>
              </w:rPr>
              <w:t>Koori Youth A and D Healing Service</w:t>
            </w:r>
          </w:p>
        </w:tc>
        <w:tc>
          <w:tcPr>
            <w:tcW w:w="4342" w:type="dxa"/>
            <w:tcBorders>
              <w:top w:val="single" w:sz="4" w:space="0" w:color="auto"/>
              <w:left w:val="single" w:sz="4" w:space="0" w:color="auto"/>
              <w:bottom w:val="single" w:sz="4" w:space="0" w:color="auto"/>
              <w:right w:val="single" w:sz="4" w:space="0" w:color="auto"/>
            </w:tcBorders>
            <w:hideMark/>
          </w:tcPr>
          <w:p w14:paraId="1492F28B" w14:textId="77777777" w:rsidR="002B30D8" w:rsidRDefault="002B30D8">
            <w:pPr>
              <w:pStyle w:val="Tabletext9pt"/>
              <w:rPr>
                <w:szCs w:val="18"/>
              </w:rPr>
            </w:pPr>
            <w:r>
              <w:rPr>
                <w:szCs w:val="18"/>
              </w:rPr>
              <w:t>To provide Aboriginal youth with a supportive environment to address their AOD issues through active participation in therapeutic and structured programs designed to assist them to develop living skills, and to strengthen their cultural identity and spiritual wellbeing.</w:t>
            </w:r>
          </w:p>
        </w:tc>
      </w:tr>
      <w:tr w:rsidR="002B30D8" w14:paraId="5477F8A6"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52EAFB4" w14:textId="77777777" w:rsidR="002B30D8" w:rsidRDefault="002B30D8">
            <w:pPr>
              <w:pStyle w:val="Tabletext9pt"/>
              <w:rPr>
                <w:szCs w:val="18"/>
              </w:rPr>
            </w:pPr>
            <w:r>
              <w:rPr>
                <w:szCs w:val="18"/>
              </w:rPr>
              <w:t>34080</w:t>
            </w:r>
          </w:p>
        </w:tc>
        <w:tc>
          <w:tcPr>
            <w:tcW w:w="2977" w:type="dxa"/>
            <w:tcBorders>
              <w:top w:val="single" w:sz="4" w:space="0" w:color="auto"/>
              <w:left w:val="single" w:sz="4" w:space="0" w:color="auto"/>
              <w:bottom w:val="single" w:sz="4" w:space="0" w:color="auto"/>
              <w:right w:val="single" w:sz="4" w:space="0" w:color="auto"/>
            </w:tcBorders>
            <w:hideMark/>
          </w:tcPr>
          <w:p w14:paraId="0B1761D0" w14:textId="77777777" w:rsidR="002B30D8" w:rsidRDefault="002B30D8">
            <w:pPr>
              <w:pStyle w:val="Tabletext9pt"/>
              <w:rPr>
                <w:szCs w:val="18"/>
              </w:rPr>
            </w:pPr>
            <w:r>
              <w:rPr>
                <w:szCs w:val="18"/>
              </w:rPr>
              <w:t>Youth Residential Rehabilitation</w:t>
            </w:r>
          </w:p>
        </w:tc>
        <w:tc>
          <w:tcPr>
            <w:tcW w:w="4342" w:type="dxa"/>
            <w:tcBorders>
              <w:top w:val="single" w:sz="4" w:space="0" w:color="auto"/>
              <w:left w:val="single" w:sz="4" w:space="0" w:color="auto"/>
              <w:bottom w:val="single" w:sz="4" w:space="0" w:color="auto"/>
              <w:right w:val="single" w:sz="4" w:space="0" w:color="auto"/>
            </w:tcBorders>
            <w:hideMark/>
          </w:tcPr>
          <w:p w14:paraId="1B101EBD" w14:textId="77777777" w:rsidR="002B30D8" w:rsidRDefault="002B30D8">
            <w:pPr>
              <w:pStyle w:val="Tabletext9pt"/>
              <w:rPr>
                <w:szCs w:val="18"/>
              </w:rPr>
            </w:pPr>
            <w:r>
              <w:rPr>
                <w:szCs w:val="18"/>
              </w:rPr>
              <w:t xml:space="preserve">To provide residential rehabilitation programs to young people who have undergone an AOD withdrawal or treatment program and have not been successful in reducing or overcoming their AOD issues and are not suited to attend an outpatient program. </w:t>
            </w:r>
          </w:p>
        </w:tc>
      </w:tr>
      <w:tr w:rsidR="002B30D8" w14:paraId="070AAAF9"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198AD6CB" w14:textId="77777777" w:rsidR="002B30D8" w:rsidRDefault="002B30D8">
            <w:pPr>
              <w:pStyle w:val="Tabletext9pt"/>
              <w:rPr>
                <w:szCs w:val="18"/>
              </w:rPr>
            </w:pPr>
            <w:r>
              <w:rPr>
                <w:szCs w:val="18"/>
              </w:rPr>
              <w:t>34081</w:t>
            </w:r>
          </w:p>
        </w:tc>
        <w:tc>
          <w:tcPr>
            <w:tcW w:w="2977" w:type="dxa"/>
            <w:tcBorders>
              <w:top w:val="single" w:sz="4" w:space="0" w:color="auto"/>
              <w:left w:val="single" w:sz="4" w:space="0" w:color="auto"/>
              <w:bottom w:val="single" w:sz="4" w:space="0" w:color="auto"/>
              <w:right w:val="single" w:sz="4" w:space="0" w:color="auto"/>
            </w:tcBorders>
            <w:hideMark/>
          </w:tcPr>
          <w:p w14:paraId="7E5EDF17" w14:textId="77777777" w:rsidR="002B30D8" w:rsidRDefault="002B30D8">
            <w:pPr>
              <w:pStyle w:val="Tabletext9pt"/>
              <w:rPr>
                <w:szCs w:val="18"/>
              </w:rPr>
            </w:pPr>
            <w:r>
              <w:rPr>
                <w:szCs w:val="18"/>
              </w:rPr>
              <w:t>Workforce Education and Training</w:t>
            </w:r>
          </w:p>
        </w:tc>
        <w:tc>
          <w:tcPr>
            <w:tcW w:w="4342" w:type="dxa"/>
            <w:tcBorders>
              <w:top w:val="single" w:sz="4" w:space="0" w:color="auto"/>
              <w:left w:val="single" w:sz="4" w:space="0" w:color="auto"/>
              <w:bottom w:val="single" w:sz="4" w:space="0" w:color="auto"/>
              <w:right w:val="single" w:sz="4" w:space="0" w:color="auto"/>
            </w:tcBorders>
            <w:hideMark/>
          </w:tcPr>
          <w:p w14:paraId="18A18226" w14:textId="77777777" w:rsidR="002B30D8" w:rsidRDefault="002B30D8">
            <w:pPr>
              <w:pStyle w:val="Tabletext9pt"/>
              <w:rPr>
                <w:szCs w:val="18"/>
              </w:rPr>
            </w:pPr>
            <w:r>
              <w:rPr>
                <w:szCs w:val="18"/>
              </w:rPr>
              <w:t>To provide workforce development education, information, training, and consultancy for workers dealing with clients with AOD problems, and to provide education to AOD treatment clients.</w:t>
            </w:r>
          </w:p>
        </w:tc>
      </w:tr>
      <w:tr w:rsidR="002B30D8" w14:paraId="7D198E0A"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3F4DCAA7" w14:textId="77777777" w:rsidR="002B30D8" w:rsidRDefault="002B30D8">
            <w:pPr>
              <w:pStyle w:val="Tabletext9pt"/>
              <w:rPr>
                <w:szCs w:val="18"/>
              </w:rPr>
            </w:pPr>
            <w:r>
              <w:rPr>
                <w:szCs w:val="18"/>
              </w:rPr>
              <w:t>34084</w:t>
            </w:r>
          </w:p>
        </w:tc>
        <w:tc>
          <w:tcPr>
            <w:tcW w:w="2977" w:type="dxa"/>
            <w:tcBorders>
              <w:top w:val="single" w:sz="4" w:space="0" w:color="auto"/>
              <w:left w:val="single" w:sz="4" w:space="0" w:color="auto"/>
              <w:bottom w:val="single" w:sz="4" w:space="0" w:color="auto"/>
              <w:right w:val="single" w:sz="4" w:space="0" w:color="auto"/>
            </w:tcBorders>
            <w:hideMark/>
          </w:tcPr>
          <w:p w14:paraId="26644B5A" w14:textId="77777777" w:rsidR="002B30D8" w:rsidRDefault="002B30D8">
            <w:pPr>
              <w:pStyle w:val="Tabletext9pt"/>
              <w:rPr>
                <w:szCs w:val="18"/>
              </w:rPr>
            </w:pPr>
            <w:r>
              <w:rPr>
                <w:szCs w:val="18"/>
              </w:rPr>
              <w:t>Therapeutic Counselling</w:t>
            </w:r>
          </w:p>
        </w:tc>
        <w:tc>
          <w:tcPr>
            <w:tcW w:w="4342" w:type="dxa"/>
            <w:tcBorders>
              <w:top w:val="single" w:sz="4" w:space="0" w:color="auto"/>
              <w:left w:val="single" w:sz="4" w:space="0" w:color="auto"/>
              <w:bottom w:val="single" w:sz="4" w:space="0" w:color="auto"/>
              <w:right w:val="single" w:sz="4" w:space="0" w:color="auto"/>
            </w:tcBorders>
            <w:hideMark/>
          </w:tcPr>
          <w:p w14:paraId="70AB77A3" w14:textId="77777777" w:rsidR="002B30D8" w:rsidRDefault="002B30D8">
            <w:pPr>
              <w:pStyle w:val="Tabletext9pt"/>
              <w:rPr>
                <w:szCs w:val="18"/>
              </w:rPr>
            </w:pPr>
            <w:r>
              <w:rPr>
                <w:szCs w:val="18"/>
              </w:rPr>
              <w:t>To deliver therapeutic interventions that assist young people and their parents/carer(s)/family to address difficulties associated with AOD use among young people. This supports young people to make positive choices about their AOD use and encourages stronger family relationships, promoting family function.</w:t>
            </w:r>
          </w:p>
        </w:tc>
      </w:tr>
      <w:tr w:rsidR="002B30D8" w14:paraId="34547343"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586B1024" w14:textId="77777777" w:rsidR="002B30D8" w:rsidRDefault="002B30D8">
            <w:pPr>
              <w:pStyle w:val="Tabletext9pt"/>
              <w:rPr>
                <w:szCs w:val="18"/>
              </w:rPr>
            </w:pPr>
            <w:r>
              <w:rPr>
                <w:szCs w:val="18"/>
              </w:rPr>
              <w:lastRenderedPageBreak/>
              <w:t>34200</w:t>
            </w:r>
          </w:p>
        </w:tc>
        <w:tc>
          <w:tcPr>
            <w:tcW w:w="2977" w:type="dxa"/>
            <w:tcBorders>
              <w:top w:val="single" w:sz="4" w:space="0" w:color="auto"/>
              <w:left w:val="single" w:sz="4" w:space="0" w:color="auto"/>
              <w:bottom w:val="single" w:sz="4" w:space="0" w:color="auto"/>
              <w:right w:val="single" w:sz="4" w:space="0" w:color="auto"/>
            </w:tcBorders>
            <w:hideMark/>
          </w:tcPr>
          <w:p w14:paraId="1E570E52" w14:textId="77777777" w:rsidR="002B30D8" w:rsidRDefault="002B30D8">
            <w:pPr>
              <w:pStyle w:val="Tabletext9pt"/>
              <w:rPr>
                <w:szCs w:val="18"/>
              </w:rPr>
            </w:pPr>
            <w:r>
              <w:rPr>
                <w:szCs w:val="18"/>
              </w:rPr>
              <w:t>Forensic Education and Training (Cannabis)</w:t>
            </w:r>
          </w:p>
        </w:tc>
        <w:tc>
          <w:tcPr>
            <w:tcW w:w="4342" w:type="dxa"/>
            <w:tcBorders>
              <w:top w:val="single" w:sz="4" w:space="0" w:color="auto"/>
              <w:left w:val="single" w:sz="4" w:space="0" w:color="auto"/>
              <w:bottom w:val="single" w:sz="4" w:space="0" w:color="auto"/>
              <w:right w:val="single" w:sz="4" w:space="0" w:color="auto"/>
            </w:tcBorders>
            <w:hideMark/>
          </w:tcPr>
          <w:p w14:paraId="0CCD2015" w14:textId="77777777" w:rsidR="002B30D8" w:rsidRDefault="002B30D8">
            <w:pPr>
              <w:pStyle w:val="Tabletext9pt"/>
              <w:rPr>
                <w:szCs w:val="18"/>
              </w:rPr>
            </w:pPr>
            <w:r>
              <w:rPr>
                <w:szCs w:val="18"/>
              </w:rPr>
              <w:t>To provide education to clients issued with a cannabis caution, agency training, curriculum development and training needs analysis for workers.</w:t>
            </w:r>
          </w:p>
        </w:tc>
      </w:tr>
      <w:tr w:rsidR="002B30D8" w14:paraId="09E36BF6"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6D69C92" w14:textId="77777777" w:rsidR="002B30D8" w:rsidRDefault="002B30D8">
            <w:pPr>
              <w:pStyle w:val="Tabletext9pt"/>
              <w:rPr>
                <w:szCs w:val="18"/>
              </w:rPr>
            </w:pPr>
            <w:r>
              <w:rPr>
                <w:szCs w:val="18"/>
              </w:rPr>
              <w:t>34202</w:t>
            </w:r>
          </w:p>
        </w:tc>
        <w:tc>
          <w:tcPr>
            <w:tcW w:w="2977" w:type="dxa"/>
            <w:tcBorders>
              <w:top w:val="single" w:sz="4" w:space="0" w:color="auto"/>
              <w:left w:val="single" w:sz="4" w:space="0" w:color="auto"/>
              <w:bottom w:val="single" w:sz="4" w:space="0" w:color="auto"/>
              <w:right w:val="single" w:sz="4" w:space="0" w:color="auto"/>
            </w:tcBorders>
            <w:hideMark/>
          </w:tcPr>
          <w:p w14:paraId="12414E9B" w14:textId="77777777" w:rsidR="002B30D8" w:rsidRDefault="002B30D8">
            <w:pPr>
              <w:pStyle w:val="Tabletext9pt"/>
              <w:rPr>
                <w:szCs w:val="18"/>
              </w:rPr>
            </w:pPr>
            <w:r>
              <w:rPr>
                <w:szCs w:val="18"/>
              </w:rPr>
              <w:t>COATS Post Sentence</w:t>
            </w:r>
          </w:p>
        </w:tc>
        <w:tc>
          <w:tcPr>
            <w:tcW w:w="4342" w:type="dxa"/>
            <w:tcBorders>
              <w:top w:val="single" w:sz="4" w:space="0" w:color="auto"/>
              <w:left w:val="single" w:sz="4" w:space="0" w:color="auto"/>
              <w:bottom w:val="single" w:sz="4" w:space="0" w:color="auto"/>
              <w:right w:val="single" w:sz="4" w:space="0" w:color="auto"/>
            </w:tcBorders>
            <w:hideMark/>
          </w:tcPr>
          <w:p w14:paraId="6E71414F" w14:textId="77777777" w:rsidR="002B30D8" w:rsidRDefault="002B30D8">
            <w:pPr>
              <w:pStyle w:val="Tabletext9pt"/>
              <w:rPr>
                <w:szCs w:val="18"/>
              </w:rPr>
            </w:pPr>
            <w:r>
              <w:rPr>
                <w:szCs w:val="18"/>
              </w:rPr>
              <w:t>To provide AOD treatment to offenders sentenced to a community-based disposition with an attached AOD order.</w:t>
            </w:r>
          </w:p>
        </w:tc>
      </w:tr>
      <w:tr w:rsidR="002B30D8" w14:paraId="13BB0261"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74B1845F" w14:textId="77777777" w:rsidR="002B30D8" w:rsidRDefault="002B30D8">
            <w:pPr>
              <w:pStyle w:val="Tabletext9pt"/>
              <w:rPr>
                <w:szCs w:val="18"/>
              </w:rPr>
            </w:pPr>
            <w:r>
              <w:rPr>
                <w:szCs w:val="18"/>
              </w:rPr>
              <w:t>34208</w:t>
            </w:r>
          </w:p>
        </w:tc>
        <w:tc>
          <w:tcPr>
            <w:tcW w:w="2977" w:type="dxa"/>
            <w:tcBorders>
              <w:top w:val="single" w:sz="4" w:space="0" w:color="auto"/>
              <w:left w:val="single" w:sz="4" w:space="0" w:color="auto"/>
              <w:bottom w:val="single" w:sz="4" w:space="0" w:color="auto"/>
              <w:right w:val="single" w:sz="4" w:space="0" w:color="auto"/>
            </w:tcBorders>
            <w:hideMark/>
          </w:tcPr>
          <w:p w14:paraId="59301FB4" w14:textId="77777777" w:rsidR="002B30D8" w:rsidRDefault="002B30D8">
            <w:pPr>
              <w:pStyle w:val="Tabletext9pt"/>
              <w:rPr>
                <w:szCs w:val="18"/>
              </w:rPr>
            </w:pPr>
            <w:r>
              <w:rPr>
                <w:szCs w:val="18"/>
              </w:rPr>
              <w:t>Forensic Consultancy and Continuing Care</w:t>
            </w:r>
          </w:p>
        </w:tc>
        <w:tc>
          <w:tcPr>
            <w:tcW w:w="4342" w:type="dxa"/>
            <w:tcBorders>
              <w:top w:val="single" w:sz="4" w:space="0" w:color="auto"/>
              <w:left w:val="single" w:sz="4" w:space="0" w:color="auto"/>
              <w:bottom w:val="single" w:sz="4" w:space="0" w:color="auto"/>
              <w:right w:val="single" w:sz="4" w:space="0" w:color="auto"/>
            </w:tcBorders>
            <w:hideMark/>
          </w:tcPr>
          <w:p w14:paraId="263D2B83" w14:textId="77777777" w:rsidR="002B30D8" w:rsidRDefault="002B30D8">
            <w:pPr>
              <w:pStyle w:val="Tabletext9pt"/>
              <w:rPr>
                <w:szCs w:val="18"/>
              </w:rPr>
            </w:pPr>
            <w:r>
              <w:rPr>
                <w:szCs w:val="18"/>
              </w:rPr>
              <w:t>To provide specific service system responses and initiatives to enhance the AOD sector’s ability to provide enhanced responses to those presenting with highly complex needs including those referred Victoria’s Fixated Threat Assessment Centre.</w:t>
            </w:r>
          </w:p>
        </w:tc>
      </w:tr>
      <w:tr w:rsidR="002B30D8" w14:paraId="08C9170F"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08570926" w14:textId="77777777" w:rsidR="002B30D8" w:rsidRDefault="002B30D8">
            <w:pPr>
              <w:pStyle w:val="Tabletext9pt"/>
              <w:rPr>
                <w:szCs w:val="18"/>
              </w:rPr>
            </w:pPr>
            <w:r>
              <w:rPr>
                <w:szCs w:val="18"/>
              </w:rPr>
              <w:t>34210</w:t>
            </w:r>
          </w:p>
        </w:tc>
        <w:tc>
          <w:tcPr>
            <w:tcW w:w="2977" w:type="dxa"/>
            <w:tcBorders>
              <w:top w:val="single" w:sz="4" w:space="0" w:color="auto"/>
              <w:left w:val="single" w:sz="4" w:space="0" w:color="auto"/>
              <w:bottom w:val="single" w:sz="4" w:space="0" w:color="auto"/>
              <w:right w:val="single" w:sz="4" w:space="0" w:color="auto"/>
            </w:tcBorders>
            <w:hideMark/>
          </w:tcPr>
          <w:p w14:paraId="0E06BC57" w14:textId="77777777" w:rsidR="002B30D8" w:rsidRDefault="002B30D8">
            <w:pPr>
              <w:pStyle w:val="Tabletext9pt"/>
              <w:rPr>
                <w:szCs w:val="18"/>
              </w:rPr>
            </w:pPr>
            <w:r>
              <w:rPr>
                <w:szCs w:val="18"/>
              </w:rPr>
              <w:t>Youth Justice</w:t>
            </w:r>
          </w:p>
        </w:tc>
        <w:tc>
          <w:tcPr>
            <w:tcW w:w="4342" w:type="dxa"/>
            <w:tcBorders>
              <w:top w:val="single" w:sz="4" w:space="0" w:color="auto"/>
              <w:left w:val="single" w:sz="4" w:space="0" w:color="auto"/>
              <w:bottom w:val="single" w:sz="4" w:space="0" w:color="auto"/>
              <w:right w:val="single" w:sz="4" w:space="0" w:color="auto"/>
            </w:tcBorders>
            <w:hideMark/>
          </w:tcPr>
          <w:p w14:paraId="33741EA9" w14:textId="77777777" w:rsidR="002B30D8" w:rsidRDefault="002B30D8">
            <w:pPr>
              <w:pStyle w:val="Tabletext9pt"/>
              <w:rPr>
                <w:szCs w:val="18"/>
              </w:rPr>
            </w:pPr>
            <w:r>
              <w:rPr>
                <w:szCs w:val="18"/>
              </w:rPr>
              <w:t>To deliver AOD programs to youth justice clients.</w:t>
            </w:r>
          </w:p>
        </w:tc>
      </w:tr>
      <w:tr w:rsidR="002B30D8" w14:paraId="2AC50E81"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5864FE0" w14:textId="77777777" w:rsidR="002B30D8" w:rsidRDefault="002B30D8">
            <w:pPr>
              <w:pStyle w:val="Tabletext9pt"/>
              <w:rPr>
                <w:szCs w:val="18"/>
              </w:rPr>
            </w:pPr>
            <w:r>
              <w:rPr>
                <w:szCs w:val="18"/>
              </w:rPr>
              <w:t>34211</w:t>
            </w:r>
          </w:p>
        </w:tc>
        <w:tc>
          <w:tcPr>
            <w:tcW w:w="2977" w:type="dxa"/>
            <w:tcBorders>
              <w:top w:val="single" w:sz="4" w:space="0" w:color="auto"/>
              <w:left w:val="single" w:sz="4" w:space="0" w:color="auto"/>
              <w:bottom w:val="single" w:sz="4" w:space="0" w:color="auto"/>
              <w:right w:val="single" w:sz="4" w:space="0" w:color="auto"/>
            </w:tcBorders>
            <w:hideMark/>
          </w:tcPr>
          <w:p w14:paraId="2CB30B69" w14:textId="77777777" w:rsidR="002B30D8" w:rsidRDefault="002B30D8">
            <w:pPr>
              <w:pStyle w:val="Tabletext9pt"/>
              <w:rPr>
                <w:szCs w:val="18"/>
              </w:rPr>
            </w:pPr>
            <w:r>
              <w:rPr>
                <w:szCs w:val="18"/>
              </w:rPr>
              <w:t>Diversion Programs</w:t>
            </w:r>
          </w:p>
        </w:tc>
        <w:tc>
          <w:tcPr>
            <w:tcW w:w="4342" w:type="dxa"/>
            <w:tcBorders>
              <w:top w:val="single" w:sz="4" w:space="0" w:color="auto"/>
              <w:left w:val="single" w:sz="4" w:space="0" w:color="auto"/>
              <w:bottom w:val="single" w:sz="4" w:space="0" w:color="auto"/>
              <w:right w:val="single" w:sz="4" w:space="0" w:color="auto"/>
            </w:tcBorders>
            <w:hideMark/>
          </w:tcPr>
          <w:p w14:paraId="6BC9761C" w14:textId="77777777" w:rsidR="002B30D8" w:rsidRDefault="002B30D8">
            <w:pPr>
              <w:pStyle w:val="Tabletext9pt"/>
              <w:rPr>
                <w:szCs w:val="18"/>
              </w:rPr>
            </w:pPr>
            <w:r>
              <w:rPr>
                <w:szCs w:val="18"/>
              </w:rPr>
              <w:t>To divert clients away from the justice system by providing AOD therapeutic treatment for those who were referred by other services who wish to address their AOD-related offending behaviour, or to meet a condition of a diversion plan.</w:t>
            </w:r>
          </w:p>
        </w:tc>
      </w:tr>
      <w:tr w:rsidR="002B30D8" w14:paraId="71B0E540"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64CA27EE" w14:textId="77777777" w:rsidR="002B30D8" w:rsidRDefault="002B30D8">
            <w:pPr>
              <w:pStyle w:val="Tabletext9pt"/>
              <w:rPr>
                <w:szCs w:val="18"/>
              </w:rPr>
            </w:pPr>
            <w:r>
              <w:rPr>
                <w:szCs w:val="18"/>
              </w:rPr>
              <w:t>34212</w:t>
            </w:r>
          </w:p>
        </w:tc>
        <w:tc>
          <w:tcPr>
            <w:tcW w:w="2977" w:type="dxa"/>
            <w:tcBorders>
              <w:top w:val="single" w:sz="4" w:space="0" w:color="auto"/>
              <w:left w:val="single" w:sz="4" w:space="0" w:color="auto"/>
              <w:bottom w:val="single" w:sz="4" w:space="0" w:color="auto"/>
              <w:right w:val="single" w:sz="4" w:space="0" w:color="auto"/>
            </w:tcBorders>
            <w:hideMark/>
          </w:tcPr>
          <w:p w14:paraId="3A6AB0B9" w14:textId="77777777" w:rsidR="002B30D8" w:rsidRDefault="002B30D8">
            <w:pPr>
              <w:pStyle w:val="Tabletext9pt"/>
              <w:rPr>
                <w:szCs w:val="18"/>
              </w:rPr>
            </w:pPr>
            <w:r>
              <w:rPr>
                <w:szCs w:val="18"/>
              </w:rPr>
              <w:t>COATS Post Sentence</w:t>
            </w:r>
          </w:p>
        </w:tc>
        <w:tc>
          <w:tcPr>
            <w:tcW w:w="4342" w:type="dxa"/>
            <w:tcBorders>
              <w:top w:val="single" w:sz="4" w:space="0" w:color="auto"/>
              <w:left w:val="single" w:sz="4" w:space="0" w:color="auto"/>
              <w:bottom w:val="single" w:sz="4" w:space="0" w:color="auto"/>
              <w:right w:val="single" w:sz="4" w:space="0" w:color="auto"/>
            </w:tcBorders>
            <w:hideMark/>
          </w:tcPr>
          <w:p w14:paraId="2A0A8C30" w14:textId="77777777" w:rsidR="002B30D8" w:rsidRDefault="002B30D8">
            <w:pPr>
              <w:pStyle w:val="Tabletext9pt"/>
              <w:rPr>
                <w:szCs w:val="18"/>
              </w:rPr>
            </w:pPr>
            <w:r>
              <w:rPr>
                <w:szCs w:val="18"/>
              </w:rPr>
              <w:t>Community Offenders Advice and Treatment Service brokerage funds to purchase AOD therapeutic treatment for post-sentence/post-prison clients.</w:t>
            </w:r>
          </w:p>
        </w:tc>
      </w:tr>
      <w:tr w:rsidR="002B30D8" w14:paraId="0E7E6398"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A57C3F5" w14:textId="77777777" w:rsidR="002B30D8" w:rsidRDefault="002B30D8">
            <w:pPr>
              <w:pStyle w:val="Tabletext9pt"/>
              <w:rPr>
                <w:szCs w:val="18"/>
              </w:rPr>
            </w:pPr>
            <w:r>
              <w:rPr>
                <w:szCs w:val="18"/>
              </w:rPr>
              <w:t>34213</w:t>
            </w:r>
          </w:p>
        </w:tc>
        <w:tc>
          <w:tcPr>
            <w:tcW w:w="2977" w:type="dxa"/>
            <w:tcBorders>
              <w:top w:val="single" w:sz="4" w:space="0" w:color="auto"/>
              <w:left w:val="single" w:sz="4" w:space="0" w:color="auto"/>
              <w:bottom w:val="single" w:sz="4" w:space="0" w:color="auto"/>
              <w:right w:val="single" w:sz="4" w:space="0" w:color="auto"/>
            </w:tcBorders>
            <w:hideMark/>
          </w:tcPr>
          <w:p w14:paraId="040563A7" w14:textId="77777777" w:rsidR="002B30D8" w:rsidRDefault="002B30D8">
            <w:pPr>
              <w:pStyle w:val="Tabletext9pt"/>
              <w:rPr>
                <w:szCs w:val="18"/>
              </w:rPr>
            </w:pPr>
            <w:r>
              <w:rPr>
                <w:szCs w:val="18"/>
              </w:rPr>
              <w:t>Justice Programs</w:t>
            </w:r>
          </w:p>
        </w:tc>
        <w:tc>
          <w:tcPr>
            <w:tcW w:w="4342" w:type="dxa"/>
            <w:tcBorders>
              <w:top w:val="single" w:sz="4" w:space="0" w:color="auto"/>
              <w:left w:val="single" w:sz="4" w:space="0" w:color="auto"/>
              <w:bottom w:val="single" w:sz="4" w:space="0" w:color="auto"/>
              <w:right w:val="single" w:sz="4" w:space="0" w:color="auto"/>
            </w:tcBorders>
            <w:hideMark/>
          </w:tcPr>
          <w:p w14:paraId="5DCCA262" w14:textId="77777777" w:rsidR="002B30D8" w:rsidRDefault="002B30D8">
            <w:pPr>
              <w:pStyle w:val="Tabletext9pt"/>
              <w:rPr>
                <w:szCs w:val="18"/>
              </w:rPr>
            </w:pPr>
            <w:r>
              <w:rPr>
                <w:szCs w:val="18"/>
              </w:rPr>
              <w:t>To deliver criminogenic AOD programs to clients attending treatment via the justice system. Programs currently funded under this activity include targeted criminogenic interventions delivered in group settings.</w:t>
            </w:r>
          </w:p>
        </w:tc>
      </w:tr>
      <w:tr w:rsidR="002B30D8" w14:paraId="1B67A3B1"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1BF7777" w14:textId="77777777" w:rsidR="002B30D8" w:rsidRDefault="002B30D8">
            <w:pPr>
              <w:pStyle w:val="Tabletext9pt"/>
              <w:rPr>
                <w:szCs w:val="18"/>
              </w:rPr>
            </w:pPr>
            <w:r>
              <w:rPr>
                <w:szCs w:val="18"/>
              </w:rPr>
              <w:t>34214</w:t>
            </w:r>
          </w:p>
        </w:tc>
        <w:tc>
          <w:tcPr>
            <w:tcW w:w="2977" w:type="dxa"/>
            <w:tcBorders>
              <w:top w:val="single" w:sz="4" w:space="0" w:color="auto"/>
              <w:left w:val="single" w:sz="4" w:space="0" w:color="auto"/>
              <w:bottom w:val="single" w:sz="4" w:space="0" w:color="auto"/>
              <w:right w:val="single" w:sz="4" w:space="0" w:color="auto"/>
            </w:tcBorders>
            <w:hideMark/>
          </w:tcPr>
          <w:p w14:paraId="4956E161" w14:textId="77777777" w:rsidR="002B30D8" w:rsidRDefault="002B30D8">
            <w:pPr>
              <w:pStyle w:val="Tabletext9pt"/>
              <w:rPr>
                <w:szCs w:val="18"/>
              </w:rPr>
            </w:pPr>
            <w:r>
              <w:rPr>
                <w:szCs w:val="18"/>
              </w:rPr>
              <w:t>Severe Substance Dependence Treatment Withdrawal Services</w:t>
            </w:r>
          </w:p>
        </w:tc>
        <w:tc>
          <w:tcPr>
            <w:tcW w:w="4342" w:type="dxa"/>
            <w:tcBorders>
              <w:top w:val="single" w:sz="4" w:space="0" w:color="auto"/>
              <w:left w:val="single" w:sz="4" w:space="0" w:color="auto"/>
              <w:bottom w:val="single" w:sz="4" w:space="0" w:color="auto"/>
              <w:right w:val="single" w:sz="4" w:space="0" w:color="auto"/>
            </w:tcBorders>
            <w:hideMark/>
          </w:tcPr>
          <w:p w14:paraId="25111537" w14:textId="77777777" w:rsidR="002B30D8" w:rsidRDefault="002B30D8">
            <w:pPr>
              <w:pStyle w:val="Tabletext9pt"/>
              <w:rPr>
                <w:szCs w:val="18"/>
              </w:rPr>
            </w:pPr>
            <w:r>
              <w:rPr>
                <w:szCs w:val="18"/>
              </w:rPr>
              <w:t>Specified services provided under the</w:t>
            </w:r>
            <w:r>
              <w:rPr>
                <w:i/>
                <w:szCs w:val="18"/>
              </w:rPr>
              <w:t xml:space="preserve"> Severe Substance Dependence Treatment Act 2010</w:t>
            </w:r>
            <w:r>
              <w:rPr>
                <w:szCs w:val="18"/>
              </w:rPr>
              <w:t xml:space="preserve"> including coordination of client care, individual care planning and ensuring clients are linked into services in their local area that provide appropriate care and support.</w:t>
            </w:r>
          </w:p>
        </w:tc>
      </w:tr>
      <w:tr w:rsidR="002B30D8" w14:paraId="21745209"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71FF866E" w14:textId="77777777" w:rsidR="002B30D8" w:rsidRDefault="002B30D8">
            <w:pPr>
              <w:pStyle w:val="Tabletext9pt"/>
              <w:rPr>
                <w:szCs w:val="18"/>
              </w:rPr>
            </w:pPr>
            <w:r>
              <w:rPr>
                <w:szCs w:val="18"/>
              </w:rPr>
              <w:t>34300</w:t>
            </w:r>
          </w:p>
        </w:tc>
        <w:tc>
          <w:tcPr>
            <w:tcW w:w="2977" w:type="dxa"/>
            <w:tcBorders>
              <w:top w:val="single" w:sz="4" w:space="0" w:color="auto"/>
              <w:left w:val="single" w:sz="4" w:space="0" w:color="auto"/>
              <w:bottom w:val="single" w:sz="4" w:space="0" w:color="auto"/>
              <w:right w:val="single" w:sz="4" w:space="0" w:color="auto"/>
            </w:tcBorders>
            <w:hideMark/>
          </w:tcPr>
          <w:p w14:paraId="72D50E96" w14:textId="77777777" w:rsidR="002B30D8" w:rsidRDefault="002B30D8">
            <w:pPr>
              <w:pStyle w:val="Tabletext9pt"/>
              <w:rPr>
                <w:szCs w:val="18"/>
              </w:rPr>
            </w:pPr>
            <w:r>
              <w:rPr>
                <w:szCs w:val="18"/>
              </w:rPr>
              <w:t>Care and Recovery Coordination</w:t>
            </w:r>
          </w:p>
        </w:tc>
        <w:tc>
          <w:tcPr>
            <w:tcW w:w="4342" w:type="dxa"/>
            <w:tcBorders>
              <w:top w:val="single" w:sz="4" w:space="0" w:color="auto"/>
              <w:left w:val="single" w:sz="4" w:space="0" w:color="auto"/>
              <w:bottom w:val="single" w:sz="4" w:space="0" w:color="auto"/>
              <w:right w:val="single" w:sz="4" w:space="0" w:color="auto"/>
            </w:tcBorders>
            <w:hideMark/>
          </w:tcPr>
          <w:p w14:paraId="729D8E98" w14:textId="77777777" w:rsidR="002B30D8" w:rsidRDefault="002B30D8">
            <w:pPr>
              <w:pStyle w:val="Tabletext9pt"/>
              <w:rPr>
                <w:szCs w:val="18"/>
              </w:rPr>
            </w:pPr>
            <w:r>
              <w:rPr>
                <w:szCs w:val="18"/>
              </w:rPr>
              <w:t>Facilitates seamless and integrated treatment pathways for complex clients and their families and improves access to other services and support systems in the community through a range of mechanisms including peer support options.</w:t>
            </w:r>
          </w:p>
        </w:tc>
      </w:tr>
      <w:tr w:rsidR="002B30D8" w14:paraId="593777FC"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067BDDA4" w14:textId="77777777" w:rsidR="002B30D8" w:rsidRDefault="002B30D8">
            <w:pPr>
              <w:pStyle w:val="Tabletext9pt"/>
              <w:rPr>
                <w:szCs w:val="18"/>
              </w:rPr>
            </w:pPr>
            <w:r>
              <w:rPr>
                <w:szCs w:val="18"/>
              </w:rPr>
              <w:t>34301</w:t>
            </w:r>
          </w:p>
        </w:tc>
        <w:tc>
          <w:tcPr>
            <w:tcW w:w="2977" w:type="dxa"/>
            <w:tcBorders>
              <w:top w:val="single" w:sz="4" w:space="0" w:color="auto"/>
              <w:left w:val="single" w:sz="4" w:space="0" w:color="auto"/>
              <w:bottom w:val="single" w:sz="4" w:space="0" w:color="auto"/>
              <w:right w:val="single" w:sz="4" w:space="0" w:color="auto"/>
            </w:tcBorders>
            <w:hideMark/>
          </w:tcPr>
          <w:p w14:paraId="58F2A329" w14:textId="77777777" w:rsidR="002B30D8" w:rsidRDefault="002B30D8">
            <w:pPr>
              <w:pStyle w:val="Tabletext9pt"/>
              <w:rPr>
                <w:szCs w:val="18"/>
              </w:rPr>
            </w:pPr>
            <w:r>
              <w:rPr>
                <w:szCs w:val="18"/>
              </w:rPr>
              <w:t>Counselling</w:t>
            </w:r>
          </w:p>
        </w:tc>
        <w:tc>
          <w:tcPr>
            <w:tcW w:w="4342" w:type="dxa"/>
            <w:tcBorders>
              <w:top w:val="single" w:sz="4" w:space="0" w:color="auto"/>
              <w:left w:val="single" w:sz="4" w:space="0" w:color="auto"/>
              <w:bottom w:val="single" w:sz="4" w:space="0" w:color="auto"/>
              <w:right w:val="single" w:sz="4" w:space="0" w:color="auto"/>
            </w:tcBorders>
            <w:hideMark/>
          </w:tcPr>
          <w:p w14:paraId="6F6A39C7" w14:textId="77777777" w:rsidR="002B30D8" w:rsidRDefault="002B30D8">
            <w:pPr>
              <w:pStyle w:val="Tabletext9pt"/>
              <w:rPr>
                <w:szCs w:val="18"/>
              </w:rPr>
            </w:pPr>
            <w:r>
              <w:rPr>
                <w:szCs w:val="18"/>
              </w:rPr>
              <w:t>Counselling includes providing face-to-face, online or telephone treatment and support for individuals and families, including group counselling and day programs. Duration can range from a single session to extended periods of engagement.</w:t>
            </w:r>
          </w:p>
        </w:tc>
      </w:tr>
      <w:tr w:rsidR="002B30D8" w14:paraId="097FE101"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4002DF94" w14:textId="77777777" w:rsidR="002B30D8" w:rsidRDefault="002B30D8">
            <w:pPr>
              <w:pStyle w:val="Tabletext9pt"/>
              <w:rPr>
                <w:szCs w:val="18"/>
              </w:rPr>
            </w:pPr>
            <w:r>
              <w:rPr>
                <w:szCs w:val="18"/>
              </w:rPr>
              <w:t>34303</w:t>
            </w:r>
          </w:p>
        </w:tc>
        <w:tc>
          <w:tcPr>
            <w:tcW w:w="2977" w:type="dxa"/>
            <w:tcBorders>
              <w:top w:val="single" w:sz="4" w:space="0" w:color="auto"/>
              <w:left w:val="single" w:sz="4" w:space="0" w:color="auto"/>
              <w:bottom w:val="single" w:sz="4" w:space="0" w:color="auto"/>
              <w:right w:val="single" w:sz="4" w:space="0" w:color="auto"/>
            </w:tcBorders>
            <w:hideMark/>
          </w:tcPr>
          <w:p w14:paraId="49481339" w14:textId="77777777" w:rsidR="002B30D8" w:rsidRDefault="002B30D8">
            <w:pPr>
              <w:pStyle w:val="Tabletext9pt"/>
              <w:rPr>
                <w:szCs w:val="18"/>
              </w:rPr>
            </w:pPr>
            <w:r>
              <w:rPr>
                <w:szCs w:val="18"/>
              </w:rPr>
              <w:t>Non-Residential Withdrawal</w:t>
            </w:r>
          </w:p>
        </w:tc>
        <w:tc>
          <w:tcPr>
            <w:tcW w:w="4342" w:type="dxa"/>
            <w:tcBorders>
              <w:top w:val="single" w:sz="4" w:space="0" w:color="auto"/>
              <w:left w:val="single" w:sz="4" w:space="0" w:color="auto"/>
              <w:bottom w:val="single" w:sz="4" w:space="0" w:color="auto"/>
              <w:right w:val="single" w:sz="4" w:space="0" w:color="auto"/>
            </w:tcBorders>
            <w:hideMark/>
          </w:tcPr>
          <w:p w14:paraId="6D163F1B" w14:textId="77777777" w:rsidR="002B30D8" w:rsidRDefault="002B30D8">
            <w:pPr>
              <w:pStyle w:val="Tabletext9pt"/>
              <w:rPr>
                <w:szCs w:val="18"/>
              </w:rPr>
            </w:pPr>
            <w:r>
              <w:rPr>
                <w:szCs w:val="18"/>
              </w:rPr>
              <w:t>Non-residential withdrawal services support people to safely achieve neuroadaptation reversal in conjunction with a medical practitioner. Includes clinical withdrawal assessment, withdrawal treatment and referral and information provision via home-based, outpatient, outreach, or hospital-supported modalities.</w:t>
            </w:r>
          </w:p>
        </w:tc>
      </w:tr>
      <w:tr w:rsidR="002B30D8" w14:paraId="2D535325"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09E78FF3" w14:textId="77777777" w:rsidR="002B30D8" w:rsidRDefault="002B30D8">
            <w:pPr>
              <w:pStyle w:val="Tabletext9pt"/>
              <w:rPr>
                <w:szCs w:val="18"/>
              </w:rPr>
            </w:pPr>
            <w:r>
              <w:rPr>
                <w:szCs w:val="18"/>
              </w:rPr>
              <w:t>34304</w:t>
            </w:r>
          </w:p>
        </w:tc>
        <w:tc>
          <w:tcPr>
            <w:tcW w:w="2977" w:type="dxa"/>
            <w:tcBorders>
              <w:top w:val="single" w:sz="4" w:space="0" w:color="auto"/>
              <w:left w:val="single" w:sz="4" w:space="0" w:color="auto"/>
              <w:bottom w:val="single" w:sz="4" w:space="0" w:color="auto"/>
              <w:right w:val="single" w:sz="4" w:space="0" w:color="auto"/>
            </w:tcBorders>
            <w:hideMark/>
          </w:tcPr>
          <w:p w14:paraId="138A13AE" w14:textId="77777777" w:rsidR="002B30D8" w:rsidRDefault="002B30D8">
            <w:pPr>
              <w:pStyle w:val="Tabletext9pt"/>
              <w:rPr>
                <w:szCs w:val="18"/>
              </w:rPr>
            </w:pPr>
            <w:r>
              <w:rPr>
                <w:szCs w:val="18"/>
              </w:rPr>
              <w:t>Area-Based Planning</w:t>
            </w:r>
          </w:p>
        </w:tc>
        <w:tc>
          <w:tcPr>
            <w:tcW w:w="4342" w:type="dxa"/>
            <w:tcBorders>
              <w:top w:val="single" w:sz="4" w:space="0" w:color="auto"/>
              <w:left w:val="single" w:sz="4" w:space="0" w:color="auto"/>
              <w:bottom w:val="single" w:sz="4" w:space="0" w:color="auto"/>
              <w:right w:val="single" w:sz="4" w:space="0" w:color="auto"/>
            </w:tcBorders>
            <w:hideMark/>
          </w:tcPr>
          <w:p w14:paraId="3321A8BE" w14:textId="155B2A1D" w:rsidR="002B30D8" w:rsidRDefault="002B30D8">
            <w:pPr>
              <w:pStyle w:val="Tabletext9pt"/>
            </w:pPr>
            <w:r>
              <w:t>Area-based planning assists AOD treatment providers operating in a given Department of Health area to develop an evidence-based area plan which identifies essential service gaps and pressures and strategies to improve responsiveness to client and community need and population diversity, including disadvantaged population groups. Each plan provides the basis for improved cross-sector service coordination and by doing this achieves a more planned, joined-up approach to the needs of clients.</w:t>
            </w:r>
          </w:p>
        </w:tc>
      </w:tr>
      <w:tr w:rsidR="002B30D8" w14:paraId="025F80DD"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70A98F46" w14:textId="77777777" w:rsidR="002B30D8" w:rsidRDefault="002B30D8">
            <w:pPr>
              <w:pStyle w:val="Tabletext9pt"/>
              <w:rPr>
                <w:szCs w:val="18"/>
              </w:rPr>
            </w:pPr>
            <w:r>
              <w:rPr>
                <w:szCs w:val="18"/>
              </w:rPr>
              <w:lastRenderedPageBreak/>
              <w:t>34305</w:t>
            </w:r>
          </w:p>
        </w:tc>
        <w:tc>
          <w:tcPr>
            <w:tcW w:w="2977" w:type="dxa"/>
            <w:tcBorders>
              <w:top w:val="single" w:sz="4" w:space="0" w:color="auto"/>
              <w:left w:val="single" w:sz="4" w:space="0" w:color="auto"/>
              <w:bottom w:val="single" w:sz="4" w:space="0" w:color="auto"/>
              <w:right w:val="single" w:sz="4" w:space="0" w:color="auto"/>
            </w:tcBorders>
            <w:hideMark/>
          </w:tcPr>
          <w:p w14:paraId="33EA72A8" w14:textId="77777777" w:rsidR="002B30D8" w:rsidRDefault="002B30D8">
            <w:pPr>
              <w:pStyle w:val="Tabletext9pt"/>
              <w:rPr>
                <w:szCs w:val="18"/>
              </w:rPr>
            </w:pPr>
            <w:r>
              <w:rPr>
                <w:szCs w:val="18"/>
              </w:rPr>
              <w:t>Therapeutic Day Rehabilitation</w:t>
            </w:r>
          </w:p>
        </w:tc>
        <w:tc>
          <w:tcPr>
            <w:tcW w:w="4342" w:type="dxa"/>
            <w:tcBorders>
              <w:top w:val="single" w:sz="4" w:space="0" w:color="auto"/>
              <w:left w:val="single" w:sz="4" w:space="0" w:color="auto"/>
              <w:bottom w:val="single" w:sz="4" w:space="0" w:color="auto"/>
              <w:right w:val="single" w:sz="4" w:space="0" w:color="auto"/>
            </w:tcBorders>
            <w:hideMark/>
          </w:tcPr>
          <w:p w14:paraId="443D652E" w14:textId="77777777" w:rsidR="002B30D8" w:rsidRDefault="002B30D8">
            <w:pPr>
              <w:pStyle w:val="Tabletext9pt"/>
              <w:rPr>
                <w:szCs w:val="18"/>
              </w:rPr>
            </w:pPr>
            <w:r>
              <w:rPr>
                <w:szCs w:val="18"/>
              </w:rPr>
              <w:t>Non-residential rehabilitation programs for people recovering from AOD substance misuse. These programs are intensive, structured interventions to address the psychosocial causes for drug dependence through evidence-based treatment, with the aim of sustainable recovery. The program typically includes a mix of motivational enhancement, cognitive behavioural therapies and individual and group counselling, self-help and peer support, and supported reintegration into the community and the re-engagement with recreation and activities.</w:t>
            </w:r>
          </w:p>
        </w:tc>
      </w:tr>
      <w:tr w:rsidR="002B30D8" w14:paraId="64D4EA58"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24DF4806" w14:textId="77777777" w:rsidR="002B30D8" w:rsidRDefault="002B30D8">
            <w:pPr>
              <w:pStyle w:val="Tabletext9pt"/>
              <w:rPr>
                <w:szCs w:val="18"/>
              </w:rPr>
            </w:pPr>
            <w:r>
              <w:rPr>
                <w:szCs w:val="18"/>
              </w:rPr>
              <w:t>34306</w:t>
            </w:r>
          </w:p>
        </w:tc>
        <w:tc>
          <w:tcPr>
            <w:tcW w:w="2977" w:type="dxa"/>
            <w:tcBorders>
              <w:top w:val="single" w:sz="4" w:space="0" w:color="auto"/>
              <w:left w:val="single" w:sz="4" w:space="0" w:color="auto"/>
              <w:bottom w:val="single" w:sz="4" w:space="0" w:color="auto"/>
              <w:right w:val="single" w:sz="4" w:space="0" w:color="auto"/>
            </w:tcBorders>
            <w:hideMark/>
          </w:tcPr>
          <w:p w14:paraId="24DAC854" w14:textId="77777777" w:rsidR="002B30D8" w:rsidRDefault="002B30D8">
            <w:pPr>
              <w:pStyle w:val="Tabletext9pt"/>
              <w:rPr>
                <w:szCs w:val="18"/>
              </w:rPr>
            </w:pPr>
            <w:r>
              <w:rPr>
                <w:szCs w:val="18"/>
              </w:rPr>
              <w:t>Intake</w:t>
            </w:r>
          </w:p>
        </w:tc>
        <w:tc>
          <w:tcPr>
            <w:tcW w:w="4342" w:type="dxa"/>
            <w:tcBorders>
              <w:top w:val="single" w:sz="4" w:space="0" w:color="auto"/>
              <w:left w:val="single" w:sz="4" w:space="0" w:color="auto"/>
              <w:bottom w:val="single" w:sz="4" w:space="0" w:color="auto"/>
              <w:right w:val="single" w:sz="4" w:space="0" w:color="auto"/>
            </w:tcBorders>
            <w:hideMark/>
          </w:tcPr>
          <w:p w14:paraId="78440731" w14:textId="77777777" w:rsidR="002B30D8" w:rsidRDefault="002B30D8">
            <w:pPr>
              <w:pStyle w:val="Tabletext9pt"/>
              <w:rPr>
                <w:szCs w:val="18"/>
              </w:rPr>
            </w:pPr>
            <w:r>
              <w:rPr>
                <w:szCs w:val="18"/>
              </w:rPr>
              <w:t>The intake function delivers standardised good-practice triage to identify a person’s need for, and prioritise their referral to, specialist AOD treatment and other services. This activity includes brief interventions and bridging support, where appropriate, up until the point of a client’s assessment.</w:t>
            </w:r>
          </w:p>
        </w:tc>
      </w:tr>
      <w:tr w:rsidR="002B30D8" w14:paraId="1EF5CBE2"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572F226F" w14:textId="77777777" w:rsidR="002B30D8" w:rsidRDefault="002B30D8">
            <w:pPr>
              <w:pStyle w:val="Tabletext9pt"/>
              <w:rPr>
                <w:szCs w:val="18"/>
              </w:rPr>
            </w:pPr>
            <w:r>
              <w:t>34307</w:t>
            </w:r>
          </w:p>
        </w:tc>
        <w:tc>
          <w:tcPr>
            <w:tcW w:w="2977" w:type="dxa"/>
            <w:tcBorders>
              <w:top w:val="single" w:sz="4" w:space="0" w:color="auto"/>
              <w:left w:val="single" w:sz="4" w:space="0" w:color="auto"/>
              <w:bottom w:val="single" w:sz="4" w:space="0" w:color="auto"/>
              <w:right w:val="single" w:sz="4" w:space="0" w:color="auto"/>
            </w:tcBorders>
            <w:hideMark/>
          </w:tcPr>
          <w:p w14:paraId="4648EED1" w14:textId="77777777" w:rsidR="002B30D8" w:rsidRDefault="002B30D8">
            <w:pPr>
              <w:pStyle w:val="Tabletext9pt"/>
              <w:rPr>
                <w:szCs w:val="18"/>
              </w:rPr>
            </w:pPr>
            <w:r>
              <w:rPr>
                <w:szCs w:val="18"/>
              </w:rPr>
              <w:t>Assessment</w:t>
            </w:r>
          </w:p>
        </w:tc>
        <w:tc>
          <w:tcPr>
            <w:tcW w:w="4342" w:type="dxa"/>
            <w:tcBorders>
              <w:top w:val="single" w:sz="4" w:space="0" w:color="auto"/>
              <w:left w:val="single" w:sz="4" w:space="0" w:color="auto"/>
              <w:bottom w:val="single" w:sz="4" w:space="0" w:color="auto"/>
              <w:right w:val="single" w:sz="4" w:space="0" w:color="auto"/>
            </w:tcBorders>
            <w:hideMark/>
          </w:tcPr>
          <w:p w14:paraId="76FE9061" w14:textId="77777777" w:rsidR="002B30D8" w:rsidRDefault="002B30D8">
            <w:pPr>
              <w:pStyle w:val="Tabletext9pt"/>
              <w:rPr>
                <w:szCs w:val="18"/>
              </w:rPr>
            </w:pPr>
            <w:r>
              <w:t>The assessment function delivers standardised, good-practice comprehensive assessment and treatment planning to identify and prioritise a person’s treatment and referral needs. This activity includes brief interventions and bridging support, where appropriate.</w:t>
            </w:r>
          </w:p>
        </w:tc>
      </w:tr>
      <w:tr w:rsidR="002B30D8" w14:paraId="2707A592" w14:textId="77777777" w:rsidTr="24978AEB">
        <w:trPr>
          <w:cantSplit/>
        </w:trPr>
        <w:tc>
          <w:tcPr>
            <w:tcW w:w="1980" w:type="dxa"/>
            <w:tcBorders>
              <w:top w:val="single" w:sz="4" w:space="0" w:color="auto"/>
              <w:left w:val="single" w:sz="4" w:space="0" w:color="auto"/>
              <w:bottom w:val="single" w:sz="4" w:space="0" w:color="auto"/>
              <w:right w:val="single" w:sz="4" w:space="0" w:color="auto"/>
            </w:tcBorders>
            <w:hideMark/>
          </w:tcPr>
          <w:p w14:paraId="569B4D48" w14:textId="77777777" w:rsidR="002B30D8" w:rsidRDefault="002B30D8">
            <w:pPr>
              <w:pStyle w:val="Tabletext9pt"/>
            </w:pPr>
            <w:r>
              <w:t>34308</w:t>
            </w:r>
          </w:p>
        </w:tc>
        <w:tc>
          <w:tcPr>
            <w:tcW w:w="2977" w:type="dxa"/>
            <w:tcBorders>
              <w:top w:val="single" w:sz="4" w:space="0" w:color="auto"/>
              <w:left w:val="single" w:sz="4" w:space="0" w:color="auto"/>
              <w:bottom w:val="single" w:sz="4" w:space="0" w:color="auto"/>
              <w:right w:val="single" w:sz="4" w:space="0" w:color="auto"/>
            </w:tcBorders>
            <w:hideMark/>
          </w:tcPr>
          <w:p w14:paraId="1EF09521" w14:textId="77777777" w:rsidR="002B30D8" w:rsidRDefault="002B30D8">
            <w:pPr>
              <w:pStyle w:val="Tabletext9pt"/>
              <w:rPr>
                <w:szCs w:val="18"/>
              </w:rPr>
            </w:pPr>
            <w:r>
              <w:rPr>
                <w:szCs w:val="18"/>
              </w:rPr>
              <w:t>Medically Supervised Injecting Room</w:t>
            </w:r>
          </w:p>
        </w:tc>
        <w:tc>
          <w:tcPr>
            <w:tcW w:w="4342" w:type="dxa"/>
            <w:tcBorders>
              <w:top w:val="single" w:sz="4" w:space="0" w:color="auto"/>
              <w:left w:val="single" w:sz="4" w:space="0" w:color="auto"/>
              <w:bottom w:val="single" w:sz="4" w:space="0" w:color="auto"/>
              <w:right w:val="single" w:sz="4" w:space="0" w:color="auto"/>
            </w:tcBorders>
            <w:hideMark/>
          </w:tcPr>
          <w:p w14:paraId="0E95E1E4" w14:textId="77777777" w:rsidR="002B30D8" w:rsidRDefault="002B30D8">
            <w:pPr>
              <w:pStyle w:val="Tabletext9pt"/>
            </w:pPr>
            <w:r>
              <w:t>To provide a safer setting for people to inject drugs, consistent with the objects outlined in Part IIA of the Drugs, Poisons and Controlled Substances Act 1981 (the Act).</w:t>
            </w:r>
          </w:p>
        </w:tc>
      </w:tr>
    </w:tbl>
    <w:p w14:paraId="70BE0CF4" w14:textId="12E33D7E" w:rsidR="000B27B9" w:rsidRDefault="002B30D8" w:rsidP="003C01AD">
      <w:pPr>
        <w:pStyle w:val="Tablecaption"/>
        <w:numPr>
          <w:ilvl w:val="0"/>
          <w:numId w:val="40"/>
        </w:numPr>
      </w:pPr>
      <w:r w:rsidRPr="00E7554A">
        <w:t xml:space="preserve"> </w:t>
      </w:r>
      <w:bookmarkStart w:id="1015" w:name="_Toc109894124"/>
      <w:bookmarkStart w:id="1016" w:name="_Toc119500905"/>
      <w:r w:rsidR="000B27B9" w:rsidRPr="00E7554A">
        <w:t>Small rural health services</w:t>
      </w:r>
      <w:r w:rsidR="000B27B9">
        <w:t xml:space="preserve"> </w:t>
      </w:r>
      <w:r w:rsidR="000B27B9" w:rsidRPr="00E7554A">
        <w:t>– outputs and activities</w:t>
      </w:r>
      <w:r w:rsidR="000B27B9">
        <w:t xml:space="preserve"> </w:t>
      </w:r>
      <w:bookmarkEnd w:id="1004"/>
      <w:bookmarkEnd w:id="1005"/>
      <w:bookmarkEnd w:id="1006"/>
      <w:bookmarkEnd w:id="1007"/>
      <w:r w:rsidR="005D1FCB" w:rsidRPr="00697369">
        <w:t>2022</w:t>
      </w:r>
      <w:r w:rsidR="00CA1B3E">
        <w:t>–</w:t>
      </w:r>
      <w:r w:rsidR="005D1FCB" w:rsidRPr="00697369">
        <w:t>23</w:t>
      </w:r>
      <w:bookmarkEnd w:id="1015"/>
      <w:bookmarkEnd w:id="1016"/>
    </w:p>
    <w:p w14:paraId="59B00D1B" w14:textId="77777777" w:rsidR="002B30D8" w:rsidRDefault="002B30D8" w:rsidP="002B30D8">
      <w:pPr>
        <w:pStyle w:val="Body"/>
      </w:pPr>
      <w:bookmarkStart w:id="1017" w:name="_Ref12016891"/>
      <w:bookmarkStart w:id="1018" w:name="_Toc419623628"/>
      <w:bookmarkStart w:id="1019" w:name="_Toc419623740"/>
      <w:bookmarkStart w:id="1020" w:name="_Toc419644528"/>
      <w:bookmarkStart w:id="1021" w:name="_Toc487742092"/>
      <w:bookmarkEnd w:id="1008"/>
      <w:bookmarkEnd w:id="1009"/>
      <w:bookmarkEnd w:id="1010"/>
      <w:bookmarkEnd w:id="1011"/>
      <w:bookmarkEnd w:id="1012"/>
      <w:bookmarkEnd w:id="1013"/>
      <w:bookmarkEnd w:id="1014"/>
      <w:r>
        <w:t>Output name: Acute health</w:t>
      </w:r>
    </w:p>
    <w:tbl>
      <w:tblPr>
        <w:tblStyle w:val="TableGrid1"/>
        <w:tblW w:w="9299" w:type="dxa"/>
        <w:tblLook w:val="06A0" w:firstRow="1" w:lastRow="0" w:firstColumn="1" w:lastColumn="0" w:noHBand="1" w:noVBand="1"/>
      </w:tblPr>
      <w:tblGrid>
        <w:gridCol w:w="1980"/>
        <w:gridCol w:w="2977"/>
        <w:gridCol w:w="4342"/>
      </w:tblGrid>
      <w:tr w:rsidR="00537B9A" w14:paraId="066DE6F7" w14:textId="77777777" w:rsidTr="00537B9A">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hideMark/>
          </w:tcPr>
          <w:p w14:paraId="51F3BCFE" w14:textId="77777777" w:rsidR="002B30D8" w:rsidRDefault="002B30D8">
            <w:pPr>
              <w:pStyle w:val="Tablecolhead9pt"/>
              <w:rPr>
                <w:szCs w:val="18"/>
                <w:lang w:eastAsia="en-AU"/>
              </w:rPr>
            </w:pPr>
            <w:r>
              <w:rPr>
                <w:lang w:eastAsia="en-AU"/>
              </w:rPr>
              <w:t>Activity no.</w:t>
            </w:r>
          </w:p>
        </w:tc>
        <w:tc>
          <w:tcPr>
            <w:tcW w:w="0" w:type="dxa"/>
            <w:tcBorders>
              <w:top w:val="single" w:sz="4" w:space="0" w:color="auto"/>
              <w:left w:val="single" w:sz="4" w:space="0" w:color="auto"/>
              <w:bottom w:val="single" w:sz="4" w:space="0" w:color="auto"/>
              <w:right w:val="single" w:sz="4" w:space="0" w:color="auto"/>
            </w:tcBorders>
            <w:hideMark/>
          </w:tcPr>
          <w:p w14:paraId="0EA6439A" w14:textId="77777777" w:rsidR="002B30D8" w:rsidRDefault="002B30D8">
            <w:pPr>
              <w:pStyle w:val="Tablecolhead9pt"/>
              <w:rPr>
                <w:szCs w:val="18"/>
                <w:lang w:eastAsia="en-AU"/>
              </w:rPr>
            </w:pPr>
            <w:r>
              <w:rPr>
                <w:lang w:eastAsia="en-AU"/>
              </w:rPr>
              <w:t>Activity name</w:t>
            </w:r>
          </w:p>
        </w:tc>
        <w:tc>
          <w:tcPr>
            <w:tcW w:w="0" w:type="dxa"/>
            <w:tcBorders>
              <w:top w:val="single" w:sz="4" w:space="0" w:color="auto"/>
              <w:left w:val="single" w:sz="4" w:space="0" w:color="auto"/>
              <w:bottom w:val="single" w:sz="4" w:space="0" w:color="auto"/>
              <w:right w:val="single" w:sz="4" w:space="0" w:color="auto"/>
            </w:tcBorders>
            <w:hideMark/>
          </w:tcPr>
          <w:p w14:paraId="1B7C30EE" w14:textId="77777777" w:rsidR="002B30D8" w:rsidRDefault="002B30D8">
            <w:pPr>
              <w:pStyle w:val="Tablecolhead9pt"/>
              <w:rPr>
                <w:szCs w:val="18"/>
                <w:lang w:eastAsia="en-AU"/>
              </w:rPr>
            </w:pPr>
            <w:r>
              <w:rPr>
                <w:lang w:eastAsia="en-AU"/>
              </w:rPr>
              <w:t>Activity description</w:t>
            </w:r>
          </w:p>
        </w:tc>
      </w:tr>
      <w:tr w:rsidR="002B30D8" w14:paraId="69ADFCE1"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414256AA" w14:textId="77777777" w:rsidR="002B30D8" w:rsidRDefault="002B30D8">
            <w:pPr>
              <w:pStyle w:val="Tabletext9pt"/>
              <w:rPr>
                <w:szCs w:val="18"/>
              </w:rPr>
            </w:pPr>
            <w:r>
              <w:rPr>
                <w:szCs w:val="18"/>
              </w:rPr>
              <w:t>35024</w:t>
            </w:r>
          </w:p>
        </w:tc>
        <w:tc>
          <w:tcPr>
            <w:tcW w:w="2977" w:type="dxa"/>
            <w:tcBorders>
              <w:top w:val="single" w:sz="4" w:space="0" w:color="auto"/>
              <w:left w:val="single" w:sz="4" w:space="0" w:color="auto"/>
              <w:bottom w:val="single" w:sz="4" w:space="0" w:color="auto"/>
              <w:right w:val="single" w:sz="4" w:space="0" w:color="auto"/>
            </w:tcBorders>
            <w:hideMark/>
          </w:tcPr>
          <w:p w14:paraId="290395CB" w14:textId="77777777" w:rsidR="002B30D8" w:rsidRDefault="002B30D8">
            <w:pPr>
              <w:pStyle w:val="Tabletext9pt"/>
              <w:rPr>
                <w:szCs w:val="18"/>
              </w:rPr>
            </w:pPr>
            <w:r>
              <w:rPr>
                <w:szCs w:val="18"/>
              </w:rPr>
              <w:t>Small rural – flexible health service delivery</w:t>
            </w:r>
          </w:p>
        </w:tc>
        <w:tc>
          <w:tcPr>
            <w:tcW w:w="4342" w:type="dxa"/>
            <w:tcBorders>
              <w:top w:val="single" w:sz="4" w:space="0" w:color="auto"/>
              <w:left w:val="single" w:sz="4" w:space="0" w:color="auto"/>
              <w:bottom w:val="single" w:sz="4" w:space="0" w:color="auto"/>
              <w:right w:val="single" w:sz="4" w:space="0" w:color="auto"/>
            </w:tcBorders>
            <w:hideMark/>
          </w:tcPr>
          <w:p w14:paraId="09966504" w14:textId="77777777" w:rsidR="002B30D8" w:rsidRDefault="002B30D8">
            <w:pPr>
              <w:pStyle w:val="Tabletext9pt"/>
              <w:rPr>
                <w:szCs w:val="18"/>
              </w:rPr>
            </w:pPr>
            <w:r>
              <w:rPr>
                <w:szCs w:val="18"/>
              </w:rPr>
              <w:t>A range of health services provided to small rural communities.</w:t>
            </w:r>
          </w:p>
        </w:tc>
      </w:tr>
      <w:tr w:rsidR="002B30D8" w14:paraId="107F98D7"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52CB26F1" w14:textId="77777777" w:rsidR="002B30D8" w:rsidRDefault="002B30D8">
            <w:pPr>
              <w:pStyle w:val="Tabletext9pt"/>
              <w:rPr>
                <w:szCs w:val="18"/>
              </w:rPr>
            </w:pPr>
            <w:r>
              <w:rPr>
                <w:szCs w:val="18"/>
              </w:rPr>
              <w:t>35025</w:t>
            </w:r>
          </w:p>
        </w:tc>
        <w:tc>
          <w:tcPr>
            <w:tcW w:w="2977" w:type="dxa"/>
            <w:tcBorders>
              <w:top w:val="single" w:sz="4" w:space="0" w:color="auto"/>
              <w:left w:val="single" w:sz="4" w:space="0" w:color="auto"/>
              <w:bottom w:val="single" w:sz="4" w:space="0" w:color="auto"/>
              <w:right w:val="single" w:sz="4" w:space="0" w:color="auto"/>
            </w:tcBorders>
            <w:hideMark/>
          </w:tcPr>
          <w:p w14:paraId="56A1D845" w14:textId="77777777" w:rsidR="002B30D8" w:rsidRDefault="002B30D8">
            <w:pPr>
              <w:pStyle w:val="Tabletext9pt"/>
              <w:rPr>
                <w:szCs w:val="18"/>
              </w:rPr>
            </w:pPr>
            <w:r>
              <w:rPr>
                <w:szCs w:val="18"/>
              </w:rPr>
              <w:t>Small rural – TAC – acute health</w:t>
            </w:r>
          </w:p>
        </w:tc>
        <w:tc>
          <w:tcPr>
            <w:tcW w:w="4342" w:type="dxa"/>
            <w:tcBorders>
              <w:top w:val="single" w:sz="4" w:space="0" w:color="auto"/>
              <w:left w:val="single" w:sz="4" w:space="0" w:color="auto"/>
              <w:bottom w:val="single" w:sz="4" w:space="0" w:color="auto"/>
              <w:right w:val="single" w:sz="4" w:space="0" w:color="auto"/>
            </w:tcBorders>
            <w:hideMark/>
          </w:tcPr>
          <w:p w14:paraId="19F2BE6A" w14:textId="77777777" w:rsidR="002B30D8" w:rsidRDefault="002B30D8">
            <w:pPr>
              <w:pStyle w:val="Tabletext9pt"/>
              <w:rPr>
                <w:szCs w:val="18"/>
              </w:rPr>
            </w:pPr>
            <w:r>
              <w:rPr>
                <w:szCs w:val="18"/>
              </w:rPr>
              <w:t>Transport Accident Commission-funded inpatient services.</w:t>
            </w:r>
          </w:p>
        </w:tc>
      </w:tr>
      <w:tr w:rsidR="002B30D8" w14:paraId="7761B5EE"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0A1729A7" w14:textId="77777777" w:rsidR="002B30D8" w:rsidRDefault="002B30D8">
            <w:pPr>
              <w:pStyle w:val="Tabletext9pt"/>
              <w:rPr>
                <w:szCs w:val="18"/>
              </w:rPr>
            </w:pPr>
            <w:r>
              <w:rPr>
                <w:szCs w:val="18"/>
              </w:rPr>
              <w:t>35026</w:t>
            </w:r>
          </w:p>
        </w:tc>
        <w:tc>
          <w:tcPr>
            <w:tcW w:w="2977" w:type="dxa"/>
            <w:tcBorders>
              <w:top w:val="single" w:sz="4" w:space="0" w:color="auto"/>
              <w:left w:val="single" w:sz="4" w:space="0" w:color="auto"/>
              <w:bottom w:val="single" w:sz="4" w:space="0" w:color="auto"/>
              <w:right w:val="single" w:sz="4" w:space="0" w:color="auto"/>
            </w:tcBorders>
            <w:hideMark/>
          </w:tcPr>
          <w:p w14:paraId="35A5B254" w14:textId="77777777" w:rsidR="002B30D8" w:rsidRDefault="002B30D8">
            <w:pPr>
              <w:pStyle w:val="Tabletext9pt"/>
              <w:rPr>
                <w:szCs w:val="18"/>
              </w:rPr>
            </w:pPr>
            <w:r>
              <w:rPr>
                <w:szCs w:val="18"/>
              </w:rPr>
              <w:t>Small rural – DVA – acute health</w:t>
            </w:r>
          </w:p>
        </w:tc>
        <w:tc>
          <w:tcPr>
            <w:tcW w:w="4342" w:type="dxa"/>
            <w:tcBorders>
              <w:top w:val="single" w:sz="4" w:space="0" w:color="auto"/>
              <w:left w:val="single" w:sz="4" w:space="0" w:color="auto"/>
              <w:bottom w:val="single" w:sz="4" w:space="0" w:color="auto"/>
              <w:right w:val="single" w:sz="4" w:space="0" w:color="auto"/>
            </w:tcBorders>
            <w:hideMark/>
          </w:tcPr>
          <w:p w14:paraId="30B6FF02" w14:textId="77777777" w:rsidR="002B30D8" w:rsidRDefault="002B30D8">
            <w:pPr>
              <w:pStyle w:val="Tabletext9pt"/>
              <w:rPr>
                <w:szCs w:val="18"/>
              </w:rPr>
            </w:pPr>
            <w:r>
              <w:rPr>
                <w:szCs w:val="18"/>
              </w:rPr>
              <w:t>Department of Veterans’ Affairs-funded inpatient services.</w:t>
            </w:r>
          </w:p>
        </w:tc>
      </w:tr>
      <w:tr w:rsidR="002B30D8" w14:paraId="3949AA45"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7A8D733A" w14:textId="77777777" w:rsidR="002B30D8" w:rsidRDefault="002B30D8">
            <w:pPr>
              <w:pStyle w:val="Tabletext9pt"/>
              <w:rPr>
                <w:szCs w:val="18"/>
              </w:rPr>
            </w:pPr>
            <w:r>
              <w:rPr>
                <w:szCs w:val="18"/>
              </w:rPr>
              <w:t>35028</w:t>
            </w:r>
          </w:p>
        </w:tc>
        <w:tc>
          <w:tcPr>
            <w:tcW w:w="2977" w:type="dxa"/>
            <w:tcBorders>
              <w:top w:val="single" w:sz="4" w:space="0" w:color="auto"/>
              <w:left w:val="single" w:sz="4" w:space="0" w:color="auto"/>
              <w:bottom w:val="single" w:sz="4" w:space="0" w:color="auto"/>
              <w:right w:val="single" w:sz="4" w:space="0" w:color="auto"/>
            </w:tcBorders>
            <w:hideMark/>
          </w:tcPr>
          <w:p w14:paraId="1F8A7D5F" w14:textId="77777777" w:rsidR="002B30D8" w:rsidRDefault="002B30D8">
            <w:pPr>
              <w:pStyle w:val="Tabletext9pt"/>
              <w:rPr>
                <w:szCs w:val="18"/>
              </w:rPr>
            </w:pPr>
            <w:r>
              <w:rPr>
                <w:szCs w:val="18"/>
              </w:rPr>
              <w:t>Small rural – acute health service system development and resourcing</w:t>
            </w:r>
          </w:p>
        </w:tc>
        <w:tc>
          <w:tcPr>
            <w:tcW w:w="4342" w:type="dxa"/>
            <w:tcBorders>
              <w:top w:val="single" w:sz="4" w:space="0" w:color="auto"/>
              <w:left w:val="single" w:sz="4" w:space="0" w:color="auto"/>
              <w:bottom w:val="single" w:sz="4" w:space="0" w:color="auto"/>
              <w:right w:val="single" w:sz="4" w:space="0" w:color="auto"/>
            </w:tcBorders>
            <w:hideMark/>
          </w:tcPr>
          <w:p w14:paraId="1EF85E62" w14:textId="77777777" w:rsidR="002B30D8" w:rsidRDefault="002B30D8">
            <w:pPr>
              <w:pStyle w:val="Tabletext9pt"/>
              <w:rPr>
                <w:szCs w:val="18"/>
              </w:rPr>
            </w:pPr>
            <w:r>
              <w:rPr>
                <w:szCs w:val="18"/>
              </w:rPr>
              <w:t xml:space="preserve">Provides funds for workforce, community, service </w:t>
            </w:r>
            <w:r>
              <w:t>development</w:t>
            </w:r>
            <w:r>
              <w:rPr>
                <w:szCs w:val="18"/>
              </w:rPr>
              <w:t xml:space="preserve"> and IT projects that support SRHSs.</w:t>
            </w:r>
          </w:p>
        </w:tc>
      </w:tr>
      <w:tr w:rsidR="002B30D8" w14:paraId="0058F47F"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5A15FCA5" w14:textId="77777777" w:rsidR="002B30D8" w:rsidRDefault="002B30D8">
            <w:pPr>
              <w:pStyle w:val="Tabletext9pt"/>
              <w:rPr>
                <w:szCs w:val="18"/>
              </w:rPr>
            </w:pPr>
            <w:r>
              <w:rPr>
                <w:szCs w:val="18"/>
              </w:rPr>
              <w:t>35051</w:t>
            </w:r>
          </w:p>
        </w:tc>
        <w:tc>
          <w:tcPr>
            <w:tcW w:w="2977" w:type="dxa"/>
            <w:tcBorders>
              <w:top w:val="single" w:sz="4" w:space="0" w:color="auto"/>
              <w:left w:val="single" w:sz="4" w:space="0" w:color="auto"/>
              <w:bottom w:val="single" w:sz="4" w:space="0" w:color="auto"/>
              <w:right w:val="single" w:sz="4" w:space="0" w:color="auto"/>
            </w:tcBorders>
            <w:hideMark/>
          </w:tcPr>
          <w:p w14:paraId="188A2F25" w14:textId="77777777" w:rsidR="002B30D8" w:rsidRDefault="002B30D8">
            <w:pPr>
              <w:pStyle w:val="Tabletext9pt"/>
              <w:rPr>
                <w:szCs w:val="18"/>
              </w:rPr>
            </w:pPr>
            <w:r>
              <w:rPr>
                <w:szCs w:val="18"/>
              </w:rPr>
              <w:t>Acute health – bush nursing hospitals</w:t>
            </w:r>
          </w:p>
        </w:tc>
        <w:tc>
          <w:tcPr>
            <w:tcW w:w="4342" w:type="dxa"/>
            <w:tcBorders>
              <w:top w:val="single" w:sz="4" w:space="0" w:color="auto"/>
              <w:left w:val="single" w:sz="4" w:space="0" w:color="auto"/>
              <w:bottom w:val="single" w:sz="4" w:space="0" w:color="auto"/>
              <w:right w:val="single" w:sz="4" w:space="0" w:color="auto"/>
            </w:tcBorders>
            <w:hideMark/>
          </w:tcPr>
          <w:p w14:paraId="083F52D2" w14:textId="77777777" w:rsidR="002B30D8" w:rsidRDefault="002B30D8">
            <w:pPr>
              <w:pStyle w:val="Tabletext9pt"/>
              <w:rPr>
                <w:szCs w:val="18"/>
              </w:rPr>
            </w:pPr>
            <w:r>
              <w:rPr>
                <w:szCs w:val="18"/>
              </w:rPr>
              <w:t>Provides funds to bush nursing hospitals to support a variety of purposes including inpatient services, 24-hour emergency stabilisation services, agency support and stabilisation grants.</w:t>
            </w:r>
          </w:p>
        </w:tc>
      </w:tr>
      <w:tr w:rsidR="002B30D8" w14:paraId="3FD0699C"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6FA85412" w14:textId="77777777" w:rsidR="002B30D8" w:rsidRDefault="002B30D8">
            <w:pPr>
              <w:pStyle w:val="Tabletext9pt"/>
              <w:rPr>
                <w:szCs w:val="18"/>
              </w:rPr>
            </w:pPr>
            <w:r>
              <w:rPr>
                <w:szCs w:val="18"/>
              </w:rPr>
              <w:t>35052</w:t>
            </w:r>
          </w:p>
        </w:tc>
        <w:tc>
          <w:tcPr>
            <w:tcW w:w="2977" w:type="dxa"/>
            <w:tcBorders>
              <w:top w:val="single" w:sz="4" w:space="0" w:color="auto"/>
              <w:left w:val="single" w:sz="4" w:space="0" w:color="auto"/>
              <w:bottom w:val="single" w:sz="4" w:space="0" w:color="auto"/>
              <w:right w:val="single" w:sz="4" w:space="0" w:color="auto"/>
            </w:tcBorders>
            <w:hideMark/>
          </w:tcPr>
          <w:p w14:paraId="27AE2FA0" w14:textId="77777777" w:rsidR="002B30D8" w:rsidRDefault="002B30D8">
            <w:pPr>
              <w:pStyle w:val="Tabletext9pt"/>
              <w:rPr>
                <w:szCs w:val="18"/>
              </w:rPr>
            </w:pPr>
            <w:r>
              <w:rPr>
                <w:szCs w:val="18"/>
              </w:rPr>
              <w:t>Small rural – specified services</w:t>
            </w:r>
          </w:p>
        </w:tc>
        <w:tc>
          <w:tcPr>
            <w:tcW w:w="4342" w:type="dxa"/>
            <w:tcBorders>
              <w:top w:val="single" w:sz="4" w:space="0" w:color="auto"/>
              <w:left w:val="single" w:sz="4" w:space="0" w:color="auto"/>
              <w:bottom w:val="single" w:sz="4" w:space="0" w:color="auto"/>
              <w:right w:val="single" w:sz="4" w:space="0" w:color="auto"/>
            </w:tcBorders>
            <w:hideMark/>
          </w:tcPr>
          <w:p w14:paraId="6065E35E" w14:textId="77777777" w:rsidR="002B30D8" w:rsidRDefault="002B30D8">
            <w:pPr>
              <w:pStyle w:val="Tabletext9pt"/>
              <w:rPr>
                <w:szCs w:val="18"/>
              </w:rPr>
            </w:pPr>
            <w:r>
              <w:rPr>
                <w:szCs w:val="18"/>
              </w:rPr>
              <w:t>Provides funding for services and projects as specified in applicable grant descriptions and conditions of funding. Includes specific-purpose activities of both a one-off and recurrent nature.</w:t>
            </w:r>
          </w:p>
        </w:tc>
      </w:tr>
      <w:tr w:rsidR="002B30D8" w14:paraId="1105A02B"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3970650E" w14:textId="77777777" w:rsidR="002B30D8" w:rsidRDefault="002B30D8">
            <w:pPr>
              <w:pStyle w:val="Tabletext9pt"/>
              <w:rPr>
                <w:szCs w:val="18"/>
              </w:rPr>
            </w:pPr>
            <w:r>
              <w:rPr>
                <w:szCs w:val="18"/>
              </w:rPr>
              <w:t>35023</w:t>
            </w:r>
          </w:p>
        </w:tc>
        <w:tc>
          <w:tcPr>
            <w:tcW w:w="2977" w:type="dxa"/>
            <w:tcBorders>
              <w:top w:val="single" w:sz="4" w:space="0" w:color="auto"/>
              <w:left w:val="single" w:sz="4" w:space="0" w:color="auto"/>
              <w:bottom w:val="single" w:sz="4" w:space="0" w:color="auto"/>
              <w:right w:val="single" w:sz="4" w:space="0" w:color="auto"/>
            </w:tcBorders>
            <w:hideMark/>
          </w:tcPr>
          <w:p w14:paraId="27E1ACB2" w14:textId="77777777" w:rsidR="002B30D8" w:rsidRDefault="002B30D8">
            <w:pPr>
              <w:pStyle w:val="Tabletext9pt"/>
              <w:rPr>
                <w:szCs w:val="18"/>
              </w:rPr>
            </w:pPr>
            <w:r>
              <w:rPr>
                <w:szCs w:val="18"/>
              </w:rPr>
              <w:t>Acute health – bush nursing centres</w:t>
            </w:r>
          </w:p>
        </w:tc>
        <w:tc>
          <w:tcPr>
            <w:tcW w:w="4342" w:type="dxa"/>
            <w:tcBorders>
              <w:top w:val="single" w:sz="4" w:space="0" w:color="auto"/>
              <w:left w:val="single" w:sz="4" w:space="0" w:color="auto"/>
              <w:bottom w:val="single" w:sz="4" w:space="0" w:color="auto"/>
              <w:right w:val="single" w:sz="4" w:space="0" w:color="auto"/>
            </w:tcBorders>
            <w:hideMark/>
          </w:tcPr>
          <w:p w14:paraId="17AADDA4" w14:textId="77777777" w:rsidR="002B30D8" w:rsidRDefault="002B30D8">
            <w:pPr>
              <w:pStyle w:val="Tabletext9pt"/>
              <w:rPr>
                <w:szCs w:val="18"/>
              </w:rPr>
            </w:pPr>
            <w:r>
              <w:rPr>
                <w:szCs w:val="18"/>
              </w:rPr>
              <w:t>Provides funds to bush nursing centres to support clinical care, practical assistance, support, referral, and advocacy with the goal of improving quality of life, social function, and health.</w:t>
            </w:r>
          </w:p>
        </w:tc>
      </w:tr>
    </w:tbl>
    <w:p w14:paraId="1FDE3EF4" w14:textId="77777777" w:rsidR="002B30D8" w:rsidRDefault="002B30D8" w:rsidP="00FC00E9">
      <w:pPr>
        <w:pStyle w:val="Bodyaftertablefigure"/>
        <w:keepNext/>
      </w:pPr>
      <w:r>
        <w:lastRenderedPageBreak/>
        <w:t>Output name: Aged care</w:t>
      </w:r>
    </w:p>
    <w:tbl>
      <w:tblPr>
        <w:tblStyle w:val="TableGrid1"/>
        <w:tblW w:w="9299" w:type="dxa"/>
        <w:tblLook w:val="06A0" w:firstRow="1" w:lastRow="0" w:firstColumn="1" w:lastColumn="0" w:noHBand="1" w:noVBand="1"/>
      </w:tblPr>
      <w:tblGrid>
        <w:gridCol w:w="1980"/>
        <w:gridCol w:w="2977"/>
        <w:gridCol w:w="4342"/>
      </w:tblGrid>
      <w:tr w:rsidR="00FC00E9" w14:paraId="7AB2CAD9" w14:textId="77777777" w:rsidTr="00FC00E9">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hideMark/>
          </w:tcPr>
          <w:p w14:paraId="2C21EC5C" w14:textId="77777777" w:rsidR="002B30D8" w:rsidRDefault="002B30D8">
            <w:pPr>
              <w:pStyle w:val="Tablecolhead9pt"/>
              <w:rPr>
                <w:szCs w:val="18"/>
                <w:lang w:eastAsia="en-AU"/>
              </w:rPr>
            </w:pPr>
            <w:r>
              <w:rPr>
                <w:lang w:eastAsia="en-AU"/>
              </w:rPr>
              <w:t>Activity no.</w:t>
            </w:r>
          </w:p>
        </w:tc>
        <w:tc>
          <w:tcPr>
            <w:tcW w:w="0" w:type="dxa"/>
            <w:tcBorders>
              <w:top w:val="single" w:sz="4" w:space="0" w:color="auto"/>
              <w:left w:val="single" w:sz="4" w:space="0" w:color="auto"/>
              <w:bottom w:val="single" w:sz="4" w:space="0" w:color="auto"/>
              <w:right w:val="single" w:sz="4" w:space="0" w:color="auto"/>
            </w:tcBorders>
            <w:hideMark/>
          </w:tcPr>
          <w:p w14:paraId="2C755778" w14:textId="77777777" w:rsidR="002B30D8" w:rsidRDefault="002B30D8">
            <w:pPr>
              <w:pStyle w:val="Tablecolhead9pt"/>
              <w:rPr>
                <w:szCs w:val="18"/>
                <w:lang w:eastAsia="en-AU"/>
              </w:rPr>
            </w:pPr>
            <w:r>
              <w:rPr>
                <w:lang w:eastAsia="en-AU"/>
              </w:rPr>
              <w:t>Activity name</w:t>
            </w:r>
          </w:p>
        </w:tc>
        <w:tc>
          <w:tcPr>
            <w:tcW w:w="0" w:type="dxa"/>
            <w:tcBorders>
              <w:top w:val="single" w:sz="4" w:space="0" w:color="auto"/>
              <w:left w:val="single" w:sz="4" w:space="0" w:color="auto"/>
              <w:bottom w:val="single" w:sz="4" w:space="0" w:color="auto"/>
              <w:right w:val="single" w:sz="4" w:space="0" w:color="auto"/>
            </w:tcBorders>
            <w:hideMark/>
          </w:tcPr>
          <w:p w14:paraId="2CA96C77" w14:textId="77777777" w:rsidR="002B30D8" w:rsidRDefault="002B30D8">
            <w:pPr>
              <w:pStyle w:val="Tablecolhead9pt"/>
              <w:rPr>
                <w:szCs w:val="18"/>
                <w:lang w:eastAsia="en-AU"/>
              </w:rPr>
            </w:pPr>
            <w:r>
              <w:rPr>
                <w:lang w:eastAsia="en-AU"/>
              </w:rPr>
              <w:t>Activity description</w:t>
            </w:r>
          </w:p>
        </w:tc>
      </w:tr>
      <w:tr w:rsidR="002B30D8" w14:paraId="4210B5BA"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381CDAD2" w14:textId="77777777" w:rsidR="002B30D8" w:rsidRDefault="002B30D8">
            <w:pPr>
              <w:pStyle w:val="Tabletext9pt"/>
              <w:rPr>
                <w:szCs w:val="18"/>
              </w:rPr>
            </w:pPr>
            <w:r>
              <w:rPr>
                <w:szCs w:val="18"/>
              </w:rPr>
              <w:t>35010</w:t>
            </w:r>
          </w:p>
        </w:tc>
        <w:tc>
          <w:tcPr>
            <w:tcW w:w="2977" w:type="dxa"/>
            <w:tcBorders>
              <w:top w:val="single" w:sz="4" w:space="0" w:color="auto"/>
              <w:left w:val="single" w:sz="4" w:space="0" w:color="auto"/>
              <w:bottom w:val="single" w:sz="4" w:space="0" w:color="auto"/>
              <w:right w:val="single" w:sz="4" w:space="0" w:color="auto"/>
            </w:tcBorders>
            <w:hideMark/>
          </w:tcPr>
          <w:p w14:paraId="46038B05" w14:textId="77777777" w:rsidR="002B30D8" w:rsidRDefault="002B30D8">
            <w:pPr>
              <w:pStyle w:val="Tabletext9pt"/>
              <w:rPr>
                <w:szCs w:val="18"/>
              </w:rPr>
            </w:pPr>
            <w:r>
              <w:rPr>
                <w:szCs w:val="18"/>
              </w:rPr>
              <w:t>Small rural – aged support services</w:t>
            </w:r>
          </w:p>
        </w:tc>
        <w:tc>
          <w:tcPr>
            <w:tcW w:w="4342" w:type="dxa"/>
            <w:tcBorders>
              <w:top w:val="single" w:sz="4" w:space="0" w:color="auto"/>
              <w:left w:val="single" w:sz="4" w:space="0" w:color="auto"/>
              <w:bottom w:val="single" w:sz="4" w:space="0" w:color="auto"/>
              <w:right w:val="single" w:sz="4" w:space="0" w:color="auto"/>
            </w:tcBorders>
            <w:hideMark/>
          </w:tcPr>
          <w:p w14:paraId="10F92BC4" w14:textId="77777777" w:rsidR="002B30D8" w:rsidRDefault="002B30D8">
            <w:pPr>
              <w:pStyle w:val="Tabletext9pt"/>
              <w:rPr>
                <w:szCs w:val="18"/>
              </w:rPr>
            </w:pPr>
            <w:r>
              <w:rPr>
                <w:szCs w:val="18"/>
              </w:rPr>
              <w:t>A range of health promotion and community service activities that support older Victorians and their carers in small rural communities such as seniors health promotion, aged carer support and respite, dementia services and aged care community grants.</w:t>
            </w:r>
          </w:p>
        </w:tc>
      </w:tr>
      <w:tr w:rsidR="002B30D8" w14:paraId="0A1FCDAF"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16186AE7" w14:textId="77777777" w:rsidR="002B30D8" w:rsidRDefault="002B30D8">
            <w:pPr>
              <w:pStyle w:val="Tabletext9pt"/>
              <w:rPr>
                <w:szCs w:val="18"/>
              </w:rPr>
            </w:pPr>
            <w:r>
              <w:rPr>
                <w:szCs w:val="18"/>
              </w:rPr>
              <w:t>35052</w:t>
            </w:r>
          </w:p>
        </w:tc>
        <w:tc>
          <w:tcPr>
            <w:tcW w:w="2977" w:type="dxa"/>
            <w:tcBorders>
              <w:top w:val="single" w:sz="4" w:space="0" w:color="auto"/>
              <w:left w:val="single" w:sz="4" w:space="0" w:color="auto"/>
              <w:bottom w:val="single" w:sz="4" w:space="0" w:color="auto"/>
              <w:right w:val="single" w:sz="4" w:space="0" w:color="auto"/>
            </w:tcBorders>
            <w:hideMark/>
          </w:tcPr>
          <w:p w14:paraId="41C9DA96" w14:textId="77777777" w:rsidR="002B30D8" w:rsidRDefault="002B30D8">
            <w:pPr>
              <w:pStyle w:val="Tabletext9pt"/>
              <w:rPr>
                <w:szCs w:val="18"/>
              </w:rPr>
            </w:pPr>
            <w:r>
              <w:rPr>
                <w:szCs w:val="18"/>
              </w:rPr>
              <w:t>Small Rural Services Home and Community Care Program for Younger People (HACC-PYP)</w:t>
            </w:r>
          </w:p>
        </w:tc>
        <w:tc>
          <w:tcPr>
            <w:tcW w:w="4342" w:type="dxa"/>
            <w:tcBorders>
              <w:top w:val="single" w:sz="4" w:space="0" w:color="auto"/>
              <w:left w:val="single" w:sz="4" w:space="0" w:color="auto"/>
              <w:bottom w:val="single" w:sz="4" w:space="0" w:color="auto"/>
              <w:right w:val="single" w:sz="4" w:space="0" w:color="auto"/>
            </w:tcBorders>
            <w:hideMark/>
          </w:tcPr>
          <w:p w14:paraId="77D38EF2" w14:textId="77777777" w:rsidR="002B30D8" w:rsidRDefault="002B30D8">
            <w:pPr>
              <w:pStyle w:val="Tabletext9pt"/>
              <w:rPr>
                <w:szCs w:val="18"/>
              </w:rPr>
            </w:pPr>
            <w:r>
              <w:rPr>
                <w:szCs w:val="18"/>
              </w:rPr>
              <w:t>A range of services to support younger people who have difficulty with the activities of daily living and their carers to remain at home</w:t>
            </w:r>
            <w:r>
              <w:t xml:space="preserve"> and participate in the community</w:t>
            </w:r>
            <w:r>
              <w:rPr>
                <w:szCs w:val="18"/>
              </w:rPr>
              <w:t>.</w:t>
            </w:r>
          </w:p>
        </w:tc>
      </w:tr>
      <w:tr w:rsidR="002B30D8" w14:paraId="0ED827A5"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0122581E" w14:textId="77777777" w:rsidR="002B30D8" w:rsidRDefault="002B30D8">
            <w:pPr>
              <w:pStyle w:val="Tabletext9pt"/>
              <w:rPr>
                <w:szCs w:val="18"/>
              </w:rPr>
            </w:pPr>
            <w:r>
              <w:rPr>
                <w:szCs w:val="18"/>
              </w:rPr>
              <w:t>35011</w:t>
            </w:r>
          </w:p>
        </w:tc>
        <w:tc>
          <w:tcPr>
            <w:tcW w:w="2977" w:type="dxa"/>
            <w:tcBorders>
              <w:top w:val="single" w:sz="4" w:space="0" w:color="auto"/>
              <w:left w:val="single" w:sz="4" w:space="0" w:color="auto"/>
              <w:bottom w:val="single" w:sz="4" w:space="0" w:color="auto"/>
              <w:right w:val="single" w:sz="4" w:space="0" w:color="auto"/>
            </w:tcBorders>
            <w:hideMark/>
          </w:tcPr>
          <w:p w14:paraId="1D9B2A74" w14:textId="77777777" w:rsidR="002B30D8" w:rsidRDefault="002B30D8">
            <w:pPr>
              <w:pStyle w:val="Tabletext9pt"/>
              <w:rPr>
                <w:szCs w:val="18"/>
              </w:rPr>
            </w:pPr>
            <w:r>
              <w:rPr>
                <w:szCs w:val="18"/>
              </w:rPr>
              <w:t>Small rural – residential aged care</w:t>
            </w:r>
          </w:p>
        </w:tc>
        <w:tc>
          <w:tcPr>
            <w:tcW w:w="4342" w:type="dxa"/>
            <w:tcBorders>
              <w:top w:val="single" w:sz="4" w:space="0" w:color="auto"/>
              <w:left w:val="single" w:sz="4" w:space="0" w:color="auto"/>
              <w:bottom w:val="single" w:sz="4" w:space="0" w:color="auto"/>
              <w:right w:val="single" w:sz="4" w:space="0" w:color="auto"/>
            </w:tcBorders>
            <w:hideMark/>
          </w:tcPr>
          <w:p w14:paraId="64B8566B" w14:textId="77777777" w:rsidR="002B30D8" w:rsidRDefault="002B30D8">
            <w:pPr>
              <w:pStyle w:val="Tabletext9pt"/>
              <w:rPr>
                <w:szCs w:val="18"/>
              </w:rPr>
            </w:pPr>
            <w:r>
              <w:rPr>
                <w:szCs w:val="18"/>
              </w:rPr>
              <w:t>Care and support for people in small rural communities who are approved for care and accommodation in residential aged care facilities. This includes the State contribution towards matching the reduction in the recurrent funding paid by the Commonwealth to public sector residential aged care providers for the adjusted subsidy reduction for pre-1997 places.</w:t>
            </w:r>
          </w:p>
        </w:tc>
      </w:tr>
      <w:tr w:rsidR="002B30D8" w14:paraId="5927E6D0"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15759BCB" w14:textId="77777777" w:rsidR="002B30D8" w:rsidRDefault="002B30D8">
            <w:pPr>
              <w:pStyle w:val="Tabletext9pt"/>
              <w:rPr>
                <w:szCs w:val="18"/>
              </w:rPr>
            </w:pPr>
            <w:r>
              <w:rPr>
                <w:szCs w:val="18"/>
              </w:rPr>
              <w:t>35042</w:t>
            </w:r>
          </w:p>
        </w:tc>
        <w:tc>
          <w:tcPr>
            <w:tcW w:w="2977" w:type="dxa"/>
            <w:tcBorders>
              <w:top w:val="single" w:sz="4" w:space="0" w:color="auto"/>
              <w:left w:val="single" w:sz="4" w:space="0" w:color="auto"/>
              <w:bottom w:val="single" w:sz="4" w:space="0" w:color="auto"/>
              <w:right w:val="single" w:sz="4" w:space="0" w:color="auto"/>
            </w:tcBorders>
            <w:hideMark/>
          </w:tcPr>
          <w:p w14:paraId="5BE66CB9" w14:textId="77777777" w:rsidR="002B30D8" w:rsidRDefault="002B30D8">
            <w:pPr>
              <w:pStyle w:val="Tabletext9pt"/>
              <w:rPr>
                <w:szCs w:val="18"/>
              </w:rPr>
            </w:pPr>
            <w:r>
              <w:rPr>
                <w:szCs w:val="18"/>
              </w:rPr>
              <w:t>Small rural – drugs services</w:t>
            </w:r>
          </w:p>
        </w:tc>
        <w:tc>
          <w:tcPr>
            <w:tcW w:w="4342" w:type="dxa"/>
            <w:tcBorders>
              <w:top w:val="single" w:sz="4" w:space="0" w:color="auto"/>
              <w:left w:val="single" w:sz="4" w:space="0" w:color="auto"/>
              <w:bottom w:val="single" w:sz="4" w:space="0" w:color="auto"/>
              <w:right w:val="single" w:sz="4" w:space="0" w:color="auto"/>
            </w:tcBorders>
            <w:hideMark/>
          </w:tcPr>
          <w:p w14:paraId="31E5D4F7" w14:textId="77777777" w:rsidR="002B30D8" w:rsidRDefault="002B30D8">
            <w:pPr>
              <w:pStyle w:val="Tabletext9pt"/>
              <w:rPr>
                <w:szCs w:val="18"/>
              </w:rPr>
            </w:pPr>
            <w:r>
              <w:rPr>
                <w:szCs w:val="18"/>
              </w:rPr>
              <w:t>Delivery of a range of health and aged care services as per an agreed service profile and business rules.</w:t>
            </w:r>
          </w:p>
        </w:tc>
      </w:tr>
      <w:tr w:rsidR="002B30D8" w14:paraId="4E67B682"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6ACEA6A8" w14:textId="77777777" w:rsidR="002B30D8" w:rsidRDefault="002B30D8">
            <w:pPr>
              <w:pStyle w:val="Tabletext9pt"/>
              <w:rPr>
                <w:szCs w:val="18"/>
              </w:rPr>
            </w:pPr>
            <w:r>
              <w:rPr>
                <w:szCs w:val="18"/>
              </w:rPr>
              <w:t>35048</w:t>
            </w:r>
          </w:p>
        </w:tc>
        <w:tc>
          <w:tcPr>
            <w:tcW w:w="2977" w:type="dxa"/>
            <w:tcBorders>
              <w:top w:val="single" w:sz="4" w:space="0" w:color="auto"/>
              <w:left w:val="single" w:sz="4" w:space="0" w:color="auto"/>
              <w:bottom w:val="single" w:sz="4" w:space="0" w:color="auto"/>
              <w:right w:val="single" w:sz="4" w:space="0" w:color="auto"/>
            </w:tcBorders>
            <w:hideMark/>
          </w:tcPr>
          <w:p w14:paraId="14DC66DB" w14:textId="77777777" w:rsidR="002B30D8" w:rsidRDefault="002B30D8">
            <w:pPr>
              <w:pStyle w:val="Tabletext9pt"/>
              <w:rPr>
                <w:szCs w:val="18"/>
              </w:rPr>
            </w:pPr>
            <w:r>
              <w:rPr>
                <w:szCs w:val="18"/>
              </w:rPr>
              <w:t>Small rural – primary health flexible services</w:t>
            </w:r>
          </w:p>
        </w:tc>
        <w:tc>
          <w:tcPr>
            <w:tcW w:w="4342" w:type="dxa"/>
            <w:tcBorders>
              <w:top w:val="single" w:sz="4" w:space="0" w:color="auto"/>
              <w:left w:val="single" w:sz="4" w:space="0" w:color="auto"/>
              <w:bottom w:val="single" w:sz="4" w:space="0" w:color="auto"/>
              <w:right w:val="single" w:sz="4" w:space="0" w:color="auto"/>
            </w:tcBorders>
            <w:hideMark/>
          </w:tcPr>
          <w:p w14:paraId="6662A1B8" w14:textId="77777777" w:rsidR="002B30D8" w:rsidRDefault="002B30D8">
            <w:pPr>
              <w:pStyle w:val="Tabletext9pt"/>
              <w:rPr>
                <w:szCs w:val="18"/>
              </w:rPr>
            </w:pPr>
            <w:r>
              <w:rPr>
                <w:szCs w:val="18"/>
              </w:rPr>
              <w:t>Suitably qualified people assessing and providing direct care to individuals for therapeutic intervention, clinical care, practical assistance, support, referral, and advocacy with the goal of improving quality of life, social function, and health.</w:t>
            </w:r>
          </w:p>
          <w:p w14:paraId="70E2F897" w14:textId="77777777" w:rsidR="002B30D8" w:rsidRDefault="002B30D8">
            <w:pPr>
              <w:pStyle w:val="Tabletext9pt"/>
              <w:rPr>
                <w:szCs w:val="18"/>
              </w:rPr>
            </w:pPr>
            <w:r>
              <w:rPr>
                <w:szCs w:val="18"/>
              </w:rPr>
              <w:t>Promoting health, independence, and wellbeing to prevent illness, injury and disease through screening, risk assessment, immunisation, social marketing of health information, community action for social and environmental change, organisational development, workforce development and resources.</w:t>
            </w:r>
          </w:p>
        </w:tc>
      </w:tr>
    </w:tbl>
    <w:p w14:paraId="41FBF0C1" w14:textId="63600AC7" w:rsidR="009375E0" w:rsidRPr="009375E0" w:rsidRDefault="009375E0" w:rsidP="002B30D8">
      <w:pPr>
        <w:pStyle w:val="Body"/>
      </w:pPr>
    </w:p>
    <w:p w14:paraId="5F173C4F" w14:textId="64267817" w:rsidR="000B27B9" w:rsidRDefault="000B27B9" w:rsidP="003C01AD">
      <w:pPr>
        <w:pStyle w:val="Tablecaption"/>
        <w:numPr>
          <w:ilvl w:val="0"/>
          <w:numId w:val="40"/>
        </w:numPr>
      </w:pPr>
      <w:bookmarkStart w:id="1022" w:name="_Toc14194761"/>
      <w:bookmarkStart w:id="1023" w:name="_Toc54261417"/>
      <w:bookmarkStart w:id="1024" w:name="_Toc54616291"/>
      <w:bookmarkStart w:id="1025" w:name="_Toc109894125"/>
      <w:bookmarkStart w:id="1026" w:name="_Toc119500906"/>
      <w:bookmarkEnd w:id="1017"/>
      <w:r>
        <w:t>A</w:t>
      </w:r>
      <w:r w:rsidRPr="00E7554A">
        <w:t>ged and home care – outputs and activities</w:t>
      </w:r>
      <w:r>
        <w:t xml:space="preserve"> </w:t>
      </w:r>
      <w:bookmarkEnd w:id="1022"/>
      <w:bookmarkEnd w:id="1023"/>
      <w:bookmarkEnd w:id="1024"/>
      <w:r w:rsidR="005D1FCB" w:rsidRPr="00697369">
        <w:t>2022-23</w:t>
      </w:r>
      <w:bookmarkEnd w:id="1025"/>
      <w:bookmarkEnd w:id="1026"/>
    </w:p>
    <w:p w14:paraId="4E86CF8B" w14:textId="77777777" w:rsidR="00716405" w:rsidRDefault="00716405" w:rsidP="00716405">
      <w:pPr>
        <w:pStyle w:val="Body"/>
      </w:pPr>
      <w:bookmarkStart w:id="1027" w:name="_Toc419623629"/>
      <w:bookmarkStart w:id="1028" w:name="_Toc419623741"/>
      <w:bookmarkStart w:id="1029" w:name="_Toc419644529"/>
      <w:bookmarkStart w:id="1030" w:name="_Toc487742093"/>
      <w:bookmarkEnd w:id="1018"/>
      <w:bookmarkEnd w:id="1019"/>
      <w:bookmarkEnd w:id="1020"/>
      <w:bookmarkEnd w:id="1021"/>
      <w:r>
        <w:t>Output name: Commonwealth Aged Care Assessment – Aged Care Assessment Service</w:t>
      </w:r>
    </w:p>
    <w:tbl>
      <w:tblPr>
        <w:tblStyle w:val="TableGrid1"/>
        <w:tblW w:w="9299" w:type="dxa"/>
        <w:tblLook w:val="06A0" w:firstRow="1" w:lastRow="0" w:firstColumn="1" w:lastColumn="0" w:noHBand="1" w:noVBand="1"/>
      </w:tblPr>
      <w:tblGrid>
        <w:gridCol w:w="1838"/>
        <w:gridCol w:w="3119"/>
        <w:gridCol w:w="4342"/>
      </w:tblGrid>
      <w:tr w:rsidR="00716405" w14:paraId="2E894A3F" w14:textId="77777777" w:rsidTr="00716405">
        <w:trPr>
          <w:cnfStyle w:val="100000000000" w:firstRow="1" w:lastRow="0" w:firstColumn="0" w:lastColumn="0" w:oddVBand="0" w:evenVBand="0" w:oddHBand="0" w:evenHBand="0" w:firstRowFirstColumn="0" w:firstRowLastColumn="0" w:lastRowFirstColumn="0" w:lastRowLastColumn="0"/>
          <w:tblHeader/>
        </w:trPr>
        <w:tc>
          <w:tcPr>
            <w:tcW w:w="1838" w:type="dxa"/>
            <w:tcBorders>
              <w:top w:val="single" w:sz="4" w:space="0" w:color="auto"/>
              <w:left w:val="single" w:sz="4" w:space="0" w:color="auto"/>
              <w:bottom w:val="single" w:sz="4" w:space="0" w:color="auto"/>
              <w:right w:val="single" w:sz="4" w:space="0" w:color="auto"/>
            </w:tcBorders>
            <w:hideMark/>
          </w:tcPr>
          <w:p w14:paraId="24D4F604" w14:textId="77777777" w:rsidR="00716405" w:rsidRDefault="00716405">
            <w:pPr>
              <w:pStyle w:val="Tablecolhead9pt"/>
              <w:rPr>
                <w:szCs w:val="18"/>
                <w:lang w:eastAsia="en-AU"/>
              </w:rPr>
            </w:pPr>
            <w:r>
              <w:rPr>
                <w:lang w:eastAsia="en-AU"/>
              </w:rPr>
              <w:t>Activity no.</w:t>
            </w:r>
          </w:p>
        </w:tc>
        <w:tc>
          <w:tcPr>
            <w:tcW w:w="3119" w:type="dxa"/>
            <w:tcBorders>
              <w:top w:val="single" w:sz="4" w:space="0" w:color="auto"/>
              <w:left w:val="single" w:sz="4" w:space="0" w:color="auto"/>
              <w:bottom w:val="single" w:sz="4" w:space="0" w:color="auto"/>
              <w:right w:val="single" w:sz="4" w:space="0" w:color="auto"/>
            </w:tcBorders>
            <w:hideMark/>
          </w:tcPr>
          <w:p w14:paraId="18EECE39" w14:textId="77777777" w:rsidR="00716405" w:rsidRDefault="00716405">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1C6A2139" w14:textId="77777777" w:rsidR="00716405" w:rsidRDefault="00716405">
            <w:pPr>
              <w:pStyle w:val="Tablecolhead9pt"/>
              <w:rPr>
                <w:szCs w:val="18"/>
                <w:lang w:eastAsia="en-AU"/>
              </w:rPr>
            </w:pPr>
            <w:r>
              <w:rPr>
                <w:lang w:eastAsia="en-AU"/>
              </w:rPr>
              <w:t>Activity description</w:t>
            </w:r>
          </w:p>
        </w:tc>
      </w:tr>
      <w:tr w:rsidR="00716405" w14:paraId="6ED6A23C" w14:textId="77777777" w:rsidTr="00716405">
        <w:tc>
          <w:tcPr>
            <w:tcW w:w="1838" w:type="dxa"/>
            <w:tcBorders>
              <w:top w:val="single" w:sz="4" w:space="0" w:color="auto"/>
              <w:left w:val="single" w:sz="4" w:space="0" w:color="auto"/>
              <w:bottom w:val="single" w:sz="4" w:space="0" w:color="auto"/>
              <w:right w:val="single" w:sz="4" w:space="0" w:color="auto"/>
            </w:tcBorders>
            <w:hideMark/>
          </w:tcPr>
          <w:p w14:paraId="63F211C0" w14:textId="77777777" w:rsidR="00716405" w:rsidRDefault="00716405">
            <w:pPr>
              <w:pStyle w:val="Tabletext9pt"/>
              <w:rPr>
                <w:szCs w:val="18"/>
                <w:lang w:eastAsia="en-AU"/>
              </w:rPr>
            </w:pPr>
            <w:r>
              <w:t>13005</w:t>
            </w:r>
          </w:p>
        </w:tc>
        <w:tc>
          <w:tcPr>
            <w:tcW w:w="3119" w:type="dxa"/>
            <w:tcBorders>
              <w:top w:val="single" w:sz="4" w:space="0" w:color="auto"/>
              <w:left w:val="single" w:sz="4" w:space="0" w:color="auto"/>
              <w:bottom w:val="single" w:sz="4" w:space="0" w:color="auto"/>
              <w:right w:val="single" w:sz="4" w:space="0" w:color="auto"/>
            </w:tcBorders>
            <w:hideMark/>
          </w:tcPr>
          <w:p w14:paraId="589FDBCC" w14:textId="77777777" w:rsidR="00716405" w:rsidRDefault="00716405">
            <w:pPr>
              <w:pStyle w:val="Tabletext9pt"/>
              <w:rPr>
                <w:szCs w:val="18"/>
                <w:lang w:eastAsia="en-AU"/>
              </w:rPr>
            </w:pPr>
            <w:r>
              <w:t>Aged Care Assessment Services Assessment</w:t>
            </w:r>
          </w:p>
        </w:tc>
        <w:tc>
          <w:tcPr>
            <w:tcW w:w="4342" w:type="dxa"/>
            <w:tcBorders>
              <w:top w:val="single" w:sz="4" w:space="0" w:color="auto"/>
              <w:left w:val="single" w:sz="4" w:space="0" w:color="auto"/>
              <w:bottom w:val="single" w:sz="4" w:space="0" w:color="auto"/>
              <w:right w:val="single" w:sz="4" w:space="0" w:color="auto"/>
            </w:tcBorders>
            <w:hideMark/>
          </w:tcPr>
          <w:p w14:paraId="07C01447" w14:textId="77777777" w:rsidR="00716405" w:rsidRDefault="00716405">
            <w:pPr>
              <w:pStyle w:val="Tabletext9pt"/>
              <w:rPr>
                <w:szCs w:val="18"/>
                <w:lang w:eastAsia="en-AU"/>
              </w:rPr>
            </w:pPr>
            <w:r>
              <w:t xml:space="preserve">Assess care needs of frail older people and determine eligibility for services under the </w:t>
            </w:r>
            <w:r>
              <w:rPr>
                <w:i/>
              </w:rPr>
              <w:t>Aged Care Act 1997.</w:t>
            </w:r>
          </w:p>
        </w:tc>
      </w:tr>
    </w:tbl>
    <w:p w14:paraId="3B1ACBB6" w14:textId="77777777" w:rsidR="00716405" w:rsidRDefault="00716405" w:rsidP="00716405">
      <w:pPr>
        <w:pStyle w:val="Bodyaftertablefigure"/>
      </w:pPr>
      <w:r>
        <w:t xml:space="preserve">Output name: </w:t>
      </w:r>
      <w:r>
        <w:rPr>
          <w:lang w:eastAsia="en-AU"/>
        </w:rPr>
        <w:t>Residential aged care</w:t>
      </w:r>
    </w:p>
    <w:tbl>
      <w:tblPr>
        <w:tblStyle w:val="TableGrid1"/>
        <w:tblW w:w="9299" w:type="dxa"/>
        <w:tblLook w:val="06A0" w:firstRow="1" w:lastRow="0" w:firstColumn="1" w:lastColumn="0" w:noHBand="1" w:noVBand="1"/>
      </w:tblPr>
      <w:tblGrid>
        <w:gridCol w:w="1980"/>
        <w:gridCol w:w="2977"/>
        <w:gridCol w:w="4342"/>
      </w:tblGrid>
      <w:tr w:rsidR="00716405" w14:paraId="7268FE62" w14:textId="77777777" w:rsidTr="00716405">
        <w:trPr>
          <w:cnfStyle w:val="100000000000" w:firstRow="1" w:lastRow="0" w:firstColumn="0" w:lastColumn="0" w:oddVBand="0" w:evenVBand="0" w:oddHBand="0" w:evenHBand="0" w:firstRowFirstColumn="0" w:firstRowLastColumn="0" w:lastRowFirstColumn="0" w:lastRowLastColumn="0"/>
          <w:tblHeader/>
        </w:trPr>
        <w:tc>
          <w:tcPr>
            <w:tcW w:w="1980" w:type="dxa"/>
            <w:tcBorders>
              <w:top w:val="single" w:sz="4" w:space="0" w:color="auto"/>
              <w:left w:val="single" w:sz="4" w:space="0" w:color="auto"/>
              <w:bottom w:val="single" w:sz="4" w:space="0" w:color="auto"/>
              <w:right w:val="single" w:sz="4" w:space="0" w:color="auto"/>
            </w:tcBorders>
            <w:hideMark/>
          </w:tcPr>
          <w:p w14:paraId="0E05DEF6" w14:textId="77777777" w:rsidR="00716405" w:rsidRDefault="00716405">
            <w:pPr>
              <w:pStyle w:val="Tablecolhead9pt"/>
              <w:rPr>
                <w:szCs w:val="18"/>
                <w:lang w:eastAsia="en-AU"/>
              </w:rPr>
            </w:pPr>
            <w:r>
              <w:rPr>
                <w:lang w:eastAsia="en-AU"/>
              </w:rPr>
              <w:t>Activity no.</w:t>
            </w:r>
          </w:p>
        </w:tc>
        <w:tc>
          <w:tcPr>
            <w:tcW w:w="2977" w:type="dxa"/>
            <w:tcBorders>
              <w:top w:val="single" w:sz="4" w:space="0" w:color="auto"/>
              <w:left w:val="single" w:sz="4" w:space="0" w:color="auto"/>
              <w:bottom w:val="single" w:sz="4" w:space="0" w:color="auto"/>
              <w:right w:val="single" w:sz="4" w:space="0" w:color="auto"/>
            </w:tcBorders>
            <w:hideMark/>
          </w:tcPr>
          <w:p w14:paraId="12472EAE" w14:textId="77777777" w:rsidR="00716405" w:rsidRDefault="00716405">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4FD67C3D" w14:textId="77777777" w:rsidR="00716405" w:rsidRDefault="00716405">
            <w:pPr>
              <w:pStyle w:val="Tablecolhead9pt"/>
              <w:rPr>
                <w:szCs w:val="18"/>
                <w:lang w:eastAsia="en-AU"/>
              </w:rPr>
            </w:pPr>
            <w:r>
              <w:rPr>
                <w:lang w:eastAsia="en-AU"/>
              </w:rPr>
              <w:t>Activity description</w:t>
            </w:r>
          </w:p>
        </w:tc>
      </w:tr>
      <w:tr w:rsidR="00716405" w14:paraId="7C8C8F3A"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40F3E7B8" w14:textId="77777777" w:rsidR="00716405" w:rsidRDefault="00716405">
            <w:pPr>
              <w:pStyle w:val="Tabletext9pt"/>
              <w:rPr>
                <w:szCs w:val="18"/>
                <w:lang w:eastAsia="en-AU"/>
              </w:rPr>
            </w:pPr>
            <w:r>
              <w:rPr>
                <w:szCs w:val="18"/>
                <w:lang w:eastAsia="en-AU"/>
              </w:rPr>
              <w:t>13031</w:t>
            </w:r>
          </w:p>
        </w:tc>
        <w:tc>
          <w:tcPr>
            <w:tcW w:w="2977" w:type="dxa"/>
            <w:tcBorders>
              <w:top w:val="single" w:sz="4" w:space="0" w:color="auto"/>
              <w:left w:val="single" w:sz="4" w:space="0" w:color="auto"/>
              <w:bottom w:val="single" w:sz="4" w:space="0" w:color="auto"/>
              <w:right w:val="single" w:sz="4" w:space="0" w:color="auto"/>
            </w:tcBorders>
            <w:hideMark/>
          </w:tcPr>
          <w:p w14:paraId="680D49E5" w14:textId="77777777" w:rsidR="00716405" w:rsidRDefault="00716405">
            <w:pPr>
              <w:pStyle w:val="Tabletext9pt"/>
              <w:rPr>
                <w:szCs w:val="18"/>
                <w:lang w:eastAsia="en-AU"/>
              </w:rPr>
            </w:pPr>
            <w:r>
              <w:rPr>
                <w:szCs w:val="18"/>
                <w:lang w:eastAsia="en-AU"/>
              </w:rPr>
              <w:t>Public sector residential aged care supplement</w:t>
            </w:r>
          </w:p>
        </w:tc>
        <w:tc>
          <w:tcPr>
            <w:tcW w:w="4342" w:type="dxa"/>
            <w:tcBorders>
              <w:top w:val="single" w:sz="4" w:space="0" w:color="auto"/>
              <w:left w:val="single" w:sz="4" w:space="0" w:color="auto"/>
              <w:bottom w:val="single" w:sz="4" w:space="0" w:color="auto"/>
              <w:right w:val="single" w:sz="4" w:space="0" w:color="auto"/>
            </w:tcBorders>
            <w:hideMark/>
          </w:tcPr>
          <w:p w14:paraId="60D8BE0A" w14:textId="77777777" w:rsidR="00716405" w:rsidRDefault="00716405">
            <w:pPr>
              <w:pStyle w:val="Tabletext9pt"/>
              <w:rPr>
                <w:szCs w:val="18"/>
                <w:lang w:eastAsia="en-AU"/>
              </w:rPr>
            </w:pPr>
            <w:r>
              <w:rPr>
                <w:szCs w:val="18"/>
                <w:lang w:eastAsia="en-AU"/>
              </w:rPr>
              <w:t>Funds designated places for:</w:t>
            </w:r>
          </w:p>
          <w:p w14:paraId="75FF7C64" w14:textId="77777777" w:rsidR="00716405" w:rsidRDefault="00716405" w:rsidP="00716405">
            <w:pPr>
              <w:pStyle w:val="Tablebullet9pt"/>
              <w:rPr>
                <w:lang w:eastAsia="en-AU"/>
              </w:rPr>
            </w:pPr>
            <w:r>
              <w:rPr>
                <w:lang w:eastAsia="en-AU"/>
              </w:rPr>
              <w:t>adjusted subsidy reduction supplement – this is the State contribution towards equalising the recurrent funding paid by the Commonwealth as adjusted subsidy reduction places to public sector residential aged care operators</w:t>
            </w:r>
          </w:p>
          <w:p w14:paraId="655404B5" w14:textId="0E1C6220" w:rsidR="00716405" w:rsidRDefault="00716405" w:rsidP="00716405">
            <w:pPr>
              <w:pStyle w:val="Tablebullet9pt"/>
              <w:rPr>
                <w:lang w:eastAsia="en-AU"/>
              </w:rPr>
            </w:pPr>
            <w:r>
              <w:rPr>
                <w:lang w:eastAsia="en-AU"/>
              </w:rPr>
              <w:t>The adjusted subsidy reduction is likely to be removed by the Commonwealth part</w:t>
            </w:r>
            <w:r w:rsidR="00B34795">
              <w:rPr>
                <w:lang w:eastAsia="en-AU"/>
              </w:rPr>
              <w:t>-</w:t>
            </w:r>
            <w:r>
              <w:rPr>
                <w:lang w:eastAsia="en-AU"/>
              </w:rPr>
              <w:t>way through 2022-23 as their new funding model is introduced. When the adjusted subsidy reduction is removed, the department will review the allocation of funding and may change the allocations.</w:t>
            </w:r>
          </w:p>
          <w:p w14:paraId="634581AC" w14:textId="77777777" w:rsidR="00716405" w:rsidRDefault="00716405" w:rsidP="00716405">
            <w:pPr>
              <w:pStyle w:val="Tablebullet9pt"/>
              <w:rPr>
                <w:lang w:eastAsia="en-AU"/>
              </w:rPr>
            </w:pPr>
            <w:r>
              <w:rPr>
                <w:szCs w:val="18"/>
                <w:lang w:eastAsia="en-AU"/>
              </w:rPr>
              <w:t>contribution to public sector wage adjustments.</w:t>
            </w:r>
          </w:p>
        </w:tc>
      </w:tr>
      <w:tr w:rsidR="00716405" w14:paraId="0FC27F8B"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375FABEB" w14:textId="77777777" w:rsidR="00716405" w:rsidRDefault="00716405">
            <w:pPr>
              <w:pStyle w:val="Tabletext9pt"/>
              <w:rPr>
                <w:szCs w:val="18"/>
                <w:lang w:eastAsia="en-AU"/>
              </w:rPr>
            </w:pPr>
            <w:r>
              <w:rPr>
                <w:szCs w:val="18"/>
                <w:lang w:eastAsia="en-AU"/>
              </w:rPr>
              <w:lastRenderedPageBreak/>
              <w:t>13059</w:t>
            </w:r>
          </w:p>
        </w:tc>
        <w:tc>
          <w:tcPr>
            <w:tcW w:w="2977" w:type="dxa"/>
            <w:tcBorders>
              <w:top w:val="single" w:sz="4" w:space="0" w:color="auto"/>
              <w:left w:val="single" w:sz="4" w:space="0" w:color="auto"/>
              <w:bottom w:val="single" w:sz="4" w:space="0" w:color="auto"/>
              <w:right w:val="single" w:sz="4" w:space="0" w:color="auto"/>
            </w:tcBorders>
            <w:hideMark/>
          </w:tcPr>
          <w:p w14:paraId="6C5315FC" w14:textId="77777777" w:rsidR="00716405" w:rsidRDefault="00716405">
            <w:pPr>
              <w:pStyle w:val="Tabletext9pt"/>
              <w:rPr>
                <w:szCs w:val="18"/>
                <w:lang w:eastAsia="en-AU"/>
              </w:rPr>
            </w:pPr>
            <w:r>
              <w:rPr>
                <w:szCs w:val="18"/>
                <w:lang w:eastAsia="en-AU"/>
              </w:rPr>
              <w:t>Residential aged care complex supplement</w:t>
            </w:r>
          </w:p>
        </w:tc>
        <w:tc>
          <w:tcPr>
            <w:tcW w:w="4342" w:type="dxa"/>
            <w:tcBorders>
              <w:top w:val="single" w:sz="4" w:space="0" w:color="auto"/>
              <w:left w:val="single" w:sz="4" w:space="0" w:color="auto"/>
              <w:bottom w:val="single" w:sz="4" w:space="0" w:color="auto"/>
              <w:right w:val="single" w:sz="4" w:space="0" w:color="auto"/>
            </w:tcBorders>
            <w:hideMark/>
          </w:tcPr>
          <w:p w14:paraId="4A7F468E" w14:textId="77777777" w:rsidR="00716405" w:rsidRDefault="00716405">
            <w:pPr>
              <w:pStyle w:val="Tabletext9pt"/>
              <w:rPr>
                <w:szCs w:val="18"/>
                <w:lang w:eastAsia="en-AU"/>
              </w:rPr>
            </w:pPr>
            <w:r>
              <w:rPr>
                <w:szCs w:val="18"/>
                <w:lang w:eastAsia="en-AU"/>
              </w:rPr>
              <w:t>Funds designated places to support services targeting people with particular complex conditions to provide a higher level of specialised care management.</w:t>
            </w:r>
          </w:p>
        </w:tc>
      </w:tr>
      <w:tr w:rsidR="00716405" w14:paraId="31AD60A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33A3B5B0" w14:textId="77777777" w:rsidR="00716405" w:rsidRDefault="00716405">
            <w:pPr>
              <w:pStyle w:val="Tabletext9pt"/>
              <w:rPr>
                <w:szCs w:val="18"/>
                <w:lang w:eastAsia="en-AU"/>
              </w:rPr>
            </w:pPr>
            <w:r>
              <w:rPr>
                <w:szCs w:val="18"/>
                <w:lang w:eastAsia="en-AU"/>
              </w:rPr>
              <w:t>13107</w:t>
            </w:r>
          </w:p>
        </w:tc>
        <w:tc>
          <w:tcPr>
            <w:tcW w:w="2977" w:type="dxa"/>
            <w:tcBorders>
              <w:top w:val="single" w:sz="4" w:space="0" w:color="auto"/>
              <w:left w:val="single" w:sz="4" w:space="0" w:color="auto"/>
              <w:bottom w:val="single" w:sz="4" w:space="0" w:color="auto"/>
              <w:right w:val="single" w:sz="4" w:space="0" w:color="auto"/>
            </w:tcBorders>
            <w:hideMark/>
          </w:tcPr>
          <w:p w14:paraId="2A7DF1A3" w14:textId="77777777" w:rsidR="00716405" w:rsidRDefault="00716405">
            <w:pPr>
              <w:pStyle w:val="Tabletext9pt"/>
              <w:rPr>
                <w:szCs w:val="18"/>
                <w:lang w:eastAsia="en-AU"/>
              </w:rPr>
            </w:pPr>
            <w:r>
              <w:rPr>
                <w:szCs w:val="18"/>
                <w:lang w:eastAsia="en-AU"/>
              </w:rPr>
              <w:t>Rural small high care supplement</w:t>
            </w:r>
          </w:p>
        </w:tc>
        <w:tc>
          <w:tcPr>
            <w:tcW w:w="4342" w:type="dxa"/>
            <w:tcBorders>
              <w:top w:val="single" w:sz="4" w:space="0" w:color="auto"/>
              <w:left w:val="single" w:sz="4" w:space="0" w:color="auto"/>
              <w:bottom w:val="single" w:sz="4" w:space="0" w:color="auto"/>
              <w:right w:val="single" w:sz="4" w:space="0" w:color="auto"/>
            </w:tcBorders>
            <w:hideMark/>
          </w:tcPr>
          <w:p w14:paraId="3CABC5BE" w14:textId="77777777" w:rsidR="00716405" w:rsidRDefault="00716405">
            <w:pPr>
              <w:pStyle w:val="Tabletext9pt"/>
              <w:rPr>
                <w:szCs w:val="18"/>
                <w:lang w:eastAsia="en-AU"/>
              </w:rPr>
            </w:pPr>
            <w:r>
              <w:rPr>
                <w:szCs w:val="18"/>
                <w:lang w:eastAsia="en-AU"/>
              </w:rPr>
              <w:t>Funds designated small-sized high-care public sector residential aged care services (up to 30 places) that are located in rural Victoria. There are three levels of supplement paid for services of various sizes:</w:t>
            </w:r>
          </w:p>
          <w:p w14:paraId="24CDE776" w14:textId="77777777" w:rsidR="00716405" w:rsidRDefault="00716405" w:rsidP="00716405">
            <w:pPr>
              <w:pStyle w:val="Tablebullet9pt"/>
            </w:pPr>
            <w:r>
              <w:t>services with one to 10 high-care places</w:t>
            </w:r>
          </w:p>
          <w:p w14:paraId="0A3560C1" w14:textId="77777777" w:rsidR="00716405" w:rsidRDefault="00716405" w:rsidP="00716405">
            <w:pPr>
              <w:pStyle w:val="Tablebullet9pt"/>
            </w:pPr>
            <w:r>
              <w:t>services with 11–20 high-care places</w:t>
            </w:r>
          </w:p>
          <w:p w14:paraId="3CCD7925" w14:textId="77777777" w:rsidR="00716405" w:rsidRDefault="00716405" w:rsidP="00716405">
            <w:pPr>
              <w:pStyle w:val="Tablebullet9pt"/>
              <w:rPr>
                <w:lang w:eastAsia="en-AU"/>
              </w:rPr>
            </w:pPr>
            <w:r>
              <w:t>services with 2</w:t>
            </w:r>
            <w:r>
              <w:rPr>
                <w:lang w:eastAsia="en-AU"/>
              </w:rPr>
              <w:t>1–30 high-care places.</w:t>
            </w:r>
          </w:p>
        </w:tc>
      </w:tr>
      <w:tr w:rsidR="00716405" w14:paraId="4E957DD8"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6361A2D5" w14:textId="77777777" w:rsidR="00716405" w:rsidRDefault="00716405">
            <w:pPr>
              <w:pStyle w:val="Tabletext9pt"/>
              <w:rPr>
                <w:szCs w:val="18"/>
                <w:lang w:eastAsia="en-AU"/>
              </w:rPr>
            </w:pPr>
            <w:r>
              <w:rPr>
                <w:szCs w:val="18"/>
                <w:lang w:eastAsia="en-AU"/>
              </w:rPr>
              <w:t>13211</w:t>
            </w:r>
          </w:p>
        </w:tc>
        <w:tc>
          <w:tcPr>
            <w:tcW w:w="2977" w:type="dxa"/>
            <w:tcBorders>
              <w:top w:val="single" w:sz="4" w:space="0" w:color="auto"/>
              <w:left w:val="single" w:sz="4" w:space="0" w:color="auto"/>
              <w:bottom w:val="single" w:sz="4" w:space="0" w:color="auto"/>
              <w:right w:val="single" w:sz="4" w:space="0" w:color="auto"/>
            </w:tcBorders>
            <w:hideMark/>
          </w:tcPr>
          <w:p w14:paraId="33B0C01D" w14:textId="77777777" w:rsidR="00716405" w:rsidRDefault="00716405">
            <w:pPr>
              <w:pStyle w:val="Tabletext9pt"/>
              <w:rPr>
                <w:szCs w:val="18"/>
                <w:lang w:eastAsia="en-AU"/>
              </w:rPr>
            </w:pPr>
            <w:r>
              <w:rPr>
                <w:szCs w:val="18"/>
                <w:lang w:eastAsia="en-AU"/>
              </w:rPr>
              <w:t>Aged annual provisions – minor works</w:t>
            </w:r>
          </w:p>
        </w:tc>
        <w:tc>
          <w:tcPr>
            <w:tcW w:w="4342" w:type="dxa"/>
            <w:tcBorders>
              <w:top w:val="single" w:sz="4" w:space="0" w:color="auto"/>
              <w:left w:val="single" w:sz="4" w:space="0" w:color="auto"/>
              <w:bottom w:val="single" w:sz="4" w:space="0" w:color="auto"/>
              <w:right w:val="single" w:sz="4" w:space="0" w:color="auto"/>
            </w:tcBorders>
            <w:hideMark/>
          </w:tcPr>
          <w:p w14:paraId="1EC6E03E" w14:textId="77777777" w:rsidR="00716405" w:rsidRDefault="00716405">
            <w:pPr>
              <w:pStyle w:val="Tabletext9pt"/>
              <w:rPr>
                <w:szCs w:val="18"/>
                <w:lang w:eastAsia="en-AU"/>
              </w:rPr>
            </w:pPr>
            <w:r>
              <w:rPr>
                <w:szCs w:val="18"/>
                <w:lang w:eastAsia="en-AU"/>
              </w:rPr>
              <w:t>This activity provides minor capital funds for funded organisations and includes vehicles, minor building modifications, repairs and furniture and equipment expenses.</w:t>
            </w:r>
          </w:p>
        </w:tc>
      </w:tr>
      <w:tr w:rsidR="00716405" w14:paraId="221D9886"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5809A0B5" w14:textId="77777777" w:rsidR="00716405" w:rsidRDefault="00716405">
            <w:pPr>
              <w:pStyle w:val="Tabletext9pt"/>
              <w:rPr>
                <w:szCs w:val="18"/>
                <w:lang w:eastAsia="en-AU"/>
              </w:rPr>
            </w:pPr>
            <w:r>
              <w:rPr>
                <w:szCs w:val="18"/>
                <w:lang w:eastAsia="en-AU"/>
              </w:rPr>
              <w:t>13301</w:t>
            </w:r>
          </w:p>
        </w:tc>
        <w:tc>
          <w:tcPr>
            <w:tcW w:w="2977" w:type="dxa"/>
            <w:tcBorders>
              <w:top w:val="single" w:sz="4" w:space="0" w:color="auto"/>
              <w:left w:val="single" w:sz="4" w:space="0" w:color="auto"/>
              <w:bottom w:val="single" w:sz="4" w:space="0" w:color="auto"/>
              <w:right w:val="single" w:sz="4" w:space="0" w:color="auto"/>
            </w:tcBorders>
            <w:hideMark/>
          </w:tcPr>
          <w:p w14:paraId="04672669" w14:textId="77777777" w:rsidR="00716405" w:rsidRDefault="00716405">
            <w:pPr>
              <w:pStyle w:val="Tabletext9pt"/>
              <w:rPr>
                <w:szCs w:val="18"/>
                <w:lang w:eastAsia="en-AU"/>
              </w:rPr>
            </w:pPr>
            <w:r>
              <w:rPr>
                <w:szCs w:val="18"/>
                <w:lang w:eastAsia="en-AU"/>
              </w:rPr>
              <w:t>Aged quality improvement</w:t>
            </w:r>
          </w:p>
        </w:tc>
        <w:tc>
          <w:tcPr>
            <w:tcW w:w="4342" w:type="dxa"/>
            <w:tcBorders>
              <w:top w:val="single" w:sz="4" w:space="0" w:color="auto"/>
              <w:left w:val="single" w:sz="4" w:space="0" w:color="auto"/>
              <w:bottom w:val="single" w:sz="4" w:space="0" w:color="auto"/>
              <w:right w:val="single" w:sz="4" w:space="0" w:color="auto"/>
            </w:tcBorders>
            <w:hideMark/>
          </w:tcPr>
          <w:p w14:paraId="043937C8" w14:textId="77777777" w:rsidR="00716405" w:rsidRDefault="00716405">
            <w:pPr>
              <w:pStyle w:val="Tabletext9pt"/>
              <w:rPr>
                <w:szCs w:val="18"/>
                <w:lang w:eastAsia="en-AU"/>
              </w:rPr>
            </w:pPr>
            <w:r>
              <w:rPr>
                <w:szCs w:val="18"/>
                <w:lang w:eastAsia="en-AU"/>
              </w:rPr>
              <w:t>To support safety through a range of activities including performance monitoring, workforce development, infection management, infrastructure development and social inclusion.</w:t>
            </w:r>
          </w:p>
        </w:tc>
      </w:tr>
    </w:tbl>
    <w:p w14:paraId="64710E3D" w14:textId="77777777" w:rsidR="00716405" w:rsidRDefault="00716405" w:rsidP="00716405">
      <w:pPr>
        <w:pStyle w:val="Bodyaftertablefigure"/>
      </w:pPr>
      <w:r>
        <w:t xml:space="preserve">Output name: </w:t>
      </w:r>
      <w:r>
        <w:rPr>
          <w:lang w:eastAsia="en-AU"/>
        </w:rPr>
        <w:t>HACC-</w:t>
      </w:r>
      <w:r>
        <w:t>PYP</w:t>
      </w:r>
      <w:r>
        <w:rPr>
          <w:lang w:eastAsia="en-AU"/>
        </w:rPr>
        <w:t xml:space="preserve"> Primary Health, Community Care and Support</w:t>
      </w:r>
    </w:p>
    <w:tbl>
      <w:tblPr>
        <w:tblStyle w:val="TableGrid1"/>
        <w:tblW w:w="9299" w:type="dxa"/>
        <w:tblLook w:val="06A0" w:firstRow="1" w:lastRow="0" w:firstColumn="1" w:lastColumn="0" w:noHBand="1" w:noVBand="1"/>
      </w:tblPr>
      <w:tblGrid>
        <w:gridCol w:w="1980"/>
        <w:gridCol w:w="2977"/>
        <w:gridCol w:w="4342"/>
      </w:tblGrid>
      <w:tr w:rsidR="00716405" w14:paraId="4EC3B0BA" w14:textId="77777777" w:rsidTr="00716405">
        <w:trPr>
          <w:cnfStyle w:val="100000000000" w:firstRow="1" w:lastRow="0" w:firstColumn="0" w:lastColumn="0" w:oddVBand="0" w:evenVBand="0" w:oddHBand="0" w:evenHBand="0" w:firstRowFirstColumn="0" w:firstRowLastColumn="0" w:lastRowFirstColumn="0" w:lastRowLastColumn="0"/>
          <w:tblHeader/>
        </w:trPr>
        <w:tc>
          <w:tcPr>
            <w:tcW w:w="1980" w:type="dxa"/>
            <w:tcBorders>
              <w:top w:val="single" w:sz="4" w:space="0" w:color="auto"/>
              <w:left w:val="single" w:sz="4" w:space="0" w:color="auto"/>
              <w:bottom w:val="single" w:sz="4" w:space="0" w:color="auto"/>
              <w:right w:val="single" w:sz="4" w:space="0" w:color="auto"/>
            </w:tcBorders>
            <w:hideMark/>
          </w:tcPr>
          <w:p w14:paraId="603C37E3" w14:textId="77777777" w:rsidR="00716405" w:rsidRDefault="00716405">
            <w:pPr>
              <w:pStyle w:val="Tablecolhead9pt"/>
              <w:rPr>
                <w:szCs w:val="18"/>
                <w:lang w:eastAsia="en-AU"/>
              </w:rPr>
            </w:pPr>
            <w:r>
              <w:rPr>
                <w:lang w:eastAsia="en-AU"/>
              </w:rPr>
              <w:t>Activity no.</w:t>
            </w:r>
          </w:p>
        </w:tc>
        <w:tc>
          <w:tcPr>
            <w:tcW w:w="2977" w:type="dxa"/>
            <w:tcBorders>
              <w:top w:val="single" w:sz="4" w:space="0" w:color="auto"/>
              <w:left w:val="single" w:sz="4" w:space="0" w:color="auto"/>
              <w:bottom w:val="single" w:sz="4" w:space="0" w:color="auto"/>
              <w:right w:val="single" w:sz="4" w:space="0" w:color="auto"/>
            </w:tcBorders>
            <w:hideMark/>
          </w:tcPr>
          <w:p w14:paraId="0138F7BB" w14:textId="77777777" w:rsidR="00716405" w:rsidRDefault="00716405">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01846281" w14:textId="77777777" w:rsidR="00716405" w:rsidRDefault="00716405">
            <w:pPr>
              <w:pStyle w:val="Tablecolhead9pt"/>
              <w:rPr>
                <w:szCs w:val="18"/>
                <w:lang w:eastAsia="en-AU"/>
              </w:rPr>
            </w:pPr>
            <w:r>
              <w:rPr>
                <w:lang w:eastAsia="en-AU"/>
              </w:rPr>
              <w:t>Activity description</w:t>
            </w:r>
          </w:p>
        </w:tc>
      </w:tr>
      <w:tr w:rsidR="00716405" w14:paraId="6E52AF35"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445FA7F2" w14:textId="77777777" w:rsidR="00716405" w:rsidRDefault="00716405">
            <w:pPr>
              <w:pStyle w:val="Tabletext9pt"/>
              <w:rPr>
                <w:szCs w:val="18"/>
                <w:lang w:eastAsia="en-AU"/>
              </w:rPr>
            </w:pPr>
            <w:r>
              <w:rPr>
                <w:szCs w:val="18"/>
                <w:lang w:eastAsia="en-AU"/>
              </w:rPr>
              <w:t>13015</w:t>
            </w:r>
          </w:p>
        </w:tc>
        <w:tc>
          <w:tcPr>
            <w:tcW w:w="2977" w:type="dxa"/>
            <w:tcBorders>
              <w:top w:val="single" w:sz="4" w:space="0" w:color="auto"/>
              <w:left w:val="single" w:sz="4" w:space="0" w:color="auto"/>
              <w:bottom w:val="single" w:sz="4" w:space="0" w:color="auto"/>
              <w:right w:val="single" w:sz="4" w:space="0" w:color="auto"/>
            </w:tcBorders>
            <w:hideMark/>
          </w:tcPr>
          <w:p w14:paraId="24BACE60" w14:textId="77777777" w:rsidR="00716405" w:rsidRDefault="00716405">
            <w:pPr>
              <w:pStyle w:val="Tabletext9pt"/>
              <w:rPr>
                <w:szCs w:val="18"/>
                <w:lang w:eastAsia="en-AU"/>
              </w:rPr>
            </w:pPr>
            <w:r>
              <w:rPr>
                <w:szCs w:val="18"/>
                <w:lang w:eastAsia="en-AU"/>
              </w:rPr>
              <w:t>HACC-PYP Linkages</w:t>
            </w:r>
          </w:p>
        </w:tc>
        <w:tc>
          <w:tcPr>
            <w:tcW w:w="4342" w:type="dxa"/>
            <w:tcBorders>
              <w:top w:val="single" w:sz="4" w:space="0" w:color="auto"/>
              <w:left w:val="single" w:sz="4" w:space="0" w:color="auto"/>
              <w:bottom w:val="single" w:sz="4" w:space="0" w:color="auto"/>
              <w:right w:val="single" w:sz="4" w:space="0" w:color="auto"/>
            </w:tcBorders>
            <w:hideMark/>
          </w:tcPr>
          <w:p w14:paraId="2D8BFC16" w14:textId="77777777" w:rsidR="00716405" w:rsidRDefault="00716405">
            <w:pPr>
              <w:pStyle w:val="Tabletext9pt"/>
              <w:rPr>
                <w:szCs w:val="18"/>
                <w:lang w:eastAsia="en-AU"/>
              </w:rPr>
            </w:pPr>
            <w:r>
              <w:rPr>
                <w:szCs w:val="18"/>
                <w:lang w:eastAsia="en-AU"/>
              </w:rPr>
              <w:t xml:space="preserve">Individualised packages of care incorporating assessment, case management and funds to purchase services to </w:t>
            </w:r>
            <w:r>
              <w:t xml:space="preserve">support </w:t>
            </w:r>
            <w:r>
              <w:rPr>
                <w:szCs w:val="18"/>
                <w:lang w:eastAsia="en-AU"/>
              </w:rPr>
              <w:t>HACC-PYP clients.</w:t>
            </w:r>
          </w:p>
        </w:tc>
      </w:tr>
      <w:tr w:rsidR="00716405" w14:paraId="1AD00871"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75186E93" w14:textId="77777777" w:rsidR="00716405" w:rsidRDefault="00716405">
            <w:pPr>
              <w:pStyle w:val="Tabletext9pt"/>
              <w:rPr>
                <w:szCs w:val="18"/>
                <w:lang w:eastAsia="en-AU"/>
              </w:rPr>
            </w:pPr>
            <w:r>
              <w:rPr>
                <w:szCs w:val="18"/>
                <w:lang w:eastAsia="en-AU"/>
              </w:rPr>
              <w:t>13023</w:t>
            </w:r>
          </w:p>
        </w:tc>
        <w:tc>
          <w:tcPr>
            <w:tcW w:w="2977" w:type="dxa"/>
            <w:tcBorders>
              <w:top w:val="single" w:sz="4" w:space="0" w:color="auto"/>
              <w:left w:val="single" w:sz="4" w:space="0" w:color="auto"/>
              <w:bottom w:val="single" w:sz="4" w:space="0" w:color="auto"/>
              <w:right w:val="single" w:sz="4" w:space="0" w:color="auto"/>
            </w:tcBorders>
            <w:hideMark/>
          </w:tcPr>
          <w:p w14:paraId="4556F404" w14:textId="77777777" w:rsidR="00716405" w:rsidRDefault="00716405">
            <w:pPr>
              <w:pStyle w:val="Tabletext9pt"/>
              <w:rPr>
                <w:szCs w:val="18"/>
                <w:lang w:eastAsia="en-AU"/>
              </w:rPr>
            </w:pPr>
            <w:r>
              <w:rPr>
                <w:szCs w:val="18"/>
                <w:lang w:eastAsia="en-AU"/>
              </w:rPr>
              <w:t>HACC-PYP Service Development Grant</w:t>
            </w:r>
          </w:p>
        </w:tc>
        <w:tc>
          <w:tcPr>
            <w:tcW w:w="4342" w:type="dxa"/>
            <w:tcBorders>
              <w:top w:val="single" w:sz="4" w:space="0" w:color="auto"/>
              <w:left w:val="single" w:sz="4" w:space="0" w:color="auto"/>
              <w:bottom w:val="single" w:sz="4" w:space="0" w:color="auto"/>
              <w:right w:val="single" w:sz="4" w:space="0" w:color="auto"/>
            </w:tcBorders>
            <w:hideMark/>
          </w:tcPr>
          <w:p w14:paraId="33DC059C" w14:textId="77777777" w:rsidR="00716405" w:rsidRDefault="00716405">
            <w:pPr>
              <w:pStyle w:val="Tabletext9pt"/>
              <w:rPr>
                <w:szCs w:val="18"/>
                <w:lang w:eastAsia="en-AU"/>
              </w:rPr>
            </w:pPr>
            <w:r>
              <w:rPr>
                <w:szCs w:val="18"/>
                <w:lang w:eastAsia="en-AU"/>
              </w:rPr>
              <w:t xml:space="preserve">One-off projects (up to six months’ duration) to improve quality, effectiveness, and efficiency of HACC-PYP services and service system. </w:t>
            </w:r>
          </w:p>
        </w:tc>
      </w:tr>
      <w:tr w:rsidR="00716405" w14:paraId="22ECEB98"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39E09791" w14:textId="77777777" w:rsidR="00716405" w:rsidRDefault="00716405">
            <w:pPr>
              <w:pStyle w:val="Tabletext9pt"/>
              <w:rPr>
                <w:szCs w:val="18"/>
                <w:lang w:eastAsia="en-AU"/>
              </w:rPr>
            </w:pPr>
            <w:r>
              <w:rPr>
                <w:szCs w:val="18"/>
                <w:lang w:eastAsia="en-AU"/>
              </w:rPr>
              <w:t>13024</w:t>
            </w:r>
          </w:p>
        </w:tc>
        <w:tc>
          <w:tcPr>
            <w:tcW w:w="2977" w:type="dxa"/>
            <w:tcBorders>
              <w:top w:val="single" w:sz="4" w:space="0" w:color="auto"/>
              <w:left w:val="single" w:sz="4" w:space="0" w:color="auto"/>
              <w:bottom w:val="single" w:sz="4" w:space="0" w:color="auto"/>
              <w:right w:val="single" w:sz="4" w:space="0" w:color="auto"/>
            </w:tcBorders>
            <w:hideMark/>
          </w:tcPr>
          <w:p w14:paraId="78235836" w14:textId="77777777" w:rsidR="00716405" w:rsidRDefault="00716405">
            <w:pPr>
              <w:pStyle w:val="Tabletext9pt"/>
              <w:rPr>
                <w:szCs w:val="18"/>
                <w:lang w:eastAsia="en-AU"/>
              </w:rPr>
            </w:pPr>
            <w:r>
              <w:rPr>
                <w:szCs w:val="18"/>
                <w:lang w:eastAsia="en-AU"/>
              </w:rPr>
              <w:t>HACC-PYP Assessment</w:t>
            </w:r>
          </w:p>
        </w:tc>
        <w:tc>
          <w:tcPr>
            <w:tcW w:w="4342" w:type="dxa"/>
            <w:tcBorders>
              <w:top w:val="single" w:sz="4" w:space="0" w:color="auto"/>
              <w:left w:val="single" w:sz="4" w:space="0" w:color="auto"/>
              <w:bottom w:val="single" w:sz="4" w:space="0" w:color="auto"/>
              <w:right w:val="single" w:sz="4" w:space="0" w:color="auto"/>
            </w:tcBorders>
            <w:hideMark/>
          </w:tcPr>
          <w:p w14:paraId="7EFBF4D8" w14:textId="77777777" w:rsidR="00716405" w:rsidRDefault="00716405">
            <w:pPr>
              <w:pStyle w:val="Tabletext9pt"/>
              <w:rPr>
                <w:szCs w:val="18"/>
                <w:lang w:eastAsia="en-AU"/>
              </w:rPr>
            </w:pPr>
            <w:r>
              <w:rPr>
                <w:szCs w:val="18"/>
                <w:lang w:eastAsia="en-AU"/>
              </w:rPr>
              <w:t xml:space="preserve">This activity is described in the </w:t>
            </w:r>
            <w:r>
              <w:rPr>
                <w:i/>
                <w:iCs/>
                <w:szCs w:val="18"/>
                <w:lang w:eastAsia="en-AU"/>
              </w:rPr>
              <w:t>Framework for assessment</w:t>
            </w:r>
            <w:r>
              <w:rPr>
                <w:szCs w:val="18"/>
                <w:lang w:eastAsia="en-AU"/>
              </w:rPr>
              <w:t xml:space="preserve"> </w:t>
            </w:r>
            <w:r>
              <w:rPr>
                <w:i/>
                <w:szCs w:val="18"/>
                <w:lang w:eastAsia="en-AU"/>
              </w:rPr>
              <w:t>in the HACC program</w:t>
            </w:r>
            <w:r>
              <w:rPr>
                <w:szCs w:val="18"/>
                <w:lang w:eastAsia="en-AU"/>
              </w:rPr>
              <w:t xml:space="preserve">. Living-at-home assessments for </w:t>
            </w:r>
            <w:r>
              <w:t>HACC-PYP clients</w:t>
            </w:r>
            <w:r>
              <w:rPr>
                <w:szCs w:val="18"/>
                <w:lang w:eastAsia="en-AU"/>
              </w:rPr>
              <w:t xml:space="preserve"> include home-based holistic assessment of need, service-specific assessments, and warm transfer to more relevant programs.</w:t>
            </w:r>
          </w:p>
        </w:tc>
      </w:tr>
      <w:tr w:rsidR="00716405" w14:paraId="5535A36A"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7616FA0F" w14:textId="77777777" w:rsidR="00716405" w:rsidRDefault="00716405">
            <w:pPr>
              <w:pStyle w:val="Tabletext9pt"/>
              <w:rPr>
                <w:szCs w:val="18"/>
                <w:lang w:eastAsia="en-AU"/>
              </w:rPr>
            </w:pPr>
            <w:r>
              <w:rPr>
                <w:szCs w:val="18"/>
                <w:lang w:eastAsia="en-AU"/>
              </w:rPr>
              <w:t>13026</w:t>
            </w:r>
          </w:p>
        </w:tc>
        <w:tc>
          <w:tcPr>
            <w:tcW w:w="2977" w:type="dxa"/>
            <w:tcBorders>
              <w:top w:val="single" w:sz="4" w:space="0" w:color="auto"/>
              <w:left w:val="single" w:sz="4" w:space="0" w:color="auto"/>
              <w:bottom w:val="single" w:sz="4" w:space="0" w:color="auto"/>
              <w:right w:val="single" w:sz="4" w:space="0" w:color="auto"/>
            </w:tcBorders>
            <w:hideMark/>
          </w:tcPr>
          <w:p w14:paraId="6A841B77" w14:textId="77777777" w:rsidR="00716405" w:rsidRDefault="00716405">
            <w:pPr>
              <w:pStyle w:val="Tabletext9pt"/>
              <w:rPr>
                <w:szCs w:val="18"/>
                <w:lang w:eastAsia="en-AU"/>
              </w:rPr>
            </w:pPr>
            <w:r>
              <w:rPr>
                <w:szCs w:val="18"/>
                <w:lang w:eastAsia="en-AU"/>
              </w:rPr>
              <w:t>HACC-PYP Community Care</w:t>
            </w:r>
          </w:p>
        </w:tc>
        <w:tc>
          <w:tcPr>
            <w:tcW w:w="4342" w:type="dxa"/>
            <w:tcBorders>
              <w:top w:val="single" w:sz="4" w:space="0" w:color="auto"/>
              <w:left w:val="single" w:sz="4" w:space="0" w:color="auto"/>
              <w:bottom w:val="single" w:sz="4" w:space="0" w:color="auto"/>
              <w:right w:val="single" w:sz="4" w:space="0" w:color="auto"/>
            </w:tcBorders>
            <w:hideMark/>
          </w:tcPr>
          <w:p w14:paraId="691E948C" w14:textId="77777777" w:rsidR="00716405" w:rsidRDefault="00716405">
            <w:pPr>
              <w:pStyle w:val="Tabletext9pt"/>
              <w:rPr>
                <w:szCs w:val="18"/>
                <w:lang w:eastAsia="en-AU"/>
              </w:rPr>
            </w:pPr>
            <w:r>
              <w:rPr>
                <w:szCs w:val="18"/>
                <w:lang w:eastAsia="en-AU"/>
              </w:rPr>
              <w:t>Personal and in-home supports to people</w:t>
            </w:r>
            <w:r>
              <w:t xml:space="preserve"> birth to 65 years of age who have difficulty with the activities of daily living</w:t>
            </w:r>
          </w:p>
        </w:tc>
      </w:tr>
      <w:tr w:rsidR="00716405" w14:paraId="2D3E4B9A"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05CAEA36" w14:textId="77777777" w:rsidR="00716405" w:rsidRDefault="00716405">
            <w:pPr>
              <w:pStyle w:val="Tabletext9pt"/>
              <w:rPr>
                <w:szCs w:val="18"/>
                <w:lang w:eastAsia="en-AU"/>
              </w:rPr>
            </w:pPr>
            <w:r>
              <w:rPr>
                <w:szCs w:val="18"/>
                <w:lang w:eastAsia="en-AU"/>
              </w:rPr>
              <w:t>13038</w:t>
            </w:r>
          </w:p>
        </w:tc>
        <w:tc>
          <w:tcPr>
            <w:tcW w:w="2977" w:type="dxa"/>
            <w:tcBorders>
              <w:top w:val="single" w:sz="4" w:space="0" w:color="auto"/>
              <w:left w:val="single" w:sz="4" w:space="0" w:color="auto"/>
              <w:bottom w:val="single" w:sz="4" w:space="0" w:color="auto"/>
              <w:right w:val="single" w:sz="4" w:space="0" w:color="auto"/>
            </w:tcBorders>
            <w:hideMark/>
          </w:tcPr>
          <w:p w14:paraId="5487BEC8" w14:textId="77777777" w:rsidR="00716405" w:rsidRDefault="00716405">
            <w:pPr>
              <w:pStyle w:val="Tabletext9pt"/>
              <w:rPr>
                <w:szCs w:val="18"/>
                <w:lang w:eastAsia="en-AU"/>
              </w:rPr>
            </w:pPr>
            <w:r>
              <w:rPr>
                <w:szCs w:val="18"/>
                <w:lang w:eastAsia="en-AU"/>
              </w:rPr>
              <w:t>HACC-PYP Service System Resourcing</w:t>
            </w:r>
          </w:p>
        </w:tc>
        <w:tc>
          <w:tcPr>
            <w:tcW w:w="4342" w:type="dxa"/>
            <w:tcBorders>
              <w:top w:val="single" w:sz="4" w:space="0" w:color="auto"/>
              <w:left w:val="single" w:sz="4" w:space="0" w:color="auto"/>
              <w:bottom w:val="single" w:sz="4" w:space="0" w:color="auto"/>
              <w:right w:val="single" w:sz="4" w:space="0" w:color="auto"/>
            </w:tcBorders>
            <w:hideMark/>
          </w:tcPr>
          <w:p w14:paraId="76AEDC17" w14:textId="25C65C72" w:rsidR="00716405" w:rsidRDefault="00716405">
            <w:pPr>
              <w:pStyle w:val="Tabletext9pt"/>
              <w:rPr>
                <w:lang w:eastAsia="en-AU"/>
              </w:rPr>
            </w:pPr>
            <w:r>
              <w:rPr>
                <w:lang w:eastAsia="en-AU"/>
              </w:rPr>
              <w:t xml:space="preserve">Resources to assist the sector to better meet the needs of younger people in the HACC-PYP target group and assist clients to gain better access to services. This also </w:t>
            </w:r>
            <w:r w:rsidR="002F5FA3">
              <w:rPr>
                <w:lang w:eastAsia="en-AU"/>
              </w:rPr>
              <w:t>includes the</w:t>
            </w:r>
            <w:r>
              <w:rPr>
                <w:lang w:eastAsia="en-AU"/>
              </w:rPr>
              <w:t xml:space="preserve"> SACS Award.</w:t>
            </w:r>
          </w:p>
        </w:tc>
      </w:tr>
      <w:tr w:rsidR="00716405" w14:paraId="234ED27F"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49E7267D" w14:textId="77777777" w:rsidR="00716405" w:rsidRDefault="00716405">
            <w:pPr>
              <w:pStyle w:val="Tabletext9pt"/>
              <w:rPr>
                <w:szCs w:val="18"/>
                <w:lang w:eastAsia="en-AU"/>
              </w:rPr>
            </w:pPr>
            <w:r>
              <w:rPr>
                <w:szCs w:val="18"/>
                <w:lang w:eastAsia="en-AU"/>
              </w:rPr>
              <w:t>13043</w:t>
            </w:r>
          </w:p>
        </w:tc>
        <w:tc>
          <w:tcPr>
            <w:tcW w:w="2977" w:type="dxa"/>
            <w:tcBorders>
              <w:top w:val="single" w:sz="4" w:space="0" w:color="auto"/>
              <w:left w:val="single" w:sz="4" w:space="0" w:color="auto"/>
              <w:bottom w:val="single" w:sz="4" w:space="0" w:color="auto"/>
              <w:right w:val="single" w:sz="4" w:space="0" w:color="auto"/>
            </w:tcBorders>
            <w:hideMark/>
          </w:tcPr>
          <w:p w14:paraId="43BC778E" w14:textId="77777777" w:rsidR="00716405" w:rsidRDefault="00716405">
            <w:pPr>
              <w:pStyle w:val="Tabletext9pt"/>
              <w:rPr>
                <w:szCs w:val="18"/>
                <w:lang w:eastAsia="en-AU"/>
              </w:rPr>
            </w:pPr>
            <w:r>
              <w:rPr>
                <w:szCs w:val="18"/>
                <w:lang w:eastAsia="en-AU"/>
              </w:rPr>
              <w:t>HACC-PYP Flexible Service Response</w:t>
            </w:r>
          </w:p>
        </w:tc>
        <w:tc>
          <w:tcPr>
            <w:tcW w:w="4342" w:type="dxa"/>
            <w:tcBorders>
              <w:top w:val="single" w:sz="4" w:space="0" w:color="auto"/>
              <w:left w:val="single" w:sz="4" w:space="0" w:color="auto"/>
              <w:bottom w:val="single" w:sz="4" w:space="0" w:color="auto"/>
              <w:right w:val="single" w:sz="4" w:space="0" w:color="auto"/>
            </w:tcBorders>
            <w:hideMark/>
          </w:tcPr>
          <w:p w14:paraId="30435CE0" w14:textId="77777777" w:rsidR="00716405" w:rsidRDefault="00716405">
            <w:pPr>
              <w:pStyle w:val="Tabletext9pt"/>
              <w:rPr>
                <w:szCs w:val="18"/>
                <w:lang w:eastAsia="en-AU"/>
              </w:rPr>
            </w:pPr>
            <w:r>
              <w:rPr>
                <w:szCs w:val="18"/>
                <w:lang w:eastAsia="en-AU"/>
              </w:rPr>
              <w:t>Funding to support innovative</w:t>
            </w:r>
            <w:r>
              <w:t xml:space="preserve"> and/or</w:t>
            </w:r>
            <w:r>
              <w:rPr>
                <w:szCs w:val="18"/>
                <w:lang w:eastAsia="en-AU"/>
              </w:rPr>
              <w:t xml:space="preserve"> developmental approaches to HACC-PYP and/or service delivery that cannot be funded under the unit pricing structure.</w:t>
            </w:r>
          </w:p>
        </w:tc>
      </w:tr>
      <w:tr w:rsidR="00716405" w14:paraId="3514235B"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21EE12CD" w14:textId="77777777" w:rsidR="00716405" w:rsidRDefault="00716405">
            <w:pPr>
              <w:pStyle w:val="Tabletext9pt"/>
              <w:rPr>
                <w:szCs w:val="18"/>
                <w:lang w:eastAsia="en-AU"/>
              </w:rPr>
            </w:pPr>
            <w:r>
              <w:rPr>
                <w:szCs w:val="18"/>
                <w:lang w:eastAsia="en-AU"/>
              </w:rPr>
              <w:t>13056</w:t>
            </w:r>
          </w:p>
        </w:tc>
        <w:tc>
          <w:tcPr>
            <w:tcW w:w="2977" w:type="dxa"/>
            <w:tcBorders>
              <w:top w:val="single" w:sz="4" w:space="0" w:color="auto"/>
              <w:left w:val="single" w:sz="4" w:space="0" w:color="auto"/>
              <w:bottom w:val="single" w:sz="4" w:space="0" w:color="auto"/>
              <w:right w:val="single" w:sz="4" w:space="0" w:color="auto"/>
            </w:tcBorders>
            <w:hideMark/>
          </w:tcPr>
          <w:p w14:paraId="455412F2" w14:textId="77777777" w:rsidR="00716405" w:rsidRDefault="00716405">
            <w:pPr>
              <w:pStyle w:val="Tabletext9pt"/>
              <w:rPr>
                <w:szCs w:val="18"/>
                <w:lang w:eastAsia="en-AU"/>
              </w:rPr>
            </w:pPr>
            <w:r>
              <w:rPr>
                <w:szCs w:val="18"/>
                <w:lang w:eastAsia="en-AU"/>
              </w:rPr>
              <w:t>HACC-PYP Planned Activity Group (PAG)</w:t>
            </w:r>
          </w:p>
        </w:tc>
        <w:tc>
          <w:tcPr>
            <w:tcW w:w="4342" w:type="dxa"/>
            <w:tcBorders>
              <w:top w:val="single" w:sz="4" w:space="0" w:color="auto"/>
              <w:left w:val="single" w:sz="4" w:space="0" w:color="auto"/>
              <w:bottom w:val="single" w:sz="4" w:space="0" w:color="auto"/>
              <w:right w:val="single" w:sz="4" w:space="0" w:color="auto"/>
            </w:tcBorders>
            <w:hideMark/>
          </w:tcPr>
          <w:p w14:paraId="4567AAE6" w14:textId="77777777" w:rsidR="00716405" w:rsidRDefault="00716405">
            <w:pPr>
              <w:pStyle w:val="Tabletext9pt"/>
              <w:rPr>
                <w:szCs w:val="18"/>
                <w:lang w:eastAsia="en-AU"/>
              </w:rPr>
            </w:pPr>
            <w:r>
              <w:rPr>
                <w:szCs w:val="18"/>
                <w:lang w:eastAsia="en-AU"/>
              </w:rPr>
              <w:t>Planned program of group activity to maintain a younger person’s capacity to perform the activities of daily living and social skills. PAG can be offered in a centre or in the community</w:t>
            </w:r>
          </w:p>
        </w:tc>
      </w:tr>
      <w:tr w:rsidR="00716405" w14:paraId="2478F8C1"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609D1FD1" w14:textId="77777777" w:rsidR="00716405" w:rsidRDefault="00716405">
            <w:pPr>
              <w:pStyle w:val="Tabletext9pt"/>
              <w:rPr>
                <w:szCs w:val="18"/>
                <w:lang w:eastAsia="en-AU"/>
              </w:rPr>
            </w:pPr>
            <w:r>
              <w:rPr>
                <w:szCs w:val="18"/>
                <w:lang w:eastAsia="en-AU"/>
              </w:rPr>
              <w:t>13063</w:t>
            </w:r>
          </w:p>
        </w:tc>
        <w:tc>
          <w:tcPr>
            <w:tcW w:w="2977" w:type="dxa"/>
            <w:tcBorders>
              <w:top w:val="single" w:sz="4" w:space="0" w:color="auto"/>
              <w:left w:val="single" w:sz="4" w:space="0" w:color="auto"/>
              <w:bottom w:val="single" w:sz="4" w:space="0" w:color="auto"/>
              <w:right w:val="single" w:sz="4" w:space="0" w:color="auto"/>
            </w:tcBorders>
            <w:hideMark/>
          </w:tcPr>
          <w:p w14:paraId="06DA72E4" w14:textId="77777777" w:rsidR="00716405" w:rsidRDefault="00716405">
            <w:pPr>
              <w:pStyle w:val="Tabletext9pt"/>
              <w:rPr>
                <w:szCs w:val="18"/>
                <w:lang w:eastAsia="en-AU"/>
              </w:rPr>
            </w:pPr>
            <w:r>
              <w:rPr>
                <w:szCs w:val="18"/>
                <w:lang w:eastAsia="en-AU"/>
              </w:rPr>
              <w:t>HACC-PYP Volunteer Coordination</w:t>
            </w:r>
          </w:p>
        </w:tc>
        <w:tc>
          <w:tcPr>
            <w:tcW w:w="4342" w:type="dxa"/>
            <w:tcBorders>
              <w:top w:val="single" w:sz="4" w:space="0" w:color="auto"/>
              <w:left w:val="single" w:sz="4" w:space="0" w:color="auto"/>
              <w:bottom w:val="single" w:sz="4" w:space="0" w:color="auto"/>
              <w:right w:val="single" w:sz="4" w:space="0" w:color="auto"/>
            </w:tcBorders>
            <w:hideMark/>
          </w:tcPr>
          <w:p w14:paraId="05763FC4" w14:textId="77777777" w:rsidR="00716405" w:rsidRDefault="00716405">
            <w:pPr>
              <w:pStyle w:val="Tabletext9pt"/>
              <w:rPr>
                <w:szCs w:val="18"/>
                <w:lang w:eastAsia="en-AU"/>
              </w:rPr>
            </w:pPr>
            <w:r>
              <w:rPr>
                <w:szCs w:val="18"/>
                <w:lang w:eastAsia="en-AU"/>
              </w:rPr>
              <w:t>Funding to coordinators to recruit, train and supervise volunteers and manage the volunteer services to HACC-PYP clients.</w:t>
            </w:r>
          </w:p>
        </w:tc>
      </w:tr>
      <w:tr w:rsidR="00716405" w14:paraId="7E7061E1"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4FEBC094" w14:textId="77777777" w:rsidR="00716405" w:rsidRDefault="00716405">
            <w:pPr>
              <w:pStyle w:val="Tabletext9pt"/>
              <w:rPr>
                <w:szCs w:val="18"/>
                <w:lang w:eastAsia="en-AU"/>
              </w:rPr>
            </w:pPr>
            <w:r>
              <w:rPr>
                <w:szCs w:val="18"/>
                <w:lang w:eastAsia="en-AU"/>
              </w:rPr>
              <w:t>13096</w:t>
            </w:r>
          </w:p>
        </w:tc>
        <w:tc>
          <w:tcPr>
            <w:tcW w:w="2977" w:type="dxa"/>
            <w:tcBorders>
              <w:top w:val="single" w:sz="4" w:space="0" w:color="auto"/>
              <w:left w:val="single" w:sz="4" w:space="0" w:color="auto"/>
              <w:bottom w:val="single" w:sz="4" w:space="0" w:color="auto"/>
              <w:right w:val="single" w:sz="4" w:space="0" w:color="auto"/>
            </w:tcBorders>
            <w:hideMark/>
          </w:tcPr>
          <w:p w14:paraId="2247DE03" w14:textId="77777777" w:rsidR="00716405" w:rsidRDefault="00716405">
            <w:pPr>
              <w:pStyle w:val="Tabletext9pt"/>
              <w:rPr>
                <w:szCs w:val="18"/>
                <w:lang w:eastAsia="en-AU"/>
              </w:rPr>
            </w:pPr>
            <w:r>
              <w:rPr>
                <w:szCs w:val="18"/>
                <w:lang w:eastAsia="en-AU"/>
              </w:rPr>
              <w:t>HACC-PYP Allied Health</w:t>
            </w:r>
          </w:p>
        </w:tc>
        <w:tc>
          <w:tcPr>
            <w:tcW w:w="4342" w:type="dxa"/>
            <w:tcBorders>
              <w:top w:val="single" w:sz="4" w:space="0" w:color="auto"/>
              <w:left w:val="single" w:sz="4" w:space="0" w:color="auto"/>
              <w:bottom w:val="single" w:sz="4" w:space="0" w:color="auto"/>
              <w:right w:val="single" w:sz="4" w:space="0" w:color="auto"/>
            </w:tcBorders>
            <w:hideMark/>
          </w:tcPr>
          <w:p w14:paraId="3A1CD050" w14:textId="77777777" w:rsidR="00716405" w:rsidRDefault="00716405">
            <w:pPr>
              <w:pStyle w:val="Tabletext9pt"/>
              <w:rPr>
                <w:szCs w:val="18"/>
                <w:lang w:eastAsia="en-AU"/>
              </w:rPr>
            </w:pPr>
            <w:r>
              <w:rPr>
                <w:szCs w:val="18"/>
                <w:lang w:eastAsia="en-AU"/>
              </w:rPr>
              <w:t>Allied health services, including clinical assessment, treatment, therapy, or professional advice</w:t>
            </w:r>
            <w:r>
              <w:t xml:space="preserve"> to HACC-</w:t>
            </w:r>
            <w:r>
              <w:lastRenderedPageBreak/>
              <w:t>PYP clients</w:t>
            </w:r>
            <w:r>
              <w:rPr>
                <w:szCs w:val="18"/>
                <w:lang w:eastAsia="en-AU"/>
              </w:rPr>
              <w:t xml:space="preserve">, </w:t>
            </w:r>
            <w:r>
              <w:t>that</w:t>
            </w:r>
            <w:r>
              <w:rPr>
                <w:szCs w:val="18"/>
                <w:lang w:eastAsia="en-AU"/>
              </w:rPr>
              <w:t xml:space="preserve"> may be provided in the home or at a centre.</w:t>
            </w:r>
          </w:p>
        </w:tc>
      </w:tr>
      <w:tr w:rsidR="00716405" w14:paraId="3E0D4E75"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3867E641" w14:textId="77777777" w:rsidR="00716405" w:rsidRDefault="00716405">
            <w:pPr>
              <w:pStyle w:val="Tabletext9pt"/>
              <w:rPr>
                <w:szCs w:val="18"/>
                <w:lang w:eastAsia="en-AU"/>
              </w:rPr>
            </w:pPr>
            <w:r>
              <w:rPr>
                <w:szCs w:val="18"/>
                <w:lang w:eastAsia="en-AU"/>
              </w:rPr>
              <w:lastRenderedPageBreak/>
              <w:t>13097</w:t>
            </w:r>
          </w:p>
        </w:tc>
        <w:tc>
          <w:tcPr>
            <w:tcW w:w="2977" w:type="dxa"/>
            <w:tcBorders>
              <w:top w:val="single" w:sz="4" w:space="0" w:color="auto"/>
              <w:left w:val="single" w:sz="4" w:space="0" w:color="auto"/>
              <w:bottom w:val="single" w:sz="4" w:space="0" w:color="auto"/>
              <w:right w:val="single" w:sz="4" w:space="0" w:color="auto"/>
            </w:tcBorders>
            <w:hideMark/>
          </w:tcPr>
          <w:p w14:paraId="04F92CA6" w14:textId="77777777" w:rsidR="00716405" w:rsidRDefault="00716405">
            <w:pPr>
              <w:pStyle w:val="Tabletext9pt"/>
              <w:rPr>
                <w:szCs w:val="18"/>
                <w:lang w:eastAsia="en-AU"/>
              </w:rPr>
            </w:pPr>
            <w:r>
              <w:rPr>
                <w:szCs w:val="18"/>
                <w:lang w:eastAsia="en-AU"/>
              </w:rPr>
              <w:t>HACC-PYP Delivered Meals</w:t>
            </w:r>
          </w:p>
        </w:tc>
        <w:tc>
          <w:tcPr>
            <w:tcW w:w="4342" w:type="dxa"/>
            <w:tcBorders>
              <w:top w:val="single" w:sz="4" w:space="0" w:color="auto"/>
              <w:left w:val="single" w:sz="4" w:space="0" w:color="auto"/>
              <w:bottom w:val="single" w:sz="4" w:space="0" w:color="auto"/>
              <w:right w:val="single" w:sz="4" w:space="0" w:color="auto"/>
            </w:tcBorders>
            <w:hideMark/>
          </w:tcPr>
          <w:p w14:paraId="66329865" w14:textId="77777777" w:rsidR="00716405" w:rsidRDefault="00716405">
            <w:pPr>
              <w:pStyle w:val="Tabletext9pt"/>
              <w:rPr>
                <w:szCs w:val="18"/>
                <w:lang w:eastAsia="en-AU"/>
              </w:rPr>
            </w:pPr>
            <w:r>
              <w:rPr>
                <w:szCs w:val="18"/>
                <w:lang w:eastAsia="en-AU"/>
              </w:rPr>
              <w:t>Subsidy for meals delivered to people in the HACC-PYP target group at home and or in a local venue.</w:t>
            </w:r>
          </w:p>
        </w:tc>
      </w:tr>
      <w:tr w:rsidR="00716405" w14:paraId="23A1FF6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1F87AA55" w14:textId="77777777" w:rsidR="00716405" w:rsidRDefault="00716405">
            <w:pPr>
              <w:pStyle w:val="Tabletext9pt"/>
              <w:rPr>
                <w:szCs w:val="18"/>
                <w:lang w:eastAsia="en-AU"/>
              </w:rPr>
            </w:pPr>
            <w:r>
              <w:rPr>
                <w:szCs w:val="18"/>
                <w:lang w:eastAsia="en-AU"/>
              </w:rPr>
              <w:t>13099</w:t>
            </w:r>
          </w:p>
        </w:tc>
        <w:tc>
          <w:tcPr>
            <w:tcW w:w="2977" w:type="dxa"/>
            <w:tcBorders>
              <w:top w:val="single" w:sz="4" w:space="0" w:color="auto"/>
              <w:left w:val="single" w:sz="4" w:space="0" w:color="auto"/>
              <w:bottom w:val="single" w:sz="4" w:space="0" w:color="auto"/>
              <w:right w:val="single" w:sz="4" w:space="0" w:color="auto"/>
            </w:tcBorders>
            <w:hideMark/>
          </w:tcPr>
          <w:p w14:paraId="329E51D3" w14:textId="77777777" w:rsidR="00716405" w:rsidRDefault="00716405">
            <w:pPr>
              <w:pStyle w:val="Tabletext9pt"/>
              <w:rPr>
                <w:szCs w:val="18"/>
                <w:lang w:eastAsia="en-AU"/>
              </w:rPr>
            </w:pPr>
            <w:r>
              <w:rPr>
                <w:szCs w:val="18"/>
                <w:lang w:eastAsia="en-AU"/>
              </w:rPr>
              <w:t>HACC-PYP Property Maintenance</w:t>
            </w:r>
          </w:p>
        </w:tc>
        <w:tc>
          <w:tcPr>
            <w:tcW w:w="4342" w:type="dxa"/>
            <w:tcBorders>
              <w:top w:val="single" w:sz="4" w:space="0" w:color="auto"/>
              <w:left w:val="single" w:sz="4" w:space="0" w:color="auto"/>
              <w:bottom w:val="single" w:sz="4" w:space="0" w:color="auto"/>
              <w:right w:val="single" w:sz="4" w:space="0" w:color="auto"/>
            </w:tcBorders>
            <w:hideMark/>
          </w:tcPr>
          <w:p w14:paraId="7EB5E869" w14:textId="77777777" w:rsidR="00716405" w:rsidRDefault="00716405">
            <w:pPr>
              <w:pStyle w:val="Tabletext9pt"/>
              <w:rPr>
                <w:szCs w:val="18"/>
                <w:lang w:eastAsia="en-AU"/>
              </w:rPr>
            </w:pPr>
            <w:r>
              <w:rPr>
                <w:szCs w:val="18"/>
                <w:lang w:eastAsia="en-AU"/>
              </w:rPr>
              <w:t>Assistance with home maintenance or modification, including maintenance and repair of the client’s home, garden, or yard to keep it in a safe and habitable condition, and home modification or minor renovations to the client’s home to help them cope with a disabling condition.</w:t>
            </w:r>
          </w:p>
        </w:tc>
      </w:tr>
      <w:tr w:rsidR="00716405" w14:paraId="44CE7448"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18CFE49E" w14:textId="77777777" w:rsidR="00716405" w:rsidRDefault="00716405">
            <w:pPr>
              <w:pStyle w:val="Tabletext9pt"/>
              <w:rPr>
                <w:szCs w:val="18"/>
                <w:lang w:eastAsia="en-AU"/>
              </w:rPr>
            </w:pPr>
            <w:r>
              <w:rPr>
                <w:szCs w:val="18"/>
                <w:lang w:eastAsia="en-AU"/>
              </w:rPr>
              <w:t>13130</w:t>
            </w:r>
          </w:p>
        </w:tc>
        <w:tc>
          <w:tcPr>
            <w:tcW w:w="2977" w:type="dxa"/>
            <w:tcBorders>
              <w:top w:val="single" w:sz="4" w:space="0" w:color="auto"/>
              <w:left w:val="single" w:sz="4" w:space="0" w:color="auto"/>
              <w:bottom w:val="single" w:sz="4" w:space="0" w:color="auto"/>
              <w:right w:val="single" w:sz="4" w:space="0" w:color="auto"/>
            </w:tcBorders>
            <w:hideMark/>
          </w:tcPr>
          <w:p w14:paraId="7A823ED6" w14:textId="77777777" w:rsidR="00716405" w:rsidRDefault="00716405">
            <w:pPr>
              <w:pStyle w:val="Tabletext9pt"/>
              <w:rPr>
                <w:szCs w:val="18"/>
                <w:lang w:eastAsia="en-AU"/>
              </w:rPr>
            </w:pPr>
            <w:r>
              <w:rPr>
                <w:szCs w:val="18"/>
                <w:lang w:eastAsia="en-AU"/>
              </w:rPr>
              <w:t>HACC-PYP Volunteer Coordination – Other</w:t>
            </w:r>
          </w:p>
        </w:tc>
        <w:tc>
          <w:tcPr>
            <w:tcW w:w="4342" w:type="dxa"/>
            <w:tcBorders>
              <w:top w:val="single" w:sz="4" w:space="0" w:color="auto"/>
              <w:left w:val="single" w:sz="4" w:space="0" w:color="auto"/>
              <w:bottom w:val="single" w:sz="4" w:space="0" w:color="auto"/>
              <w:right w:val="single" w:sz="4" w:space="0" w:color="auto"/>
            </w:tcBorders>
            <w:hideMark/>
          </w:tcPr>
          <w:p w14:paraId="71B195D8" w14:textId="71ED284F" w:rsidR="00716405" w:rsidRDefault="00716405">
            <w:pPr>
              <w:pStyle w:val="Tabletext9pt"/>
              <w:rPr>
                <w:szCs w:val="18"/>
                <w:lang w:eastAsia="en-AU"/>
              </w:rPr>
            </w:pPr>
            <w:r>
              <w:rPr>
                <w:szCs w:val="18"/>
                <w:lang w:eastAsia="en-AU"/>
              </w:rPr>
              <w:t>Block</w:t>
            </w:r>
            <w:r w:rsidR="00D9542F">
              <w:rPr>
                <w:szCs w:val="18"/>
                <w:lang w:eastAsia="en-AU"/>
              </w:rPr>
              <w:t xml:space="preserve"> </w:t>
            </w:r>
            <w:r>
              <w:rPr>
                <w:szCs w:val="18"/>
                <w:lang w:eastAsia="en-AU"/>
              </w:rPr>
              <w:t>funding to offset costs of volunteer programs including volunteer reimbursements, police checks and some program costs.</w:t>
            </w:r>
          </w:p>
        </w:tc>
      </w:tr>
      <w:tr w:rsidR="00716405" w14:paraId="61952E4F"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3F4FCEE4" w14:textId="77777777" w:rsidR="00716405" w:rsidRDefault="00716405">
            <w:pPr>
              <w:pStyle w:val="Tabletext9pt"/>
              <w:rPr>
                <w:szCs w:val="18"/>
                <w:lang w:eastAsia="en-AU"/>
              </w:rPr>
            </w:pPr>
            <w:r>
              <w:rPr>
                <w:szCs w:val="18"/>
                <w:lang w:eastAsia="en-AU"/>
              </w:rPr>
              <w:t>13217</w:t>
            </w:r>
          </w:p>
        </w:tc>
        <w:tc>
          <w:tcPr>
            <w:tcW w:w="2977" w:type="dxa"/>
            <w:tcBorders>
              <w:top w:val="single" w:sz="4" w:space="0" w:color="auto"/>
              <w:left w:val="single" w:sz="4" w:space="0" w:color="auto"/>
              <w:bottom w:val="single" w:sz="4" w:space="0" w:color="auto"/>
              <w:right w:val="single" w:sz="4" w:space="0" w:color="auto"/>
            </w:tcBorders>
            <w:hideMark/>
          </w:tcPr>
          <w:p w14:paraId="73C0C768" w14:textId="77777777" w:rsidR="00716405" w:rsidRDefault="00716405">
            <w:pPr>
              <w:pStyle w:val="Tabletext9pt"/>
              <w:rPr>
                <w:szCs w:val="18"/>
                <w:lang w:eastAsia="en-AU"/>
              </w:rPr>
            </w:pPr>
            <w:r>
              <w:rPr>
                <w:szCs w:val="18"/>
                <w:lang w:eastAsia="en-AU"/>
              </w:rPr>
              <w:t>HACC-PYP Minor Capital</w:t>
            </w:r>
          </w:p>
        </w:tc>
        <w:tc>
          <w:tcPr>
            <w:tcW w:w="4342" w:type="dxa"/>
            <w:tcBorders>
              <w:top w:val="single" w:sz="4" w:space="0" w:color="auto"/>
              <w:left w:val="single" w:sz="4" w:space="0" w:color="auto"/>
              <w:bottom w:val="single" w:sz="4" w:space="0" w:color="auto"/>
              <w:right w:val="single" w:sz="4" w:space="0" w:color="auto"/>
            </w:tcBorders>
            <w:hideMark/>
          </w:tcPr>
          <w:p w14:paraId="45AEE508" w14:textId="77777777" w:rsidR="00716405" w:rsidRDefault="00716405">
            <w:pPr>
              <w:pStyle w:val="Tabletext9pt"/>
              <w:rPr>
                <w:szCs w:val="18"/>
                <w:lang w:eastAsia="en-AU"/>
              </w:rPr>
            </w:pPr>
            <w:r>
              <w:rPr>
                <w:szCs w:val="18"/>
                <w:lang w:eastAsia="en-AU"/>
              </w:rPr>
              <w:t>Minor capital funds to HACC-PYP funded organisations to maintain, refurbish or upgrade infrastructure to support HACC-PYP services.</w:t>
            </w:r>
          </w:p>
        </w:tc>
      </w:tr>
      <w:tr w:rsidR="00716405" w14:paraId="00F6429F"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331E74B3" w14:textId="77777777" w:rsidR="00716405" w:rsidRDefault="00716405">
            <w:pPr>
              <w:pStyle w:val="Tabletext9pt"/>
              <w:rPr>
                <w:szCs w:val="18"/>
                <w:lang w:eastAsia="en-AU"/>
              </w:rPr>
            </w:pPr>
            <w:r>
              <w:rPr>
                <w:szCs w:val="18"/>
                <w:lang w:eastAsia="en-AU"/>
              </w:rPr>
              <w:t>13223</w:t>
            </w:r>
          </w:p>
        </w:tc>
        <w:tc>
          <w:tcPr>
            <w:tcW w:w="2977" w:type="dxa"/>
            <w:tcBorders>
              <w:top w:val="single" w:sz="4" w:space="0" w:color="auto"/>
              <w:left w:val="single" w:sz="4" w:space="0" w:color="auto"/>
              <w:bottom w:val="single" w:sz="4" w:space="0" w:color="auto"/>
              <w:right w:val="single" w:sz="4" w:space="0" w:color="auto"/>
            </w:tcBorders>
            <w:hideMark/>
          </w:tcPr>
          <w:p w14:paraId="326FD55D" w14:textId="77777777" w:rsidR="00716405" w:rsidRDefault="00716405">
            <w:pPr>
              <w:pStyle w:val="Tabletext9pt"/>
              <w:rPr>
                <w:szCs w:val="18"/>
                <w:lang w:eastAsia="en-AU"/>
              </w:rPr>
            </w:pPr>
            <w:r>
              <w:rPr>
                <w:szCs w:val="18"/>
                <w:lang w:eastAsia="en-AU"/>
              </w:rPr>
              <w:t>HACC-PYP Nursing</w:t>
            </w:r>
          </w:p>
        </w:tc>
        <w:tc>
          <w:tcPr>
            <w:tcW w:w="4342" w:type="dxa"/>
            <w:tcBorders>
              <w:top w:val="single" w:sz="4" w:space="0" w:color="auto"/>
              <w:left w:val="single" w:sz="4" w:space="0" w:color="auto"/>
              <w:bottom w:val="single" w:sz="4" w:space="0" w:color="auto"/>
              <w:right w:val="single" w:sz="4" w:space="0" w:color="auto"/>
            </w:tcBorders>
            <w:hideMark/>
          </w:tcPr>
          <w:p w14:paraId="07591E91" w14:textId="77777777" w:rsidR="00716405" w:rsidRDefault="00716405">
            <w:pPr>
              <w:pStyle w:val="Tabletext9pt"/>
              <w:rPr>
                <w:szCs w:val="18"/>
                <w:lang w:eastAsia="en-AU"/>
              </w:rPr>
            </w:pPr>
            <w:r>
              <w:rPr>
                <w:szCs w:val="18"/>
                <w:lang w:eastAsia="en-AU"/>
              </w:rPr>
              <w:t xml:space="preserve">Professional nursing care including direct clinical care, clinical assessment to </w:t>
            </w:r>
            <w:r>
              <w:t>HACC-PYP clients</w:t>
            </w:r>
            <w:r>
              <w:rPr>
                <w:szCs w:val="18"/>
                <w:lang w:eastAsia="en-AU"/>
              </w:rPr>
              <w:t>.</w:t>
            </w:r>
          </w:p>
        </w:tc>
      </w:tr>
      <w:tr w:rsidR="00716405" w14:paraId="385EFC5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02668C1B" w14:textId="77777777" w:rsidR="00716405" w:rsidRDefault="00716405">
            <w:pPr>
              <w:pStyle w:val="Tabletext9pt"/>
              <w:rPr>
                <w:szCs w:val="18"/>
                <w:lang w:eastAsia="en-AU"/>
              </w:rPr>
            </w:pPr>
            <w:r>
              <w:rPr>
                <w:szCs w:val="18"/>
                <w:lang w:eastAsia="en-AU"/>
              </w:rPr>
              <w:t>13227</w:t>
            </w:r>
          </w:p>
        </w:tc>
        <w:tc>
          <w:tcPr>
            <w:tcW w:w="2977" w:type="dxa"/>
            <w:tcBorders>
              <w:top w:val="single" w:sz="4" w:space="0" w:color="auto"/>
              <w:left w:val="single" w:sz="4" w:space="0" w:color="auto"/>
              <w:bottom w:val="single" w:sz="4" w:space="0" w:color="auto"/>
              <w:right w:val="single" w:sz="4" w:space="0" w:color="auto"/>
            </w:tcBorders>
            <w:hideMark/>
          </w:tcPr>
          <w:p w14:paraId="3319A015" w14:textId="77777777" w:rsidR="00716405" w:rsidRDefault="00716405">
            <w:pPr>
              <w:pStyle w:val="Tabletext9pt"/>
              <w:rPr>
                <w:szCs w:val="18"/>
                <w:lang w:eastAsia="en-AU"/>
              </w:rPr>
            </w:pPr>
            <w:r>
              <w:rPr>
                <w:szCs w:val="18"/>
                <w:lang w:eastAsia="en-AU"/>
              </w:rPr>
              <w:t>ACCO Services – HACC-PYP</w:t>
            </w:r>
          </w:p>
        </w:tc>
        <w:tc>
          <w:tcPr>
            <w:tcW w:w="4342" w:type="dxa"/>
            <w:tcBorders>
              <w:top w:val="single" w:sz="4" w:space="0" w:color="auto"/>
              <w:left w:val="single" w:sz="4" w:space="0" w:color="auto"/>
              <w:bottom w:val="single" w:sz="4" w:space="0" w:color="auto"/>
              <w:right w:val="single" w:sz="4" w:space="0" w:color="auto"/>
            </w:tcBorders>
            <w:hideMark/>
          </w:tcPr>
          <w:p w14:paraId="791F1469" w14:textId="77777777" w:rsidR="00716405" w:rsidRDefault="00716405">
            <w:pPr>
              <w:pStyle w:val="Tabletext9pt"/>
              <w:rPr>
                <w:szCs w:val="18"/>
                <w:lang w:eastAsia="en-AU"/>
              </w:rPr>
            </w:pPr>
            <w:r>
              <w:rPr>
                <w:szCs w:val="18"/>
                <w:lang w:eastAsia="en-AU"/>
              </w:rPr>
              <w:t>Funding for HACC-PYP services provided by Aboriginal community-controlled organisations.</w:t>
            </w:r>
          </w:p>
        </w:tc>
      </w:tr>
      <w:tr w:rsidR="00716405" w14:paraId="4DB08C38"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2F035EF6" w14:textId="77777777" w:rsidR="00716405" w:rsidRDefault="00716405">
            <w:pPr>
              <w:pStyle w:val="Tabletext9pt"/>
              <w:rPr>
                <w:szCs w:val="18"/>
                <w:lang w:eastAsia="en-AU"/>
              </w:rPr>
            </w:pPr>
            <w:r>
              <w:rPr>
                <w:szCs w:val="18"/>
                <w:lang w:eastAsia="en-AU"/>
              </w:rPr>
              <w:t>13229</w:t>
            </w:r>
          </w:p>
        </w:tc>
        <w:tc>
          <w:tcPr>
            <w:tcW w:w="2977" w:type="dxa"/>
            <w:tcBorders>
              <w:top w:val="single" w:sz="4" w:space="0" w:color="auto"/>
              <w:left w:val="single" w:sz="4" w:space="0" w:color="auto"/>
              <w:bottom w:val="single" w:sz="4" w:space="0" w:color="auto"/>
              <w:right w:val="single" w:sz="4" w:space="0" w:color="auto"/>
            </w:tcBorders>
            <w:hideMark/>
          </w:tcPr>
          <w:p w14:paraId="2F5ED68A" w14:textId="77777777" w:rsidR="00716405" w:rsidRDefault="00716405">
            <w:pPr>
              <w:pStyle w:val="Tabletext9pt"/>
              <w:keepNext/>
              <w:keepLines/>
              <w:rPr>
                <w:szCs w:val="18"/>
                <w:lang w:eastAsia="en-AU"/>
              </w:rPr>
            </w:pPr>
            <w:r>
              <w:rPr>
                <w:szCs w:val="18"/>
                <w:lang w:eastAsia="en-AU"/>
              </w:rPr>
              <w:t>HACC-PYP Access and Support</w:t>
            </w:r>
          </w:p>
        </w:tc>
        <w:tc>
          <w:tcPr>
            <w:tcW w:w="4342" w:type="dxa"/>
            <w:tcBorders>
              <w:top w:val="single" w:sz="4" w:space="0" w:color="auto"/>
              <w:left w:val="single" w:sz="4" w:space="0" w:color="auto"/>
              <w:bottom w:val="single" w:sz="4" w:space="0" w:color="auto"/>
              <w:right w:val="single" w:sz="4" w:space="0" w:color="auto"/>
            </w:tcBorders>
            <w:hideMark/>
          </w:tcPr>
          <w:p w14:paraId="6459376F" w14:textId="4BC5D436" w:rsidR="00716405" w:rsidRDefault="00716405">
            <w:pPr>
              <w:pStyle w:val="Tabletext9pt"/>
              <w:rPr>
                <w:szCs w:val="18"/>
                <w:lang w:eastAsia="en-AU"/>
              </w:rPr>
            </w:pPr>
            <w:r>
              <w:rPr>
                <w:szCs w:val="18"/>
                <w:lang w:eastAsia="en-AU"/>
              </w:rPr>
              <w:t xml:space="preserve">One-on-one support for </w:t>
            </w:r>
            <w:r w:rsidR="008142CF">
              <w:rPr>
                <w:szCs w:val="18"/>
                <w:lang w:eastAsia="en-AU"/>
              </w:rPr>
              <w:t>eligible</w:t>
            </w:r>
            <w:r>
              <w:rPr>
                <w:szCs w:val="18"/>
                <w:lang w:eastAsia="en-AU"/>
              </w:rPr>
              <w:t xml:space="preserve"> people aged birth to 65 years who experience barriers in accessing a wide range of services.  </w:t>
            </w:r>
          </w:p>
        </w:tc>
      </w:tr>
    </w:tbl>
    <w:p w14:paraId="09001398" w14:textId="77777777" w:rsidR="00716405" w:rsidRDefault="00716405" w:rsidP="00716405">
      <w:pPr>
        <w:pStyle w:val="Bodyaftertablefigure"/>
        <w:keepNext/>
        <w:keepLines/>
      </w:pPr>
      <w:r>
        <w:t>Output name: Aged Care Assessment Service</w:t>
      </w:r>
    </w:p>
    <w:tbl>
      <w:tblPr>
        <w:tblStyle w:val="TableGrid1"/>
        <w:tblW w:w="9299" w:type="dxa"/>
        <w:tblLook w:val="06A0" w:firstRow="1" w:lastRow="0" w:firstColumn="1" w:lastColumn="0" w:noHBand="1" w:noVBand="1"/>
      </w:tblPr>
      <w:tblGrid>
        <w:gridCol w:w="1980"/>
        <w:gridCol w:w="2977"/>
        <w:gridCol w:w="4342"/>
      </w:tblGrid>
      <w:tr w:rsidR="00716405" w14:paraId="02088F9A" w14:textId="77777777" w:rsidTr="00716405">
        <w:trPr>
          <w:cnfStyle w:val="100000000000" w:firstRow="1" w:lastRow="0" w:firstColumn="0" w:lastColumn="0" w:oddVBand="0" w:evenVBand="0" w:oddHBand="0" w:evenHBand="0" w:firstRowFirstColumn="0" w:firstRowLastColumn="0" w:lastRowFirstColumn="0" w:lastRowLastColumn="0"/>
          <w:tblHeader/>
        </w:trPr>
        <w:tc>
          <w:tcPr>
            <w:tcW w:w="1980" w:type="dxa"/>
            <w:tcBorders>
              <w:top w:val="single" w:sz="4" w:space="0" w:color="auto"/>
              <w:left w:val="single" w:sz="4" w:space="0" w:color="auto"/>
              <w:bottom w:val="single" w:sz="4" w:space="0" w:color="auto"/>
              <w:right w:val="single" w:sz="4" w:space="0" w:color="auto"/>
            </w:tcBorders>
            <w:hideMark/>
          </w:tcPr>
          <w:p w14:paraId="62FC5A20" w14:textId="77777777" w:rsidR="00716405" w:rsidRDefault="00716405">
            <w:pPr>
              <w:pStyle w:val="Tablecolhead9pt"/>
              <w:rPr>
                <w:szCs w:val="18"/>
                <w:lang w:eastAsia="en-AU"/>
              </w:rPr>
            </w:pPr>
            <w:r>
              <w:rPr>
                <w:lang w:eastAsia="en-AU"/>
              </w:rPr>
              <w:t>Activity no.</w:t>
            </w:r>
          </w:p>
        </w:tc>
        <w:tc>
          <w:tcPr>
            <w:tcW w:w="2977" w:type="dxa"/>
            <w:tcBorders>
              <w:top w:val="single" w:sz="4" w:space="0" w:color="auto"/>
              <w:left w:val="single" w:sz="4" w:space="0" w:color="auto"/>
              <w:bottom w:val="single" w:sz="4" w:space="0" w:color="auto"/>
              <w:right w:val="single" w:sz="4" w:space="0" w:color="auto"/>
            </w:tcBorders>
            <w:hideMark/>
          </w:tcPr>
          <w:p w14:paraId="061A6867" w14:textId="77777777" w:rsidR="00716405" w:rsidRDefault="00716405">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3E23E4AD" w14:textId="77777777" w:rsidR="00716405" w:rsidRDefault="00716405">
            <w:pPr>
              <w:pStyle w:val="Tablecolhead9pt"/>
              <w:rPr>
                <w:szCs w:val="18"/>
                <w:lang w:eastAsia="en-AU"/>
              </w:rPr>
            </w:pPr>
            <w:r>
              <w:rPr>
                <w:lang w:eastAsia="en-AU"/>
              </w:rPr>
              <w:t>Activity description</w:t>
            </w:r>
          </w:p>
        </w:tc>
      </w:tr>
      <w:tr w:rsidR="00716405" w14:paraId="1C0D5E13"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1D79B6C1" w14:textId="77777777" w:rsidR="00716405" w:rsidRDefault="00716405">
            <w:pPr>
              <w:pStyle w:val="Tabletext9pt"/>
              <w:rPr>
                <w:szCs w:val="18"/>
                <w:lang w:eastAsia="en-AU"/>
              </w:rPr>
            </w:pPr>
            <w:r>
              <w:t>13109</w:t>
            </w:r>
          </w:p>
        </w:tc>
        <w:tc>
          <w:tcPr>
            <w:tcW w:w="2977" w:type="dxa"/>
            <w:tcBorders>
              <w:top w:val="single" w:sz="4" w:space="0" w:color="auto"/>
              <w:left w:val="single" w:sz="4" w:space="0" w:color="auto"/>
              <w:bottom w:val="single" w:sz="4" w:space="0" w:color="auto"/>
              <w:right w:val="single" w:sz="4" w:space="0" w:color="auto"/>
            </w:tcBorders>
            <w:hideMark/>
          </w:tcPr>
          <w:p w14:paraId="6164B93E" w14:textId="77777777" w:rsidR="00716405" w:rsidRDefault="00716405">
            <w:pPr>
              <w:pStyle w:val="Tabletext9pt"/>
              <w:rPr>
                <w:szCs w:val="18"/>
                <w:lang w:eastAsia="en-AU"/>
              </w:rPr>
            </w:pPr>
            <w:r>
              <w:t>Aged Care Assessment Services Evaluation</w:t>
            </w:r>
          </w:p>
        </w:tc>
        <w:tc>
          <w:tcPr>
            <w:tcW w:w="4342" w:type="dxa"/>
            <w:tcBorders>
              <w:top w:val="single" w:sz="4" w:space="0" w:color="auto"/>
              <w:left w:val="single" w:sz="4" w:space="0" w:color="auto"/>
              <w:bottom w:val="single" w:sz="4" w:space="0" w:color="auto"/>
              <w:right w:val="single" w:sz="4" w:space="0" w:color="auto"/>
            </w:tcBorders>
            <w:hideMark/>
          </w:tcPr>
          <w:p w14:paraId="70237A07" w14:textId="77777777" w:rsidR="00716405" w:rsidRDefault="00716405">
            <w:pPr>
              <w:pStyle w:val="Tabletext9pt"/>
              <w:rPr>
                <w:szCs w:val="18"/>
                <w:lang w:eastAsia="en-AU"/>
              </w:rPr>
            </w:pPr>
            <w:r>
              <w:t>Audit data integrity and conformance with My Aged Care systems and processes.</w:t>
            </w:r>
          </w:p>
        </w:tc>
      </w:tr>
    </w:tbl>
    <w:p w14:paraId="47DEB85F" w14:textId="6F498EA6" w:rsidR="00716405" w:rsidRDefault="00716405" w:rsidP="00716405">
      <w:pPr>
        <w:pStyle w:val="Bodyaftertablefigure"/>
        <w:rPr>
          <w:lang w:eastAsia="en-AU"/>
        </w:rPr>
      </w:pPr>
      <w:r>
        <w:t xml:space="preserve">Output name: </w:t>
      </w:r>
      <w:r>
        <w:rPr>
          <w:lang w:eastAsia="en-AU"/>
        </w:rPr>
        <w:t xml:space="preserve">Commonwealth Aged Care Assessment </w:t>
      </w:r>
      <w:r>
        <w:t>–</w:t>
      </w:r>
      <w:r w:rsidR="00CA1B3E">
        <w:t xml:space="preserve"> </w:t>
      </w:r>
      <w:r>
        <w:rPr>
          <w:lang w:eastAsia="en-AU"/>
        </w:rPr>
        <w:t>Regional Assessment Service</w:t>
      </w:r>
    </w:p>
    <w:tbl>
      <w:tblPr>
        <w:tblStyle w:val="TableGrid1"/>
        <w:tblW w:w="9299" w:type="dxa"/>
        <w:tblLook w:val="06A0" w:firstRow="1" w:lastRow="0" w:firstColumn="1" w:lastColumn="0" w:noHBand="1" w:noVBand="1"/>
      </w:tblPr>
      <w:tblGrid>
        <w:gridCol w:w="1980"/>
        <w:gridCol w:w="2977"/>
        <w:gridCol w:w="4342"/>
      </w:tblGrid>
      <w:tr w:rsidR="00716405" w14:paraId="0DCC446A" w14:textId="77777777" w:rsidTr="00716405">
        <w:trPr>
          <w:cnfStyle w:val="100000000000" w:firstRow="1" w:lastRow="0" w:firstColumn="0" w:lastColumn="0" w:oddVBand="0" w:evenVBand="0" w:oddHBand="0" w:evenHBand="0" w:firstRowFirstColumn="0" w:firstRowLastColumn="0" w:lastRowFirstColumn="0" w:lastRowLastColumn="0"/>
          <w:tblHeader/>
        </w:trPr>
        <w:tc>
          <w:tcPr>
            <w:tcW w:w="1980" w:type="dxa"/>
            <w:tcBorders>
              <w:top w:val="single" w:sz="4" w:space="0" w:color="auto"/>
              <w:left w:val="single" w:sz="4" w:space="0" w:color="auto"/>
              <w:bottom w:val="single" w:sz="4" w:space="0" w:color="auto"/>
              <w:right w:val="single" w:sz="4" w:space="0" w:color="auto"/>
            </w:tcBorders>
            <w:hideMark/>
          </w:tcPr>
          <w:p w14:paraId="4653FA90" w14:textId="77777777" w:rsidR="00716405" w:rsidRDefault="00716405">
            <w:pPr>
              <w:pStyle w:val="Tablecolhead9pt"/>
              <w:rPr>
                <w:szCs w:val="18"/>
                <w:lang w:eastAsia="en-AU"/>
              </w:rPr>
            </w:pPr>
            <w:r>
              <w:rPr>
                <w:lang w:eastAsia="en-AU"/>
              </w:rPr>
              <w:t>Activity no.</w:t>
            </w:r>
          </w:p>
        </w:tc>
        <w:tc>
          <w:tcPr>
            <w:tcW w:w="2977" w:type="dxa"/>
            <w:tcBorders>
              <w:top w:val="single" w:sz="4" w:space="0" w:color="auto"/>
              <w:left w:val="single" w:sz="4" w:space="0" w:color="auto"/>
              <w:bottom w:val="single" w:sz="4" w:space="0" w:color="auto"/>
              <w:right w:val="single" w:sz="4" w:space="0" w:color="auto"/>
            </w:tcBorders>
            <w:hideMark/>
          </w:tcPr>
          <w:p w14:paraId="1EC04F4A" w14:textId="77777777" w:rsidR="00716405" w:rsidRDefault="00716405">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52AE8FB7" w14:textId="77777777" w:rsidR="00716405" w:rsidRDefault="00716405">
            <w:pPr>
              <w:pStyle w:val="Tablecolhead9pt"/>
              <w:rPr>
                <w:szCs w:val="18"/>
                <w:lang w:eastAsia="en-AU"/>
              </w:rPr>
            </w:pPr>
            <w:r>
              <w:rPr>
                <w:lang w:eastAsia="en-AU"/>
              </w:rPr>
              <w:t>Activity description</w:t>
            </w:r>
          </w:p>
        </w:tc>
      </w:tr>
      <w:tr w:rsidR="00716405" w14:paraId="675E7B20"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70693D51" w14:textId="77777777" w:rsidR="00716405" w:rsidRDefault="00716405">
            <w:pPr>
              <w:pStyle w:val="Tabletext9pt"/>
              <w:rPr>
                <w:szCs w:val="18"/>
                <w:lang w:eastAsia="en-AU"/>
              </w:rPr>
            </w:pPr>
            <w:r>
              <w:t>13230</w:t>
            </w:r>
          </w:p>
        </w:tc>
        <w:tc>
          <w:tcPr>
            <w:tcW w:w="2977" w:type="dxa"/>
            <w:tcBorders>
              <w:top w:val="single" w:sz="4" w:space="0" w:color="auto"/>
              <w:left w:val="single" w:sz="4" w:space="0" w:color="auto"/>
              <w:bottom w:val="single" w:sz="4" w:space="0" w:color="auto"/>
              <w:right w:val="single" w:sz="4" w:space="0" w:color="auto"/>
            </w:tcBorders>
            <w:hideMark/>
          </w:tcPr>
          <w:p w14:paraId="10625014" w14:textId="77777777" w:rsidR="00716405" w:rsidRDefault="00716405">
            <w:pPr>
              <w:pStyle w:val="Tabletext9pt"/>
              <w:rPr>
                <w:szCs w:val="18"/>
                <w:lang w:eastAsia="en-AU"/>
              </w:rPr>
            </w:pPr>
            <w:r>
              <w:t>Regional Assessment Service</w:t>
            </w:r>
          </w:p>
        </w:tc>
        <w:tc>
          <w:tcPr>
            <w:tcW w:w="4342" w:type="dxa"/>
            <w:tcBorders>
              <w:top w:val="single" w:sz="4" w:space="0" w:color="auto"/>
              <w:left w:val="single" w:sz="4" w:space="0" w:color="auto"/>
              <w:bottom w:val="single" w:sz="4" w:space="0" w:color="auto"/>
              <w:right w:val="single" w:sz="4" w:space="0" w:color="auto"/>
            </w:tcBorders>
            <w:hideMark/>
          </w:tcPr>
          <w:p w14:paraId="26A6C84A" w14:textId="77777777" w:rsidR="00716405" w:rsidRDefault="00716405">
            <w:pPr>
              <w:pStyle w:val="Tabletext9pt"/>
              <w:rPr>
                <w:szCs w:val="18"/>
                <w:lang w:eastAsia="en-AU"/>
              </w:rPr>
            </w:pPr>
            <w:r>
              <w:t>Assess care needs of frail older people and determine eligibility for the Commonwealth Home Support Programme.</w:t>
            </w:r>
          </w:p>
        </w:tc>
      </w:tr>
    </w:tbl>
    <w:p w14:paraId="2EA655F7" w14:textId="77777777" w:rsidR="00716405" w:rsidRDefault="00716405" w:rsidP="00716405">
      <w:pPr>
        <w:pStyle w:val="Bodyaftertablefigure"/>
        <w:rPr>
          <w:lang w:eastAsia="en-AU"/>
        </w:rPr>
      </w:pPr>
      <w:r>
        <w:t>Output name: Aged support services</w:t>
      </w:r>
    </w:p>
    <w:tbl>
      <w:tblPr>
        <w:tblStyle w:val="TableGrid1"/>
        <w:tblW w:w="9299" w:type="dxa"/>
        <w:tblLook w:val="06A0" w:firstRow="1" w:lastRow="0" w:firstColumn="1" w:lastColumn="0" w:noHBand="1" w:noVBand="1"/>
      </w:tblPr>
      <w:tblGrid>
        <w:gridCol w:w="1980"/>
        <w:gridCol w:w="2977"/>
        <w:gridCol w:w="4342"/>
      </w:tblGrid>
      <w:tr w:rsidR="00716405" w14:paraId="190BF83C" w14:textId="77777777" w:rsidTr="00716405">
        <w:trPr>
          <w:cnfStyle w:val="100000000000" w:firstRow="1" w:lastRow="0" w:firstColumn="0" w:lastColumn="0" w:oddVBand="0" w:evenVBand="0" w:oddHBand="0" w:evenHBand="0" w:firstRowFirstColumn="0" w:firstRowLastColumn="0" w:lastRowFirstColumn="0" w:lastRowLastColumn="0"/>
          <w:tblHeader/>
        </w:trPr>
        <w:tc>
          <w:tcPr>
            <w:tcW w:w="1980" w:type="dxa"/>
            <w:tcBorders>
              <w:top w:val="single" w:sz="4" w:space="0" w:color="auto"/>
              <w:left w:val="single" w:sz="4" w:space="0" w:color="auto"/>
              <w:bottom w:val="single" w:sz="4" w:space="0" w:color="auto"/>
              <w:right w:val="single" w:sz="4" w:space="0" w:color="auto"/>
            </w:tcBorders>
            <w:hideMark/>
          </w:tcPr>
          <w:p w14:paraId="3E3CA851" w14:textId="77777777" w:rsidR="00716405" w:rsidRDefault="00716405">
            <w:pPr>
              <w:pStyle w:val="Tablecolhead9pt"/>
              <w:rPr>
                <w:szCs w:val="18"/>
                <w:lang w:eastAsia="en-AU"/>
              </w:rPr>
            </w:pPr>
            <w:r>
              <w:rPr>
                <w:lang w:eastAsia="en-AU"/>
              </w:rPr>
              <w:t>Activity no.</w:t>
            </w:r>
          </w:p>
        </w:tc>
        <w:tc>
          <w:tcPr>
            <w:tcW w:w="2977" w:type="dxa"/>
            <w:tcBorders>
              <w:top w:val="single" w:sz="4" w:space="0" w:color="auto"/>
              <w:left w:val="single" w:sz="4" w:space="0" w:color="auto"/>
              <w:bottom w:val="single" w:sz="4" w:space="0" w:color="auto"/>
              <w:right w:val="single" w:sz="4" w:space="0" w:color="auto"/>
            </w:tcBorders>
            <w:hideMark/>
          </w:tcPr>
          <w:p w14:paraId="3811FF1F" w14:textId="77777777" w:rsidR="00716405" w:rsidRDefault="00716405">
            <w:pPr>
              <w:pStyle w:val="Tablecolhead9pt"/>
              <w:rPr>
                <w:szCs w:val="18"/>
                <w:lang w:eastAsia="en-AU"/>
              </w:rPr>
            </w:pPr>
            <w:r>
              <w:rPr>
                <w:lang w:eastAsia="en-AU"/>
              </w:rPr>
              <w:t>Activity name</w:t>
            </w:r>
          </w:p>
        </w:tc>
        <w:tc>
          <w:tcPr>
            <w:tcW w:w="4342" w:type="dxa"/>
            <w:tcBorders>
              <w:top w:val="single" w:sz="4" w:space="0" w:color="auto"/>
              <w:left w:val="single" w:sz="4" w:space="0" w:color="auto"/>
              <w:bottom w:val="single" w:sz="4" w:space="0" w:color="auto"/>
              <w:right w:val="single" w:sz="4" w:space="0" w:color="auto"/>
            </w:tcBorders>
            <w:hideMark/>
          </w:tcPr>
          <w:p w14:paraId="25751DFB" w14:textId="77777777" w:rsidR="00716405" w:rsidRDefault="00716405">
            <w:pPr>
              <w:pStyle w:val="Tablecolhead9pt"/>
              <w:rPr>
                <w:szCs w:val="18"/>
                <w:lang w:eastAsia="en-AU"/>
              </w:rPr>
            </w:pPr>
            <w:r>
              <w:rPr>
                <w:lang w:eastAsia="en-AU"/>
              </w:rPr>
              <w:t>Activity description</w:t>
            </w:r>
          </w:p>
        </w:tc>
      </w:tr>
      <w:tr w:rsidR="00716405" w14:paraId="498E1F1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7B3EC54C" w14:textId="77777777" w:rsidR="00716405" w:rsidRDefault="00716405">
            <w:pPr>
              <w:pStyle w:val="Tabletext9pt"/>
            </w:pPr>
            <w:r>
              <w:t>13019</w:t>
            </w:r>
          </w:p>
        </w:tc>
        <w:tc>
          <w:tcPr>
            <w:tcW w:w="2977" w:type="dxa"/>
            <w:tcBorders>
              <w:top w:val="single" w:sz="4" w:space="0" w:color="auto"/>
              <w:left w:val="single" w:sz="4" w:space="0" w:color="auto"/>
              <w:bottom w:val="single" w:sz="4" w:space="0" w:color="auto"/>
              <w:right w:val="single" w:sz="4" w:space="0" w:color="auto"/>
            </w:tcBorders>
            <w:hideMark/>
          </w:tcPr>
          <w:p w14:paraId="3223FAF5" w14:textId="77777777" w:rsidR="00716405" w:rsidRDefault="00716405">
            <w:pPr>
              <w:pStyle w:val="Tabletext9pt"/>
            </w:pPr>
            <w:r>
              <w:t>Personal Alert Victoria</w:t>
            </w:r>
          </w:p>
        </w:tc>
        <w:tc>
          <w:tcPr>
            <w:tcW w:w="4342" w:type="dxa"/>
            <w:tcBorders>
              <w:top w:val="single" w:sz="4" w:space="0" w:color="auto"/>
              <w:left w:val="single" w:sz="4" w:space="0" w:color="auto"/>
              <w:bottom w:val="single" w:sz="4" w:space="0" w:color="auto"/>
              <w:right w:val="single" w:sz="4" w:space="0" w:color="auto"/>
            </w:tcBorders>
            <w:hideMark/>
          </w:tcPr>
          <w:p w14:paraId="295F56B5" w14:textId="77777777" w:rsidR="00716405" w:rsidRDefault="00716405">
            <w:pPr>
              <w:pStyle w:val="Tabletext9pt"/>
            </w:pPr>
            <w:r>
              <w:t>Daily monitoring and emergency response service for frail older people and people with a disability who have high ongoing health and support needs and mostly live alone.</w:t>
            </w:r>
          </w:p>
        </w:tc>
      </w:tr>
      <w:tr w:rsidR="00716405" w14:paraId="6D607FDE"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6C4B9E2E" w14:textId="77777777" w:rsidR="00716405" w:rsidRDefault="00716405">
            <w:pPr>
              <w:pStyle w:val="Tabletext9pt"/>
            </w:pPr>
            <w:r>
              <w:t>13053</w:t>
            </w:r>
          </w:p>
        </w:tc>
        <w:tc>
          <w:tcPr>
            <w:tcW w:w="2977" w:type="dxa"/>
            <w:tcBorders>
              <w:top w:val="single" w:sz="4" w:space="0" w:color="auto"/>
              <w:left w:val="single" w:sz="4" w:space="0" w:color="auto"/>
              <w:bottom w:val="single" w:sz="4" w:space="0" w:color="auto"/>
              <w:right w:val="single" w:sz="4" w:space="0" w:color="auto"/>
            </w:tcBorders>
            <w:hideMark/>
          </w:tcPr>
          <w:p w14:paraId="2C0028F9" w14:textId="77777777" w:rsidR="00716405" w:rsidRDefault="00716405">
            <w:pPr>
              <w:pStyle w:val="Tabletext9pt"/>
            </w:pPr>
            <w:r>
              <w:t>Victorian Eyecare Service</w:t>
            </w:r>
          </w:p>
        </w:tc>
        <w:tc>
          <w:tcPr>
            <w:tcW w:w="4342" w:type="dxa"/>
            <w:tcBorders>
              <w:top w:val="single" w:sz="4" w:space="0" w:color="auto"/>
              <w:left w:val="single" w:sz="4" w:space="0" w:color="auto"/>
              <w:bottom w:val="single" w:sz="4" w:space="0" w:color="auto"/>
              <w:right w:val="single" w:sz="4" w:space="0" w:color="auto"/>
            </w:tcBorders>
            <w:hideMark/>
          </w:tcPr>
          <w:p w14:paraId="1D309F6B" w14:textId="77777777" w:rsidR="00716405" w:rsidRDefault="00716405">
            <w:pPr>
              <w:pStyle w:val="Tabletext9pt"/>
            </w:pPr>
            <w:r>
              <w:t>Provides subsidised eyecare and visual aids to people experiencing disadvantage via metropolitan, outreach and rural services.</w:t>
            </w:r>
          </w:p>
        </w:tc>
      </w:tr>
      <w:tr w:rsidR="00716405" w14:paraId="4BA562D5"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2A166A1A" w14:textId="77777777" w:rsidR="00716405" w:rsidRDefault="00716405">
            <w:pPr>
              <w:pStyle w:val="Tabletext9pt"/>
            </w:pPr>
            <w:r>
              <w:t>13155</w:t>
            </w:r>
          </w:p>
        </w:tc>
        <w:tc>
          <w:tcPr>
            <w:tcW w:w="2977" w:type="dxa"/>
            <w:tcBorders>
              <w:top w:val="single" w:sz="4" w:space="0" w:color="auto"/>
              <w:left w:val="single" w:sz="4" w:space="0" w:color="auto"/>
              <w:bottom w:val="single" w:sz="4" w:space="0" w:color="auto"/>
              <w:right w:val="single" w:sz="4" w:space="0" w:color="auto"/>
            </w:tcBorders>
            <w:hideMark/>
          </w:tcPr>
          <w:p w14:paraId="38F12410" w14:textId="77777777" w:rsidR="00716405" w:rsidRDefault="00716405">
            <w:pPr>
              <w:pStyle w:val="Tabletext9pt"/>
            </w:pPr>
            <w:r>
              <w:t>Dementia Services</w:t>
            </w:r>
          </w:p>
        </w:tc>
        <w:tc>
          <w:tcPr>
            <w:tcW w:w="4342" w:type="dxa"/>
            <w:tcBorders>
              <w:top w:val="single" w:sz="4" w:space="0" w:color="auto"/>
              <w:left w:val="single" w:sz="4" w:space="0" w:color="auto"/>
              <w:bottom w:val="single" w:sz="4" w:space="0" w:color="auto"/>
              <w:right w:val="single" w:sz="4" w:space="0" w:color="auto"/>
            </w:tcBorders>
            <w:hideMark/>
          </w:tcPr>
          <w:p w14:paraId="160151A2" w14:textId="77777777" w:rsidR="00716405" w:rsidRDefault="00716405">
            <w:pPr>
              <w:pStyle w:val="Tabletext9pt"/>
            </w:pPr>
            <w:r>
              <w:t xml:space="preserve">Funding to Dementia Australia (Victoria) for support, counselling, education and training, dementia awareness week activities and dementia services delivered through two metro and various regional hubs. </w:t>
            </w:r>
          </w:p>
        </w:tc>
      </w:tr>
      <w:tr w:rsidR="00716405" w14:paraId="55BDFC23" w14:textId="77777777" w:rsidTr="00716405">
        <w:trPr>
          <w:cantSplit/>
        </w:trPr>
        <w:tc>
          <w:tcPr>
            <w:tcW w:w="1980" w:type="dxa"/>
            <w:tcBorders>
              <w:top w:val="single" w:sz="4" w:space="0" w:color="auto"/>
              <w:left w:val="single" w:sz="4" w:space="0" w:color="auto"/>
              <w:bottom w:val="single" w:sz="4" w:space="0" w:color="auto"/>
              <w:right w:val="single" w:sz="4" w:space="0" w:color="auto"/>
            </w:tcBorders>
            <w:hideMark/>
          </w:tcPr>
          <w:p w14:paraId="22CD5AF3" w14:textId="77777777" w:rsidR="00716405" w:rsidRDefault="00716405">
            <w:pPr>
              <w:pStyle w:val="Tabletext9pt"/>
            </w:pPr>
            <w:r>
              <w:rPr>
                <w:rFonts w:ascii="Helv" w:hAnsi="Helv" w:cs="Helv"/>
                <w:color w:val="000000"/>
              </w:rPr>
              <w:lastRenderedPageBreak/>
              <w:t>13082</w:t>
            </w:r>
          </w:p>
        </w:tc>
        <w:tc>
          <w:tcPr>
            <w:tcW w:w="2977" w:type="dxa"/>
            <w:tcBorders>
              <w:top w:val="single" w:sz="4" w:space="0" w:color="auto"/>
              <w:left w:val="single" w:sz="4" w:space="0" w:color="auto"/>
              <w:bottom w:val="single" w:sz="4" w:space="0" w:color="auto"/>
              <w:right w:val="single" w:sz="4" w:space="0" w:color="auto"/>
            </w:tcBorders>
            <w:hideMark/>
          </w:tcPr>
          <w:p w14:paraId="3B26E063" w14:textId="77777777" w:rsidR="00716405" w:rsidRDefault="00716405">
            <w:pPr>
              <w:pStyle w:val="Tabletext9pt"/>
            </w:pPr>
            <w:r>
              <w:rPr>
                <w:rFonts w:ascii="Helv" w:hAnsi="Helv" w:cs="Helv"/>
                <w:color w:val="000000"/>
              </w:rPr>
              <w:t>Low-cost Accommodation Support</w:t>
            </w:r>
          </w:p>
        </w:tc>
        <w:tc>
          <w:tcPr>
            <w:tcW w:w="4342" w:type="dxa"/>
            <w:tcBorders>
              <w:top w:val="single" w:sz="4" w:space="0" w:color="auto"/>
              <w:left w:val="single" w:sz="4" w:space="0" w:color="auto"/>
              <w:bottom w:val="single" w:sz="4" w:space="0" w:color="auto"/>
              <w:right w:val="single" w:sz="4" w:space="0" w:color="auto"/>
            </w:tcBorders>
            <w:hideMark/>
          </w:tcPr>
          <w:p w14:paraId="5D7B1413" w14:textId="77777777" w:rsidR="00716405" w:rsidRDefault="00716405">
            <w:pPr>
              <w:pStyle w:val="Tabletext9pt"/>
            </w:pPr>
            <w:r>
              <w:t>Outreach programs for older and vulnerable Victorians with unmet complex needs who are homeless or living in insecure or low-cost accommodation. Programs link clients to relevant health, community care and welfare services to improve their health, social connectedness and stabilise their tenancies.</w:t>
            </w:r>
          </w:p>
        </w:tc>
      </w:tr>
    </w:tbl>
    <w:p w14:paraId="16DD9F30" w14:textId="32305D5E" w:rsidR="000B27B9" w:rsidRDefault="000B27B9" w:rsidP="00382CFB">
      <w:pPr>
        <w:pStyle w:val="Body"/>
      </w:pPr>
    </w:p>
    <w:p w14:paraId="1BC2C9DC" w14:textId="047AA85B" w:rsidR="000B27B9" w:rsidRDefault="000B27B9" w:rsidP="003C01AD">
      <w:pPr>
        <w:pStyle w:val="Tablecaption"/>
        <w:numPr>
          <w:ilvl w:val="0"/>
          <w:numId w:val="40"/>
        </w:numPr>
      </w:pPr>
      <w:bookmarkStart w:id="1031" w:name="_Toc14194762"/>
      <w:bookmarkStart w:id="1032" w:name="_Toc54261418"/>
      <w:bookmarkStart w:id="1033" w:name="_Toc54616292"/>
      <w:bookmarkStart w:id="1034" w:name="_Toc109894126"/>
      <w:bookmarkStart w:id="1035" w:name="_Toc119500907"/>
      <w:r>
        <w:t>P</w:t>
      </w:r>
      <w:r w:rsidRPr="00E7554A">
        <w:t>ublic health – outputs and activities</w:t>
      </w:r>
      <w:r>
        <w:t xml:space="preserve"> </w:t>
      </w:r>
      <w:bookmarkEnd w:id="1031"/>
      <w:bookmarkEnd w:id="1032"/>
      <w:bookmarkEnd w:id="1033"/>
      <w:r w:rsidR="005D1FCB" w:rsidRPr="00FC00E9">
        <w:t>2022</w:t>
      </w:r>
      <w:r w:rsidR="005D1FCB" w:rsidRPr="002D19A5">
        <w:t>-</w:t>
      </w:r>
      <w:r w:rsidR="005D1FCB" w:rsidRPr="00FC00E9">
        <w:t>23</w:t>
      </w:r>
      <w:bookmarkEnd w:id="1034"/>
      <w:bookmarkEnd w:id="1035"/>
    </w:p>
    <w:p w14:paraId="07077586" w14:textId="77777777" w:rsidR="00716405" w:rsidRDefault="00716405" w:rsidP="00716405">
      <w:pPr>
        <w:pStyle w:val="Body"/>
      </w:pPr>
      <w:r>
        <w:t>Output name: Health advancement</w:t>
      </w:r>
    </w:p>
    <w:tbl>
      <w:tblPr>
        <w:tblStyle w:val="TableGrid1"/>
        <w:tblW w:w="9209" w:type="dxa"/>
        <w:tblLook w:val="06A0" w:firstRow="1" w:lastRow="0" w:firstColumn="1" w:lastColumn="0" w:noHBand="1" w:noVBand="1"/>
      </w:tblPr>
      <w:tblGrid>
        <w:gridCol w:w="1696"/>
        <w:gridCol w:w="2977"/>
        <w:gridCol w:w="4536"/>
      </w:tblGrid>
      <w:tr w:rsidR="00DA25C1" w:rsidRPr="0090298C" w14:paraId="520778E2" w14:textId="77777777" w:rsidTr="00DA25C1">
        <w:trPr>
          <w:cnfStyle w:val="100000000000" w:firstRow="1" w:lastRow="0" w:firstColumn="0" w:lastColumn="0" w:oddVBand="0" w:evenVBand="0" w:oddHBand="0" w:evenHBand="0" w:firstRowFirstColumn="0" w:firstRowLastColumn="0" w:lastRowFirstColumn="0" w:lastRowLastColumn="0"/>
          <w:tblHeader/>
        </w:trPr>
        <w:tc>
          <w:tcPr>
            <w:tcW w:w="1696" w:type="dxa"/>
          </w:tcPr>
          <w:p w14:paraId="54C01B56" w14:textId="77777777" w:rsidR="00DA25C1" w:rsidRPr="00674F20" w:rsidRDefault="00DA25C1" w:rsidP="0064265C">
            <w:pPr>
              <w:pStyle w:val="Tablecolhead9pt"/>
              <w:rPr>
                <w:szCs w:val="18"/>
                <w:lang w:eastAsia="en-AU"/>
              </w:rPr>
            </w:pPr>
            <w:r w:rsidRPr="00D0520C">
              <w:rPr>
                <w:lang w:eastAsia="en-AU"/>
              </w:rPr>
              <w:t>Activity no.</w:t>
            </w:r>
          </w:p>
        </w:tc>
        <w:tc>
          <w:tcPr>
            <w:tcW w:w="2977" w:type="dxa"/>
          </w:tcPr>
          <w:p w14:paraId="68E593F2" w14:textId="77777777" w:rsidR="00DA25C1" w:rsidRPr="00674F20" w:rsidRDefault="00DA25C1" w:rsidP="0064265C">
            <w:pPr>
              <w:pStyle w:val="Tablecolhead9pt"/>
              <w:rPr>
                <w:szCs w:val="18"/>
                <w:lang w:eastAsia="en-AU"/>
              </w:rPr>
            </w:pPr>
            <w:r w:rsidRPr="00D0520C">
              <w:rPr>
                <w:lang w:eastAsia="en-AU"/>
              </w:rPr>
              <w:t>Activity name</w:t>
            </w:r>
          </w:p>
        </w:tc>
        <w:tc>
          <w:tcPr>
            <w:tcW w:w="4536" w:type="dxa"/>
          </w:tcPr>
          <w:p w14:paraId="4A69A5B9" w14:textId="77777777" w:rsidR="00DA25C1" w:rsidRPr="00674F20" w:rsidRDefault="00DA25C1" w:rsidP="0064265C">
            <w:pPr>
              <w:pStyle w:val="Tablecolhead9pt"/>
              <w:rPr>
                <w:szCs w:val="18"/>
                <w:lang w:eastAsia="en-AU"/>
              </w:rPr>
            </w:pPr>
            <w:r w:rsidRPr="00D0520C">
              <w:rPr>
                <w:lang w:eastAsia="en-AU"/>
              </w:rPr>
              <w:t>Activity description</w:t>
            </w:r>
          </w:p>
        </w:tc>
      </w:tr>
      <w:tr w:rsidR="00DA25C1" w:rsidRPr="004E0550" w14:paraId="7BED130D" w14:textId="77777777" w:rsidTr="00DA25C1">
        <w:tc>
          <w:tcPr>
            <w:tcW w:w="1696" w:type="dxa"/>
          </w:tcPr>
          <w:p w14:paraId="5C307496" w14:textId="77777777" w:rsidR="00DA25C1" w:rsidRPr="00674F20" w:rsidRDefault="00DA25C1" w:rsidP="0064265C">
            <w:pPr>
              <w:pStyle w:val="Tabletext9pt"/>
              <w:rPr>
                <w:szCs w:val="18"/>
              </w:rPr>
            </w:pPr>
            <w:r w:rsidRPr="00674F20">
              <w:rPr>
                <w:szCs w:val="18"/>
              </w:rPr>
              <w:t>16035</w:t>
            </w:r>
          </w:p>
        </w:tc>
        <w:tc>
          <w:tcPr>
            <w:tcW w:w="2977" w:type="dxa"/>
          </w:tcPr>
          <w:p w14:paraId="49F5819F" w14:textId="001F3B4A" w:rsidR="00DA25C1" w:rsidRPr="00674F20" w:rsidRDefault="00DA25C1" w:rsidP="0064265C">
            <w:pPr>
              <w:pStyle w:val="Tabletext9pt"/>
              <w:rPr>
                <w:szCs w:val="18"/>
              </w:rPr>
            </w:pPr>
            <w:r w:rsidRPr="00674F20">
              <w:rPr>
                <w:szCs w:val="18"/>
              </w:rPr>
              <w:t>Communication</w:t>
            </w:r>
            <w:r>
              <w:rPr>
                <w:szCs w:val="18"/>
              </w:rPr>
              <w:t>,</w:t>
            </w:r>
            <w:r w:rsidRPr="00674F20">
              <w:rPr>
                <w:szCs w:val="18"/>
              </w:rPr>
              <w:t xml:space="preserve"> </w:t>
            </w:r>
            <w:r>
              <w:rPr>
                <w:szCs w:val="18"/>
              </w:rPr>
              <w:t>i</w:t>
            </w:r>
            <w:r w:rsidRPr="00674F20">
              <w:rPr>
                <w:szCs w:val="18"/>
              </w:rPr>
              <w:t>nformation,</w:t>
            </w:r>
            <w:r>
              <w:rPr>
                <w:szCs w:val="18"/>
              </w:rPr>
              <w:t xml:space="preserve"> and</w:t>
            </w:r>
            <w:r w:rsidRPr="00674F20">
              <w:rPr>
                <w:szCs w:val="18"/>
              </w:rPr>
              <w:t xml:space="preserve"> </w:t>
            </w:r>
            <w:r>
              <w:rPr>
                <w:szCs w:val="18"/>
              </w:rPr>
              <w:t>a</w:t>
            </w:r>
            <w:r w:rsidRPr="00674F20">
              <w:rPr>
                <w:szCs w:val="18"/>
              </w:rPr>
              <w:t>dvice</w:t>
            </w:r>
          </w:p>
        </w:tc>
        <w:tc>
          <w:tcPr>
            <w:tcW w:w="4536" w:type="dxa"/>
          </w:tcPr>
          <w:p w14:paraId="6A7A9683" w14:textId="77777777" w:rsidR="00DA25C1" w:rsidRPr="00674F20" w:rsidRDefault="00DA25C1" w:rsidP="0064265C">
            <w:pPr>
              <w:pStyle w:val="Tabletext9pt"/>
              <w:rPr>
                <w:szCs w:val="18"/>
              </w:rPr>
            </w:pPr>
            <w:r w:rsidRPr="00674F20">
              <w:rPr>
                <w:szCs w:val="18"/>
              </w:rPr>
              <w:t>To communicate information, via one or more media, to members of the public or other specific external people and groups.</w:t>
            </w:r>
          </w:p>
        </w:tc>
      </w:tr>
      <w:tr w:rsidR="00DA25C1" w:rsidRPr="004E0550" w14:paraId="4E4D09D8" w14:textId="77777777" w:rsidTr="00DA25C1">
        <w:tc>
          <w:tcPr>
            <w:tcW w:w="1696" w:type="dxa"/>
          </w:tcPr>
          <w:p w14:paraId="282E10D9" w14:textId="77777777" w:rsidR="00DA25C1" w:rsidRPr="00674F20" w:rsidRDefault="00DA25C1" w:rsidP="0064265C">
            <w:pPr>
              <w:pStyle w:val="Tabletext9pt"/>
              <w:rPr>
                <w:color w:val="000000"/>
                <w:szCs w:val="18"/>
              </w:rPr>
            </w:pPr>
            <w:r w:rsidRPr="00674F20">
              <w:rPr>
                <w:color w:val="000000"/>
                <w:szCs w:val="18"/>
              </w:rPr>
              <w:t>16308</w:t>
            </w:r>
          </w:p>
        </w:tc>
        <w:tc>
          <w:tcPr>
            <w:tcW w:w="2977" w:type="dxa"/>
          </w:tcPr>
          <w:p w14:paraId="0A493019" w14:textId="77777777" w:rsidR="00DA25C1" w:rsidRPr="00674F20" w:rsidRDefault="00DA25C1" w:rsidP="0064265C">
            <w:pPr>
              <w:pStyle w:val="Tabletext9pt"/>
              <w:rPr>
                <w:color w:val="000000"/>
                <w:szCs w:val="18"/>
              </w:rPr>
            </w:pPr>
            <w:r w:rsidRPr="00674F20">
              <w:rPr>
                <w:color w:val="000000"/>
                <w:szCs w:val="18"/>
              </w:rPr>
              <w:t>Injury prevention</w:t>
            </w:r>
          </w:p>
        </w:tc>
        <w:tc>
          <w:tcPr>
            <w:tcW w:w="4536" w:type="dxa"/>
          </w:tcPr>
          <w:p w14:paraId="34C6EBB3" w14:textId="77777777" w:rsidR="00DA25C1" w:rsidRPr="00674F20" w:rsidRDefault="00DA25C1" w:rsidP="0064265C">
            <w:pPr>
              <w:pStyle w:val="Tabletext9pt"/>
              <w:rPr>
                <w:color w:val="000000"/>
                <w:szCs w:val="18"/>
              </w:rPr>
            </w:pPr>
            <w:r w:rsidRPr="00674F20">
              <w:rPr>
                <w:color w:val="000000"/>
                <w:szCs w:val="18"/>
              </w:rPr>
              <w:t>To undertake the design, management and evaluation of projects aimed at fostering best practice in injury prevention program planning and delivery.</w:t>
            </w:r>
          </w:p>
        </w:tc>
      </w:tr>
      <w:tr w:rsidR="00DA25C1" w:rsidRPr="004E0550" w14:paraId="4E05D992" w14:textId="77777777" w:rsidTr="00DA25C1">
        <w:tc>
          <w:tcPr>
            <w:tcW w:w="1696" w:type="dxa"/>
          </w:tcPr>
          <w:p w14:paraId="2C861A6F" w14:textId="77777777" w:rsidR="00DA25C1" w:rsidRPr="00674F20" w:rsidRDefault="00DA25C1" w:rsidP="0064265C">
            <w:pPr>
              <w:pStyle w:val="Tabletext9pt"/>
              <w:rPr>
                <w:color w:val="000000"/>
                <w:szCs w:val="18"/>
              </w:rPr>
            </w:pPr>
            <w:r w:rsidRPr="00674F20">
              <w:rPr>
                <w:color w:val="000000"/>
                <w:szCs w:val="18"/>
              </w:rPr>
              <w:t>16348</w:t>
            </w:r>
          </w:p>
        </w:tc>
        <w:tc>
          <w:tcPr>
            <w:tcW w:w="2977" w:type="dxa"/>
          </w:tcPr>
          <w:p w14:paraId="2FB0D450" w14:textId="77777777" w:rsidR="00DA25C1" w:rsidRPr="00674F20" w:rsidRDefault="00DA25C1" w:rsidP="0064265C">
            <w:pPr>
              <w:pStyle w:val="Tabletext9pt"/>
              <w:rPr>
                <w:color w:val="000000"/>
                <w:szCs w:val="18"/>
              </w:rPr>
            </w:pPr>
            <w:r w:rsidRPr="00674F20">
              <w:rPr>
                <w:color w:val="000000"/>
                <w:szCs w:val="18"/>
              </w:rPr>
              <w:t>Children’s obesity</w:t>
            </w:r>
          </w:p>
        </w:tc>
        <w:tc>
          <w:tcPr>
            <w:tcW w:w="4536" w:type="dxa"/>
          </w:tcPr>
          <w:p w14:paraId="2DCDDF8C" w14:textId="77777777" w:rsidR="00DA25C1" w:rsidRPr="00674F20" w:rsidRDefault="00DA25C1" w:rsidP="0064265C">
            <w:pPr>
              <w:pStyle w:val="Tabletext9pt"/>
              <w:rPr>
                <w:color w:val="000000"/>
                <w:szCs w:val="18"/>
              </w:rPr>
            </w:pPr>
            <w:r w:rsidRPr="00674F20">
              <w:rPr>
                <w:color w:val="000000"/>
                <w:szCs w:val="18"/>
              </w:rPr>
              <w:t>To implement initiatives to increase healthy eating and physical activity among children.</w:t>
            </w:r>
          </w:p>
        </w:tc>
      </w:tr>
      <w:tr w:rsidR="00DA25C1" w:rsidRPr="004E0550" w14:paraId="03D2A262" w14:textId="77777777" w:rsidTr="00DA25C1">
        <w:tc>
          <w:tcPr>
            <w:tcW w:w="1696" w:type="dxa"/>
          </w:tcPr>
          <w:p w14:paraId="1B1766B0" w14:textId="77777777" w:rsidR="00DA25C1" w:rsidRPr="00674F20" w:rsidRDefault="00DA25C1" w:rsidP="0064265C">
            <w:pPr>
              <w:pStyle w:val="Tabletext9pt"/>
              <w:rPr>
                <w:color w:val="000000"/>
                <w:szCs w:val="18"/>
              </w:rPr>
            </w:pPr>
            <w:r w:rsidRPr="00674F20">
              <w:rPr>
                <w:color w:val="000000"/>
                <w:szCs w:val="18"/>
              </w:rPr>
              <w:t>16349</w:t>
            </w:r>
          </w:p>
        </w:tc>
        <w:tc>
          <w:tcPr>
            <w:tcW w:w="2977" w:type="dxa"/>
          </w:tcPr>
          <w:p w14:paraId="6BCB1F2A" w14:textId="77777777" w:rsidR="00DA25C1" w:rsidRPr="00674F20" w:rsidRDefault="00DA25C1" w:rsidP="0064265C">
            <w:pPr>
              <w:pStyle w:val="Tabletext9pt"/>
              <w:rPr>
                <w:color w:val="000000"/>
                <w:szCs w:val="18"/>
              </w:rPr>
            </w:pPr>
            <w:r w:rsidRPr="00674F20">
              <w:rPr>
                <w:color w:val="000000"/>
                <w:szCs w:val="18"/>
              </w:rPr>
              <w:t>Obesity</w:t>
            </w:r>
            <w:r w:rsidRPr="00674F20">
              <w:rPr>
                <w:szCs w:val="18"/>
                <w:lang w:eastAsia="en-AU"/>
              </w:rPr>
              <w:t xml:space="preserve"> – </w:t>
            </w:r>
            <w:r w:rsidRPr="00674F20">
              <w:rPr>
                <w:color w:val="000000"/>
                <w:szCs w:val="18"/>
              </w:rPr>
              <w:t>community projects</w:t>
            </w:r>
          </w:p>
        </w:tc>
        <w:tc>
          <w:tcPr>
            <w:tcW w:w="4536" w:type="dxa"/>
          </w:tcPr>
          <w:p w14:paraId="6A77750F" w14:textId="77777777" w:rsidR="00DA25C1" w:rsidRPr="00674F20" w:rsidRDefault="00DA25C1" w:rsidP="0064265C">
            <w:pPr>
              <w:pStyle w:val="Tabletext9pt"/>
              <w:rPr>
                <w:color w:val="000000"/>
                <w:szCs w:val="18"/>
              </w:rPr>
            </w:pPr>
            <w:r w:rsidRPr="00674F20">
              <w:rPr>
                <w:color w:val="000000"/>
                <w:szCs w:val="18"/>
              </w:rPr>
              <w:t xml:space="preserve">To implement obesity prevention </w:t>
            </w:r>
            <w:r>
              <w:rPr>
                <w:color w:val="000000"/>
                <w:szCs w:val="18"/>
              </w:rPr>
              <w:t xml:space="preserve">place-based </w:t>
            </w:r>
            <w:r w:rsidRPr="00674F20">
              <w:rPr>
                <w:color w:val="000000"/>
                <w:szCs w:val="18"/>
              </w:rPr>
              <w:t>initiatives in a community and develop activities to increase healthy eating and physical activity.</w:t>
            </w:r>
          </w:p>
        </w:tc>
      </w:tr>
      <w:tr w:rsidR="00DA25C1" w:rsidRPr="004E0550" w14:paraId="44135D7C" w14:textId="77777777" w:rsidTr="00DA25C1">
        <w:tc>
          <w:tcPr>
            <w:tcW w:w="1696" w:type="dxa"/>
          </w:tcPr>
          <w:p w14:paraId="6702FF2A" w14:textId="77777777" w:rsidR="00DA25C1" w:rsidRPr="00674F20" w:rsidRDefault="00DA25C1" w:rsidP="0064265C">
            <w:pPr>
              <w:pStyle w:val="Tabletext9pt"/>
              <w:rPr>
                <w:color w:val="000000"/>
                <w:szCs w:val="18"/>
              </w:rPr>
            </w:pPr>
            <w:r w:rsidRPr="00674F20">
              <w:rPr>
                <w:color w:val="000000"/>
                <w:szCs w:val="18"/>
              </w:rPr>
              <w:t>16449</w:t>
            </w:r>
          </w:p>
        </w:tc>
        <w:tc>
          <w:tcPr>
            <w:tcW w:w="2977" w:type="dxa"/>
          </w:tcPr>
          <w:p w14:paraId="7903E4F1" w14:textId="77777777" w:rsidR="00DA25C1" w:rsidRPr="00674F20" w:rsidRDefault="00DA25C1" w:rsidP="0064265C">
            <w:pPr>
              <w:pStyle w:val="Tabletext9pt"/>
              <w:rPr>
                <w:color w:val="000000"/>
                <w:szCs w:val="18"/>
              </w:rPr>
            </w:pPr>
            <w:r w:rsidRPr="00674F20">
              <w:rPr>
                <w:color w:val="000000"/>
                <w:szCs w:val="18"/>
              </w:rPr>
              <w:t>Smoking information</w:t>
            </w:r>
            <w:r w:rsidRPr="00674F20">
              <w:rPr>
                <w:szCs w:val="18"/>
                <w:lang w:eastAsia="en-AU"/>
              </w:rPr>
              <w:t xml:space="preserve"> – </w:t>
            </w:r>
            <w:r w:rsidRPr="00674F20">
              <w:rPr>
                <w:color w:val="000000"/>
                <w:szCs w:val="18"/>
              </w:rPr>
              <w:t>advice and interventions</w:t>
            </w:r>
          </w:p>
        </w:tc>
        <w:tc>
          <w:tcPr>
            <w:tcW w:w="4536" w:type="dxa"/>
          </w:tcPr>
          <w:p w14:paraId="2572E6F7" w14:textId="77777777" w:rsidR="00DA25C1" w:rsidRPr="00674F20" w:rsidRDefault="00DA25C1" w:rsidP="0064265C">
            <w:pPr>
              <w:pStyle w:val="Tabletext9pt"/>
              <w:rPr>
                <w:color w:val="000000"/>
                <w:szCs w:val="18"/>
              </w:rPr>
            </w:pPr>
            <w:r w:rsidRPr="00674F20">
              <w:rPr>
                <w:color w:val="000000"/>
                <w:szCs w:val="18"/>
              </w:rPr>
              <w:t xml:space="preserve">To provide smoking cessation advice/support and to educate the community and stakeholders about tobacco and smoking-related legislative requirements and to enforce the </w:t>
            </w:r>
            <w:r w:rsidRPr="00674F20">
              <w:rPr>
                <w:rStyle w:val="Emphasis"/>
                <w:szCs w:val="18"/>
              </w:rPr>
              <w:t>Tobacco Act 1987</w:t>
            </w:r>
            <w:r w:rsidRPr="00674F20">
              <w:rPr>
                <w:color w:val="000000"/>
                <w:szCs w:val="18"/>
              </w:rPr>
              <w:t>.</w:t>
            </w:r>
          </w:p>
        </w:tc>
      </w:tr>
      <w:tr w:rsidR="00DA25C1" w:rsidRPr="004E0550" w14:paraId="2A78A0D6" w14:textId="77777777" w:rsidTr="00DA25C1">
        <w:tc>
          <w:tcPr>
            <w:tcW w:w="1696" w:type="dxa"/>
          </w:tcPr>
          <w:p w14:paraId="3FB70910" w14:textId="77777777" w:rsidR="00DA25C1" w:rsidRPr="00674F20" w:rsidRDefault="00DA25C1" w:rsidP="0064265C">
            <w:pPr>
              <w:pStyle w:val="Tabletext9pt"/>
              <w:rPr>
                <w:color w:val="000000"/>
                <w:szCs w:val="18"/>
              </w:rPr>
            </w:pPr>
            <w:r w:rsidRPr="00674F20">
              <w:rPr>
                <w:color w:val="000000"/>
                <w:szCs w:val="18"/>
              </w:rPr>
              <w:t>16450</w:t>
            </w:r>
          </w:p>
        </w:tc>
        <w:tc>
          <w:tcPr>
            <w:tcW w:w="2977" w:type="dxa"/>
          </w:tcPr>
          <w:p w14:paraId="6BE37F54" w14:textId="77777777" w:rsidR="00DA25C1" w:rsidRPr="00674F20" w:rsidRDefault="00DA25C1" w:rsidP="0064265C">
            <w:pPr>
              <w:pStyle w:val="Tabletext9pt"/>
              <w:rPr>
                <w:color w:val="000000"/>
                <w:szCs w:val="18"/>
              </w:rPr>
            </w:pPr>
            <w:r w:rsidRPr="00674F20">
              <w:rPr>
                <w:color w:val="000000"/>
                <w:szCs w:val="18"/>
              </w:rPr>
              <w:t>Diabetes prevention</w:t>
            </w:r>
          </w:p>
        </w:tc>
        <w:tc>
          <w:tcPr>
            <w:tcW w:w="4536" w:type="dxa"/>
          </w:tcPr>
          <w:p w14:paraId="1198B586" w14:textId="77777777" w:rsidR="00DA25C1" w:rsidRPr="00674F20" w:rsidRDefault="00DA25C1" w:rsidP="0064265C">
            <w:pPr>
              <w:pStyle w:val="Tabletext9pt"/>
              <w:rPr>
                <w:color w:val="000000"/>
                <w:szCs w:val="18"/>
              </w:rPr>
            </w:pPr>
            <w:r w:rsidRPr="0049731B">
              <w:rPr>
                <w:color w:val="000000"/>
                <w:szCs w:val="18"/>
              </w:rPr>
              <w:t>To undertake</w:t>
            </w:r>
            <w:r>
              <w:rPr>
                <w:color w:val="000000"/>
                <w:szCs w:val="18"/>
              </w:rPr>
              <w:t xml:space="preserve"> primary and secondary prevention</w:t>
            </w:r>
            <w:r w:rsidRPr="0049731B">
              <w:rPr>
                <w:color w:val="000000"/>
                <w:szCs w:val="18"/>
              </w:rPr>
              <w:t xml:space="preserve"> initiatives aimed at </w:t>
            </w:r>
            <w:r>
              <w:rPr>
                <w:color w:val="000000"/>
                <w:szCs w:val="18"/>
              </w:rPr>
              <w:t>reducing</w:t>
            </w:r>
            <w:r w:rsidRPr="0049731B">
              <w:rPr>
                <w:color w:val="000000"/>
                <w:szCs w:val="18"/>
              </w:rPr>
              <w:t xml:space="preserve"> the number of people in the Victorian community </w:t>
            </w:r>
            <w:r>
              <w:rPr>
                <w:color w:val="000000"/>
                <w:szCs w:val="18"/>
              </w:rPr>
              <w:t>developing</w:t>
            </w:r>
            <w:r w:rsidRPr="0049731B">
              <w:rPr>
                <w:color w:val="000000"/>
                <w:szCs w:val="18"/>
              </w:rPr>
              <w:t xml:space="preserve"> type 2 diabetes and cardiovascular disease.</w:t>
            </w:r>
          </w:p>
        </w:tc>
      </w:tr>
      <w:tr w:rsidR="00DA25C1" w:rsidRPr="004E0550" w14:paraId="5ECB73ED" w14:textId="77777777" w:rsidTr="00DA25C1">
        <w:tc>
          <w:tcPr>
            <w:tcW w:w="1696" w:type="dxa"/>
          </w:tcPr>
          <w:p w14:paraId="4DDB165D" w14:textId="77777777" w:rsidR="00DA25C1" w:rsidRPr="00674F20" w:rsidRDefault="00DA25C1" w:rsidP="0064265C">
            <w:pPr>
              <w:pStyle w:val="Tabletext9pt"/>
              <w:rPr>
                <w:szCs w:val="18"/>
              </w:rPr>
            </w:pPr>
            <w:r w:rsidRPr="00674F20">
              <w:rPr>
                <w:szCs w:val="18"/>
              </w:rPr>
              <w:t>16454</w:t>
            </w:r>
          </w:p>
        </w:tc>
        <w:tc>
          <w:tcPr>
            <w:tcW w:w="2977" w:type="dxa"/>
          </w:tcPr>
          <w:p w14:paraId="68F5D509" w14:textId="77777777" w:rsidR="00DA25C1" w:rsidRPr="00674F20" w:rsidRDefault="00DA25C1" w:rsidP="0064265C">
            <w:pPr>
              <w:pStyle w:val="Tabletext9pt"/>
              <w:rPr>
                <w:szCs w:val="18"/>
              </w:rPr>
            </w:pPr>
            <w:r w:rsidRPr="00674F20">
              <w:rPr>
                <w:szCs w:val="18"/>
              </w:rPr>
              <w:t>Health promotion initiatives</w:t>
            </w:r>
          </w:p>
        </w:tc>
        <w:tc>
          <w:tcPr>
            <w:tcW w:w="4536" w:type="dxa"/>
          </w:tcPr>
          <w:p w14:paraId="39FA9FA6" w14:textId="77777777" w:rsidR="00DA25C1" w:rsidRPr="00674F20" w:rsidRDefault="00DA25C1" w:rsidP="0064265C">
            <w:pPr>
              <w:pStyle w:val="Tabletext9pt"/>
              <w:rPr>
                <w:szCs w:val="18"/>
              </w:rPr>
            </w:pPr>
            <w:r w:rsidRPr="00674F20">
              <w:rPr>
                <w:szCs w:val="18"/>
              </w:rPr>
              <w:t xml:space="preserve">To develop and support programs that prevent illness and promote wellbeing through using a mix of health promotion interventions and capacity-building strategies </w:t>
            </w:r>
            <w:r>
              <w:rPr>
                <w:szCs w:val="18"/>
              </w:rPr>
              <w:t>delivering place-based approaches in Victorian communities</w:t>
            </w:r>
            <w:r w:rsidRPr="00674F20">
              <w:rPr>
                <w:szCs w:val="18"/>
              </w:rPr>
              <w:t>.</w:t>
            </w:r>
          </w:p>
        </w:tc>
      </w:tr>
      <w:tr w:rsidR="00DA25C1" w:rsidRPr="004E0550" w14:paraId="3AA9D6C4" w14:textId="77777777" w:rsidTr="00DA25C1">
        <w:tc>
          <w:tcPr>
            <w:tcW w:w="1696" w:type="dxa"/>
          </w:tcPr>
          <w:p w14:paraId="1AC43F60" w14:textId="77777777" w:rsidR="00DA25C1" w:rsidRPr="00674F20" w:rsidRDefault="00DA25C1" w:rsidP="0064265C">
            <w:pPr>
              <w:pStyle w:val="Tabletext9pt"/>
              <w:rPr>
                <w:szCs w:val="18"/>
              </w:rPr>
            </w:pPr>
            <w:r w:rsidRPr="00674F20">
              <w:rPr>
                <w:szCs w:val="18"/>
              </w:rPr>
              <w:t>16460</w:t>
            </w:r>
          </w:p>
        </w:tc>
        <w:tc>
          <w:tcPr>
            <w:tcW w:w="2977" w:type="dxa"/>
          </w:tcPr>
          <w:p w14:paraId="75C00C61" w14:textId="77777777" w:rsidR="00DA25C1" w:rsidRPr="00674F20" w:rsidRDefault="00DA25C1" w:rsidP="0064265C">
            <w:pPr>
              <w:pStyle w:val="Tabletext9pt"/>
              <w:rPr>
                <w:szCs w:val="18"/>
              </w:rPr>
            </w:pPr>
            <w:r w:rsidRPr="00674F20">
              <w:rPr>
                <w:szCs w:val="18"/>
              </w:rPr>
              <w:t>Targeted recruitment for screening programs</w:t>
            </w:r>
          </w:p>
        </w:tc>
        <w:tc>
          <w:tcPr>
            <w:tcW w:w="4536" w:type="dxa"/>
          </w:tcPr>
          <w:p w14:paraId="63A7E284" w14:textId="77777777" w:rsidR="00DA25C1" w:rsidRPr="00674F20" w:rsidRDefault="00DA25C1" w:rsidP="0064265C">
            <w:pPr>
              <w:pStyle w:val="Tabletext9pt"/>
              <w:rPr>
                <w:szCs w:val="18"/>
              </w:rPr>
            </w:pPr>
            <w:r w:rsidRPr="00674F20">
              <w:rPr>
                <w:szCs w:val="18"/>
              </w:rPr>
              <w:t>To undertake a range of activities aimed at improving participation of under-screened and never-screened people in screening programs.</w:t>
            </w:r>
          </w:p>
        </w:tc>
      </w:tr>
      <w:tr w:rsidR="00DA25C1" w:rsidRPr="004E0550" w14:paraId="512FFA42" w14:textId="77777777" w:rsidTr="00DA25C1">
        <w:tc>
          <w:tcPr>
            <w:tcW w:w="1696" w:type="dxa"/>
          </w:tcPr>
          <w:p w14:paraId="5B37C6E6" w14:textId="77777777" w:rsidR="00DA25C1" w:rsidRPr="00674F20" w:rsidRDefault="00DA25C1" w:rsidP="0064265C">
            <w:pPr>
              <w:pStyle w:val="Tabletext9pt"/>
              <w:rPr>
                <w:szCs w:val="18"/>
              </w:rPr>
            </w:pPr>
            <w:r w:rsidRPr="00674F20">
              <w:rPr>
                <w:szCs w:val="18"/>
              </w:rPr>
              <w:t>16461</w:t>
            </w:r>
          </w:p>
        </w:tc>
        <w:tc>
          <w:tcPr>
            <w:tcW w:w="2977" w:type="dxa"/>
          </w:tcPr>
          <w:p w14:paraId="05D64791" w14:textId="77777777" w:rsidR="00DA25C1" w:rsidRPr="00674F20" w:rsidRDefault="00DA25C1" w:rsidP="0064265C">
            <w:pPr>
              <w:pStyle w:val="Tabletext9pt"/>
              <w:rPr>
                <w:szCs w:val="18"/>
              </w:rPr>
            </w:pPr>
            <w:r w:rsidRPr="00674F20">
              <w:rPr>
                <w:szCs w:val="18"/>
              </w:rPr>
              <w:t>ACCO services</w:t>
            </w:r>
            <w:r w:rsidRPr="00674F20">
              <w:rPr>
                <w:szCs w:val="18"/>
                <w:lang w:eastAsia="en-AU"/>
              </w:rPr>
              <w:t xml:space="preserve"> – </w:t>
            </w:r>
            <w:r w:rsidRPr="00674F20">
              <w:rPr>
                <w:szCs w:val="18"/>
              </w:rPr>
              <w:t>public health</w:t>
            </w:r>
          </w:p>
        </w:tc>
        <w:tc>
          <w:tcPr>
            <w:tcW w:w="4536" w:type="dxa"/>
          </w:tcPr>
          <w:p w14:paraId="08842945" w14:textId="77777777" w:rsidR="00DA25C1" w:rsidRPr="00674F20" w:rsidRDefault="00DA25C1" w:rsidP="0064265C">
            <w:pPr>
              <w:pStyle w:val="Tabletext9pt"/>
              <w:rPr>
                <w:szCs w:val="18"/>
              </w:rPr>
            </w:pPr>
            <w:r w:rsidRPr="00674F20">
              <w:rPr>
                <w:szCs w:val="18"/>
              </w:rPr>
              <w:t>Funding for those public health services provided by Aboriginal community-controlled organisations.</w:t>
            </w:r>
          </w:p>
        </w:tc>
      </w:tr>
      <w:tr w:rsidR="00DA25C1" w:rsidRPr="004E0550" w14:paraId="474037D0" w14:textId="77777777" w:rsidTr="00DA25C1">
        <w:tc>
          <w:tcPr>
            <w:tcW w:w="1696" w:type="dxa"/>
          </w:tcPr>
          <w:p w14:paraId="015B6661" w14:textId="77777777" w:rsidR="00DA25C1" w:rsidRPr="00674F20" w:rsidRDefault="00DA25C1" w:rsidP="0064265C">
            <w:pPr>
              <w:pStyle w:val="Tabletext9pt"/>
              <w:rPr>
                <w:szCs w:val="18"/>
              </w:rPr>
            </w:pPr>
            <w:r w:rsidRPr="00674F20">
              <w:rPr>
                <w:szCs w:val="18"/>
              </w:rPr>
              <w:t>16462</w:t>
            </w:r>
          </w:p>
        </w:tc>
        <w:tc>
          <w:tcPr>
            <w:tcW w:w="2977" w:type="dxa"/>
          </w:tcPr>
          <w:p w14:paraId="2A734E50" w14:textId="77777777" w:rsidR="00DA25C1" w:rsidRPr="00674F20" w:rsidRDefault="00DA25C1" w:rsidP="0064265C">
            <w:pPr>
              <w:pStyle w:val="Tabletext9pt"/>
              <w:rPr>
                <w:szCs w:val="18"/>
              </w:rPr>
            </w:pPr>
            <w:r w:rsidRPr="00674F20">
              <w:rPr>
                <w:szCs w:val="18"/>
              </w:rPr>
              <w:t>Prevention system initiatives</w:t>
            </w:r>
          </w:p>
        </w:tc>
        <w:tc>
          <w:tcPr>
            <w:tcW w:w="4536" w:type="dxa"/>
          </w:tcPr>
          <w:p w14:paraId="249019F3" w14:textId="77777777" w:rsidR="00DA25C1" w:rsidRPr="00674F20" w:rsidRDefault="00DA25C1" w:rsidP="0064265C">
            <w:pPr>
              <w:pStyle w:val="Tabletext9pt"/>
              <w:rPr>
                <w:szCs w:val="18"/>
              </w:rPr>
            </w:pPr>
            <w:r>
              <w:rPr>
                <w:szCs w:val="18"/>
              </w:rPr>
              <w:t>To undertake i</w:t>
            </w:r>
            <w:r w:rsidRPr="00510C22">
              <w:rPr>
                <w:szCs w:val="18"/>
              </w:rPr>
              <w:t>nitiatives aimed at improving prevention system and population health outcomes</w:t>
            </w:r>
            <w:r>
              <w:rPr>
                <w:szCs w:val="18"/>
              </w:rPr>
              <w:t xml:space="preserve"> aligning with local planning mechanism.</w:t>
            </w:r>
          </w:p>
        </w:tc>
      </w:tr>
      <w:tr w:rsidR="00DA25C1" w:rsidRPr="004E0550" w14:paraId="78514C07" w14:textId="77777777" w:rsidTr="00DA25C1">
        <w:tc>
          <w:tcPr>
            <w:tcW w:w="1696" w:type="dxa"/>
            <w:shd w:val="clear" w:color="auto" w:fill="auto"/>
          </w:tcPr>
          <w:p w14:paraId="233FA1DB" w14:textId="77CC2EA9" w:rsidR="00DA25C1" w:rsidRPr="00674F20" w:rsidRDefault="00DA25C1" w:rsidP="00FE3E5D">
            <w:pPr>
              <w:pStyle w:val="Tabletext9pt"/>
              <w:rPr>
                <w:szCs w:val="18"/>
              </w:rPr>
            </w:pPr>
            <w:r w:rsidRPr="00674F20">
              <w:rPr>
                <w:szCs w:val="18"/>
              </w:rPr>
              <w:t>16508</w:t>
            </w:r>
          </w:p>
        </w:tc>
        <w:tc>
          <w:tcPr>
            <w:tcW w:w="2977" w:type="dxa"/>
            <w:shd w:val="clear" w:color="auto" w:fill="auto"/>
          </w:tcPr>
          <w:p w14:paraId="5B311896" w14:textId="2E3F7F32" w:rsidR="00DA25C1" w:rsidRPr="00674F20" w:rsidRDefault="00DA25C1" w:rsidP="00FE3E5D">
            <w:pPr>
              <w:pStyle w:val="Tabletext9pt"/>
              <w:rPr>
                <w:szCs w:val="18"/>
              </w:rPr>
            </w:pPr>
            <w:r w:rsidRPr="00674F20">
              <w:rPr>
                <w:szCs w:val="18"/>
              </w:rPr>
              <w:t>BBV and STI – health promotion</w:t>
            </w:r>
            <w:r>
              <w:rPr>
                <w:szCs w:val="18"/>
              </w:rPr>
              <w:t xml:space="preserve"> </w:t>
            </w:r>
          </w:p>
        </w:tc>
        <w:tc>
          <w:tcPr>
            <w:tcW w:w="4536" w:type="dxa"/>
            <w:shd w:val="clear" w:color="auto" w:fill="auto"/>
          </w:tcPr>
          <w:p w14:paraId="05891E05" w14:textId="48ECD5A4" w:rsidR="00DA25C1" w:rsidRPr="00674F20" w:rsidRDefault="00DA25C1" w:rsidP="00FE3E5D">
            <w:pPr>
              <w:pStyle w:val="Tabletext9pt"/>
              <w:rPr>
                <w:szCs w:val="18"/>
              </w:rPr>
            </w:pPr>
            <w:r w:rsidRPr="00674F20">
              <w:rPr>
                <w:szCs w:val="18"/>
              </w:rPr>
              <w:t>To provide for the delivery of BBV/STI health promotion/prevention services to the community or targeted population groups.</w:t>
            </w:r>
          </w:p>
        </w:tc>
      </w:tr>
      <w:tr w:rsidR="00DA25C1" w:rsidRPr="004E0550" w14:paraId="03EEBD51" w14:textId="77777777" w:rsidTr="00DA25C1">
        <w:tc>
          <w:tcPr>
            <w:tcW w:w="1696" w:type="dxa"/>
            <w:shd w:val="clear" w:color="auto" w:fill="auto"/>
          </w:tcPr>
          <w:p w14:paraId="5D846196" w14:textId="40CCC8B9" w:rsidR="00DA25C1" w:rsidRPr="00674F20" w:rsidRDefault="00DA25C1" w:rsidP="00FE3E5D">
            <w:pPr>
              <w:pStyle w:val="Tabletext9pt"/>
              <w:rPr>
                <w:szCs w:val="18"/>
              </w:rPr>
            </w:pPr>
            <w:r w:rsidRPr="00674F20">
              <w:rPr>
                <w:szCs w:val="18"/>
              </w:rPr>
              <w:t>16509</w:t>
            </w:r>
          </w:p>
        </w:tc>
        <w:tc>
          <w:tcPr>
            <w:tcW w:w="2977" w:type="dxa"/>
            <w:shd w:val="clear" w:color="auto" w:fill="auto"/>
          </w:tcPr>
          <w:p w14:paraId="3AA0AA35" w14:textId="54FF7D53" w:rsidR="00DA25C1" w:rsidRPr="00674F20" w:rsidRDefault="00DA25C1" w:rsidP="00FE3E5D">
            <w:pPr>
              <w:pStyle w:val="Tabletext9pt"/>
              <w:rPr>
                <w:szCs w:val="18"/>
              </w:rPr>
            </w:pPr>
            <w:r w:rsidRPr="00674F20">
              <w:rPr>
                <w:szCs w:val="18"/>
              </w:rPr>
              <w:t>BBV and STI – community-based care and support</w:t>
            </w:r>
            <w:r>
              <w:rPr>
                <w:szCs w:val="18"/>
              </w:rPr>
              <w:t xml:space="preserve"> </w:t>
            </w:r>
          </w:p>
        </w:tc>
        <w:tc>
          <w:tcPr>
            <w:tcW w:w="4536" w:type="dxa"/>
            <w:shd w:val="clear" w:color="auto" w:fill="auto"/>
          </w:tcPr>
          <w:p w14:paraId="40AE909D" w14:textId="46F52E32" w:rsidR="00DA25C1" w:rsidRPr="00674F20" w:rsidRDefault="00DA25C1" w:rsidP="00FE3E5D">
            <w:pPr>
              <w:pStyle w:val="Tabletext9pt"/>
              <w:rPr>
                <w:szCs w:val="18"/>
              </w:rPr>
            </w:pPr>
            <w:r w:rsidRPr="00674F20">
              <w:rPr>
                <w:szCs w:val="18"/>
              </w:rPr>
              <w:t>To provide the delivery of community-based care and support to clients, carers, and significant others.</w:t>
            </w:r>
          </w:p>
        </w:tc>
      </w:tr>
      <w:tr w:rsidR="00DA25C1" w:rsidRPr="004E0550" w14:paraId="778D2C15" w14:textId="77777777" w:rsidTr="00DA25C1">
        <w:tc>
          <w:tcPr>
            <w:tcW w:w="1696" w:type="dxa"/>
            <w:shd w:val="clear" w:color="auto" w:fill="auto"/>
          </w:tcPr>
          <w:p w14:paraId="1CBDB408" w14:textId="46FA0C48" w:rsidR="00DA25C1" w:rsidRPr="00674F20" w:rsidRDefault="00DA25C1" w:rsidP="00FE3E5D">
            <w:pPr>
              <w:pStyle w:val="Tabletext9pt"/>
              <w:rPr>
                <w:szCs w:val="18"/>
              </w:rPr>
            </w:pPr>
            <w:r w:rsidRPr="00B67FDD">
              <w:rPr>
                <w:szCs w:val="18"/>
              </w:rPr>
              <w:t>16513</w:t>
            </w:r>
          </w:p>
        </w:tc>
        <w:tc>
          <w:tcPr>
            <w:tcW w:w="2977" w:type="dxa"/>
            <w:shd w:val="clear" w:color="auto" w:fill="auto"/>
          </w:tcPr>
          <w:p w14:paraId="34B04776" w14:textId="7099704A" w:rsidR="00DA25C1" w:rsidRPr="00674F20" w:rsidRDefault="00DA25C1" w:rsidP="00FE3E5D">
            <w:pPr>
              <w:pStyle w:val="Tabletext9pt"/>
              <w:rPr>
                <w:szCs w:val="18"/>
              </w:rPr>
            </w:pPr>
            <w:r w:rsidRPr="00674F20">
              <w:rPr>
                <w:szCs w:val="18"/>
              </w:rPr>
              <w:t>Screening and preventive messages</w:t>
            </w:r>
            <w:r>
              <w:rPr>
                <w:szCs w:val="18"/>
              </w:rPr>
              <w:t xml:space="preserve"> </w:t>
            </w:r>
          </w:p>
        </w:tc>
        <w:tc>
          <w:tcPr>
            <w:tcW w:w="4536" w:type="dxa"/>
            <w:shd w:val="clear" w:color="auto" w:fill="auto"/>
          </w:tcPr>
          <w:p w14:paraId="69B24851" w14:textId="3BEBC52D" w:rsidR="00DA25C1" w:rsidRPr="00674F20" w:rsidRDefault="00DA25C1" w:rsidP="00FE3E5D">
            <w:pPr>
              <w:pStyle w:val="Tabletext9pt"/>
              <w:rPr>
                <w:szCs w:val="18"/>
              </w:rPr>
            </w:pPr>
            <w:r w:rsidRPr="00674F20">
              <w:rPr>
                <w:szCs w:val="18"/>
              </w:rPr>
              <w:t>To undertake a range of activities within the community aimed at enabling people to make positive decisions about their health and wellbeing.</w:t>
            </w:r>
          </w:p>
        </w:tc>
      </w:tr>
      <w:tr w:rsidR="00DA25C1" w:rsidRPr="004E0550" w14:paraId="4CE7EFFB" w14:textId="77777777" w:rsidTr="00DA25C1">
        <w:tc>
          <w:tcPr>
            <w:tcW w:w="1696" w:type="dxa"/>
            <w:shd w:val="clear" w:color="auto" w:fill="auto"/>
          </w:tcPr>
          <w:p w14:paraId="301533BA" w14:textId="5EF814F5" w:rsidR="00DA25C1" w:rsidRPr="00674F20" w:rsidRDefault="00DA25C1" w:rsidP="00FE3E5D">
            <w:pPr>
              <w:pStyle w:val="Tabletext9pt"/>
              <w:rPr>
                <w:szCs w:val="18"/>
              </w:rPr>
            </w:pPr>
            <w:r w:rsidRPr="00B67FDD">
              <w:rPr>
                <w:szCs w:val="18"/>
              </w:rPr>
              <w:t>16514</w:t>
            </w:r>
          </w:p>
        </w:tc>
        <w:tc>
          <w:tcPr>
            <w:tcW w:w="2977" w:type="dxa"/>
            <w:shd w:val="clear" w:color="auto" w:fill="auto"/>
          </w:tcPr>
          <w:p w14:paraId="386E370B" w14:textId="157F35F5" w:rsidR="00DA25C1" w:rsidRPr="00674F20" w:rsidRDefault="00DA25C1" w:rsidP="00FE3E5D">
            <w:pPr>
              <w:pStyle w:val="Tabletext9pt"/>
              <w:rPr>
                <w:szCs w:val="18"/>
              </w:rPr>
            </w:pPr>
            <w:r w:rsidRPr="00674F20">
              <w:rPr>
                <w:szCs w:val="18"/>
              </w:rPr>
              <w:t>Screening service development</w:t>
            </w:r>
            <w:r>
              <w:rPr>
                <w:szCs w:val="18"/>
              </w:rPr>
              <w:t xml:space="preserve"> </w:t>
            </w:r>
          </w:p>
        </w:tc>
        <w:tc>
          <w:tcPr>
            <w:tcW w:w="4536" w:type="dxa"/>
            <w:shd w:val="clear" w:color="auto" w:fill="auto"/>
          </w:tcPr>
          <w:p w14:paraId="77427DFB" w14:textId="7D141D60" w:rsidR="00DA25C1" w:rsidRPr="00674F20" w:rsidRDefault="00DA25C1" w:rsidP="00FE3E5D">
            <w:pPr>
              <w:pStyle w:val="Tabletext9pt"/>
              <w:rPr>
                <w:szCs w:val="18"/>
              </w:rPr>
            </w:pPr>
            <w:r w:rsidRPr="00674F20">
              <w:rPr>
                <w:szCs w:val="18"/>
              </w:rPr>
              <w:t>To undertake specific activities to improve service delivery, capacity, and program effectiveness.</w:t>
            </w:r>
          </w:p>
        </w:tc>
      </w:tr>
      <w:tr w:rsidR="00DA25C1" w:rsidRPr="004E0550" w14:paraId="7088BE0C" w14:textId="77777777" w:rsidTr="00DA25C1">
        <w:trPr>
          <w:trHeight w:val="1282"/>
        </w:trPr>
        <w:tc>
          <w:tcPr>
            <w:tcW w:w="1696" w:type="dxa"/>
            <w:shd w:val="clear" w:color="auto" w:fill="auto"/>
          </w:tcPr>
          <w:p w14:paraId="24E4289B" w14:textId="07B7EF61" w:rsidR="00DA25C1" w:rsidRPr="00674F20" w:rsidRDefault="00DA25C1" w:rsidP="00FE3E5D">
            <w:pPr>
              <w:pStyle w:val="Tabletext9pt"/>
              <w:rPr>
                <w:szCs w:val="18"/>
              </w:rPr>
            </w:pPr>
            <w:r w:rsidRPr="00B67FDD">
              <w:rPr>
                <w:szCs w:val="18"/>
              </w:rPr>
              <w:lastRenderedPageBreak/>
              <w:t>16515</w:t>
            </w:r>
          </w:p>
        </w:tc>
        <w:tc>
          <w:tcPr>
            <w:tcW w:w="2977" w:type="dxa"/>
            <w:shd w:val="clear" w:color="auto" w:fill="auto"/>
          </w:tcPr>
          <w:p w14:paraId="5FF69301" w14:textId="4C45AB2E" w:rsidR="00DA25C1" w:rsidRPr="00674F20" w:rsidRDefault="00DA25C1" w:rsidP="00FE3E5D">
            <w:pPr>
              <w:pStyle w:val="Tabletext9pt"/>
              <w:rPr>
                <w:szCs w:val="18"/>
              </w:rPr>
            </w:pPr>
            <w:r w:rsidRPr="00674F20">
              <w:rPr>
                <w:szCs w:val="18"/>
              </w:rPr>
              <w:t>Education and training in screening programs</w:t>
            </w:r>
            <w:r>
              <w:rPr>
                <w:szCs w:val="18"/>
              </w:rPr>
              <w:t xml:space="preserve"> </w:t>
            </w:r>
          </w:p>
        </w:tc>
        <w:tc>
          <w:tcPr>
            <w:tcW w:w="4536" w:type="dxa"/>
            <w:shd w:val="clear" w:color="auto" w:fill="auto"/>
          </w:tcPr>
          <w:p w14:paraId="11727F42" w14:textId="2990BFA3" w:rsidR="00DA25C1" w:rsidRPr="00674F20" w:rsidRDefault="00DA25C1" w:rsidP="00FE3E5D">
            <w:pPr>
              <w:pStyle w:val="Tabletext9pt"/>
              <w:rPr>
                <w:szCs w:val="18"/>
              </w:rPr>
            </w:pPr>
            <w:r w:rsidRPr="00674F20">
              <w:rPr>
                <w:szCs w:val="18"/>
              </w:rPr>
              <w:t xml:space="preserve">To undertake a range of education and training activities with program stakeholders to support and </w:t>
            </w:r>
            <w:r w:rsidRPr="00FD40FF">
              <w:rPr>
                <w:szCs w:val="18"/>
              </w:rPr>
              <w:t xml:space="preserve">enhance </w:t>
            </w:r>
            <w:r>
              <w:rPr>
                <w:szCs w:val="18"/>
              </w:rPr>
              <w:t xml:space="preserve">the </w:t>
            </w:r>
            <w:r w:rsidRPr="00FD40FF">
              <w:rPr>
                <w:szCs w:val="18"/>
              </w:rPr>
              <w:t>delivery of organised</w:t>
            </w:r>
            <w:r w:rsidRPr="00674F20">
              <w:rPr>
                <w:szCs w:val="18"/>
              </w:rPr>
              <w:t xml:space="preserve"> screening programs.</w:t>
            </w:r>
          </w:p>
        </w:tc>
      </w:tr>
      <w:tr w:rsidR="00DA25C1" w:rsidRPr="004E0550" w14:paraId="052B64A1" w14:textId="77777777" w:rsidTr="00DA25C1">
        <w:tc>
          <w:tcPr>
            <w:tcW w:w="1696" w:type="dxa"/>
            <w:shd w:val="clear" w:color="auto" w:fill="auto"/>
          </w:tcPr>
          <w:p w14:paraId="6EAB22CD" w14:textId="5008EA72" w:rsidR="00DA25C1" w:rsidRPr="00674F20" w:rsidRDefault="00DA25C1" w:rsidP="00FE3E5D">
            <w:pPr>
              <w:pStyle w:val="Tabletext9pt"/>
              <w:rPr>
                <w:szCs w:val="18"/>
              </w:rPr>
            </w:pPr>
            <w:r w:rsidRPr="00B67FDD">
              <w:rPr>
                <w:szCs w:val="18"/>
              </w:rPr>
              <w:t>16519</w:t>
            </w:r>
          </w:p>
        </w:tc>
        <w:tc>
          <w:tcPr>
            <w:tcW w:w="2977" w:type="dxa"/>
            <w:shd w:val="clear" w:color="auto" w:fill="auto"/>
          </w:tcPr>
          <w:p w14:paraId="3662F3CE" w14:textId="46CD57E3" w:rsidR="00DA25C1" w:rsidRPr="00674F20" w:rsidRDefault="00DA25C1" w:rsidP="00FE3E5D">
            <w:pPr>
              <w:pStyle w:val="Tabletext9pt"/>
              <w:rPr>
                <w:szCs w:val="18"/>
              </w:rPr>
            </w:pPr>
            <w:r w:rsidRPr="00674F20">
              <w:rPr>
                <w:szCs w:val="18"/>
              </w:rPr>
              <w:t>Screening tests and assessments</w:t>
            </w:r>
            <w:r>
              <w:rPr>
                <w:szCs w:val="18"/>
              </w:rPr>
              <w:t xml:space="preserve"> </w:t>
            </w:r>
          </w:p>
        </w:tc>
        <w:tc>
          <w:tcPr>
            <w:tcW w:w="4536" w:type="dxa"/>
            <w:shd w:val="clear" w:color="auto" w:fill="auto"/>
          </w:tcPr>
          <w:p w14:paraId="0D2FFDE1" w14:textId="66B3CD7C" w:rsidR="00DA25C1" w:rsidRPr="00674F20" w:rsidRDefault="00DA25C1" w:rsidP="00FE3E5D">
            <w:pPr>
              <w:pStyle w:val="Tabletext9pt"/>
              <w:rPr>
                <w:szCs w:val="18"/>
              </w:rPr>
            </w:pPr>
            <w:r w:rsidRPr="00674F20">
              <w:rPr>
                <w:szCs w:val="18"/>
              </w:rPr>
              <w:t>To provide screening tests and assessments to the target population of an organised screening program.</w:t>
            </w:r>
          </w:p>
        </w:tc>
      </w:tr>
    </w:tbl>
    <w:p w14:paraId="3DEBF8DA" w14:textId="07EBCBE1" w:rsidR="00DA25C1" w:rsidRPr="00CA1B3E" w:rsidRDefault="00DA25C1" w:rsidP="00FC00E9">
      <w:pPr>
        <w:pStyle w:val="Bodyaftertablefigure"/>
      </w:pPr>
      <w:bookmarkStart w:id="1036" w:name="_Toc487742053"/>
      <w:bookmarkStart w:id="1037" w:name="_Toc14172284"/>
      <w:bookmarkStart w:id="1038" w:name="_Toc55381148"/>
      <w:bookmarkStart w:id="1039" w:name="_Ref77755748"/>
      <w:bookmarkStart w:id="1040" w:name="_Ref77755771"/>
      <w:bookmarkStart w:id="1041" w:name="_Toc100263355"/>
      <w:bookmarkStart w:id="1042" w:name="_Toc55381157"/>
      <w:bookmarkStart w:id="1043" w:name="_Toc486151653"/>
      <w:bookmarkStart w:id="1044" w:name="_Toc12780585"/>
      <w:bookmarkStart w:id="1045" w:name="_Toc487742063"/>
      <w:bookmarkEnd w:id="1027"/>
      <w:bookmarkEnd w:id="1028"/>
      <w:bookmarkEnd w:id="1029"/>
      <w:bookmarkEnd w:id="1030"/>
      <w:r>
        <w:t xml:space="preserve">Output name: Health </w:t>
      </w:r>
      <w:r w:rsidR="000C5322">
        <w:t>protection</w:t>
      </w:r>
    </w:p>
    <w:tbl>
      <w:tblPr>
        <w:tblStyle w:val="TableGrid1"/>
        <w:tblW w:w="9351" w:type="dxa"/>
        <w:tblLook w:val="04A0" w:firstRow="1" w:lastRow="0" w:firstColumn="1" w:lastColumn="0" w:noHBand="0" w:noVBand="1"/>
      </w:tblPr>
      <w:tblGrid>
        <w:gridCol w:w="2122"/>
        <w:gridCol w:w="2551"/>
        <w:gridCol w:w="4678"/>
      </w:tblGrid>
      <w:tr w:rsidR="00594560" w:rsidRPr="0090298C" w14:paraId="189B33D8" w14:textId="77777777" w:rsidTr="00FC00E9">
        <w:trPr>
          <w:cnfStyle w:val="100000000000" w:firstRow="1" w:lastRow="0" w:firstColumn="0" w:lastColumn="0" w:oddVBand="0" w:evenVBand="0" w:oddHBand="0" w:evenHBand="0" w:firstRowFirstColumn="0" w:firstRowLastColumn="0" w:lastRowFirstColumn="0" w:lastRowLastColumn="0"/>
          <w:tblHeader/>
        </w:trPr>
        <w:tc>
          <w:tcPr>
            <w:tcW w:w="0" w:type="dxa"/>
          </w:tcPr>
          <w:p w14:paraId="4F199F52" w14:textId="77777777" w:rsidR="00594560" w:rsidRPr="00674F20" w:rsidRDefault="00594560" w:rsidP="00C26ED4">
            <w:pPr>
              <w:pStyle w:val="Tablecolhead9pt"/>
              <w:rPr>
                <w:szCs w:val="18"/>
                <w:lang w:eastAsia="en-AU"/>
              </w:rPr>
            </w:pPr>
            <w:r w:rsidRPr="00D0520C">
              <w:rPr>
                <w:lang w:eastAsia="en-AU"/>
              </w:rPr>
              <w:t>Activity no.</w:t>
            </w:r>
          </w:p>
        </w:tc>
        <w:tc>
          <w:tcPr>
            <w:tcW w:w="0" w:type="dxa"/>
          </w:tcPr>
          <w:p w14:paraId="2501DD57" w14:textId="77777777" w:rsidR="00594560" w:rsidRPr="00674F20" w:rsidRDefault="00594560" w:rsidP="00C26ED4">
            <w:pPr>
              <w:pStyle w:val="Tablecolhead9pt"/>
              <w:rPr>
                <w:szCs w:val="18"/>
                <w:lang w:eastAsia="en-AU"/>
              </w:rPr>
            </w:pPr>
            <w:r w:rsidRPr="00D0520C">
              <w:rPr>
                <w:lang w:eastAsia="en-AU"/>
              </w:rPr>
              <w:t>Activity name</w:t>
            </w:r>
          </w:p>
        </w:tc>
        <w:tc>
          <w:tcPr>
            <w:tcW w:w="0" w:type="dxa"/>
          </w:tcPr>
          <w:p w14:paraId="53951032" w14:textId="77777777" w:rsidR="00594560" w:rsidRPr="00674F20" w:rsidRDefault="00594560" w:rsidP="00C26ED4">
            <w:pPr>
              <w:pStyle w:val="Tablecolhead9pt"/>
              <w:rPr>
                <w:szCs w:val="18"/>
                <w:lang w:eastAsia="en-AU"/>
              </w:rPr>
            </w:pPr>
            <w:r w:rsidRPr="00D0520C">
              <w:rPr>
                <w:lang w:eastAsia="en-AU"/>
              </w:rPr>
              <w:t>Activity description</w:t>
            </w:r>
          </w:p>
        </w:tc>
      </w:tr>
      <w:tr w:rsidR="00594560" w:rsidRPr="00674F20" w14:paraId="1ED23ABD" w14:textId="77777777" w:rsidTr="002F5FA3">
        <w:tblPrEx>
          <w:tblLook w:val="06A0" w:firstRow="1" w:lastRow="0" w:firstColumn="1" w:lastColumn="0" w:noHBand="1" w:noVBand="1"/>
        </w:tblPrEx>
        <w:tc>
          <w:tcPr>
            <w:tcW w:w="2122" w:type="dxa"/>
          </w:tcPr>
          <w:p w14:paraId="6B463844" w14:textId="77777777" w:rsidR="00594560" w:rsidRPr="00674F20" w:rsidRDefault="00594560" w:rsidP="00C26ED4">
            <w:pPr>
              <w:pStyle w:val="Tabletext9pt"/>
              <w:rPr>
                <w:szCs w:val="18"/>
              </w:rPr>
            </w:pPr>
            <w:r w:rsidRPr="00674F20">
              <w:rPr>
                <w:szCs w:val="18"/>
              </w:rPr>
              <w:t>16037</w:t>
            </w:r>
          </w:p>
        </w:tc>
        <w:tc>
          <w:tcPr>
            <w:tcW w:w="2551" w:type="dxa"/>
          </w:tcPr>
          <w:p w14:paraId="7FE97499" w14:textId="77777777" w:rsidR="00594560" w:rsidRPr="00674F20" w:rsidRDefault="00594560" w:rsidP="00C26ED4">
            <w:pPr>
              <w:pStyle w:val="Tabletext9pt"/>
              <w:rPr>
                <w:szCs w:val="18"/>
              </w:rPr>
            </w:pPr>
            <w:r w:rsidRPr="00674F20">
              <w:rPr>
                <w:szCs w:val="18"/>
              </w:rPr>
              <w:t>Immunisation education</w:t>
            </w:r>
          </w:p>
        </w:tc>
        <w:tc>
          <w:tcPr>
            <w:tcW w:w="4678" w:type="dxa"/>
          </w:tcPr>
          <w:p w14:paraId="3A2B0100" w14:textId="77777777" w:rsidR="00594560" w:rsidRPr="00674F20" w:rsidRDefault="00594560" w:rsidP="00C26ED4">
            <w:pPr>
              <w:pStyle w:val="Tabletext9pt"/>
              <w:rPr>
                <w:szCs w:val="18"/>
              </w:rPr>
            </w:pPr>
            <w:r w:rsidRPr="00674F20">
              <w:rPr>
                <w:szCs w:val="18"/>
              </w:rPr>
              <w:t>To provide educational and promotional resources and programs for immunisation providers as well as parents, adolescents, and older people.</w:t>
            </w:r>
          </w:p>
        </w:tc>
      </w:tr>
      <w:tr w:rsidR="00594560" w:rsidRPr="00674F20" w14:paraId="5B98AD7A" w14:textId="77777777" w:rsidTr="002F5FA3">
        <w:tblPrEx>
          <w:tblLook w:val="06A0" w:firstRow="1" w:lastRow="0" w:firstColumn="1" w:lastColumn="0" w:noHBand="1" w:noVBand="1"/>
        </w:tblPrEx>
        <w:tc>
          <w:tcPr>
            <w:tcW w:w="2122" w:type="dxa"/>
          </w:tcPr>
          <w:p w14:paraId="3F14D8FF" w14:textId="77777777" w:rsidR="00594560" w:rsidRPr="00674F20" w:rsidRDefault="00594560" w:rsidP="00C26ED4">
            <w:pPr>
              <w:pStyle w:val="Tabletext9pt"/>
              <w:rPr>
                <w:szCs w:val="18"/>
              </w:rPr>
            </w:pPr>
            <w:r w:rsidRPr="00674F20">
              <w:rPr>
                <w:szCs w:val="18"/>
              </w:rPr>
              <w:t>16038</w:t>
            </w:r>
          </w:p>
        </w:tc>
        <w:tc>
          <w:tcPr>
            <w:tcW w:w="2551" w:type="dxa"/>
          </w:tcPr>
          <w:p w14:paraId="1DD59059" w14:textId="77777777" w:rsidR="00594560" w:rsidRPr="00674F20" w:rsidRDefault="00594560" w:rsidP="00C26ED4">
            <w:pPr>
              <w:pStyle w:val="Tabletext9pt"/>
              <w:rPr>
                <w:szCs w:val="18"/>
              </w:rPr>
            </w:pPr>
            <w:r w:rsidRPr="00674F20">
              <w:rPr>
                <w:szCs w:val="18"/>
              </w:rPr>
              <w:t>Tuberculosis screening</w:t>
            </w:r>
            <w:r w:rsidRPr="00674F20">
              <w:rPr>
                <w:szCs w:val="18"/>
                <w:lang w:eastAsia="en-AU"/>
              </w:rPr>
              <w:t xml:space="preserve"> – </w:t>
            </w:r>
            <w:r w:rsidRPr="00674F20">
              <w:rPr>
                <w:szCs w:val="18"/>
              </w:rPr>
              <w:t>management</w:t>
            </w:r>
          </w:p>
        </w:tc>
        <w:tc>
          <w:tcPr>
            <w:tcW w:w="4678" w:type="dxa"/>
          </w:tcPr>
          <w:p w14:paraId="250F6B6B" w14:textId="77777777" w:rsidR="00594560" w:rsidRPr="00674F20" w:rsidRDefault="00594560" w:rsidP="00C26ED4">
            <w:pPr>
              <w:pStyle w:val="Tabletext9pt"/>
              <w:rPr>
                <w:szCs w:val="18"/>
              </w:rPr>
            </w:pPr>
            <w:r w:rsidRPr="00674F20">
              <w:rPr>
                <w:szCs w:val="18"/>
              </w:rPr>
              <w:t xml:space="preserve">To provide services and activities related to </w:t>
            </w:r>
            <w:r>
              <w:rPr>
                <w:szCs w:val="18"/>
              </w:rPr>
              <w:t>tuberculosis</w:t>
            </w:r>
            <w:r w:rsidRPr="00674F20">
              <w:rPr>
                <w:szCs w:val="18"/>
              </w:rPr>
              <w:t xml:space="preserve"> management.</w:t>
            </w:r>
          </w:p>
        </w:tc>
      </w:tr>
      <w:tr w:rsidR="00594560" w:rsidRPr="00674F20" w14:paraId="5BE261C2" w14:textId="77777777" w:rsidTr="002F5FA3">
        <w:tblPrEx>
          <w:tblLook w:val="06A0" w:firstRow="1" w:lastRow="0" w:firstColumn="1" w:lastColumn="0" w:noHBand="1" w:noVBand="1"/>
        </w:tblPrEx>
        <w:tc>
          <w:tcPr>
            <w:tcW w:w="2122" w:type="dxa"/>
          </w:tcPr>
          <w:p w14:paraId="4E4E544B" w14:textId="77777777" w:rsidR="00594560" w:rsidRPr="00674F20" w:rsidRDefault="00594560" w:rsidP="00C26ED4">
            <w:pPr>
              <w:pStyle w:val="Tabletext9pt"/>
              <w:rPr>
                <w:szCs w:val="18"/>
              </w:rPr>
            </w:pPr>
            <w:r w:rsidRPr="00674F20">
              <w:rPr>
                <w:szCs w:val="18"/>
              </w:rPr>
              <w:t>16042</w:t>
            </w:r>
          </w:p>
        </w:tc>
        <w:tc>
          <w:tcPr>
            <w:tcW w:w="2551" w:type="dxa"/>
          </w:tcPr>
          <w:p w14:paraId="2E049D69" w14:textId="77777777" w:rsidR="00594560" w:rsidRPr="00674F20" w:rsidRDefault="00594560" w:rsidP="00C26ED4">
            <w:pPr>
              <w:pStyle w:val="Tabletext9pt"/>
              <w:rPr>
                <w:szCs w:val="18"/>
              </w:rPr>
            </w:pPr>
            <w:r w:rsidRPr="00674F20">
              <w:rPr>
                <w:szCs w:val="18"/>
              </w:rPr>
              <w:t>Infectious disease investigation and response</w:t>
            </w:r>
          </w:p>
        </w:tc>
        <w:tc>
          <w:tcPr>
            <w:tcW w:w="4678" w:type="dxa"/>
          </w:tcPr>
          <w:p w14:paraId="021788A9" w14:textId="77777777" w:rsidR="00594560" w:rsidRPr="00674F20" w:rsidRDefault="00594560" w:rsidP="00C26ED4">
            <w:pPr>
              <w:pStyle w:val="Tabletext9pt"/>
              <w:rPr>
                <w:szCs w:val="18"/>
              </w:rPr>
            </w:pPr>
            <w:r w:rsidRPr="00674F20">
              <w:rPr>
                <w:szCs w:val="18"/>
              </w:rPr>
              <w:t xml:space="preserve">To investigate sporadic cases or outbreaks of infectious disease and </w:t>
            </w:r>
            <w:r>
              <w:rPr>
                <w:szCs w:val="18"/>
              </w:rPr>
              <w:t xml:space="preserve">the </w:t>
            </w:r>
            <w:r w:rsidRPr="00674F20">
              <w:rPr>
                <w:szCs w:val="18"/>
              </w:rPr>
              <w:t>institution of suitable control measures.</w:t>
            </w:r>
          </w:p>
        </w:tc>
      </w:tr>
      <w:tr w:rsidR="00594560" w:rsidRPr="00674F20" w14:paraId="2896CF14" w14:textId="77777777" w:rsidTr="002F5FA3">
        <w:tblPrEx>
          <w:tblLook w:val="06A0" w:firstRow="1" w:lastRow="0" w:firstColumn="1" w:lastColumn="0" w:noHBand="1" w:noVBand="1"/>
        </w:tblPrEx>
        <w:tc>
          <w:tcPr>
            <w:tcW w:w="2122" w:type="dxa"/>
          </w:tcPr>
          <w:p w14:paraId="57B6F119" w14:textId="77777777" w:rsidR="00594560" w:rsidRPr="00674F20" w:rsidRDefault="00594560" w:rsidP="00C26ED4">
            <w:pPr>
              <w:pStyle w:val="Tabletext9pt"/>
              <w:rPr>
                <w:szCs w:val="18"/>
              </w:rPr>
            </w:pPr>
            <w:r w:rsidRPr="00674F20">
              <w:rPr>
                <w:szCs w:val="18"/>
              </w:rPr>
              <w:t>16047</w:t>
            </w:r>
          </w:p>
        </w:tc>
        <w:tc>
          <w:tcPr>
            <w:tcW w:w="2551" w:type="dxa"/>
          </w:tcPr>
          <w:p w14:paraId="204C42C5" w14:textId="77777777" w:rsidR="00594560" w:rsidRPr="00674F20" w:rsidRDefault="00594560" w:rsidP="00C26ED4">
            <w:pPr>
              <w:pStyle w:val="Tabletext9pt"/>
              <w:rPr>
                <w:szCs w:val="18"/>
              </w:rPr>
            </w:pPr>
            <w:r w:rsidRPr="00674F20">
              <w:rPr>
                <w:szCs w:val="18"/>
              </w:rPr>
              <w:t>Food system quality improvement</w:t>
            </w:r>
          </w:p>
        </w:tc>
        <w:tc>
          <w:tcPr>
            <w:tcW w:w="4678" w:type="dxa"/>
          </w:tcPr>
          <w:p w14:paraId="28AA4E9E" w14:textId="50DB56DD" w:rsidR="00594560" w:rsidRPr="00674F20" w:rsidRDefault="00594560" w:rsidP="00C26ED4">
            <w:pPr>
              <w:pStyle w:val="Tabletext9pt"/>
              <w:rPr>
                <w:szCs w:val="18"/>
              </w:rPr>
            </w:pPr>
            <w:r w:rsidRPr="00674F20">
              <w:rPr>
                <w:szCs w:val="18"/>
              </w:rPr>
              <w:t>To oversee the State Safe Food System through intersectoral linkages with an aim of continuous improvement in system operation through consultation and cooperation.</w:t>
            </w:r>
          </w:p>
        </w:tc>
      </w:tr>
      <w:tr w:rsidR="00594560" w:rsidRPr="00674F20" w14:paraId="24790D08" w14:textId="77777777" w:rsidTr="002F5FA3">
        <w:tblPrEx>
          <w:tblLook w:val="06A0" w:firstRow="1" w:lastRow="0" w:firstColumn="1" w:lastColumn="0" w:noHBand="1" w:noVBand="1"/>
        </w:tblPrEx>
        <w:tc>
          <w:tcPr>
            <w:tcW w:w="2122" w:type="dxa"/>
          </w:tcPr>
          <w:p w14:paraId="6D251D6E" w14:textId="77777777" w:rsidR="00594560" w:rsidRPr="00674F20" w:rsidRDefault="00594560" w:rsidP="00C26ED4">
            <w:pPr>
              <w:pStyle w:val="Tabletext9pt"/>
              <w:rPr>
                <w:szCs w:val="18"/>
              </w:rPr>
            </w:pPr>
            <w:r w:rsidRPr="000D467A">
              <w:rPr>
                <w:szCs w:val="18"/>
              </w:rPr>
              <w:t>16049</w:t>
            </w:r>
          </w:p>
        </w:tc>
        <w:tc>
          <w:tcPr>
            <w:tcW w:w="2551" w:type="dxa"/>
          </w:tcPr>
          <w:p w14:paraId="43E6FF78" w14:textId="77777777" w:rsidR="00594560" w:rsidRPr="00674F20" w:rsidRDefault="00594560" w:rsidP="00C26ED4">
            <w:pPr>
              <w:pStyle w:val="Tabletext9pt"/>
              <w:rPr>
                <w:szCs w:val="18"/>
              </w:rPr>
            </w:pPr>
            <w:r w:rsidRPr="00674F20">
              <w:rPr>
                <w:szCs w:val="18"/>
              </w:rPr>
              <w:t>Cemetery sector governance</w:t>
            </w:r>
          </w:p>
        </w:tc>
        <w:tc>
          <w:tcPr>
            <w:tcW w:w="4678" w:type="dxa"/>
          </w:tcPr>
          <w:p w14:paraId="0FE377D6" w14:textId="77777777" w:rsidR="00594560" w:rsidRPr="00674F20" w:rsidRDefault="00594560" w:rsidP="00C26ED4">
            <w:pPr>
              <w:pStyle w:val="Tabletext9pt"/>
              <w:rPr>
                <w:szCs w:val="18"/>
              </w:rPr>
            </w:pPr>
            <w:r w:rsidRPr="00674F20">
              <w:rPr>
                <w:szCs w:val="18"/>
              </w:rPr>
              <w:t>To undertake a range of projects relating to the governance of the cemetery sector.</w:t>
            </w:r>
          </w:p>
        </w:tc>
      </w:tr>
      <w:tr w:rsidR="00594560" w:rsidRPr="00674F20" w14:paraId="37E8F9DA" w14:textId="77777777" w:rsidTr="002F5FA3">
        <w:tblPrEx>
          <w:tblLook w:val="06A0" w:firstRow="1" w:lastRow="0" w:firstColumn="1" w:lastColumn="0" w:noHBand="1" w:noVBand="1"/>
        </w:tblPrEx>
        <w:tc>
          <w:tcPr>
            <w:tcW w:w="2122" w:type="dxa"/>
          </w:tcPr>
          <w:p w14:paraId="38CFCC26" w14:textId="77777777" w:rsidR="00594560" w:rsidRPr="00674F20" w:rsidRDefault="00594560" w:rsidP="00C26ED4">
            <w:pPr>
              <w:pStyle w:val="Tabletext9pt"/>
              <w:rPr>
                <w:szCs w:val="18"/>
              </w:rPr>
            </w:pPr>
            <w:r w:rsidRPr="00674F20">
              <w:rPr>
                <w:szCs w:val="18"/>
              </w:rPr>
              <w:t>16084</w:t>
            </w:r>
          </w:p>
        </w:tc>
        <w:tc>
          <w:tcPr>
            <w:tcW w:w="2551" w:type="dxa"/>
          </w:tcPr>
          <w:p w14:paraId="16D78F5F" w14:textId="77777777" w:rsidR="00594560" w:rsidRPr="00674F20" w:rsidRDefault="00594560" w:rsidP="00C26ED4">
            <w:pPr>
              <w:pStyle w:val="Tabletext9pt"/>
              <w:rPr>
                <w:szCs w:val="18"/>
              </w:rPr>
            </w:pPr>
            <w:r w:rsidRPr="00674F20">
              <w:rPr>
                <w:szCs w:val="18"/>
              </w:rPr>
              <w:t>Immunisation services</w:t>
            </w:r>
          </w:p>
        </w:tc>
        <w:tc>
          <w:tcPr>
            <w:tcW w:w="4678" w:type="dxa"/>
          </w:tcPr>
          <w:p w14:paraId="66A3E083" w14:textId="77777777" w:rsidR="00594560" w:rsidRPr="00674F20" w:rsidRDefault="00594560" w:rsidP="00C26ED4">
            <w:pPr>
              <w:pStyle w:val="Tabletext9pt"/>
              <w:rPr>
                <w:szCs w:val="18"/>
              </w:rPr>
            </w:pPr>
            <w:r w:rsidRPr="00674F20">
              <w:rPr>
                <w:szCs w:val="18"/>
              </w:rPr>
              <w:t>To provide subsidy payments to local governments for childhood immunisation (under six years old) plus associated activities.</w:t>
            </w:r>
          </w:p>
        </w:tc>
      </w:tr>
      <w:tr w:rsidR="00594560" w:rsidRPr="00674F20" w14:paraId="744C67BE" w14:textId="77777777" w:rsidTr="002F5FA3">
        <w:tblPrEx>
          <w:tblLook w:val="06A0" w:firstRow="1" w:lastRow="0" w:firstColumn="1" w:lastColumn="0" w:noHBand="1" w:noVBand="1"/>
        </w:tblPrEx>
        <w:tc>
          <w:tcPr>
            <w:tcW w:w="2122" w:type="dxa"/>
          </w:tcPr>
          <w:p w14:paraId="6666FBD9" w14:textId="77777777" w:rsidR="00594560" w:rsidRPr="00674F20" w:rsidRDefault="00594560" w:rsidP="00C26ED4">
            <w:pPr>
              <w:pStyle w:val="Tabletext9pt"/>
              <w:rPr>
                <w:szCs w:val="18"/>
              </w:rPr>
            </w:pPr>
            <w:r w:rsidRPr="00674F20">
              <w:rPr>
                <w:szCs w:val="18"/>
              </w:rPr>
              <w:t>16102</w:t>
            </w:r>
          </w:p>
        </w:tc>
        <w:tc>
          <w:tcPr>
            <w:tcW w:w="2551" w:type="dxa"/>
          </w:tcPr>
          <w:p w14:paraId="17D8A726" w14:textId="77777777" w:rsidR="00594560" w:rsidRPr="00674F20" w:rsidRDefault="00594560" w:rsidP="00C26ED4">
            <w:pPr>
              <w:pStyle w:val="Tabletext9pt"/>
              <w:rPr>
                <w:szCs w:val="18"/>
              </w:rPr>
            </w:pPr>
            <w:r w:rsidRPr="00674F20">
              <w:rPr>
                <w:szCs w:val="18"/>
              </w:rPr>
              <w:t>Infectious disease surveillance</w:t>
            </w:r>
          </w:p>
        </w:tc>
        <w:tc>
          <w:tcPr>
            <w:tcW w:w="4678" w:type="dxa"/>
          </w:tcPr>
          <w:p w14:paraId="6D91252F" w14:textId="77777777" w:rsidR="00594560" w:rsidRPr="00674F20" w:rsidRDefault="00594560" w:rsidP="00C26ED4">
            <w:pPr>
              <w:pStyle w:val="Tabletext9pt"/>
              <w:rPr>
                <w:szCs w:val="18"/>
              </w:rPr>
            </w:pPr>
            <w:r w:rsidRPr="00674F20">
              <w:rPr>
                <w:szCs w:val="18"/>
              </w:rPr>
              <w:t>To collect, collate and report on data relating to notifiable infectious diseases, as required by legislation.</w:t>
            </w:r>
          </w:p>
        </w:tc>
      </w:tr>
      <w:tr w:rsidR="00594560" w:rsidRPr="00674F20" w14:paraId="3F2AB1F1" w14:textId="77777777" w:rsidTr="002F5FA3">
        <w:tblPrEx>
          <w:tblLook w:val="06A0" w:firstRow="1" w:lastRow="0" w:firstColumn="1" w:lastColumn="0" w:noHBand="1" w:noVBand="1"/>
        </w:tblPrEx>
        <w:tc>
          <w:tcPr>
            <w:tcW w:w="2122" w:type="dxa"/>
          </w:tcPr>
          <w:p w14:paraId="32411586" w14:textId="77777777" w:rsidR="00594560" w:rsidRPr="00674F20" w:rsidRDefault="00594560" w:rsidP="00C26ED4">
            <w:pPr>
              <w:pStyle w:val="Tabletext9pt"/>
              <w:rPr>
                <w:szCs w:val="18"/>
              </w:rPr>
            </w:pPr>
            <w:r w:rsidRPr="00030D5A">
              <w:rPr>
                <w:szCs w:val="18"/>
              </w:rPr>
              <w:t>16103</w:t>
            </w:r>
          </w:p>
        </w:tc>
        <w:tc>
          <w:tcPr>
            <w:tcW w:w="2551" w:type="dxa"/>
          </w:tcPr>
          <w:p w14:paraId="05E39332" w14:textId="77777777" w:rsidR="00594560" w:rsidRPr="00674F20" w:rsidRDefault="00594560" w:rsidP="00C26ED4">
            <w:pPr>
              <w:pStyle w:val="Tabletext9pt"/>
              <w:rPr>
                <w:szCs w:val="18"/>
              </w:rPr>
            </w:pPr>
            <w:r w:rsidRPr="00030D5A">
              <w:rPr>
                <w:szCs w:val="18"/>
              </w:rPr>
              <w:t xml:space="preserve">Food </w:t>
            </w:r>
            <w:r>
              <w:rPr>
                <w:szCs w:val="18"/>
              </w:rPr>
              <w:t>s</w:t>
            </w:r>
            <w:r w:rsidRPr="00030D5A">
              <w:rPr>
                <w:szCs w:val="18"/>
              </w:rPr>
              <w:t xml:space="preserve">afety </w:t>
            </w:r>
            <w:r>
              <w:rPr>
                <w:rFonts w:ascii="Helv" w:hAnsi="Helv" w:cs="Helv"/>
                <w:bCs/>
                <w:color w:val="000000"/>
                <w:lang w:eastAsia="en-AU"/>
              </w:rPr>
              <w:t>s</w:t>
            </w:r>
            <w:r w:rsidRPr="00030D5A">
              <w:rPr>
                <w:rFonts w:ascii="Helv" w:hAnsi="Helv" w:cs="Helv"/>
                <w:bCs/>
                <w:color w:val="000000"/>
                <w:lang w:eastAsia="en-AU"/>
              </w:rPr>
              <w:t>urveillance</w:t>
            </w:r>
            <w:r>
              <w:rPr>
                <w:szCs w:val="18"/>
              </w:rPr>
              <w:t xml:space="preserve"> </w:t>
            </w:r>
          </w:p>
        </w:tc>
        <w:tc>
          <w:tcPr>
            <w:tcW w:w="4678" w:type="dxa"/>
          </w:tcPr>
          <w:p w14:paraId="06928CA8" w14:textId="77777777" w:rsidR="00594560" w:rsidRPr="00674F20" w:rsidRDefault="00594560" w:rsidP="00C26ED4">
            <w:pPr>
              <w:pStyle w:val="Tabletext9pt"/>
              <w:rPr>
                <w:szCs w:val="18"/>
              </w:rPr>
            </w:pPr>
            <w:r w:rsidRPr="00F17BCD">
              <w:rPr>
                <w:szCs w:val="18"/>
              </w:rPr>
              <w:t>To provide microbiological testing and analysis of food samples and surfaces in food premises</w:t>
            </w:r>
            <w:r>
              <w:rPr>
                <w:szCs w:val="18"/>
              </w:rPr>
              <w:t>.</w:t>
            </w:r>
          </w:p>
        </w:tc>
      </w:tr>
      <w:tr w:rsidR="00594560" w:rsidRPr="00674F20" w14:paraId="7C67F76A" w14:textId="77777777" w:rsidTr="002F5FA3">
        <w:tblPrEx>
          <w:tblLook w:val="06A0" w:firstRow="1" w:lastRow="0" w:firstColumn="1" w:lastColumn="0" w:noHBand="1" w:noVBand="1"/>
        </w:tblPrEx>
        <w:tc>
          <w:tcPr>
            <w:tcW w:w="2122" w:type="dxa"/>
          </w:tcPr>
          <w:p w14:paraId="6DC4365C" w14:textId="77777777" w:rsidR="00594560" w:rsidRPr="00674F20" w:rsidRDefault="00594560" w:rsidP="00C26ED4">
            <w:pPr>
              <w:pStyle w:val="Tabletext9pt"/>
              <w:rPr>
                <w:szCs w:val="18"/>
              </w:rPr>
            </w:pPr>
            <w:r w:rsidRPr="00674F20">
              <w:rPr>
                <w:szCs w:val="18"/>
              </w:rPr>
              <w:t>16119</w:t>
            </w:r>
          </w:p>
        </w:tc>
        <w:tc>
          <w:tcPr>
            <w:tcW w:w="2551" w:type="dxa"/>
          </w:tcPr>
          <w:p w14:paraId="1B664D8D" w14:textId="77777777" w:rsidR="00594560" w:rsidRPr="00674F20" w:rsidRDefault="00594560" w:rsidP="00C26ED4">
            <w:pPr>
              <w:pStyle w:val="Tabletext9pt"/>
              <w:rPr>
                <w:szCs w:val="18"/>
              </w:rPr>
            </w:pPr>
            <w:r w:rsidRPr="00674F20">
              <w:rPr>
                <w:szCs w:val="18"/>
              </w:rPr>
              <w:t>School and adult immunisation services</w:t>
            </w:r>
          </w:p>
        </w:tc>
        <w:tc>
          <w:tcPr>
            <w:tcW w:w="4678" w:type="dxa"/>
          </w:tcPr>
          <w:p w14:paraId="3EB9E3E1" w14:textId="77777777" w:rsidR="00594560" w:rsidRPr="00674F20" w:rsidRDefault="00594560" w:rsidP="00C26ED4">
            <w:pPr>
              <w:pStyle w:val="Tabletext9pt"/>
              <w:rPr>
                <w:szCs w:val="18"/>
              </w:rPr>
            </w:pPr>
            <w:r w:rsidRPr="00674F20">
              <w:rPr>
                <w:szCs w:val="18"/>
              </w:rPr>
              <w:t>To provide subsidy payments to local governments for immunisation service delivery in secondary schools and for adults.</w:t>
            </w:r>
          </w:p>
        </w:tc>
      </w:tr>
      <w:tr w:rsidR="00594560" w:rsidRPr="00674F20" w14:paraId="18630CA7" w14:textId="77777777" w:rsidTr="002F5FA3">
        <w:tblPrEx>
          <w:tblLook w:val="06A0" w:firstRow="1" w:lastRow="0" w:firstColumn="1" w:lastColumn="0" w:noHBand="1" w:noVBand="1"/>
        </w:tblPrEx>
        <w:tc>
          <w:tcPr>
            <w:tcW w:w="2122" w:type="dxa"/>
          </w:tcPr>
          <w:p w14:paraId="7747D430" w14:textId="77777777" w:rsidR="00594560" w:rsidRPr="00674F20" w:rsidRDefault="00594560" w:rsidP="00C26ED4">
            <w:pPr>
              <w:pStyle w:val="Tabletext9pt"/>
              <w:rPr>
                <w:szCs w:val="18"/>
              </w:rPr>
            </w:pPr>
            <w:r>
              <w:rPr>
                <w:szCs w:val="18"/>
              </w:rPr>
              <w:t>16132</w:t>
            </w:r>
          </w:p>
        </w:tc>
        <w:tc>
          <w:tcPr>
            <w:tcW w:w="2551" w:type="dxa"/>
          </w:tcPr>
          <w:p w14:paraId="19A427EE" w14:textId="77777777" w:rsidR="00594560" w:rsidRPr="00674F20" w:rsidRDefault="00594560" w:rsidP="00C26ED4">
            <w:pPr>
              <w:pStyle w:val="Tabletext9pt"/>
              <w:rPr>
                <w:szCs w:val="18"/>
              </w:rPr>
            </w:pPr>
            <w:r>
              <w:rPr>
                <w:szCs w:val="18"/>
              </w:rPr>
              <w:t>Food safety research</w:t>
            </w:r>
          </w:p>
        </w:tc>
        <w:tc>
          <w:tcPr>
            <w:tcW w:w="4678" w:type="dxa"/>
          </w:tcPr>
          <w:p w14:paraId="499C9DEB" w14:textId="77777777" w:rsidR="00594560" w:rsidRPr="00674F20" w:rsidRDefault="00594560" w:rsidP="00C26ED4">
            <w:pPr>
              <w:pStyle w:val="Tabletext9pt"/>
              <w:rPr>
                <w:szCs w:val="18"/>
              </w:rPr>
            </w:pPr>
            <w:r w:rsidRPr="00FD04C0">
              <w:rPr>
                <w:szCs w:val="18"/>
              </w:rPr>
              <w:t>To provide research into food risks.</w:t>
            </w:r>
          </w:p>
        </w:tc>
      </w:tr>
      <w:tr w:rsidR="00594560" w:rsidRPr="00674F20" w14:paraId="0EC192EF" w14:textId="77777777" w:rsidTr="002F5FA3">
        <w:tblPrEx>
          <w:tblLook w:val="06A0" w:firstRow="1" w:lastRow="0" w:firstColumn="1" w:lastColumn="0" w:noHBand="1" w:noVBand="1"/>
        </w:tblPrEx>
        <w:tc>
          <w:tcPr>
            <w:tcW w:w="2122" w:type="dxa"/>
          </w:tcPr>
          <w:p w14:paraId="4A7F2110" w14:textId="77777777" w:rsidR="00594560" w:rsidRPr="00674F20" w:rsidRDefault="00594560" w:rsidP="00C26ED4">
            <w:pPr>
              <w:pStyle w:val="Tabletext9pt"/>
              <w:rPr>
                <w:szCs w:val="18"/>
              </w:rPr>
            </w:pPr>
            <w:r w:rsidRPr="00674F20">
              <w:rPr>
                <w:szCs w:val="18"/>
              </w:rPr>
              <w:t>16163</w:t>
            </w:r>
          </w:p>
        </w:tc>
        <w:tc>
          <w:tcPr>
            <w:tcW w:w="2551" w:type="dxa"/>
          </w:tcPr>
          <w:p w14:paraId="0A2439F5" w14:textId="77777777" w:rsidR="00594560" w:rsidRPr="00674F20" w:rsidRDefault="00594560" w:rsidP="00C26ED4">
            <w:pPr>
              <w:pStyle w:val="Tabletext9pt"/>
              <w:rPr>
                <w:szCs w:val="18"/>
              </w:rPr>
            </w:pPr>
            <w:r w:rsidRPr="00674F20">
              <w:rPr>
                <w:szCs w:val="18"/>
              </w:rPr>
              <w:t>Food safety education</w:t>
            </w:r>
          </w:p>
        </w:tc>
        <w:tc>
          <w:tcPr>
            <w:tcW w:w="4678" w:type="dxa"/>
          </w:tcPr>
          <w:p w14:paraId="2AD028FF" w14:textId="77777777" w:rsidR="00594560" w:rsidRPr="00674F20" w:rsidRDefault="00594560" w:rsidP="00C26ED4">
            <w:pPr>
              <w:pStyle w:val="Tabletext9pt"/>
              <w:rPr>
                <w:szCs w:val="18"/>
              </w:rPr>
            </w:pPr>
            <w:r w:rsidRPr="00674F20">
              <w:rPr>
                <w:szCs w:val="18"/>
              </w:rPr>
              <w:t>To provide education to local government, public and food businesses on food safety.</w:t>
            </w:r>
          </w:p>
        </w:tc>
      </w:tr>
      <w:tr w:rsidR="00594560" w:rsidRPr="00674F20" w14:paraId="61EC5EDF" w14:textId="77777777" w:rsidTr="002F5FA3">
        <w:tblPrEx>
          <w:tblLook w:val="06A0" w:firstRow="1" w:lastRow="0" w:firstColumn="1" w:lastColumn="0" w:noHBand="1" w:noVBand="1"/>
        </w:tblPrEx>
        <w:tc>
          <w:tcPr>
            <w:tcW w:w="2122" w:type="dxa"/>
          </w:tcPr>
          <w:p w14:paraId="1E12BAC2" w14:textId="77777777" w:rsidR="00594560" w:rsidRPr="00674F20" w:rsidRDefault="00594560" w:rsidP="00C26ED4">
            <w:pPr>
              <w:pStyle w:val="Tabletext9pt"/>
              <w:rPr>
                <w:szCs w:val="18"/>
              </w:rPr>
            </w:pPr>
            <w:r w:rsidRPr="00674F20">
              <w:rPr>
                <w:szCs w:val="18"/>
              </w:rPr>
              <w:t>16206</w:t>
            </w:r>
          </w:p>
        </w:tc>
        <w:tc>
          <w:tcPr>
            <w:tcW w:w="2551" w:type="dxa"/>
          </w:tcPr>
          <w:p w14:paraId="4F9356FA" w14:textId="77777777" w:rsidR="00594560" w:rsidRPr="00674F20" w:rsidRDefault="00594560" w:rsidP="00C26ED4">
            <w:pPr>
              <w:pStyle w:val="Tabletext9pt"/>
              <w:rPr>
                <w:szCs w:val="18"/>
              </w:rPr>
            </w:pPr>
            <w:r w:rsidRPr="00674F20">
              <w:rPr>
                <w:szCs w:val="18"/>
              </w:rPr>
              <w:t>Laboratory testing</w:t>
            </w:r>
          </w:p>
        </w:tc>
        <w:tc>
          <w:tcPr>
            <w:tcW w:w="4678" w:type="dxa"/>
          </w:tcPr>
          <w:p w14:paraId="627C9EFE" w14:textId="77777777" w:rsidR="00594560" w:rsidRPr="00674F20" w:rsidRDefault="00594560" w:rsidP="00C26ED4">
            <w:pPr>
              <w:pStyle w:val="Tabletext9pt"/>
              <w:rPr>
                <w:szCs w:val="18"/>
              </w:rPr>
            </w:pPr>
            <w:r w:rsidRPr="00674F20">
              <w:rPr>
                <w:szCs w:val="18"/>
              </w:rPr>
              <w:t>To provide a range of laboratory tests for infectious diseases (including arbovirus where applicable), including reference functions, advice on microbiological issues and undertaking education and training in relation to laboratory services.</w:t>
            </w:r>
          </w:p>
        </w:tc>
      </w:tr>
      <w:tr w:rsidR="00594560" w:rsidRPr="00674F20" w14:paraId="175EE86D" w14:textId="77777777" w:rsidTr="002F5FA3">
        <w:tblPrEx>
          <w:tblLook w:val="06A0" w:firstRow="1" w:lastRow="0" w:firstColumn="1" w:lastColumn="0" w:noHBand="1" w:noVBand="1"/>
        </w:tblPrEx>
        <w:tc>
          <w:tcPr>
            <w:tcW w:w="2122" w:type="dxa"/>
          </w:tcPr>
          <w:p w14:paraId="6257591A" w14:textId="77777777" w:rsidR="00594560" w:rsidRPr="00674F20" w:rsidRDefault="00594560" w:rsidP="00C26ED4">
            <w:pPr>
              <w:pStyle w:val="Tabletext9pt"/>
              <w:rPr>
                <w:szCs w:val="18"/>
              </w:rPr>
            </w:pPr>
            <w:r w:rsidRPr="00EE4C9B">
              <w:rPr>
                <w:szCs w:val="18"/>
              </w:rPr>
              <w:t>16360</w:t>
            </w:r>
          </w:p>
        </w:tc>
        <w:tc>
          <w:tcPr>
            <w:tcW w:w="2551" w:type="dxa"/>
          </w:tcPr>
          <w:p w14:paraId="4C022C1C" w14:textId="77777777" w:rsidR="00594560" w:rsidRPr="00674F20" w:rsidRDefault="00594560" w:rsidP="00C26ED4">
            <w:pPr>
              <w:pStyle w:val="Tabletext9pt"/>
              <w:rPr>
                <w:szCs w:val="18"/>
              </w:rPr>
            </w:pPr>
            <w:r w:rsidRPr="00EE4C9B">
              <w:rPr>
                <w:szCs w:val="18"/>
              </w:rPr>
              <w:t xml:space="preserve">Infectious </w:t>
            </w:r>
            <w:r>
              <w:rPr>
                <w:szCs w:val="18"/>
              </w:rPr>
              <w:t>d</w:t>
            </w:r>
            <w:r w:rsidRPr="00EE4C9B">
              <w:rPr>
                <w:szCs w:val="18"/>
              </w:rPr>
              <w:t xml:space="preserve">isease </w:t>
            </w:r>
            <w:r>
              <w:rPr>
                <w:szCs w:val="18"/>
              </w:rPr>
              <w:t>e</w:t>
            </w:r>
            <w:r w:rsidRPr="00EE4C9B">
              <w:rPr>
                <w:szCs w:val="18"/>
              </w:rPr>
              <w:t xml:space="preserve">ducation </w:t>
            </w:r>
            <w:r>
              <w:rPr>
                <w:szCs w:val="18"/>
              </w:rPr>
              <w:t>and</w:t>
            </w:r>
            <w:r w:rsidRPr="00EE4C9B">
              <w:rPr>
                <w:szCs w:val="18"/>
              </w:rPr>
              <w:t xml:space="preserve"> </w:t>
            </w:r>
            <w:r>
              <w:rPr>
                <w:szCs w:val="18"/>
              </w:rPr>
              <w:t>a</w:t>
            </w:r>
            <w:r w:rsidRPr="00EE4C9B">
              <w:rPr>
                <w:szCs w:val="18"/>
              </w:rPr>
              <w:t>dvice</w:t>
            </w:r>
          </w:p>
        </w:tc>
        <w:tc>
          <w:tcPr>
            <w:tcW w:w="4678" w:type="dxa"/>
          </w:tcPr>
          <w:p w14:paraId="0A631D12" w14:textId="77777777" w:rsidR="00594560" w:rsidRPr="00674F20" w:rsidRDefault="00594560" w:rsidP="00C26ED4">
            <w:pPr>
              <w:pStyle w:val="Tabletext9pt"/>
              <w:rPr>
                <w:szCs w:val="18"/>
              </w:rPr>
            </w:pPr>
            <w:r w:rsidRPr="00EE4C9B">
              <w:rPr>
                <w:szCs w:val="18"/>
              </w:rPr>
              <w:t>To provide education and awareness programs in the investigation and control of infectious diseases.</w:t>
            </w:r>
          </w:p>
        </w:tc>
      </w:tr>
      <w:tr w:rsidR="00594560" w:rsidRPr="00674F20" w14:paraId="4D572BF1" w14:textId="77777777" w:rsidTr="002F5FA3">
        <w:tblPrEx>
          <w:tblLook w:val="06A0" w:firstRow="1" w:lastRow="0" w:firstColumn="1" w:lastColumn="0" w:noHBand="1" w:noVBand="1"/>
        </w:tblPrEx>
        <w:tc>
          <w:tcPr>
            <w:tcW w:w="2122" w:type="dxa"/>
          </w:tcPr>
          <w:p w14:paraId="459BC4A3" w14:textId="77777777" w:rsidR="00594560" w:rsidRPr="00674F20" w:rsidRDefault="00594560" w:rsidP="00C26ED4">
            <w:pPr>
              <w:pStyle w:val="Tabletext9pt"/>
              <w:rPr>
                <w:szCs w:val="18"/>
              </w:rPr>
            </w:pPr>
            <w:r w:rsidRPr="00674F20">
              <w:rPr>
                <w:szCs w:val="18"/>
              </w:rPr>
              <w:t>16373</w:t>
            </w:r>
          </w:p>
        </w:tc>
        <w:tc>
          <w:tcPr>
            <w:tcW w:w="2551" w:type="dxa"/>
          </w:tcPr>
          <w:p w14:paraId="03D374D7" w14:textId="77777777" w:rsidR="00594560" w:rsidRPr="00674F20" w:rsidRDefault="00594560" w:rsidP="00C26ED4">
            <w:pPr>
              <w:pStyle w:val="Tabletext9pt"/>
              <w:rPr>
                <w:szCs w:val="18"/>
              </w:rPr>
            </w:pPr>
            <w:r w:rsidRPr="00674F20">
              <w:rPr>
                <w:szCs w:val="18"/>
              </w:rPr>
              <w:t>BBV and STI – clinical services</w:t>
            </w:r>
          </w:p>
        </w:tc>
        <w:tc>
          <w:tcPr>
            <w:tcW w:w="4678" w:type="dxa"/>
          </w:tcPr>
          <w:p w14:paraId="6236047D" w14:textId="77777777" w:rsidR="00594560" w:rsidRPr="00674F20" w:rsidRDefault="00594560" w:rsidP="00C26ED4">
            <w:pPr>
              <w:pStyle w:val="Tabletext9pt"/>
              <w:rPr>
                <w:szCs w:val="18"/>
              </w:rPr>
            </w:pPr>
            <w:r w:rsidRPr="00674F20">
              <w:rPr>
                <w:szCs w:val="18"/>
              </w:rPr>
              <w:t xml:space="preserve">To provide diagnoses and </w:t>
            </w:r>
            <w:r>
              <w:rPr>
                <w:szCs w:val="18"/>
              </w:rPr>
              <w:t xml:space="preserve">the </w:t>
            </w:r>
            <w:r w:rsidRPr="00674F20">
              <w:rPr>
                <w:szCs w:val="18"/>
              </w:rPr>
              <w:t xml:space="preserve">clinical management of clients in relation to </w:t>
            </w:r>
            <w:r w:rsidRPr="00B56AE6">
              <w:t>blood-borne viruses</w:t>
            </w:r>
            <w:r w:rsidRPr="00674F20">
              <w:rPr>
                <w:szCs w:val="18"/>
              </w:rPr>
              <w:t xml:space="preserve"> (BBVs)</w:t>
            </w:r>
            <w:r>
              <w:rPr>
                <w:szCs w:val="18"/>
              </w:rPr>
              <w:t xml:space="preserve">, </w:t>
            </w:r>
            <w:r w:rsidRPr="00674F20">
              <w:rPr>
                <w:szCs w:val="18"/>
              </w:rPr>
              <w:t>sexually transmi</w:t>
            </w:r>
            <w:r>
              <w:rPr>
                <w:szCs w:val="18"/>
              </w:rPr>
              <w:t>ssible</w:t>
            </w:r>
            <w:r w:rsidRPr="00674F20">
              <w:rPr>
                <w:szCs w:val="18"/>
              </w:rPr>
              <w:t xml:space="preserve"> infections (STIs</w:t>
            </w:r>
            <w:r>
              <w:rPr>
                <w:szCs w:val="18"/>
              </w:rPr>
              <w:t>)</w:t>
            </w:r>
            <w:r w:rsidRPr="00674F20" w:rsidDel="004E3550">
              <w:rPr>
                <w:szCs w:val="18"/>
              </w:rPr>
              <w:t xml:space="preserve"> </w:t>
            </w:r>
            <w:r w:rsidRPr="00674F20">
              <w:rPr>
                <w:szCs w:val="18"/>
              </w:rPr>
              <w:t>and sexual health.</w:t>
            </w:r>
          </w:p>
        </w:tc>
      </w:tr>
      <w:tr w:rsidR="00594560" w:rsidRPr="00E75567" w14:paraId="5C2D8716" w14:textId="77777777" w:rsidTr="002F5FA3">
        <w:tblPrEx>
          <w:tblLook w:val="06A0" w:firstRow="1" w:lastRow="0" w:firstColumn="1" w:lastColumn="0" w:noHBand="1" w:noVBand="1"/>
        </w:tblPrEx>
        <w:tc>
          <w:tcPr>
            <w:tcW w:w="2122" w:type="dxa"/>
          </w:tcPr>
          <w:p w14:paraId="69189380" w14:textId="77777777" w:rsidR="00594560" w:rsidRPr="00E75567" w:rsidRDefault="00594560" w:rsidP="00C26ED4">
            <w:pPr>
              <w:pStyle w:val="Tabletext9pt"/>
              <w:rPr>
                <w:szCs w:val="18"/>
              </w:rPr>
            </w:pPr>
            <w:r w:rsidRPr="00E75567">
              <w:rPr>
                <w:szCs w:val="18"/>
              </w:rPr>
              <w:t>16377</w:t>
            </w:r>
          </w:p>
        </w:tc>
        <w:tc>
          <w:tcPr>
            <w:tcW w:w="2551" w:type="dxa"/>
          </w:tcPr>
          <w:p w14:paraId="6EDF77BA" w14:textId="77777777" w:rsidR="00594560" w:rsidRPr="00E75567" w:rsidRDefault="00594560" w:rsidP="00C26ED4">
            <w:pPr>
              <w:pStyle w:val="Tabletext9pt"/>
              <w:rPr>
                <w:szCs w:val="18"/>
              </w:rPr>
            </w:pPr>
            <w:r w:rsidRPr="00E75567">
              <w:rPr>
                <w:szCs w:val="18"/>
              </w:rPr>
              <w:t>BBV and STI – surveillance</w:t>
            </w:r>
          </w:p>
        </w:tc>
        <w:tc>
          <w:tcPr>
            <w:tcW w:w="4678" w:type="dxa"/>
          </w:tcPr>
          <w:p w14:paraId="0E011FCC" w14:textId="77777777" w:rsidR="00594560" w:rsidRPr="00E75567" w:rsidRDefault="00594560" w:rsidP="00C26ED4">
            <w:pPr>
              <w:pStyle w:val="Tabletext9pt"/>
              <w:rPr>
                <w:szCs w:val="18"/>
              </w:rPr>
            </w:pPr>
            <w:r w:rsidRPr="00E75567">
              <w:rPr>
                <w:szCs w:val="18"/>
              </w:rPr>
              <w:t>To collect, collate and report on data relating to notifiable BBVs/STIs.</w:t>
            </w:r>
          </w:p>
        </w:tc>
      </w:tr>
      <w:tr w:rsidR="00594560" w:rsidRPr="00674F20" w14:paraId="67C855BE" w14:textId="77777777" w:rsidTr="002F5FA3">
        <w:tblPrEx>
          <w:tblLook w:val="06A0" w:firstRow="1" w:lastRow="0" w:firstColumn="1" w:lastColumn="0" w:noHBand="1" w:noVBand="1"/>
        </w:tblPrEx>
        <w:tc>
          <w:tcPr>
            <w:tcW w:w="2122" w:type="dxa"/>
          </w:tcPr>
          <w:p w14:paraId="0BD542D6" w14:textId="77777777" w:rsidR="00594560" w:rsidRPr="00674F20" w:rsidRDefault="00594560" w:rsidP="00C26ED4">
            <w:pPr>
              <w:pStyle w:val="Tabletext9pt"/>
              <w:rPr>
                <w:szCs w:val="18"/>
              </w:rPr>
            </w:pPr>
            <w:r w:rsidRPr="00674F20">
              <w:rPr>
                <w:szCs w:val="18"/>
              </w:rPr>
              <w:t>16381</w:t>
            </w:r>
          </w:p>
        </w:tc>
        <w:tc>
          <w:tcPr>
            <w:tcW w:w="2551" w:type="dxa"/>
          </w:tcPr>
          <w:p w14:paraId="0F71D27A" w14:textId="77777777" w:rsidR="00594560" w:rsidRPr="00674F20" w:rsidRDefault="00594560" w:rsidP="00C26ED4">
            <w:pPr>
              <w:pStyle w:val="Tabletext9pt"/>
              <w:rPr>
                <w:szCs w:val="18"/>
              </w:rPr>
            </w:pPr>
            <w:r w:rsidRPr="00674F20">
              <w:rPr>
                <w:szCs w:val="18"/>
              </w:rPr>
              <w:t>Risk management and emergency response</w:t>
            </w:r>
          </w:p>
        </w:tc>
        <w:tc>
          <w:tcPr>
            <w:tcW w:w="4678" w:type="dxa"/>
          </w:tcPr>
          <w:p w14:paraId="1CA457C8" w14:textId="77777777" w:rsidR="00594560" w:rsidRPr="00674F20" w:rsidRDefault="00594560" w:rsidP="00C26ED4">
            <w:pPr>
              <w:pStyle w:val="Tabletext9pt"/>
              <w:rPr>
                <w:szCs w:val="18"/>
              </w:rPr>
            </w:pPr>
            <w:r w:rsidRPr="00674F20">
              <w:rPr>
                <w:szCs w:val="18"/>
              </w:rPr>
              <w:t>To investigate, evaluate and respond to environmental health risks, emergencies, or incidents, and to perform activities that help us to better respond to emergencies.</w:t>
            </w:r>
          </w:p>
        </w:tc>
      </w:tr>
      <w:tr w:rsidR="00594560" w:rsidRPr="00674F20" w14:paraId="2703BE3D" w14:textId="77777777" w:rsidTr="002F5FA3">
        <w:tblPrEx>
          <w:tblLook w:val="06A0" w:firstRow="1" w:lastRow="0" w:firstColumn="1" w:lastColumn="0" w:noHBand="1" w:noVBand="1"/>
        </w:tblPrEx>
        <w:tc>
          <w:tcPr>
            <w:tcW w:w="2122" w:type="dxa"/>
          </w:tcPr>
          <w:p w14:paraId="6A99293F" w14:textId="77777777" w:rsidR="00594560" w:rsidRPr="000D467A" w:rsidRDefault="00594560" w:rsidP="00C26ED4">
            <w:pPr>
              <w:pStyle w:val="Tabletext9pt"/>
              <w:rPr>
                <w:szCs w:val="18"/>
              </w:rPr>
            </w:pPr>
            <w:r w:rsidRPr="000D467A">
              <w:rPr>
                <w:szCs w:val="18"/>
              </w:rPr>
              <w:lastRenderedPageBreak/>
              <w:t>16505</w:t>
            </w:r>
          </w:p>
        </w:tc>
        <w:tc>
          <w:tcPr>
            <w:tcW w:w="2551" w:type="dxa"/>
          </w:tcPr>
          <w:p w14:paraId="10D046CF" w14:textId="77777777" w:rsidR="00594560" w:rsidRPr="00674F20" w:rsidRDefault="00594560" w:rsidP="00C26ED4">
            <w:pPr>
              <w:pStyle w:val="Tabletext9pt"/>
              <w:rPr>
                <w:szCs w:val="18"/>
              </w:rPr>
            </w:pPr>
            <w:r w:rsidRPr="00674F20">
              <w:rPr>
                <w:szCs w:val="18"/>
              </w:rPr>
              <w:t>BBV and STI – training and development</w:t>
            </w:r>
          </w:p>
        </w:tc>
        <w:tc>
          <w:tcPr>
            <w:tcW w:w="4678" w:type="dxa"/>
          </w:tcPr>
          <w:p w14:paraId="21391C69" w14:textId="77777777" w:rsidR="00594560" w:rsidRPr="00674F20" w:rsidRDefault="00594560" w:rsidP="00C26ED4">
            <w:pPr>
              <w:pStyle w:val="Tabletext9pt"/>
              <w:rPr>
                <w:szCs w:val="18"/>
              </w:rPr>
            </w:pPr>
            <w:r w:rsidRPr="00674F20">
              <w:rPr>
                <w:szCs w:val="18"/>
              </w:rPr>
              <w:t xml:space="preserve">To provide education and training to the BBV/STI sector, including volunteers and </w:t>
            </w:r>
            <w:r w:rsidRPr="00674F20">
              <w:rPr>
                <w:bCs/>
                <w:szCs w:val="18"/>
              </w:rPr>
              <w:t>organisation</w:t>
            </w:r>
            <w:r w:rsidRPr="00674F20">
              <w:rPr>
                <w:szCs w:val="18"/>
              </w:rPr>
              <w:t xml:space="preserve"> staff, and coordination of information updates.</w:t>
            </w:r>
          </w:p>
        </w:tc>
      </w:tr>
      <w:tr w:rsidR="00594560" w:rsidRPr="00674F20" w14:paraId="6F9A89FA" w14:textId="77777777" w:rsidTr="002F5FA3">
        <w:tblPrEx>
          <w:tblLook w:val="06A0" w:firstRow="1" w:lastRow="0" w:firstColumn="1" w:lastColumn="0" w:noHBand="1" w:noVBand="1"/>
        </w:tblPrEx>
        <w:tc>
          <w:tcPr>
            <w:tcW w:w="2122" w:type="dxa"/>
          </w:tcPr>
          <w:p w14:paraId="5B423933" w14:textId="77777777" w:rsidR="00594560" w:rsidRPr="000D467A" w:rsidRDefault="00594560" w:rsidP="00C26ED4">
            <w:pPr>
              <w:pStyle w:val="Tabletext9pt"/>
              <w:rPr>
                <w:szCs w:val="18"/>
              </w:rPr>
            </w:pPr>
            <w:r w:rsidRPr="000D467A">
              <w:rPr>
                <w:szCs w:val="18"/>
              </w:rPr>
              <w:t>16506</w:t>
            </w:r>
          </w:p>
        </w:tc>
        <w:tc>
          <w:tcPr>
            <w:tcW w:w="2551" w:type="dxa"/>
          </w:tcPr>
          <w:p w14:paraId="16993B63" w14:textId="77777777" w:rsidR="00594560" w:rsidRPr="00674F20" w:rsidRDefault="00594560" w:rsidP="00C26ED4">
            <w:pPr>
              <w:pStyle w:val="Tabletext9pt"/>
              <w:rPr>
                <w:szCs w:val="18"/>
              </w:rPr>
            </w:pPr>
            <w:r w:rsidRPr="00674F20">
              <w:rPr>
                <w:szCs w:val="18"/>
              </w:rPr>
              <w:t>BBV and STI – research</w:t>
            </w:r>
          </w:p>
        </w:tc>
        <w:tc>
          <w:tcPr>
            <w:tcW w:w="4678" w:type="dxa"/>
          </w:tcPr>
          <w:p w14:paraId="0F8800FC" w14:textId="77777777" w:rsidR="00594560" w:rsidRPr="00674F20" w:rsidRDefault="00594560" w:rsidP="00C26ED4">
            <w:pPr>
              <w:pStyle w:val="Tabletext9pt"/>
              <w:rPr>
                <w:szCs w:val="18"/>
              </w:rPr>
            </w:pPr>
            <w:r w:rsidRPr="00674F20">
              <w:rPr>
                <w:szCs w:val="18"/>
              </w:rPr>
              <w:t>To support commission or undertake research projects related to BBV/STIs in Victoria.</w:t>
            </w:r>
          </w:p>
        </w:tc>
      </w:tr>
      <w:tr w:rsidR="00594560" w:rsidRPr="00674F20" w14:paraId="1B34FD18" w14:textId="77777777" w:rsidTr="002F5FA3">
        <w:tblPrEx>
          <w:tblLook w:val="06A0" w:firstRow="1" w:lastRow="0" w:firstColumn="1" w:lastColumn="0" w:noHBand="1" w:noVBand="1"/>
        </w:tblPrEx>
        <w:tc>
          <w:tcPr>
            <w:tcW w:w="2122" w:type="dxa"/>
          </w:tcPr>
          <w:p w14:paraId="670C14FF" w14:textId="77777777" w:rsidR="00594560" w:rsidRPr="000D467A" w:rsidRDefault="00594560" w:rsidP="00C26ED4">
            <w:pPr>
              <w:pStyle w:val="Tabletext9pt"/>
              <w:rPr>
                <w:szCs w:val="18"/>
              </w:rPr>
            </w:pPr>
            <w:r w:rsidRPr="000D467A">
              <w:rPr>
                <w:szCs w:val="18"/>
              </w:rPr>
              <w:t>16507</w:t>
            </w:r>
          </w:p>
        </w:tc>
        <w:tc>
          <w:tcPr>
            <w:tcW w:w="2551" w:type="dxa"/>
          </w:tcPr>
          <w:p w14:paraId="558E61E3" w14:textId="77777777" w:rsidR="00594560" w:rsidRPr="00674F20" w:rsidRDefault="00594560" w:rsidP="00C26ED4">
            <w:pPr>
              <w:pStyle w:val="Tabletext9pt"/>
              <w:rPr>
                <w:szCs w:val="18"/>
              </w:rPr>
            </w:pPr>
            <w:r w:rsidRPr="00674F20">
              <w:rPr>
                <w:szCs w:val="18"/>
              </w:rPr>
              <w:t>BBV and STI – laboratory services</w:t>
            </w:r>
          </w:p>
        </w:tc>
        <w:tc>
          <w:tcPr>
            <w:tcW w:w="4678" w:type="dxa"/>
          </w:tcPr>
          <w:p w14:paraId="524E26D8" w14:textId="77777777" w:rsidR="00594560" w:rsidRPr="00674F20" w:rsidRDefault="00594560" w:rsidP="00C26ED4">
            <w:pPr>
              <w:pStyle w:val="Tabletext9pt"/>
              <w:rPr>
                <w:szCs w:val="18"/>
              </w:rPr>
            </w:pPr>
            <w:r w:rsidRPr="00674F20">
              <w:rPr>
                <w:szCs w:val="18"/>
              </w:rPr>
              <w:t>To provide laboratory-testing services related to BBV/STIs in Victoria.</w:t>
            </w:r>
          </w:p>
        </w:tc>
      </w:tr>
      <w:tr w:rsidR="00594560" w:rsidRPr="00674F20" w14:paraId="0DA4AAA7" w14:textId="77777777" w:rsidTr="002F5FA3">
        <w:tblPrEx>
          <w:tblLook w:val="06A0" w:firstRow="1" w:lastRow="0" w:firstColumn="1" w:lastColumn="0" w:noHBand="1" w:noVBand="1"/>
        </w:tblPrEx>
        <w:tc>
          <w:tcPr>
            <w:tcW w:w="2122" w:type="dxa"/>
          </w:tcPr>
          <w:p w14:paraId="1C3AF35A" w14:textId="77777777" w:rsidR="00594560" w:rsidRPr="00B67FDD" w:rsidRDefault="00594560" w:rsidP="00C26ED4">
            <w:pPr>
              <w:pStyle w:val="Tabletext9pt"/>
              <w:rPr>
                <w:szCs w:val="18"/>
              </w:rPr>
            </w:pPr>
            <w:r w:rsidRPr="00B67FDD">
              <w:rPr>
                <w:szCs w:val="18"/>
              </w:rPr>
              <w:t>16517</w:t>
            </w:r>
          </w:p>
        </w:tc>
        <w:tc>
          <w:tcPr>
            <w:tcW w:w="2551" w:type="dxa"/>
          </w:tcPr>
          <w:p w14:paraId="1C968A35" w14:textId="77777777" w:rsidR="00594560" w:rsidRPr="00674F20" w:rsidRDefault="00594560" w:rsidP="00C26ED4">
            <w:pPr>
              <w:pStyle w:val="Tabletext9pt"/>
              <w:rPr>
                <w:szCs w:val="18"/>
              </w:rPr>
            </w:pPr>
            <w:r w:rsidRPr="00674F20">
              <w:rPr>
                <w:szCs w:val="18"/>
              </w:rPr>
              <w:t>Cancer and screening registers</w:t>
            </w:r>
          </w:p>
        </w:tc>
        <w:tc>
          <w:tcPr>
            <w:tcW w:w="4678" w:type="dxa"/>
          </w:tcPr>
          <w:p w14:paraId="5640C3CE" w14:textId="77777777" w:rsidR="00594560" w:rsidRPr="00674F20" w:rsidRDefault="00594560" w:rsidP="00C26ED4">
            <w:pPr>
              <w:pStyle w:val="Tabletext9pt"/>
              <w:rPr>
                <w:szCs w:val="18"/>
              </w:rPr>
            </w:pPr>
            <w:r w:rsidRPr="00674F20">
              <w:rPr>
                <w:szCs w:val="18"/>
              </w:rPr>
              <w:t>To maintain a register (as prescribed by legislation where applicable) to record data about cancers and screening results for Victorians.</w:t>
            </w:r>
          </w:p>
        </w:tc>
      </w:tr>
    </w:tbl>
    <w:p w14:paraId="7822468B" w14:textId="2D80ABA2" w:rsidR="00594560" w:rsidRDefault="00594560" w:rsidP="00FC00E9">
      <w:pPr>
        <w:pStyle w:val="Bodyaftertablefigure"/>
      </w:pPr>
      <w:r>
        <w:t>Output name: Public heal</w:t>
      </w:r>
      <w:r w:rsidR="2D387871">
        <w:t>th</w:t>
      </w:r>
      <w:r>
        <w:t xml:space="preserve"> development</w:t>
      </w:r>
    </w:p>
    <w:tbl>
      <w:tblPr>
        <w:tblStyle w:val="TableGrid1"/>
        <w:tblW w:w="9351" w:type="dxa"/>
        <w:tblLook w:val="04A0" w:firstRow="1" w:lastRow="0" w:firstColumn="1" w:lastColumn="0" w:noHBand="0" w:noVBand="1"/>
      </w:tblPr>
      <w:tblGrid>
        <w:gridCol w:w="2122"/>
        <w:gridCol w:w="2551"/>
        <w:gridCol w:w="4678"/>
      </w:tblGrid>
      <w:tr w:rsidR="002F5FA3" w:rsidRPr="0090298C" w14:paraId="545B1064" w14:textId="77777777" w:rsidTr="00FC00E9">
        <w:trPr>
          <w:cnfStyle w:val="100000000000" w:firstRow="1" w:lastRow="0" w:firstColumn="0" w:lastColumn="0" w:oddVBand="0" w:evenVBand="0" w:oddHBand="0" w:evenHBand="0" w:firstRowFirstColumn="0" w:firstRowLastColumn="0" w:lastRowFirstColumn="0" w:lastRowLastColumn="0"/>
          <w:tblHeader/>
        </w:trPr>
        <w:tc>
          <w:tcPr>
            <w:tcW w:w="0" w:type="dxa"/>
          </w:tcPr>
          <w:p w14:paraId="2CF7110B" w14:textId="77777777" w:rsidR="00594560" w:rsidRPr="00674F20" w:rsidRDefault="00594560" w:rsidP="00C26ED4">
            <w:pPr>
              <w:pStyle w:val="Tablecolhead9pt"/>
              <w:rPr>
                <w:szCs w:val="18"/>
                <w:lang w:eastAsia="en-AU"/>
              </w:rPr>
            </w:pPr>
            <w:r w:rsidRPr="00D0520C">
              <w:rPr>
                <w:lang w:eastAsia="en-AU"/>
              </w:rPr>
              <w:t>Activity no.</w:t>
            </w:r>
          </w:p>
        </w:tc>
        <w:tc>
          <w:tcPr>
            <w:tcW w:w="0" w:type="dxa"/>
          </w:tcPr>
          <w:p w14:paraId="1D55A0D9" w14:textId="77777777" w:rsidR="00594560" w:rsidRPr="00674F20" w:rsidRDefault="00594560" w:rsidP="00C26ED4">
            <w:pPr>
              <w:pStyle w:val="Tablecolhead9pt"/>
              <w:rPr>
                <w:szCs w:val="18"/>
                <w:lang w:eastAsia="en-AU"/>
              </w:rPr>
            </w:pPr>
            <w:r w:rsidRPr="00D0520C">
              <w:rPr>
                <w:lang w:eastAsia="en-AU"/>
              </w:rPr>
              <w:t>Activity name</w:t>
            </w:r>
          </w:p>
        </w:tc>
        <w:tc>
          <w:tcPr>
            <w:tcW w:w="0" w:type="dxa"/>
          </w:tcPr>
          <w:p w14:paraId="7908741A" w14:textId="77777777" w:rsidR="00594560" w:rsidRPr="00674F20" w:rsidRDefault="00594560" w:rsidP="00C26ED4">
            <w:pPr>
              <w:pStyle w:val="Tablecolhead9pt"/>
              <w:rPr>
                <w:szCs w:val="18"/>
                <w:lang w:eastAsia="en-AU"/>
              </w:rPr>
            </w:pPr>
            <w:r w:rsidRPr="00D0520C">
              <w:rPr>
                <w:lang w:eastAsia="en-AU"/>
              </w:rPr>
              <w:t>Activity description</w:t>
            </w:r>
          </w:p>
        </w:tc>
      </w:tr>
      <w:tr w:rsidR="00594560" w:rsidRPr="00674F20" w14:paraId="3FC87245" w14:textId="77777777" w:rsidTr="002F5FA3">
        <w:tblPrEx>
          <w:tblLook w:val="06A0" w:firstRow="1" w:lastRow="0" w:firstColumn="1" w:lastColumn="0" w:noHBand="1" w:noVBand="1"/>
        </w:tblPrEx>
        <w:tc>
          <w:tcPr>
            <w:tcW w:w="2122" w:type="dxa"/>
          </w:tcPr>
          <w:p w14:paraId="41410132" w14:textId="77777777" w:rsidR="00594560" w:rsidRPr="00B67FDD" w:rsidRDefault="00594560" w:rsidP="00C26ED4">
            <w:pPr>
              <w:pStyle w:val="Tabletext9pt"/>
              <w:rPr>
                <w:szCs w:val="18"/>
                <w:highlight w:val="yellow"/>
              </w:rPr>
            </w:pPr>
            <w:r w:rsidRPr="00020A6E">
              <w:rPr>
                <w:szCs w:val="18"/>
              </w:rPr>
              <w:t>16069</w:t>
            </w:r>
          </w:p>
        </w:tc>
        <w:tc>
          <w:tcPr>
            <w:tcW w:w="2551" w:type="dxa"/>
          </w:tcPr>
          <w:p w14:paraId="75D7A172" w14:textId="77777777" w:rsidR="00594560" w:rsidRPr="00674F20" w:rsidRDefault="00594560" w:rsidP="00C26ED4">
            <w:pPr>
              <w:pStyle w:val="Tabletext9pt"/>
              <w:rPr>
                <w:szCs w:val="18"/>
              </w:rPr>
            </w:pPr>
            <w:r w:rsidRPr="00674F20">
              <w:rPr>
                <w:szCs w:val="18"/>
              </w:rPr>
              <w:t>Public and professional education and support</w:t>
            </w:r>
          </w:p>
        </w:tc>
        <w:tc>
          <w:tcPr>
            <w:tcW w:w="4678" w:type="dxa"/>
          </w:tcPr>
          <w:p w14:paraId="6C597AC9" w14:textId="77777777" w:rsidR="00594560" w:rsidRPr="00674F20" w:rsidRDefault="00594560" w:rsidP="00C26ED4">
            <w:pPr>
              <w:pStyle w:val="Tabletext9pt"/>
              <w:rPr>
                <w:szCs w:val="18"/>
              </w:rPr>
            </w:pPr>
            <w:r w:rsidRPr="00674F20">
              <w:rPr>
                <w:szCs w:val="18"/>
              </w:rPr>
              <w:t>To undertake planning, development and project management of information provision, social marketing and community and professional education activities addressing priority risk and protective factors.</w:t>
            </w:r>
          </w:p>
        </w:tc>
      </w:tr>
      <w:tr w:rsidR="00594560" w:rsidRPr="00674F20" w14:paraId="070922D6" w14:textId="77777777" w:rsidTr="002F5FA3">
        <w:tblPrEx>
          <w:tblLook w:val="06A0" w:firstRow="1" w:lastRow="0" w:firstColumn="1" w:lastColumn="0" w:noHBand="1" w:noVBand="1"/>
        </w:tblPrEx>
        <w:tc>
          <w:tcPr>
            <w:tcW w:w="2122" w:type="dxa"/>
          </w:tcPr>
          <w:p w14:paraId="043031F9" w14:textId="77777777" w:rsidR="00594560" w:rsidRPr="00020A6E" w:rsidRDefault="00594560" w:rsidP="00C26ED4">
            <w:pPr>
              <w:pStyle w:val="Tabletext9pt"/>
              <w:rPr>
                <w:szCs w:val="18"/>
              </w:rPr>
            </w:pPr>
            <w:r w:rsidRPr="00020A6E">
              <w:rPr>
                <w:szCs w:val="18"/>
              </w:rPr>
              <w:t>16203</w:t>
            </w:r>
          </w:p>
        </w:tc>
        <w:tc>
          <w:tcPr>
            <w:tcW w:w="2551" w:type="dxa"/>
          </w:tcPr>
          <w:p w14:paraId="47F9C671" w14:textId="77777777" w:rsidR="00594560" w:rsidRPr="00674F20" w:rsidRDefault="00594560" w:rsidP="00C26ED4">
            <w:pPr>
              <w:pStyle w:val="Tabletext9pt"/>
              <w:rPr>
                <w:szCs w:val="18"/>
              </w:rPr>
            </w:pPr>
            <w:r w:rsidRPr="00674F20">
              <w:rPr>
                <w:szCs w:val="18"/>
              </w:rPr>
              <w:t>Regulation of ART and associated legislation</w:t>
            </w:r>
            <w:r>
              <w:rPr>
                <w:szCs w:val="18"/>
              </w:rPr>
              <w:t xml:space="preserve"> – this is the responsibility of Regulation, Risk, Integrity &amp; Legal Division</w:t>
            </w:r>
          </w:p>
        </w:tc>
        <w:tc>
          <w:tcPr>
            <w:tcW w:w="4678" w:type="dxa"/>
          </w:tcPr>
          <w:p w14:paraId="543EC49A" w14:textId="77777777" w:rsidR="00594560" w:rsidRPr="00674F20" w:rsidRDefault="00594560" w:rsidP="00C26ED4">
            <w:pPr>
              <w:pStyle w:val="Tabletext9pt"/>
              <w:rPr>
                <w:szCs w:val="18"/>
              </w:rPr>
            </w:pPr>
            <w:r w:rsidRPr="00674F20">
              <w:rPr>
                <w:szCs w:val="18"/>
              </w:rPr>
              <w:t>To provide funding and support of legislation for assisted reproductive technology (ART).</w:t>
            </w:r>
          </w:p>
        </w:tc>
      </w:tr>
      <w:tr w:rsidR="00594560" w:rsidRPr="00324C15" w14:paraId="0AD580C8" w14:textId="77777777" w:rsidTr="002F5FA3">
        <w:tblPrEx>
          <w:tblLook w:val="06A0" w:firstRow="1" w:lastRow="0" w:firstColumn="1" w:lastColumn="0" w:noHBand="1" w:noVBand="1"/>
        </w:tblPrEx>
        <w:tc>
          <w:tcPr>
            <w:tcW w:w="2122" w:type="dxa"/>
          </w:tcPr>
          <w:p w14:paraId="43C24329" w14:textId="77777777" w:rsidR="00594560" w:rsidRPr="00020A6E" w:rsidRDefault="00594560" w:rsidP="00C26ED4">
            <w:pPr>
              <w:pStyle w:val="Tabletext9pt"/>
              <w:rPr>
                <w:szCs w:val="18"/>
              </w:rPr>
            </w:pPr>
            <w:r w:rsidRPr="00E170C6">
              <w:rPr>
                <w:szCs w:val="18"/>
              </w:rPr>
              <w:t>16107</w:t>
            </w:r>
          </w:p>
        </w:tc>
        <w:tc>
          <w:tcPr>
            <w:tcW w:w="2551" w:type="dxa"/>
          </w:tcPr>
          <w:p w14:paraId="0E974F5E" w14:textId="77777777" w:rsidR="00594560" w:rsidRPr="00674F20" w:rsidRDefault="00594560" w:rsidP="00C26ED4">
            <w:pPr>
              <w:pStyle w:val="Tabletext9pt"/>
              <w:rPr>
                <w:szCs w:val="18"/>
              </w:rPr>
            </w:pPr>
            <w:r w:rsidRPr="00E170C6">
              <w:rPr>
                <w:szCs w:val="18"/>
              </w:rPr>
              <w:t>Public Health Research Capacity Building</w:t>
            </w:r>
          </w:p>
        </w:tc>
        <w:tc>
          <w:tcPr>
            <w:tcW w:w="4678" w:type="dxa"/>
          </w:tcPr>
          <w:p w14:paraId="5DCC89F6" w14:textId="77777777" w:rsidR="00594560" w:rsidRPr="00324C15" w:rsidRDefault="00594560" w:rsidP="00C26ED4">
            <w:pPr>
              <w:pStyle w:val="Tabletext9pt"/>
              <w:rPr>
                <w:rFonts w:eastAsia="MS Gothic"/>
                <w:b/>
                <w:sz w:val="24"/>
                <w:szCs w:val="24"/>
              </w:rPr>
            </w:pPr>
            <w:r>
              <w:t>To develop an evidence base that will assist Victorian medical practitioners to safely prescribe cannabidiol, a medicinal cannabis product, to children with severe intractable epilepsy.</w:t>
            </w:r>
          </w:p>
        </w:tc>
      </w:tr>
    </w:tbl>
    <w:p w14:paraId="56BDAE71" w14:textId="4607DB10" w:rsidR="00594560" w:rsidRDefault="00594560" w:rsidP="00FC00E9">
      <w:pPr>
        <w:pStyle w:val="Bodyaftertablefigure"/>
      </w:pPr>
      <w:r>
        <w:t>Output name: Primary and dental health</w:t>
      </w:r>
    </w:p>
    <w:tbl>
      <w:tblPr>
        <w:tblStyle w:val="TableGrid1"/>
        <w:tblW w:w="9351" w:type="dxa"/>
        <w:tblLook w:val="04A0" w:firstRow="1" w:lastRow="0" w:firstColumn="1" w:lastColumn="0" w:noHBand="0" w:noVBand="1"/>
      </w:tblPr>
      <w:tblGrid>
        <w:gridCol w:w="2122"/>
        <w:gridCol w:w="2551"/>
        <w:gridCol w:w="4678"/>
      </w:tblGrid>
      <w:tr w:rsidR="00594560" w:rsidRPr="0090298C" w14:paraId="1CD3D096" w14:textId="77777777" w:rsidTr="00FC00E9">
        <w:trPr>
          <w:cnfStyle w:val="100000000000" w:firstRow="1" w:lastRow="0" w:firstColumn="0" w:lastColumn="0" w:oddVBand="0" w:evenVBand="0" w:oddHBand="0" w:evenHBand="0" w:firstRowFirstColumn="0" w:firstRowLastColumn="0" w:lastRowFirstColumn="0" w:lastRowLastColumn="0"/>
          <w:tblHeader/>
        </w:trPr>
        <w:tc>
          <w:tcPr>
            <w:tcW w:w="0" w:type="dxa"/>
          </w:tcPr>
          <w:p w14:paraId="765727C6" w14:textId="77777777" w:rsidR="00594560" w:rsidRPr="00674F20" w:rsidRDefault="00594560" w:rsidP="00C26ED4">
            <w:pPr>
              <w:pStyle w:val="Tablecolhead9pt"/>
              <w:rPr>
                <w:szCs w:val="18"/>
                <w:lang w:eastAsia="en-AU"/>
              </w:rPr>
            </w:pPr>
            <w:r w:rsidRPr="00D0520C">
              <w:rPr>
                <w:lang w:eastAsia="en-AU"/>
              </w:rPr>
              <w:t>Activity no.</w:t>
            </w:r>
          </w:p>
        </w:tc>
        <w:tc>
          <w:tcPr>
            <w:tcW w:w="0" w:type="dxa"/>
          </w:tcPr>
          <w:p w14:paraId="089DD304" w14:textId="77777777" w:rsidR="00594560" w:rsidRPr="00674F20" w:rsidRDefault="00594560" w:rsidP="00C26ED4">
            <w:pPr>
              <w:pStyle w:val="Tablecolhead9pt"/>
              <w:rPr>
                <w:szCs w:val="18"/>
                <w:lang w:eastAsia="en-AU"/>
              </w:rPr>
            </w:pPr>
            <w:r w:rsidRPr="00D0520C">
              <w:rPr>
                <w:lang w:eastAsia="en-AU"/>
              </w:rPr>
              <w:t>Activity name</w:t>
            </w:r>
          </w:p>
        </w:tc>
        <w:tc>
          <w:tcPr>
            <w:tcW w:w="0" w:type="dxa"/>
          </w:tcPr>
          <w:p w14:paraId="29B4EC23" w14:textId="77777777" w:rsidR="00594560" w:rsidRPr="00674F20" w:rsidRDefault="00594560" w:rsidP="00C26ED4">
            <w:pPr>
              <w:pStyle w:val="Tablecolhead9pt"/>
              <w:rPr>
                <w:szCs w:val="18"/>
                <w:lang w:eastAsia="en-AU"/>
              </w:rPr>
            </w:pPr>
            <w:r w:rsidRPr="00D0520C">
              <w:rPr>
                <w:lang w:eastAsia="en-AU"/>
              </w:rPr>
              <w:t>Activity description</w:t>
            </w:r>
          </w:p>
        </w:tc>
      </w:tr>
      <w:tr w:rsidR="00594560" w:rsidRPr="005D703B" w14:paraId="6565EE8E" w14:textId="77777777" w:rsidTr="002F5FA3">
        <w:tblPrEx>
          <w:tblLook w:val="06A0" w:firstRow="1" w:lastRow="0" w:firstColumn="1" w:lastColumn="0" w:noHBand="1" w:noVBand="1"/>
        </w:tblPrEx>
        <w:tc>
          <w:tcPr>
            <w:tcW w:w="2122" w:type="dxa"/>
          </w:tcPr>
          <w:p w14:paraId="3BDDADC7" w14:textId="77777777" w:rsidR="00594560" w:rsidRPr="00020A6E" w:rsidRDefault="00594560" w:rsidP="00C26ED4">
            <w:pPr>
              <w:pStyle w:val="Tabletext9pt"/>
              <w:rPr>
                <w:szCs w:val="18"/>
              </w:rPr>
            </w:pPr>
            <w:r w:rsidRPr="00E170C6">
              <w:rPr>
                <w:szCs w:val="18"/>
              </w:rPr>
              <w:t>28043</w:t>
            </w:r>
          </w:p>
        </w:tc>
        <w:tc>
          <w:tcPr>
            <w:tcW w:w="2551" w:type="dxa"/>
          </w:tcPr>
          <w:p w14:paraId="42608941" w14:textId="77777777" w:rsidR="00594560" w:rsidRPr="00674F20" w:rsidRDefault="00594560" w:rsidP="00C26ED4">
            <w:pPr>
              <w:pStyle w:val="Tabletext9pt"/>
              <w:rPr>
                <w:szCs w:val="18"/>
              </w:rPr>
            </w:pPr>
            <w:r w:rsidRPr="00E170C6">
              <w:rPr>
                <w:szCs w:val="18"/>
              </w:rPr>
              <w:t xml:space="preserve">Workforce </w:t>
            </w:r>
            <w:r>
              <w:rPr>
                <w:szCs w:val="18"/>
              </w:rPr>
              <w:t>d</w:t>
            </w:r>
            <w:r w:rsidRPr="00E170C6">
              <w:rPr>
                <w:szCs w:val="18"/>
              </w:rPr>
              <w:t>evelopment</w:t>
            </w:r>
          </w:p>
        </w:tc>
        <w:tc>
          <w:tcPr>
            <w:tcW w:w="4678" w:type="dxa"/>
          </w:tcPr>
          <w:p w14:paraId="0C7E53EA" w14:textId="77777777" w:rsidR="00594560" w:rsidRPr="005D703B" w:rsidRDefault="00594560" w:rsidP="00C26ED4">
            <w:pPr>
              <w:pStyle w:val="Tabletext9pt"/>
              <w:rPr>
                <w:szCs w:val="18"/>
              </w:rPr>
            </w:pPr>
            <w:r w:rsidRPr="0001051E">
              <w:rPr>
                <w:szCs w:val="18"/>
              </w:rPr>
              <w:t>Provision of professional, management and organisational development activities for agency staff, managers, and board members</w:t>
            </w:r>
          </w:p>
        </w:tc>
      </w:tr>
      <w:tr w:rsidR="00594560" w:rsidRPr="00973B2D" w14:paraId="38519DD6" w14:textId="77777777" w:rsidTr="002F5FA3">
        <w:tblPrEx>
          <w:tblLook w:val="06A0" w:firstRow="1" w:lastRow="0" w:firstColumn="1" w:lastColumn="0" w:noHBand="1" w:noVBand="1"/>
        </w:tblPrEx>
        <w:tc>
          <w:tcPr>
            <w:tcW w:w="2122" w:type="dxa"/>
          </w:tcPr>
          <w:p w14:paraId="787FF2BF" w14:textId="77777777" w:rsidR="00594560" w:rsidRPr="00020A6E" w:rsidRDefault="00594560" w:rsidP="00C26ED4">
            <w:pPr>
              <w:pStyle w:val="Tabletext9pt"/>
              <w:rPr>
                <w:szCs w:val="18"/>
              </w:rPr>
            </w:pPr>
            <w:r w:rsidRPr="00E170C6">
              <w:rPr>
                <w:szCs w:val="18"/>
              </w:rPr>
              <w:t>28050</w:t>
            </w:r>
          </w:p>
        </w:tc>
        <w:tc>
          <w:tcPr>
            <w:tcW w:w="2551" w:type="dxa"/>
          </w:tcPr>
          <w:p w14:paraId="5F908D55" w14:textId="77777777" w:rsidR="00594560" w:rsidRPr="00674F20" w:rsidRDefault="00594560" w:rsidP="00C26ED4">
            <w:pPr>
              <w:pStyle w:val="Tabletext9pt"/>
              <w:rPr>
                <w:szCs w:val="18"/>
              </w:rPr>
            </w:pPr>
            <w:r w:rsidRPr="00E170C6">
              <w:rPr>
                <w:szCs w:val="18"/>
              </w:rPr>
              <w:t xml:space="preserve">Women’s </w:t>
            </w:r>
            <w:r>
              <w:rPr>
                <w:szCs w:val="18"/>
              </w:rPr>
              <w:t>h</w:t>
            </w:r>
            <w:r w:rsidRPr="00E170C6">
              <w:rPr>
                <w:szCs w:val="18"/>
              </w:rPr>
              <w:t>ealth</w:t>
            </w:r>
            <w:r>
              <w:rPr>
                <w:szCs w:val="18"/>
              </w:rPr>
              <w:t xml:space="preserve"> – </w:t>
            </w:r>
            <w:r w:rsidRPr="00E170C6">
              <w:rPr>
                <w:szCs w:val="18"/>
              </w:rPr>
              <w:t>Health promotion</w:t>
            </w:r>
            <w:r>
              <w:rPr>
                <w:szCs w:val="18"/>
              </w:rPr>
              <w:t xml:space="preserve"> (Prevention &amp; Population Health contributes)</w:t>
            </w:r>
          </w:p>
        </w:tc>
        <w:tc>
          <w:tcPr>
            <w:tcW w:w="4678" w:type="dxa"/>
          </w:tcPr>
          <w:p w14:paraId="478AF123" w14:textId="77777777" w:rsidR="00594560" w:rsidRPr="00973B2D" w:rsidRDefault="00594560" w:rsidP="00C26ED4">
            <w:pPr>
              <w:pStyle w:val="Tabletext9pt"/>
              <w:rPr>
                <w:szCs w:val="18"/>
              </w:rPr>
            </w:pPr>
            <w:r>
              <w:rPr>
                <w:szCs w:val="18"/>
              </w:rPr>
              <w:t>To apply s</w:t>
            </w:r>
            <w:r w:rsidRPr="00973B2D">
              <w:rPr>
                <w:szCs w:val="18"/>
              </w:rPr>
              <w:t xml:space="preserve">ystem change </w:t>
            </w:r>
            <w:r>
              <w:rPr>
                <w:szCs w:val="18"/>
              </w:rPr>
              <w:t xml:space="preserve">by </w:t>
            </w:r>
            <w:r w:rsidRPr="00973B2D">
              <w:rPr>
                <w:szCs w:val="18"/>
              </w:rPr>
              <w:t>influencing, advising, and working with other health services and local organisations as they seek to respond effectively to the health needs of women. Direct work includes engagement by the service itself, or in partnership or collaboration with others, with women and communities.</w:t>
            </w:r>
          </w:p>
        </w:tc>
      </w:tr>
      <w:tr w:rsidR="00594560" w:rsidRPr="00A17B28" w14:paraId="69E5961A" w14:textId="77777777" w:rsidTr="002F5FA3">
        <w:tblPrEx>
          <w:tblLook w:val="06A0" w:firstRow="1" w:lastRow="0" w:firstColumn="1" w:lastColumn="0" w:noHBand="1" w:noVBand="1"/>
        </w:tblPrEx>
        <w:tc>
          <w:tcPr>
            <w:tcW w:w="2122" w:type="dxa"/>
          </w:tcPr>
          <w:p w14:paraId="41C6C4A1" w14:textId="77777777" w:rsidR="00594560" w:rsidRPr="00020A6E" w:rsidRDefault="00594560" w:rsidP="00C26ED4">
            <w:pPr>
              <w:pStyle w:val="Tabletext9pt"/>
              <w:rPr>
                <w:szCs w:val="18"/>
              </w:rPr>
            </w:pPr>
            <w:r w:rsidRPr="00E170C6">
              <w:rPr>
                <w:szCs w:val="18"/>
              </w:rPr>
              <w:t>28063</w:t>
            </w:r>
          </w:p>
        </w:tc>
        <w:tc>
          <w:tcPr>
            <w:tcW w:w="2551" w:type="dxa"/>
          </w:tcPr>
          <w:p w14:paraId="0172227E" w14:textId="77777777" w:rsidR="00594560" w:rsidRPr="00674F20" w:rsidRDefault="00594560" w:rsidP="00C26ED4">
            <w:pPr>
              <w:pStyle w:val="Tabletext9pt"/>
              <w:rPr>
                <w:szCs w:val="18"/>
              </w:rPr>
            </w:pPr>
            <w:r w:rsidRPr="00E170C6">
              <w:rPr>
                <w:szCs w:val="18"/>
              </w:rPr>
              <w:t xml:space="preserve">Family </w:t>
            </w:r>
            <w:r>
              <w:rPr>
                <w:szCs w:val="18"/>
              </w:rPr>
              <w:t>p</w:t>
            </w:r>
            <w:r w:rsidRPr="00E170C6">
              <w:rPr>
                <w:szCs w:val="18"/>
              </w:rPr>
              <w:t>lanning</w:t>
            </w:r>
            <w:r>
              <w:rPr>
                <w:szCs w:val="18"/>
              </w:rPr>
              <w:t xml:space="preserve"> – </w:t>
            </w:r>
            <w:r w:rsidRPr="00E170C6">
              <w:rPr>
                <w:szCs w:val="18"/>
              </w:rPr>
              <w:t xml:space="preserve">Education &amp; </w:t>
            </w:r>
            <w:r>
              <w:rPr>
                <w:szCs w:val="18"/>
              </w:rPr>
              <w:t>t</w:t>
            </w:r>
            <w:r w:rsidRPr="00E170C6">
              <w:rPr>
                <w:szCs w:val="18"/>
              </w:rPr>
              <w:t>raining</w:t>
            </w:r>
          </w:p>
        </w:tc>
        <w:tc>
          <w:tcPr>
            <w:tcW w:w="4678" w:type="dxa"/>
          </w:tcPr>
          <w:p w14:paraId="12A1F2A0" w14:textId="77777777" w:rsidR="00594560" w:rsidRPr="00A17B28" w:rsidRDefault="00594560" w:rsidP="00C26ED4">
            <w:pPr>
              <w:pStyle w:val="Tabletext9pt"/>
              <w:rPr>
                <w:szCs w:val="18"/>
              </w:rPr>
            </w:pPr>
            <w:bookmarkStart w:id="1046" w:name="_Hlk10731708"/>
            <w:r w:rsidRPr="00A17B28">
              <w:rPr>
                <w:szCs w:val="18"/>
              </w:rPr>
              <w:t>To improve women’s health for all Victorian women, especially disadvantaged groups.</w:t>
            </w:r>
            <w:bookmarkEnd w:id="1046"/>
          </w:p>
        </w:tc>
      </w:tr>
      <w:tr w:rsidR="00594560" w:rsidRPr="00674F20" w14:paraId="36BB075B" w14:textId="77777777" w:rsidTr="002F5FA3">
        <w:tblPrEx>
          <w:tblLook w:val="06A0" w:firstRow="1" w:lastRow="0" w:firstColumn="1" w:lastColumn="0" w:noHBand="1" w:noVBand="1"/>
        </w:tblPrEx>
        <w:tc>
          <w:tcPr>
            <w:tcW w:w="2122" w:type="dxa"/>
          </w:tcPr>
          <w:p w14:paraId="7E243D15" w14:textId="77777777" w:rsidR="00594560" w:rsidRPr="00020A6E" w:rsidRDefault="00594560" w:rsidP="00C26ED4">
            <w:pPr>
              <w:pStyle w:val="Tabletext9pt"/>
              <w:rPr>
                <w:szCs w:val="18"/>
              </w:rPr>
            </w:pPr>
            <w:r w:rsidRPr="00E170C6">
              <w:rPr>
                <w:szCs w:val="18"/>
              </w:rPr>
              <w:t>28064</w:t>
            </w:r>
          </w:p>
        </w:tc>
        <w:tc>
          <w:tcPr>
            <w:tcW w:w="2551" w:type="dxa"/>
          </w:tcPr>
          <w:p w14:paraId="4F484BD5" w14:textId="77777777" w:rsidR="00594560" w:rsidRPr="00674F20" w:rsidRDefault="00594560" w:rsidP="00C26ED4">
            <w:pPr>
              <w:pStyle w:val="Tabletext9pt"/>
              <w:rPr>
                <w:szCs w:val="18"/>
              </w:rPr>
            </w:pPr>
            <w:r w:rsidRPr="00E170C6">
              <w:rPr>
                <w:szCs w:val="18"/>
              </w:rPr>
              <w:t>Family Planning</w:t>
            </w:r>
            <w:r>
              <w:rPr>
                <w:szCs w:val="18"/>
              </w:rPr>
              <w:t xml:space="preserve"> – </w:t>
            </w:r>
            <w:r w:rsidRPr="00E170C6">
              <w:rPr>
                <w:szCs w:val="18"/>
              </w:rPr>
              <w:t xml:space="preserve">Clinical </w:t>
            </w:r>
            <w:r>
              <w:rPr>
                <w:szCs w:val="18"/>
              </w:rPr>
              <w:t>s</w:t>
            </w:r>
            <w:r w:rsidRPr="00E170C6">
              <w:rPr>
                <w:szCs w:val="18"/>
              </w:rPr>
              <w:t xml:space="preserve">ervices &amp; </w:t>
            </w:r>
            <w:r>
              <w:rPr>
                <w:szCs w:val="18"/>
              </w:rPr>
              <w:t>t</w:t>
            </w:r>
            <w:r w:rsidRPr="00E170C6">
              <w:rPr>
                <w:szCs w:val="18"/>
              </w:rPr>
              <w:t>raining</w:t>
            </w:r>
          </w:p>
        </w:tc>
        <w:tc>
          <w:tcPr>
            <w:tcW w:w="4678" w:type="dxa"/>
          </w:tcPr>
          <w:p w14:paraId="2392184D" w14:textId="77777777" w:rsidR="00594560" w:rsidRPr="00674F20" w:rsidRDefault="00594560" w:rsidP="00C26ED4">
            <w:pPr>
              <w:pStyle w:val="Tabletext9pt"/>
              <w:rPr>
                <w:szCs w:val="18"/>
              </w:rPr>
            </w:pPr>
            <w:r w:rsidRPr="00A17B28">
              <w:rPr>
                <w:szCs w:val="18"/>
              </w:rPr>
              <w:t>To improve women’s health for all Victorian women, especially disadvantaged groups.</w:t>
            </w:r>
          </w:p>
        </w:tc>
      </w:tr>
      <w:tr w:rsidR="00594560" w:rsidRPr="00D65B27" w14:paraId="73541B1B" w14:textId="77777777" w:rsidTr="002F5FA3">
        <w:tblPrEx>
          <w:tblLook w:val="06A0" w:firstRow="1" w:lastRow="0" w:firstColumn="1" w:lastColumn="0" w:noHBand="1" w:noVBand="1"/>
        </w:tblPrEx>
        <w:tc>
          <w:tcPr>
            <w:tcW w:w="2122" w:type="dxa"/>
          </w:tcPr>
          <w:p w14:paraId="295F0709" w14:textId="77777777" w:rsidR="00594560" w:rsidRPr="00020A6E" w:rsidRDefault="00594560" w:rsidP="00C26ED4">
            <w:pPr>
              <w:pStyle w:val="Tabletext9pt"/>
              <w:rPr>
                <w:szCs w:val="18"/>
              </w:rPr>
            </w:pPr>
            <w:r w:rsidRPr="00E170C6">
              <w:rPr>
                <w:szCs w:val="18"/>
              </w:rPr>
              <w:t>28068</w:t>
            </w:r>
          </w:p>
        </w:tc>
        <w:tc>
          <w:tcPr>
            <w:tcW w:w="2551" w:type="dxa"/>
          </w:tcPr>
          <w:p w14:paraId="3D9DBF4F" w14:textId="77777777" w:rsidR="00594560" w:rsidRPr="00674F20" w:rsidRDefault="00594560" w:rsidP="00C26ED4">
            <w:pPr>
              <w:pStyle w:val="Tabletext9pt"/>
              <w:rPr>
                <w:szCs w:val="18"/>
              </w:rPr>
            </w:pPr>
            <w:r w:rsidRPr="00E170C6">
              <w:rPr>
                <w:szCs w:val="18"/>
              </w:rPr>
              <w:t xml:space="preserve">Family </w:t>
            </w:r>
            <w:r>
              <w:rPr>
                <w:szCs w:val="18"/>
              </w:rPr>
              <w:t>p</w:t>
            </w:r>
            <w:r w:rsidRPr="00E170C6">
              <w:rPr>
                <w:szCs w:val="18"/>
              </w:rPr>
              <w:t>lanning</w:t>
            </w:r>
          </w:p>
        </w:tc>
        <w:tc>
          <w:tcPr>
            <w:tcW w:w="4678" w:type="dxa"/>
          </w:tcPr>
          <w:p w14:paraId="67C107C6" w14:textId="77777777" w:rsidR="00594560" w:rsidRPr="00D65B27" w:rsidRDefault="00594560" w:rsidP="00C26ED4">
            <w:pPr>
              <w:pStyle w:val="Tabletext9pt"/>
            </w:pPr>
            <w:r w:rsidRPr="00D65B27">
              <w:t>To assist Victorians to make individual choices on sexual and reproductive health matters</w:t>
            </w:r>
          </w:p>
        </w:tc>
      </w:tr>
      <w:tr w:rsidR="00594560" w:rsidRPr="00674F20" w14:paraId="4B7DA100" w14:textId="77777777" w:rsidTr="002F5FA3">
        <w:tblPrEx>
          <w:tblLook w:val="06A0" w:firstRow="1" w:lastRow="0" w:firstColumn="1" w:lastColumn="0" w:noHBand="1" w:noVBand="1"/>
        </w:tblPrEx>
        <w:tc>
          <w:tcPr>
            <w:tcW w:w="2122" w:type="dxa"/>
          </w:tcPr>
          <w:p w14:paraId="41273D76" w14:textId="77777777" w:rsidR="00594560" w:rsidRDefault="00594560" w:rsidP="00C26ED4">
            <w:pPr>
              <w:pStyle w:val="Tabletext9pt"/>
              <w:rPr>
                <w:szCs w:val="18"/>
              </w:rPr>
            </w:pPr>
            <w:r w:rsidRPr="00E170C6">
              <w:rPr>
                <w:szCs w:val="18"/>
              </w:rPr>
              <w:t>28085</w:t>
            </w:r>
          </w:p>
          <w:p w14:paraId="196DB382" w14:textId="77777777" w:rsidR="00594560" w:rsidRPr="00020A6E" w:rsidRDefault="00594560" w:rsidP="00C26ED4">
            <w:pPr>
              <w:pStyle w:val="Tabletext9pt"/>
              <w:rPr>
                <w:szCs w:val="18"/>
              </w:rPr>
            </w:pPr>
          </w:p>
        </w:tc>
        <w:tc>
          <w:tcPr>
            <w:tcW w:w="2551" w:type="dxa"/>
          </w:tcPr>
          <w:p w14:paraId="208C3B53" w14:textId="77777777" w:rsidR="00594560" w:rsidRPr="00674F20" w:rsidRDefault="00594560" w:rsidP="00C26ED4">
            <w:pPr>
              <w:pStyle w:val="Tabletext9pt"/>
              <w:rPr>
                <w:szCs w:val="18"/>
              </w:rPr>
            </w:pPr>
            <w:r w:rsidRPr="00E170C6">
              <w:rPr>
                <w:szCs w:val="18"/>
              </w:rPr>
              <w:t xml:space="preserve">Community </w:t>
            </w:r>
            <w:r>
              <w:rPr>
                <w:szCs w:val="18"/>
              </w:rPr>
              <w:t>h</w:t>
            </w:r>
            <w:r w:rsidRPr="00E170C6">
              <w:rPr>
                <w:szCs w:val="18"/>
              </w:rPr>
              <w:t>ealth</w:t>
            </w:r>
            <w:r>
              <w:rPr>
                <w:szCs w:val="18"/>
              </w:rPr>
              <w:t xml:space="preserve"> – </w:t>
            </w:r>
            <w:r w:rsidRPr="00E170C6">
              <w:rPr>
                <w:szCs w:val="18"/>
              </w:rPr>
              <w:t xml:space="preserve">Health </w:t>
            </w:r>
            <w:r>
              <w:rPr>
                <w:szCs w:val="18"/>
              </w:rPr>
              <w:t>p</w:t>
            </w:r>
            <w:r w:rsidRPr="00E170C6">
              <w:rPr>
                <w:szCs w:val="18"/>
              </w:rPr>
              <w:t>romotion</w:t>
            </w:r>
          </w:p>
        </w:tc>
        <w:tc>
          <w:tcPr>
            <w:tcW w:w="4678" w:type="dxa"/>
          </w:tcPr>
          <w:p w14:paraId="3ECCA25D" w14:textId="77777777" w:rsidR="00594560" w:rsidRPr="00674F20" w:rsidRDefault="00594560" w:rsidP="00C26ED4">
            <w:pPr>
              <w:pStyle w:val="Tabletext9pt"/>
              <w:rPr>
                <w:szCs w:val="18"/>
              </w:rPr>
            </w:pPr>
            <w:r w:rsidRPr="00A83C29">
              <w:rPr>
                <w:szCs w:val="18"/>
              </w:rPr>
              <w:t xml:space="preserve">Health Promotion funding is provided to agencies across Victoria (primarily community health services) to develop and implement prevention and health promotion initiatives. </w:t>
            </w:r>
            <w:r>
              <w:t>I</w:t>
            </w:r>
            <w:r w:rsidRPr="00A83C29">
              <w:rPr>
                <w:szCs w:val="18"/>
              </w:rPr>
              <w:t xml:space="preserve">nitiatives </w:t>
            </w:r>
            <w:r>
              <w:t xml:space="preserve">should </w:t>
            </w:r>
            <w:r w:rsidRPr="00A83C29">
              <w:rPr>
                <w:szCs w:val="18"/>
              </w:rPr>
              <w:t xml:space="preserve">have a focus on primary prevention (aimed at preventing problems from occurring in the first place), and </w:t>
            </w:r>
            <w:r>
              <w:t>be</w:t>
            </w:r>
            <w:r w:rsidRPr="00A83C29">
              <w:rPr>
                <w:szCs w:val="18"/>
              </w:rPr>
              <w:t xml:space="preserve"> developed and delivered at a scale that can impact on the health and wellbeing at a population level. </w:t>
            </w:r>
          </w:p>
        </w:tc>
      </w:tr>
    </w:tbl>
    <w:p w14:paraId="4AE10529" w14:textId="77777777" w:rsidR="00DA25C1" w:rsidRDefault="00DA25C1"/>
    <w:p w14:paraId="3F560107" w14:textId="4DAB9787" w:rsidR="00DA25C1" w:rsidRDefault="00DA25C1">
      <w:r>
        <w:br w:type="page"/>
      </w:r>
    </w:p>
    <w:p w14:paraId="5011BA35" w14:textId="249FBAA3" w:rsidR="00D64349" w:rsidRPr="00F96DD9" w:rsidRDefault="00D64349" w:rsidP="00D64349">
      <w:pPr>
        <w:pStyle w:val="Heading2Addendums"/>
      </w:pPr>
      <w:bookmarkStart w:id="1047" w:name="_Ref111538889"/>
      <w:bookmarkStart w:id="1048" w:name="_Ref111538897"/>
      <w:bookmarkStart w:id="1049" w:name="_Toc127192004"/>
      <w:r>
        <w:lastRenderedPageBreak/>
        <w:t>Calculating funding recall</w:t>
      </w:r>
      <w:bookmarkEnd w:id="1036"/>
      <w:bookmarkEnd w:id="1037"/>
      <w:bookmarkEnd w:id="1038"/>
      <w:bookmarkEnd w:id="1039"/>
      <w:bookmarkEnd w:id="1040"/>
      <w:bookmarkEnd w:id="1041"/>
      <w:bookmarkEnd w:id="1047"/>
      <w:bookmarkEnd w:id="1048"/>
      <w:bookmarkEnd w:id="1049"/>
    </w:p>
    <w:p w14:paraId="532174EB" w14:textId="1D3E9F03" w:rsidR="00D64349" w:rsidRDefault="00D64349" w:rsidP="00D64349">
      <w:pPr>
        <w:pStyle w:val="Heading3Addendums"/>
      </w:pPr>
      <w:bookmarkStart w:id="1050" w:name="_Toc487742054"/>
      <w:bookmarkStart w:id="1051" w:name="_Toc14172285"/>
      <w:bookmarkStart w:id="1052" w:name="_Toc55381149"/>
      <w:bookmarkStart w:id="1053" w:name="_Toc100263356"/>
      <w:bookmarkStart w:id="1054" w:name="_Toc127192005"/>
      <w:r>
        <w:t xml:space="preserve">Calculating </w:t>
      </w:r>
      <w:r w:rsidR="00B15315">
        <w:t xml:space="preserve">NWAU </w:t>
      </w:r>
      <w:r w:rsidR="00331D5D">
        <w:t>F</w:t>
      </w:r>
      <w:r>
        <w:t xml:space="preserve">unding </w:t>
      </w:r>
      <w:r w:rsidR="00331D5D">
        <w:t>R</w:t>
      </w:r>
      <w:r>
        <w:t>ecall</w:t>
      </w:r>
      <w:bookmarkEnd w:id="1050"/>
      <w:bookmarkEnd w:id="1051"/>
      <w:bookmarkEnd w:id="1052"/>
      <w:bookmarkEnd w:id="1053"/>
      <w:bookmarkEnd w:id="1054"/>
    </w:p>
    <w:p w14:paraId="458F4A44" w14:textId="77777777" w:rsidR="00D64349" w:rsidRPr="00AC7D3A" w:rsidRDefault="00D64349" w:rsidP="00D64349">
      <w:pPr>
        <w:pStyle w:val="Body"/>
      </w:pPr>
      <w:r w:rsidRPr="00AC7D3A">
        <w:t>Funding adjustments are calculated as follows</w:t>
      </w:r>
      <w:r>
        <w:t>.</w:t>
      </w:r>
    </w:p>
    <w:p w14:paraId="2520E5F3" w14:textId="2099CA93" w:rsidR="00D64349" w:rsidRPr="00631BCD" w:rsidRDefault="00D64349" w:rsidP="00D64349">
      <w:pPr>
        <w:pStyle w:val="Bodyaftertablefigure"/>
      </w:pPr>
      <w:r w:rsidRPr="00572AF9">
        <w:rPr>
          <w:b/>
          <w:bCs/>
        </w:rPr>
        <w:t xml:space="preserve">Step 1: Calculate the </w:t>
      </w:r>
      <w:r w:rsidR="00F65C42">
        <w:rPr>
          <w:b/>
          <w:bCs/>
        </w:rPr>
        <w:t>full</w:t>
      </w:r>
      <w:r w:rsidR="00240DAF">
        <w:rPr>
          <w:b/>
          <w:bCs/>
        </w:rPr>
        <w:t>-</w:t>
      </w:r>
      <w:r w:rsidR="00F65C42">
        <w:rPr>
          <w:b/>
          <w:bCs/>
        </w:rPr>
        <w:t>year total NWAU activity</w:t>
      </w:r>
      <w:r w:rsidR="00CA1B3E">
        <w:rPr>
          <w:b/>
          <w:bCs/>
        </w:rPr>
        <w:t>.</w:t>
      </w:r>
    </w:p>
    <w:p w14:paraId="15D17EA3" w14:textId="46FD1F93" w:rsidR="00D64349" w:rsidRPr="00631BCD" w:rsidRDefault="00D64349" w:rsidP="00D64349">
      <w:pPr>
        <w:pStyle w:val="Bodyaftertablefigure"/>
      </w:pPr>
      <w:r w:rsidRPr="00631BCD">
        <w:rPr>
          <w:b/>
          <w:bCs/>
        </w:rPr>
        <w:t xml:space="preserve">Step 2: Calculate </w:t>
      </w:r>
      <w:r w:rsidR="00F65C42">
        <w:rPr>
          <w:b/>
          <w:bCs/>
        </w:rPr>
        <w:t>full</w:t>
      </w:r>
      <w:r w:rsidR="00240DAF">
        <w:rPr>
          <w:b/>
          <w:bCs/>
        </w:rPr>
        <w:t>-</w:t>
      </w:r>
      <w:r w:rsidR="00F65C42">
        <w:rPr>
          <w:b/>
          <w:bCs/>
        </w:rPr>
        <w:t xml:space="preserve">year </w:t>
      </w:r>
      <w:r w:rsidR="00DC220C">
        <w:rPr>
          <w:b/>
          <w:bCs/>
        </w:rPr>
        <w:t xml:space="preserve">NWAU </w:t>
      </w:r>
      <w:r w:rsidRPr="00631BCD">
        <w:rPr>
          <w:b/>
          <w:bCs/>
        </w:rPr>
        <w:t>activity targets.</w:t>
      </w:r>
    </w:p>
    <w:p w14:paraId="564F49CD" w14:textId="6F6855BF" w:rsidR="00D64349" w:rsidRPr="00631BCD" w:rsidRDefault="00D64349" w:rsidP="00D64349">
      <w:pPr>
        <w:pStyle w:val="Bodyaftertablefigure"/>
      </w:pPr>
      <w:r w:rsidRPr="00631BCD" w:rsidDel="00F65C42">
        <w:rPr>
          <w:b/>
          <w:bCs/>
        </w:rPr>
        <w:t xml:space="preserve">Step 3: Calculate the </w:t>
      </w:r>
      <w:r w:rsidRPr="00631BCD">
        <w:rPr>
          <w:b/>
          <w:bCs/>
        </w:rPr>
        <w:t>total performance percentage.</w:t>
      </w:r>
    </w:p>
    <w:p w14:paraId="3ACF1BCF" w14:textId="77B130C0" w:rsidR="00D64349" w:rsidRPr="00AC7D3A" w:rsidRDefault="00D64349" w:rsidP="00E05C4E">
      <w:pPr>
        <w:pStyle w:val="Bullet1"/>
      </w:pPr>
      <w:r>
        <w:t>E</w:t>
      </w:r>
      <w:r w:rsidRPr="00AC7D3A">
        <w:t xml:space="preserve">xpress the </w:t>
      </w:r>
      <w:r>
        <w:t xml:space="preserve">actual value </w:t>
      </w:r>
      <w:r w:rsidRPr="00AC7D3A">
        <w:t xml:space="preserve">as a percentage of the revised </w:t>
      </w:r>
      <w:r>
        <w:t>target value</w:t>
      </w:r>
      <w:r w:rsidRPr="00AC7D3A">
        <w:t>.</w:t>
      </w:r>
      <w:r w:rsidR="00DC71D6">
        <w:t xml:space="preserve"> </w:t>
      </w:r>
      <w:r w:rsidR="00CA1B3E">
        <w:t>T</w:t>
      </w:r>
      <w:r w:rsidRPr="00AC7D3A">
        <w:t xml:space="preserve">his will show the extent to which the </w:t>
      </w:r>
      <w:r>
        <w:t>h</w:t>
      </w:r>
      <w:r w:rsidRPr="00AC7D3A">
        <w:t xml:space="preserve">ealth </w:t>
      </w:r>
      <w:r>
        <w:t>s</w:t>
      </w:r>
      <w:r w:rsidRPr="00AC7D3A">
        <w:t>ervice has performed above or below target.</w:t>
      </w:r>
    </w:p>
    <w:p w14:paraId="283DC6A7" w14:textId="63DF2CBC" w:rsidR="00D64349" w:rsidRPr="00631BCD" w:rsidRDefault="00D64349" w:rsidP="00D64349">
      <w:pPr>
        <w:pStyle w:val="Bodyaftertablefigure"/>
      </w:pPr>
      <w:r w:rsidRPr="00631BCD" w:rsidDel="00F65C42">
        <w:rPr>
          <w:b/>
          <w:bCs/>
        </w:rPr>
        <w:t xml:space="preserve">Step </w:t>
      </w:r>
      <w:r w:rsidR="00F65C42">
        <w:rPr>
          <w:b/>
          <w:bCs/>
        </w:rPr>
        <w:t>4</w:t>
      </w:r>
      <w:r w:rsidRPr="00631BCD">
        <w:rPr>
          <w:b/>
          <w:bCs/>
        </w:rPr>
        <w:t>: Calculate the throughput adjustment.</w:t>
      </w:r>
    </w:p>
    <w:p w14:paraId="64FAC60A" w14:textId="77777777" w:rsidR="00D64349" w:rsidRPr="00AC7D3A" w:rsidRDefault="00D64349" w:rsidP="00D64349">
      <w:pPr>
        <w:pStyle w:val="Body"/>
      </w:pPr>
      <w:r w:rsidRPr="00AC7D3A">
        <w:t xml:space="preserve">To calculate the dollar amount of the </w:t>
      </w:r>
      <w:r>
        <w:t xml:space="preserve">throughput recall/payment </w:t>
      </w:r>
      <w:r w:rsidRPr="00AC7D3A">
        <w:t>adjustment:</w:t>
      </w:r>
    </w:p>
    <w:p w14:paraId="038C5184" w14:textId="72F40DE7" w:rsidR="00D64349" w:rsidRDefault="00D64349" w:rsidP="00E05C4E">
      <w:pPr>
        <w:pStyle w:val="Bullet1"/>
      </w:pPr>
      <w:r>
        <w:t>M</w:t>
      </w:r>
      <w:r w:rsidRPr="00AC7D3A">
        <w:t xml:space="preserve">ultiply the </w:t>
      </w:r>
      <w:r w:rsidR="00C363ED">
        <w:t xml:space="preserve">performance </w:t>
      </w:r>
      <w:r w:rsidRPr="00AC7D3A">
        <w:t xml:space="preserve">percentage falling within </w:t>
      </w:r>
      <w:r w:rsidR="0066485F">
        <w:t>the recall/payment threshold</w:t>
      </w:r>
      <w:r w:rsidRPr="00AC7D3A">
        <w:t xml:space="preserve"> </w:t>
      </w:r>
      <w:r>
        <w:t>(in section</w:t>
      </w:r>
      <w:r w:rsidR="00C92071">
        <w:t xml:space="preserve"> </w:t>
      </w:r>
      <w:r w:rsidR="00C92071">
        <w:fldChar w:fldCharType="begin"/>
      </w:r>
      <w:r w:rsidR="00C92071">
        <w:instrText xml:space="preserve"> REF _Ref111538488 \r \h </w:instrText>
      </w:r>
      <w:r w:rsidR="00C92071">
        <w:fldChar w:fldCharType="separate"/>
      </w:r>
      <w:r w:rsidR="00C92071">
        <w:t>1.16.1</w:t>
      </w:r>
      <w:r w:rsidR="00C92071">
        <w:fldChar w:fldCharType="end"/>
      </w:r>
      <w:r w:rsidR="002871BE">
        <w:t xml:space="preserve"> ‘</w:t>
      </w:r>
      <w:r w:rsidR="002871BE">
        <w:fldChar w:fldCharType="begin"/>
      </w:r>
      <w:r w:rsidR="002871BE">
        <w:instrText xml:space="preserve"> REF _Ref111538507 \h </w:instrText>
      </w:r>
      <w:r w:rsidR="002871BE">
        <w:fldChar w:fldCharType="separate"/>
      </w:r>
      <w:r w:rsidR="002871BE">
        <w:t>Victorian Funding Recall Policy</w:t>
      </w:r>
      <w:r w:rsidR="002871BE">
        <w:fldChar w:fldCharType="end"/>
      </w:r>
      <w:r>
        <w:t>’</w:t>
      </w:r>
      <w:r w:rsidRPr="00E52304">
        <w:t>)</w:t>
      </w:r>
      <w:r>
        <w:t xml:space="preserve"> </w:t>
      </w:r>
      <w:r w:rsidRPr="00AC7D3A">
        <w:t xml:space="preserve">by the </w:t>
      </w:r>
      <w:r>
        <w:t>target value</w:t>
      </w:r>
      <w:r w:rsidRPr="00AC7D3A">
        <w:t xml:space="preserve"> (calculated in </w:t>
      </w:r>
      <w:r>
        <w:t>s</w:t>
      </w:r>
      <w:r w:rsidRPr="00AC7D3A">
        <w:t xml:space="preserve">tep </w:t>
      </w:r>
      <w:r w:rsidR="00DC220C">
        <w:t>2</w:t>
      </w:r>
      <w:r w:rsidRPr="00AC7D3A">
        <w:t>)</w:t>
      </w:r>
      <w:r>
        <w:t>.</w:t>
      </w:r>
      <w:r w:rsidR="004E7C69">
        <w:t xml:space="preserve">  </w:t>
      </w:r>
    </w:p>
    <w:p w14:paraId="5CC1AF26" w14:textId="13856849" w:rsidR="004E7C69" w:rsidRPr="00AC7D3A" w:rsidRDefault="004E7C69" w:rsidP="00E05C4E">
      <w:pPr>
        <w:pStyle w:val="Bullet1"/>
      </w:pPr>
      <w:r>
        <w:t>Multiply by th</w:t>
      </w:r>
      <w:r w:rsidR="009927C7">
        <w:t>is by the Victorian Efficient Price (VEP).</w:t>
      </w:r>
    </w:p>
    <w:p w14:paraId="391FED4D" w14:textId="4CF22055" w:rsidR="00D64349" w:rsidRDefault="00D64349" w:rsidP="00E05C4E">
      <w:pPr>
        <w:pStyle w:val="Bullet1"/>
      </w:pPr>
      <w:r>
        <w:t>Multiply that amount by the recall</w:t>
      </w:r>
      <w:r w:rsidR="0043315F">
        <w:t xml:space="preserve">/payment </w:t>
      </w:r>
      <w:r w:rsidR="002002B1">
        <w:t>percentage</w:t>
      </w:r>
      <w:r w:rsidR="00345BE1">
        <w:t xml:space="preserve"> (</w:t>
      </w:r>
      <w:r w:rsidR="00CA1B3E">
        <w:t>that is,</w:t>
      </w:r>
      <w:r w:rsidR="00345BE1">
        <w:t xml:space="preserve"> 50</w:t>
      </w:r>
      <w:r w:rsidR="00887E93">
        <w:t>%</w:t>
      </w:r>
      <w:r w:rsidR="00CA1B3E">
        <w:t>)</w:t>
      </w:r>
    </w:p>
    <w:p w14:paraId="4C5AC533" w14:textId="2A5FBA00" w:rsidR="008354E6" w:rsidRPr="00AC7D3A" w:rsidRDefault="008354E6" w:rsidP="004E7C69">
      <w:pPr>
        <w:pStyle w:val="Bullet1"/>
        <w:numPr>
          <w:ilvl w:val="0"/>
          <w:numId w:val="0"/>
        </w:numPr>
        <w:ind w:left="1080"/>
      </w:pPr>
    </w:p>
    <w:p w14:paraId="5D7C017C" w14:textId="5D44FE61" w:rsidR="00D64349" w:rsidRDefault="00D64349" w:rsidP="00D64349">
      <w:pPr>
        <w:pStyle w:val="Heading3Addendums"/>
      </w:pPr>
      <w:bookmarkStart w:id="1055" w:name="_Toc487742055"/>
      <w:bookmarkStart w:id="1056" w:name="_Toc14172286"/>
      <w:bookmarkStart w:id="1057" w:name="_Toc55381150"/>
      <w:bookmarkStart w:id="1058" w:name="_Toc100263357"/>
      <w:bookmarkStart w:id="1059" w:name="_Toc127192006"/>
      <w:r>
        <w:t>Calculating Transport Accident Commission/</w:t>
      </w:r>
      <w:r w:rsidR="00416E07">
        <w:t xml:space="preserve"> </w:t>
      </w:r>
      <w:r>
        <w:t xml:space="preserve">Department of Veterans’ Affairs </w:t>
      </w:r>
      <w:r w:rsidR="001D2AD0">
        <w:t xml:space="preserve">NWAU </w:t>
      </w:r>
      <w:r w:rsidR="00331D5D">
        <w:t>F</w:t>
      </w:r>
      <w:r>
        <w:t xml:space="preserve">unding </w:t>
      </w:r>
      <w:r w:rsidR="00331D5D">
        <w:t>R</w:t>
      </w:r>
      <w:r>
        <w:t>ecall</w:t>
      </w:r>
      <w:bookmarkEnd w:id="1055"/>
      <w:bookmarkEnd w:id="1056"/>
      <w:bookmarkEnd w:id="1057"/>
      <w:bookmarkEnd w:id="1058"/>
      <w:bookmarkEnd w:id="1059"/>
    </w:p>
    <w:p w14:paraId="7951E7C2" w14:textId="77777777" w:rsidR="00D64349" w:rsidRDefault="00D64349" w:rsidP="00D64349">
      <w:pPr>
        <w:pStyle w:val="Body"/>
      </w:pPr>
      <w:r w:rsidRPr="00AC7D3A">
        <w:t>Funding adjustments are calculated as follows</w:t>
      </w:r>
      <w:r>
        <w:t>.</w:t>
      </w:r>
    </w:p>
    <w:p w14:paraId="5634E507" w14:textId="63A83A99" w:rsidR="00D64349" w:rsidRPr="00631BCD" w:rsidRDefault="00D64349" w:rsidP="00D64349">
      <w:pPr>
        <w:pStyle w:val="Bodyaftertablefigure"/>
      </w:pPr>
      <w:r w:rsidRPr="00572AF9">
        <w:rPr>
          <w:b/>
          <w:bCs/>
        </w:rPr>
        <w:t>Step 1: Calculate the over or under</w:t>
      </w:r>
      <w:r w:rsidR="006B4DBF">
        <w:rPr>
          <w:b/>
          <w:bCs/>
        </w:rPr>
        <w:t>-</w:t>
      </w:r>
      <w:r w:rsidRPr="00572AF9">
        <w:rPr>
          <w:b/>
          <w:bCs/>
        </w:rPr>
        <w:t>activity.</w:t>
      </w:r>
    </w:p>
    <w:p w14:paraId="46431895" w14:textId="47DCDB5E" w:rsidR="00D64349" w:rsidRDefault="00D64349" w:rsidP="00D64349">
      <w:pPr>
        <w:pStyle w:val="Body"/>
      </w:pPr>
      <w:r w:rsidRPr="00DB4B48">
        <w:t>Calculate the over or under</w:t>
      </w:r>
      <w:r w:rsidR="006B4DBF">
        <w:t>-</w:t>
      </w:r>
      <w:r w:rsidRPr="00DB4B48">
        <w:t>activity</w:t>
      </w:r>
      <w:r w:rsidRPr="00DB4B48">
        <w:rPr>
          <w:b/>
        </w:rPr>
        <w:t xml:space="preserve"> </w:t>
      </w:r>
      <w:r>
        <w:t>by subtracting the total full-year target from total full-year activity.</w:t>
      </w:r>
    </w:p>
    <w:p w14:paraId="1712DA35" w14:textId="557ABFD4" w:rsidR="00D64349" w:rsidRDefault="00D64349" w:rsidP="00D64349">
      <w:pPr>
        <w:pStyle w:val="Body"/>
      </w:pPr>
      <w:r>
        <w:t>A negative variance indicates that actual activity is less than the funded target (under</w:t>
      </w:r>
      <w:r w:rsidR="006B4DBF">
        <w:t>-</w:t>
      </w:r>
      <w:r>
        <w:t>performance), and a positive variance indicated activity is greater than funded performance (over</w:t>
      </w:r>
      <w:r w:rsidR="00B34795">
        <w:t>-</w:t>
      </w:r>
      <w:r>
        <w:t>activity).</w:t>
      </w:r>
    </w:p>
    <w:p w14:paraId="4949E112" w14:textId="77777777" w:rsidR="00D64349" w:rsidRPr="00631BCD" w:rsidRDefault="00D64349" w:rsidP="00D64349">
      <w:pPr>
        <w:pStyle w:val="Bodyaftertablefigure"/>
      </w:pPr>
      <w:r w:rsidRPr="00631BCD">
        <w:rPr>
          <w:b/>
          <w:bCs/>
        </w:rPr>
        <w:t>Step 2: Calculate the amount of funding to be recalled or paid.</w:t>
      </w:r>
    </w:p>
    <w:p w14:paraId="324C43C2" w14:textId="1CF483ED" w:rsidR="00D64349" w:rsidRDefault="00D64349" w:rsidP="00D64349">
      <w:pPr>
        <w:pStyle w:val="Body"/>
      </w:pPr>
      <w:r>
        <w:t xml:space="preserve">Calculate the amount of funding to be recalled (health service liability to department) or paid (department liability to health service) by multiplying the variance calculated in step 1 by the </w:t>
      </w:r>
      <w:r w:rsidRPr="00D2737E">
        <w:t>Transport Accident Commission/</w:t>
      </w:r>
      <w:r>
        <w:t xml:space="preserve">DVA </w:t>
      </w:r>
      <w:r w:rsidR="00CF0DA8">
        <w:t xml:space="preserve">NWAU </w:t>
      </w:r>
      <w:r>
        <w:t>unit rate.</w:t>
      </w:r>
    </w:p>
    <w:p w14:paraId="32D0499C" w14:textId="3548C931" w:rsidR="00D64349" w:rsidRDefault="00D64349" w:rsidP="00D64349">
      <w:pPr>
        <w:pStyle w:val="Heading3Addendums"/>
      </w:pPr>
      <w:bookmarkStart w:id="1060" w:name="_Toc487742056"/>
      <w:bookmarkStart w:id="1061" w:name="_Toc14172287"/>
      <w:bookmarkStart w:id="1062" w:name="_Toc55381151"/>
      <w:bookmarkStart w:id="1063" w:name="_Toc100263358"/>
      <w:bookmarkStart w:id="1064" w:name="_Toc127192007"/>
      <w:r>
        <w:t xml:space="preserve">Calculating National Bowel Cancer Screening Program </w:t>
      </w:r>
      <w:r w:rsidR="00331D5D">
        <w:t>C</w:t>
      </w:r>
      <w:r>
        <w:t xml:space="preserve">olonoscopy </w:t>
      </w:r>
      <w:r w:rsidR="001D2AD0">
        <w:t xml:space="preserve">NWAU </w:t>
      </w:r>
      <w:r>
        <w:t>recall</w:t>
      </w:r>
      <w:bookmarkEnd w:id="1060"/>
      <w:bookmarkEnd w:id="1061"/>
      <w:bookmarkEnd w:id="1062"/>
      <w:bookmarkEnd w:id="1063"/>
      <w:bookmarkEnd w:id="1064"/>
    </w:p>
    <w:p w14:paraId="7BA4C13B" w14:textId="77777777" w:rsidR="00D64349" w:rsidRPr="00AC7D3A" w:rsidRDefault="00D64349" w:rsidP="00D64349">
      <w:pPr>
        <w:pStyle w:val="Body"/>
      </w:pPr>
      <w:r w:rsidRPr="00AC7D3A">
        <w:t>Funding adjustments are calculated as follows</w:t>
      </w:r>
      <w:r>
        <w:t>.</w:t>
      </w:r>
    </w:p>
    <w:p w14:paraId="5A129B7E" w14:textId="611E000E" w:rsidR="00F65C42" w:rsidRPr="00631BCD" w:rsidRDefault="00F65C42" w:rsidP="00F65C42">
      <w:pPr>
        <w:pStyle w:val="Bodyaftertablefigure"/>
      </w:pPr>
      <w:r w:rsidRPr="00572AF9">
        <w:rPr>
          <w:b/>
          <w:bCs/>
        </w:rPr>
        <w:t>Step 1: Calculate the over or under</w:t>
      </w:r>
      <w:r w:rsidR="006B4DBF">
        <w:rPr>
          <w:b/>
          <w:bCs/>
        </w:rPr>
        <w:t>-</w:t>
      </w:r>
      <w:r w:rsidRPr="00572AF9">
        <w:rPr>
          <w:b/>
          <w:bCs/>
        </w:rPr>
        <w:t>activity.</w:t>
      </w:r>
    </w:p>
    <w:p w14:paraId="16E42750" w14:textId="21A0819D" w:rsidR="00F65C42" w:rsidRDefault="00F65C42" w:rsidP="00F65C42">
      <w:pPr>
        <w:pStyle w:val="Body"/>
      </w:pPr>
      <w:r w:rsidRPr="00DB4B48">
        <w:t>Calculate the over or under</w:t>
      </w:r>
      <w:r w:rsidR="006B4DBF">
        <w:t>-</w:t>
      </w:r>
      <w:r w:rsidRPr="00DB4B48">
        <w:t>activity</w:t>
      </w:r>
      <w:r w:rsidRPr="00DB4B48">
        <w:rPr>
          <w:b/>
        </w:rPr>
        <w:t xml:space="preserve"> </w:t>
      </w:r>
      <w:r>
        <w:t>by subtracting the total full-year target from total full-year activity.</w:t>
      </w:r>
    </w:p>
    <w:p w14:paraId="49C4E92D" w14:textId="7F49F5B0" w:rsidR="00F65C42" w:rsidRDefault="00F65C42" w:rsidP="00F65C42">
      <w:pPr>
        <w:pStyle w:val="Body"/>
      </w:pPr>
      <w:r>
        <w:lastRenderedPageBreak/>
        <w:t>A negative variance indicates that actual activity is less than the funded target (under</w:t>
      </w:r>
      <w:r w:rsidR="006B4DBF">
        <w:t>-</w:t>
      </w:r>
      <w:r>
        <w:t>performance), and a positive variance indicated activity is greater than funded performance (over</w:t>
      </w:r>
      <w:r w:rsidR="00B34795">
        <w:t>-</w:t>
      </w:r>
      <w:r>
        <w:t>activity).</w:t>
      </w:r>
    </w:p>
    <w:p w14:paraId="22323745" w14:textId="77777777" w:rsidR="00F65C42" w:rsidRPr="00631BCD" w:rsidRDefault="00F65C42" w:rsidP="00F65C42">
      <w:pPr>
        <w:pStyle w:val="Bodyaftertablefigure"/>
      </w:pPr>
      <w:r w:rsidRPr="00631BCD">
        <w:rPr>
          <w:b/>
          <w:bCs/>
        </w:rPr>
        <w:t>Step 2: Calculate the amount of funding to be recalled or paid.</w:t>
      </w:r>
    </w:p>
    <w:p w14:paraId="7B7F1653" w14:textId="30EC07CF" w:rsidR="00F65C42" w:rsidRDefault="00F65C42" w:rsidP="00F65C42">
      <w:pPr>
        <w:pStyle w:val="Body"/>
      </w:pPr>
      <w:r>
        <w:t>Calculate the amount of funding to be recalled (health service liability to department) or paid (department liability to health service) by multiplying the variance calculated in step 1 by the NWAU VEP unit rate.</w:t>
      </w:r>
    </w:p>
    <w:p w14:paraId="36E00936" w14:textId="5DC84511" w:rsidR="00D64349" w:rsidRDefault="00D64349" w:rsidP="00D64349">
      <w:pPr>
        <w:pStyle w:val="Heading3Addendums"/>
      </w:pPr>
      <w:bookmarkStart w:id="1065" w:name="_Toc487742059"/>
      <w:bookmarkStart w:id="1066" w:name="_Toc14172290"/>
      <w:bookmarkStart w:id="1067" w:name="_Toc55381154"/>
      <w:bookmarkStart w:id="1068" w:name="_Toc100263360"/>
      <w:bookmarkStart w:id="1069" w:name="_Toc127192008"/>
      <w:r>
        <w:t xml:space="preserve">Calculating </w:t>
      </w:r>
      <w:r w:rsidR="00331D5D">
        <w:t>H</w:t>
      </w:r>
      <w:r>
        <w:t xml:space="preserve">ome </w:t>
      </w:r>
      <w:r w:rsidR="00331D5D">
        <w:t>D</w:t>
      </w:r>
      <w:r>
        <w:t xml:space="preserve">ialysis </w:t>
      </w:r>
      <w:r w:rsidR="00331D5D">
        <w:t>F</w:t>
      </w:r>
      <w:r>
        <w:t xml:space="preserve">unding </w:t>
      </w:r>
      <w:r w:rsidR="00331D5D">
        <w:t>R</w:t>
      </w:r>
      <w:r>
        <w:t>ecall</w:t>
      </w:r>
      <w:bookmarkEnd w:id="1065"/>
      <w:bookmarkEnd w:id="1066"/>
      <w:bookmarkEnd w:id="1067"/>
      <w:bookmarkEnd w:id="1068"/>
      <w:bookmarkEnd w:id="1069"/>
    </w:p>
    <w:p w14:paraId="4BCE400C" w14:textId="77777777" w:rsidR="00D64349" w:rsidRPr="00AC7D3A" w:rsidRDefault="00D64349" w:rsidP="00D64349">
      <w:pPr>
        <w:pStyle w:val="Body"/>
      </w:pPr>
      <w:r w:rsidRPr="00AC7D3A">
        <w:t>Funding adjustments are calculated as follows</w:t>
      </w:r>
      <w:r>
        <w:t>.</w:t>
      </w:r>
    </w:p>
    <w:p w14:paraId="427BE79F" w14:textId="77777777" w:rsidR="00D64349" w:rsidRPr="00631BCD" w:rsidRDefault="00D64349" w:rsidP="00D64349">
      <w:pPr>
        <w:pStyle w:val="Bodyaftertablefigure"/>
      </w:pPr>
      <w:r w:rsidRPr="00631BCD">
        <w:rPr>
          <w:b/>
          <w:bCs/>
        </w:rPr>
        <w:t>Step 1: Calculate the average activity.</w:t>
      </w:r>
    </w:p>
    <w:p w14:paraId="2671A1BE" w14:textId="77777777" w:rsidR="00D64349" w:rsidRDefault="00D64349" w:rsidP="00D64349">
      <w:pPr>
        <w:pStyle w:val="Body"/>
      </w:pPr>
      <w:r>
        <w:t>Calculate the average activity for the financial year by summing results for each month of the year together and dividing by 12 (12 months).</w:t>
      </w:r>
    </w:p>
    <w:p w14:paraId="7056CDD6" w14:textId="32A2B197" w:rsidR="00D64349" w:rsidRPr="00631BCD" w:rsidRDefault="00D64349" w:rsidP="00D64349">
      <w:pPr>
        <w:pStyle w:val="Bodyaftertablefigure"/>
      </w:pPr>
      <w:r w:rsidRPr="00631BCD">
        <w:rPr>
          <w:b/>
          <w:bCs/>
        </w:rPr>
        <w:t>Step 2: Calculate the over or under</w:t>
      </w:r>
      <w:r w:rsidR="006B4DBF">
        <w:rPr>
          <w:b/>
          <w:bCs/>
        </w:rPr>
        <w:t>-</w:t>
      </w:r>
      <w:r w:rsidRPr="00631BCD">
        <w:rPr>
          <w:b/>
          <w:bCs/>
        </w:rPr>
        <w:t>activity.</w:t>
      </w:r>
    </w:p>
    <w:p w14:paraId="4D238673" w14:textId="2683B6EA" w:rsidR="00D64349" w:rsidRDefault="00D64349" w:rsidP="00D64349">
      <w:pPr>
        <w:pStyle w:val="Body"/>
      </w:pPr>
      <w:r w:rsidRPr="00DB4B48">
        <w:t>Calculate the over or under</w:t>
      </w:r>
      <w:r w:rsidR="006B4DBF">
        <w:t>-</w:t>
      </w:r>
      <w:r w:rsidRPr="00DB4B48">
        <w:t>activity</w:t>
      </w:r>
      <w:r w:rsidRPr="00DB4B48">
        <w:rPr>
          <w:b/>
        </w:rPr>
        <w:t xml:space="preserve"> </w:t>
      </w:r>
      <w:r>
        <w:t>by subtracting the health service target from the average activity (calculated in step 1).</w:t>
      </w:r>
    </w:p>
    <w:p w14:paraId="66E9BF6B" w14:textId="59A55645" w:rsidR="00D64349" w:rsidRPr="0039197F" w:rsidRDefault="00D64349" w:rsidP="00D64349">
      <w:pPr>
        <w:pStyle w:val="Body"/>
      </w:pPr>
      <w:r>
        <w:t>A negative variance indicates that the average activity is less than the funded target (under</w:t>
      </w:r>
      <w:r w:rsidR="006B4DBF">
        <w:t>-</w:t>
      </w:r>
      <w:r>
        <w:t>performance), and a positive variance indicates that activity is greater than the funded performance (over</w:t>
      </w:r>
      <w:r w:rsidR="00B34795">
        <w:t>-</w:t>
      </w:r>
      <w:r>
        <w:t>activity).</w:t>
      </w:r>
    </w:p>
    <w:p w14:paraId="30615D50" w14:textId="77777777" w:rsidR="00D64349" w:rsidRPr="00631BCD" w:rsidRDefault="00D64349" w:rsidP="00D64349">
      <w:pPr>
        <w:pStyle w:val="Bodyaftertablefigure"/>
      </w:pPr>
      <w:r w:rsidRPr="00631BCD">
        <w:rPr>
          <w:b/>
          <w:bCs/>
        </w:rPr>
        <w:t>Step 3: Calculate the amount of funding to be recalled or paid.</w:t>
      </w:r>
    </w:p>
    <w:p w14:paraId="2245A00E" w14:textId="77777777" w:rsidR="00D64349" w:rsidRDefault="00D64349" w:rsidP="00D64349">
      <w:pPr>
        <w:pStyle w:val="Body"/>
      </w:pPr>
      <w:r>
        <w:t>Calculate the amount of funding to be recalled (health service liability to the department) or paid (department liability to the health service) by multiplying the variance calculated in step 2 by the unit rate.</w:t>
      </w:r>
    </w:p>
    <w:p w14:paraId="6419F254" w14:textId="7B391D5C" w:rsidR="00D64349" w:rsidRDefault="00D64349" w:rsidP="00D64349">
      <w:pPr>
        <w:pStyle w:val="Heading3Addendums"/>
      </w:pPr>
      <w:bookmarkStart w:id="1070" w:name="_Toc452819097"/>
      <w:bookmarkStart w:id="1071" w:name="_Toc452822067"/>
      <w:bookmarkStart w:id="1072" w:name="_Toc452819098"/>
      <w:bookmarkStart w:id="1073" w:name="_Toc452822068"/>
      <w:bookmarkStart w:id="1074" w:name="_Toc452819099"/>
      <w:bookmarkStart w:id="1075" w:name="_Toc452822069"/>
      <w:bookmarkStart w:id="1076" w:name="_Toc452819100"/>
      <w:bookmarkStart w:id="1077" w:name="_Toc452822070"/>
      <w:bookmarkStart w:id="1078" w:name="_Toc452819101"/>
      <w:bookmarkStart w:id="1079" w:name="_Toc452822071"/>
      <w:bookmarkStart w:id="1080" w:name="_Toc452819102"/>
      <w:bookmarkStart w:id="1081" w:name="_Toc452822072"/>
      <w:bookmarkStart w:id="1082" w:name="_Toc452819103"/>
      <w:bookmarkStart w:id="1083" w:name="_Toc452822073"/>
      <w:bookmarkStart w:id="1084" w:name="_Toc452819104"/>
      <w:bookmarkStart w:id="1085" w:name="_Toc452822074"/>
      <w:bookmarkStart w:id="1086" w:name="_Toc452819105"/>
      <w:bookmarkStart w:id="1087" w:name="_Toc452822075"/>
      <w:bookmarkStart w:id="1088" w:name="_Toc452819106"/>
      <w:bookmarkStart w:id="1089" w:name="_Toc452822076"/>
      <w:bookmarkStart w:id="1090" w:name="_Toc452819107"/>
      <w:bookmarkStart w:id="1091" w:name="_Toc452822077"/>
      <w:bookmarkStart w:id="1092" w:name="_Toc452819108"/>
      <w:bookmarkStart w:id="1093" w:name="_Toc452822078"/>
      <w:bookmarkStart w:id="1094" w:name="_Toc452819109"/>
      <w:bookmarkStart w:id="1095" w:name="_Toc452822079"/>
      <w:bookmarkStart w:id="1096" w:name="_Toc452819110"/>
      <w:bookmarkStart w:id="1097" w:name="_Toc452822080"/>
      <w:bookmarkStart w:id="1098" w:name="_Toc452819111"/>
      <w:bookmarkStart w:id="1099" w:name="_Toc452822081"/>
      <w:bookmarkStart w:id="1100" w:name="_Toc452819112"/>
      <w:bookmarkStart w:id="1101" w:name="_Toc452822082"/>
      <w:bookmarkStart w:id="1102" w:name="_Toc484327540"/>
      <w:bookmarkStart w:id="1103" w:name="_Toc484327542"/>
      <w:bookmarkStart w:id="1104" w:name="_Toc484327544"/>
      <w:bookmarkStart w:id="1105" w:name="_Toc484327545"/>
      <w:bookmarkStart w:id="1106" w:name="_Toc484327547"/>
      <w:bookmarkStart w:id="1107" w:name="_Toc487742060"/>
      <w:bookmarkStart w:id="1108" w:name="_Toc14172291"/>
      <w:bookmarkStart w:id="1109" w:name="_Toc55381155"/>
      <w:bookmarkStart w:id="1110" w:name="_Toc100263361"/>
      <w:bookmarkStart w:id="1111" w:name="_Toc12719200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xml:space="preserve">Calculating </w:t>
      </w:r>
      <w:r w:rsidR="00331D5D">
        <w:t>T</w:t>
      </w:r>
      <w:r>
        <w:t xml:space="preserve">otal </w:t>
      </w:r>
      <w:r w:rsidR="00331D5D">
        <w:t>P</w:t>
      </w:r>
      <w:r>
        <w:t xml:space="preserve">arental </w:t>
      </w:r>
      <w:r w:rsidR="00331D5D">
        <w:t>N</w:t>
      </w:r>
      <w:r>
        <w:t xml:space="preserve">utrition </w:t>
      </w:r>
      <w:r w:rsidR="00331D5D">
        <w:t>R</w:t>
      </w:r>
      <w:r>
        <w:t>ecall</w:t>
      </w:r>
      <w:bookmarkEnd w:id="1107"/>
      <w:bookmarkEnd w:id="1108"/>
      <w:bookmarkEnd w:id="1109"/>
      <w:bookmarkEnd w:id="1110"/>
      <w:bookmarkEnd w:id="1111"/>
    </w:p>
    <w:p w14:paraId="52727807" w14:textId="77777777" w:rsidR="00D64349" w:rsidRPr="00AC7D3A" w:rsidRDefault="00D64349" w:rsidP="00D64349">
      <w:pPr>
        <w:pStyle w:val="Body"/>
      </w:pPr>
      <w:r w:rsidRPr="00AC7D3A">
        <w:t>Funding adjustments are calculated as follows</w:t>
      </w:r>
      <w:r>
        <w:t>.</w:t>
      </w:r>
    </w:p>
    <w:p w14:paraId="0C737385" w14:textId="77777777" w:rsidR="00D64349" w:rsidRPr="00631BCD" w:rsidRDefault="00D64349" w:rsidP="00D64349">
      <w:pPr>
        <w:pStyle w:val="Bodyaftertablefigure"/>
      </w:pPr>
      <w:r w:rsidRPr="00631BCD">
        <w:rPr>
          <w:b/>
          <w:bCs/>
        </w:rPr>
        <w:t>Step 1: Calculate the average activity.</w:t>
      </w:r>
    </w:p>
    <w:p w14:paraId="44237A07" w14:textId="77777777" w:rsidR="00D64349" w:rsidRDefault="00D64349" w:rsidP="00D64349">
      <w:pPr>
        <w:pStyle w:val="Body"/>
      </w:pPr>
      <w:r>
        <w:t>Calculate the average activity for the financial year by summing results for each month of the year together and dividing by 12 (12 months).</w:t>
      </w:r>
    </w:p>
    <w:p w14:paraId="200D27AD" w14:textId="36EB82E0" w:rsidR="00D64349" w:rsidRPr="00631BCD" w:rsidRDefault="00D64349" w:rsidP="00D64349">
      <w:pPr>
        <w:pStyle w:val="Bodyaftertablefigure"/>
      </w:pPr>
      <w:r w:rsidRPr="00631BCD">
        <w:rPr>
          <w:b/>
          <w:bCs/>
        </w:rPr>
        <w:t>Step 2: Calculate the over or under</w:t>
      </w:r>
      <w:r w:rsidR="006B4DBF">
        <w:rPr>
          <w:b/>
          <w:bCs/>
        </w:rPr>
        <w:t>-</w:t>
      </w:r>
      <w:r w:rsidRPr="00631BCD">
        <w:rPr>
          <w:b/>
          <w:bCs/>
        </w:rPr>
        <w:t>activity.</w:t>
      </w:r>
    </w:p>
    <w:p w14:paraId="33B7D61D" w14:textId="04089974" w:rsidR="00D64349" w:rsidRDefault="00D64349" w:rsidP="00D64349">
      <w:pPr>
        <w:pStyle w:val="Body"/>
      </w:pPr>
      <w:r w:rsidRPr="00DB4B48">
        <w:t>Calculate the over or under</w:t>
      </w:r>
      <w:r w:rsidR="006B4DBF">
        <w:t>-</w:t>
      </w:r>
      <w:r w:rsidRPr="00DB4B48">
        <w:t>activity</w:t>
      </w:r>
      <w:r w:rsidRPr="00DB4B48">
        <w:rPr>
          <w:b/>
        </w:rPr>
        <w:t xml:space="preserve"> </w:t>
      </w:r>
      <w:r>
        <w:t>by subtracting the health service target from the average activity (calculated in step 1).</w:t>
      </w:r>
    </w:p>
    <w:p w14:paraId="2E9DEE34" w14:textId="1871EF3A" w:rsidR="00D64349" w:rsidRPr="0039197F" w:rsidRDefault="00D64349" w:rsidP="00D64349">
      <w:pPr>
        <w:pStyle w:val="Body"/>
      </w:pPr>
      <w:r>
        <w:t>A negative variance indicates that the average activity is less than the funded target (under</w:t>
      </w:r>
      <w:r w:rsidR="006B4DBF">
        <w:t>-</w:t>
      </w:r>
      <w:r>
        <w:t>performance), and a positive variance indicates that activity is greater than the funded performance (over</w:t>
      </w:r>
      <w:r w:rsidR="00B34795">
        <w:t>-</w:t>
      </w:r>
      <w:r>
        <w:t>activity).</w:t>
      </w:r>
    </w:p>
    <w:p w14:paraId="7BC8084B" w14:textId="77777777" w:rsidR="00D64349" w:rsidRPr="00631BCD" w:rsidRDefault="00D64349" w:rsidP="00D64349">
      <w:pPr>
        <w:pStyle w:val="Bodyaftertablefigure"/>
      </w:pPr>
      <w:r w:rsidRPr="00631BCD">
        <w:rPr>
          <w:b/>
          <w:bCs/>
        </w:rPr>
        <w:t>Step 3: Calculate the amount of funding to be recalled or paid.</w:t>
      </w:r>
    </w:p>
    <w:p w14:paraId="43F3296B" w14:textId="222B16B4" w:rsidR="00D64349" w:rsidRDefault="00D64349" w:rsidP="00D64349">
      <w:pPr>
        <w:pStyle w:val="Body"/>
      </w:pPr>
      <w:r>
        <w:t>Calculate the amount of funding to be recalled (health service liability to the department) or paid (department liability to the health service) by multiplying the variance calculated in step 2 by the</w:t>
      </w:r>
      <w:r w:rsidR="00F65C42">
        <w:t xml:space="preserve"> NWAU</w:t>
      </w:r>
      <w:r>
        <w:t xml:space="preserve"> unit rate.</w:t>
      </w:r>
    </w:p>
    <w:p w14:paraId="6288D798" w14:textId="7CA8DD1A" w:rsidR="00D64349" w:rsidRDefault="00D64349" w:rsidP="00D64349">
      <w:pPr>
        <w:pStyle w:val="Heading3Addendums"/>
      </w:pPr>
      <w:bookmarkStart w:id="1112" w:name="_Toc487742061"/>
      <w:bookmarkStart w:id="1113" w:name="_Toc14172292"/>
      <w:bookmarkStart w:id="1114" w:name="_Toc55381156"/>
      <w:bookmarkStart w:id="1115" w:name="_Toc100263362"/>
      <w:bookmarkStart w:id="1116" w:name="_Toc127192010"/>
      <w:r>
        <w:lastRenderedPageBreak/>
        <w:t xml:space="preserve">Calculating </w:t>
      </w:r>
      <w:r w:rsidR="00331D5D">
        <w:t>H</w:t>
      </w:r>
      <w:r>
        <w:t xml:space="preserve">ome </w:t>
      </w:r>
      <w:r w:rsidR="00331D5D">
        <w:t>E</w:t>
      </w:r>
      <w:r>
        <w:t xml:space="preserve">nteral </w:t>
      </w:r>
      <w:r w:rsidR="00331D5D">
        <w:t>N</w:t>
      </w:r>
      <w:r>
        <w:t xml:space="preserve">utrition </w:t>
      </w:r>
      <w:r w:rsidR="00331D5D">
        <w:t>R</w:t>
      </w:r>
      <w:r>
        <w:t>ecall</w:t>
      </w:r>
      <w:bookmarkEnd w:id="1112"/>
      <w:bookmarkEnd w:id="1113"/>
      <w:bookmarkEnd w:id="1114"/>
      <w:bookmarkEnd w:id="1115"/>
      <w:bookmarkEnd w:id="1116"/>
    </w:p>
    <w:p w14:paraId="36C3C75F" w14:textId="77777777" w:rsidR="00D64349" w:rsidRPr="00AC7D3A" w:rsidRDefault="00D64349" w:rsidP="00D64349">
      <w:pPr>
        <w:pStyle w:val="Body"/>
      </w:pPr>
      <w:r w:rsidRPr="00AC7D3A">
        <w:t>Funding adjustments are calculated as follows</w:t>
      </w:r>
      <w:r>
        <w:t>.</w:t>
      </w:r>
    </w:p>
    <w:p w14:paraId="0FC46999" w14:textId="77777777" w:rsidR="00D64349" w:rsidRPr="00631BCD" w:rsidRDefault="00D64349" w:rsidP="00D64349">
      <w:pPr>
        <w:pStyle w:val="Bodyaftertablefigure"/>
      </w:pPr>
      <w:r w:rsidRPr="00631BCD">
        <w:rPr>
          <w:b/>
          <w:bCs/>
        </w:rPr>
        <w:t>Step 1: Calculate the average activity.</w:t>
      </w:r>
    </w:p>
    <w:p w14:paraId="7D13BD23" w14:textId="77777777" w:rsidR="00D64349" w:rsidRDefault="00D64349" w:rsidP="00D64349">
      <w:pPr>
        <w:pStyle w:val="Body"/>
      </w:pPr>
      <w:r>
        <w:t>Calculate the total activity for the financial year by summing results for each month of the year together and dividing by 12 (12 months).</w:t>
      </w:r>
    </w:p>
    <w:p w14:paraId="794BEE82" w14:textId="65F33DD7" w:rsidR="00D64349" w:rsidRPr="00631BCD" w:rsidRDefault="00D64349" w:rsidP="00D64349">
      <w:pPr>
        <w:pStyle w:val="Bodyaftertablefigure"/>
      </w:pPr>
      <w:r w:rsidRPr="00631BCD">
        <w:rPr>
          <w:b/>
          <w:bCs/>
        </w:rPr>
        <w:t>Step 2: Calculate the over or under</w:t>
      </w:r>
      <w:r w:rsidR="006B4DBF">
        <w:rPr>
          <w:b/>
          <w:bCs/>
        </w:rPr>
        <w:t>-</w:t>
      </w:r>
      <w:r w:rsidRPr="00631BCD">
        <w:rPr>
          <w:b/>
          <w:bCs/>
        </w:rPr>
        <w:t>activity.</w:t>
      </w:r>
    </w:p>
    <w:p w14:paraId="7109E8BC" w14:textId="3F983CAB" w:rsidR="00D64349" w:rsidRDefault="00D64349" w:rsidP="00D64349">
      <w:pPr>
        <w:pStyle w:val="Body"/>
      </w:pPr>
      <w:r w:rsidRPr="00DB4B48">
        <w:t>Calculate the over or under</w:t>
      </w:r>
      <w:r w:rsidR="006B4DBF">
        <w:t>-</w:t>
      </w:r>
      <w:r w:rsidRPr="00DB4B48">
        <w:t>activity</w:t>
      </w:r>
      <w:r w:rsidRPr="00DB4B48">
        <w:rPr>
          <w:b/>
        </w:rPr>
        <w:t xml:space="preserve"> </w:t>
      </w:r>
      <w:r>
        <w:t>by subtracting the health service target from the average activity (calculated in step 1).</w:t>
      </w:r>
    </w:p>
    <w:p w14:paraId="243269B6" w14:textId="44C1025E" w:rsidR="00D64349" w:rsidRPr="0039197F" w:rsidRDefault="00D64349" w:rsidP="00D64349">
      <w:pPr>
        <w:pStyle w:val="Body"/>
      </w:pPr>
      <w:r>
        <w:t>A negative variance indicates that the average activity is less than the funded target (under</w:t>
      </w:r>
      <w:r w:rsidR="006B4DBF">
        <w:t>-</w:t>
      </w:r>
      <w:r>
        <w:t>performance), and a positive variance indicates that activity is greater than the funded performance (over</w:t>
      </w:r>
      <w:r w:rsidR="00B34795">
        <w:t>-</w:t>
      </w:r>
      <w:r>
        <w:t>activity).</w:t>
      </w:r>
    </w:p>
    <w:p w14:paraId="3D0E36DF" w14:textId="77777777" w:rsidR="00D64349" w:rsidRPr="00631BCD" w:rsidRDefault="00D64349" w:rsidP="00D64349">
      <w:pPr>
        <w:pStyle w:val="Bodyaftertablefigure"/>
      </w:pPr>
      <w:r w:rsidRPr="00631BCD">
        <w:rPr>
          <w:b/>
          <w:bCs/>
        </w:rPr>
        <w:t>Step 3: Calculate the amount of funding to be recalled or paid.</w:t>
      </w:r>
    </w:p>
    <w:p w14:paraId="62CFC49E" w14:textId="387275AC" w:rsidR="00864643" w:rsidRDefault="00D64349" w:rsidP="0037564B">
      <w:pPr>
        <w:pStyle w:val="Body"/>
        <w:sectPr w:rsidR="00864643" w:rsidSect="00482D0F">
          <w:footerReference w:type="even" r:id="rId89"/>
          <w:pgSz w:w="11906" w:h="16838" w:code="9"/>
          <w:pgMar w:top="1134" w:right="1304" w:bottom="1021" w:left="1304" w:header="680" w:footer="567" w:gutter="0"/>
          <w:cols w:space="340"/>
          <w:docGrid w:linePitch="360"/>
        </w:sectPr>
      </w:pPr>
      <w:r>
        <w:t>Calculate the amount of funding to be recalled (health service liability to the department) or paid (department liability to the health service) by multiplying the variance calculated in step 2 by the unit rate.</w:t>
      </w:r>
    </w:p>
    <w:p w14:paraId="2F077230" w14:textId="467AC5FA" w:rsidR="00AC58A4" w:rsidRDefault="00AC58A4">
      <w:pPr>
        <w:spacing w:after="0" w:line="240" w:lineRule="auto"/>
        <w:sectPr w:rsidR="00AC58A4" w:rsidSect="00864643">
          <w:type w:val="continuous"/>
          <w:pgSz w:w="11906" w:h="16838" w:code="9"/>
          <w:pgMar w:top="4962" w:right="1304" w:bottom="1134" w:left="1304" w:header="680" w:footer="851" w:gutter="0"/>
          <w:cols w:space="340"/>
          <w:docGrid w:linePitch="360"/>
        </w:sectPr>
      </w:pPr>
      <w:bookmarkStart w:id="1117" w:name="_Toc100263363"/>
    </w:p>
    <w:p w14:paraId="3DB344AE" w14:textId="65F95744" w:rsidR="000B27B9" w:rsidRPr="0026034E" w:rsidRDefault="000B27B9" w:rsidP="00E02B46">
      <w:pPr>
        <w:pStyle w:val="Heading1"/>
      </w:pPr>
      <w:bookmarkStart w:id="1118" w:name="_Toc127192011"/>
      <w:r>
        <w:lastRenderedPageBreak/>
        <w:t xml:space="preserve">Funding and </w:t>
      </w:r>
      <w:r w:rsidR="00331D5D">
        <w:t>A</w:t>
      </w:r>
      <w:r>
        <w:t xml:space="preserve">ctivity </w:t>
      </w:r>
      <w:r w:rsidR="00331D5D">
        <w:t>L</w:t>
      </w:r>
      <w:r>
        <w:t>evels</w:t>
      </w:r>
      <w:bookmarkEnd w:id="1042"/>
      <w:bookmarkEnd w:id="1117"/>
      <w:bookmarkEnd w:id="1118"/>
    </w:p>
    <w:p w14:paraId="45892A94" w14:textId="77777777" w:rsidR="000B27B9" w:rsidRDefault="000B27B9" w:rsidP="00B92CD4">
      <w:pPr>
        <w:pStyle w:val="Body"/>
      </w:pPr>
    </w:p>
    <w:p w14:paraId="2C3CD0CC" w14:textId="77777777" w:rsidR="00DF3E40" w:rsidRDefault="00DF3E40" w:rsidP="000B27B9">
      <w:pPr>
        <w:pStyle w:val="Heading2"/>
        <w:spacing w:after="440" w:line="440" w:lineRule="atLeast"/>
        <w:sectPr w:rsidR="00DF3E40" w:rsidSect="00AC58A4">
          <w:headerReference w:type="even" r:id="rId90"/>
          <w:headerReference w:type="default" r:id="rId91"/>
          <w:footerReference w:type="default" r:id="rId92"/>
          <w:pgSz w:w="11906" w:h="16838" w:code="9"/>
          <w:pgMar w:top="4962" w:right="1304" w:bottom="1134" w:left="1304" w:header="680" w:footer="851" w:gutter="0"/>
          <w:cols w:space="340"/>
          <w:docGrid w:linePitch="360"/>
        </w:sectPr>
      </w:pPr>
      <w:bookmarkStart w:id="1119" w:name="_Toc12780655"/>
      <w:bookmarkStart w:id="1120" w:name="_Toc14172296"/>
      <w:bookmarkStart w:id="1121" w:name="_Toc33703970"/>
      <w:bookmarkStart w:id="1122" w:name="_Toc55381158"/>
    </w:p>
    <w:p w14:paraId="3A333AD8" w14:textId="6EF68067" w:rsidR="000B27B9" w:rsidRPr="004903A7" w:rsidRDefault="000B27B9" w:rsidP="000B27B9">
      <w:pPr>
        <w:pStyle w:val="Heading2"/>
        <w:spacing w:after="440" w:line="440" w:lineRule="atLeast"/>
      </w:pPr>
      <w:bookmarkStart w:id="1123" w:name="_Ref74211066"/>
      <w:bookmarkStart w:id="1124" w:name="_Ref74211072"/>
      <w:bookmarkStart w:id="1125" w:name="_Ref74211078"/>
      <w:bookmarkStart w:id="1126" w:name="_Ref74211087"/>
      <w:bookmarkStart w:id="1127" w:name="_Toc100263364"/>
      <w:bookmarkStart w:id="1128" w:name="_Toc127192012"/>
      <w:r w:rsidRPr="004903A7">
        <w:lastRenderedPageBreak/>
        <w:t xml:space="preserve">Budget </w:t>
      </w:r>
      <w:r w:rsidR="00331D5D">
        <w:t>T</w:t>
      </w:r>
      <w:r w:rsidRPr="004903A7">
        <w:t>ables</w:t>
      </w:r>
      <w:bookmarkEnd w:id="1119"/>
      <w:bookmarkEnd w:id="1120"/>
      <w:bookmarkEnd w:id="1121"/>
      <w:bookmarkEnd w:id="1122"/>
      <w:bookmarkEnd w:id="1123"/>
      <w:bookmarkEnd w:id="1124"/>
      <w:bookmarkEnd w:id="1125"/>
      <w:bookmarkEnd w:id="1126"/>
      <w:bookmarkEnd w:id="1127"/>
      <w:bookmarkEnd w:id="1128"/>
    </w:p>
    <w:p w14:paraId="5A654A75" w14:textId="0349A9EB" w:rsidR="000B27B9" w:rsidRPr="00A67ABC" w:rsidRDefault="000B27B9" w:rsidP="009375E0">
      <w:pPr>
        <w:pStyle w:val="Heading3"/>
        <w:spacing w:before="240"/>
      </w:pPr>
      <w:bookmarkStart w:id="1129" w:name="_Toc12780656"/>
      <w:bookmarkStart w:id="1130" w:name="_Toc14172297"/>
      <w:bookmarkStart w:id="1131" w:name="_Toc33703971"/>
      <w:bookmarkStart w:id="1132" w:name="_Toc55381159"/>
      <w:bookmarkStart w:id="1133" w:name="_Toc127192013"/>
      <w:r w:rsidRPr="00A67ABC">
        <w:t xml:space="preserve">Health </w:t>
      </w:r>
      <w:r w:rsidR="00331D5D" w:rsidRPr="00A67ABC">
        <w:t>S</w:t>
      </w:r>
      <w:r w:rsidRPr="00A67ABC">
        <w:t xml:space="preserve">ervice </w:t>
      </w:r>
      <w:r w:rsidR="00331D5D" w:rsidRPr="00A67ABC">
        <w:t>M</w:t>
      </w:r>
      <w:r w:rsidRPr="00A67ABC">
        <w:t xml:space="preserve">odelled </w:t>
      </w:r>
      <w:r w:rsidR="00331D5D" w:rsidRPr="00A67ABC">
        <w:t>B</w:t>
      </w:r>
      <w:r w:rsidRPr="00A67ABC">
        <w:t>udgets 20</w:t>
      </w:r>
      <w:r w:rsidR="006979F4" w:rsidRPr="00A67ABC">
        <w:t>2</w:t>
      </w:r>
      <w:r w:rsidR="005D1FCB" w:rsidRPr="00A67ABC">
        <w:t>1</w:t>
      </w:r>
      <w:r w:rsidR="00CA1B3E" w:rsidRPr="00A67ABC">
        <w:t>–</w:t>
      </w:r>
      <w:r w:rsidR="006979F4" w:rsidRPr="00A67ABC">
        <w:t>2</w:t>
      </w:r>
      <w:r w:rsidR="005D1FCB" w:rsidRPr="00A67ABC">
        <w:t>2</w:t>
      </w:r>
      <w:r w:rsidRPr="00A67ABC">
        <w:t xml:space="preserve"> and </w:t>
      </w:r>
      <w:bookmarkEnd w:id="1129"/>
      <w:bookmarkEnd w:id="1130"/>
      <w:bookmarkEnd w:id="1131"/>
      <w:bookmarkEnd w:id="1132"/>
      <w:r w:rsidR="005D1FCB" w:rsidRPr="00A67ABC">
        <w:t>2022</w:t>
      </w:r>
      <w:r w:rsidR="00CA1B3E" w:rsidRPr="00A67ABC">
        <w:t>–</w:t>
      </w:r>
      <w:r w:rsidR="005D1FCB" w:rsidRPr="00A67ABC">
        <w:t>23</w:t>
      </w:r>
      <w:bookmarkEnd w:id="1133"/>
    </w:p>
    <w:p w14:paraId="7AE64A1C" w14:textId="7AC55246" w:rsidR="000B27B9" w:rsidRPr="00A67ABC" w:rsidRDefault="000B27B9" w:rsidP="0064265C">
      <w:pPr>
        <w:pStyle w:val="Tablefigurenote9pt"/>
      </w:pPr>
      <w:r w:rsidRPr="00A67ABC">
        <w:t>Notes:</w:t>
      </w:r>
    </w:p>
    <w:p w14:paraId="6FB60BAE" w14:textId="39C4F6B7" w:rsidR="000B27B9" w:rsidRPr="00A67ABC" w:rsidRDefault="000B27B9" w:rsidP="00BF6845">
      <w:pPr>
        <w:pStyle w:val="Tablenoteroman"/>
      </w:pPr>
      <w:r w:rsidRPr="00A67ABC">
        <w:t xml:space="preserve">Please see </w:t>
      </w:r>
      <w:r w:rsidRPr="00A67ABC">
        <w:fldChar w:fldCharType="begin"/>
      </w:r>
      <w:r w:rsidRPr="00A67ABC">
        <w:instrText xml:space="preserve"> REF _Ref485757837 \h </w:instrText>
      </w:r>
      <w:r w:rsidR="00A67ABC">
        <w:instrText xml:space="preserve"> \* MERGEFORMAT </w:instrText>
      </w:r>
      <w:r w:rsidRPr="00A67ABC">
        <w:fldChar w:fldCharType="separate"/>
      </w:r>
      <w:r w:rsidR="006D0756" w:rsidRPr="00A67ABC">
        <w:t xml:space="preserve">Table </w:t>
      </w:r>
      <w:r w:rsidR="006D0756" w:rsidRPr="00A67ABC">
        <w:rPr>
          <w:noProof/>
        </w:rPr>
        <w:t>2</w:t>
      </w:r>
      <w:r w:rsidR="006D0756" w:rsidRPr="00A67ABC">
        <w:t>.</w:t>
      </w:r>
      <w:r w:rsidR="006D0756" w:rsidRPr="00A67ABC">
        <w:rPr>
          <w:noProof/>
        </w:rPr>
        <w:t>3</w:t>
      </w:r>
      <w:r w:rsidRPr="00A67ABC">
        <w:fldChar w:fldCharType="end"/>
      </w:r>
      <w:r w:rsidRPr="00A67ABC">
        <w:t xml:space="preserve"> for details on funding </w:t>
      </w:r>
      <w:r w:rsidRPr="00A67ABC">
        <w:rPr>
          <w:rFonts w:cs="Arial"/>
          <w:color w:val="000000" w:themeColor="text1"/>
          <w:lang w:eastAsia="en-AU"/>
        </w:rPr>
        <w:t>flowing through the National Health Funding Pool</w:t>
      </w:r>
      <w:r w:rsidRPr="00A67ABC">
        <w:t>.</w:t>
      </w:r>
    </w:p>
    <w:p w14:paraId="35EB07A0" w14:textId="5439AA03" w:rsidR="000B27B9" w:rsidRPr="00A67ABC" w:rsidRDefault="000B27B9" w:rsidP="000B27B9">
      <w:pPr>
        <w:pStyle w:val="Tablenoteroman"/>
      </w:pPr>
      <w:r w:rsidRPr="00A67ABC">
        <w:t xml:space="preserve">Please see </w:t>
      </w:r>
      <w:r w:rsidRPr="00A67ABC">
        <w:fldChar w:fldCharType="begin"/>
      </w:r>
      <w:r w:rsidRPr="00A67ABC">
        <w:instrText xml:space="preserve"> REF _Ref452894778 \h </w:instrText>
      </w:r>
      <w:r w:rsidR="00A67ABC">
        <w:instrText xml:space="preserve"> \* MERGEFORMAT </w:instrText>
      </w:r>
      <w:r w:rsidRPr="00A67ABC">
        <w:fldChar w:fldCharType="separate"/>
      </w:r>
      <w:r w:rsidR="006D0756" w:rsidRPr="00A67ABC">
        <w:t xml:space="preserve">Table </w:t>
      </w:r>
      <w:r w:rsidR="006D0756" w:rsidRPr="00A67ABC">
        <w:rPr>
          <w:noProof/>
        </w:rPr>
        <w:t>2</w:t>
      </w:r>
      <w:r w:rsidR="006D0756" w:rsidRPr="00A67ABC">
        <w:t>.</w:t>
      </w:r>
      <w:r w:rsidR="006D0756" w:rsidRPr="00A67ABC">
        <w:rPr>
          <w:noProof/>
        </w:rPr>
        <w:t>4</w:t>
      </w:r>
      <w:r w:rsidRPr="00A67ABC">
        <w:fldChar w:fldCharType="end"/>
      </w:r>
      <w:r w:rsidRPr="00A67ABC">
        <w:t xml:space="preserve"> for details on mental health expenditure.</w:t>
      </w:r>
    </w:p>
    <w:p w14:paraId="7F7B93B6" w14:textId="77777777" w:rsidR="000B27B9" w:rsidRPr="00A67ABC" w:rsidRDefault="000B27B9" w:rsidP="000B27B9">
      <w:pPr>
        <w:pStyle w:val="Tablenoteroman"/>
        <w:rPr>
          <w:b/>
          <w:lang w:eastAsia="en-AU"/>
        </w:rPr>
      </w:pPr>
      <w:r w:rsidRPr="00A67ABC">
        <w:rPr>
          <w:lang w:eastAsia="en-AU"/>
        </w:rPr>
        <w:t>Subtotals and totals may not add up due to rounding.</w:t>
      </w:r>
    </w:p>
    <w:p w14:paraId="706F2CF3" w14:textId="62464D72" w:rsidR="009D3D92" w:rsidRPr="00A67ABC" w:rsidRDefault="00B9325A" w:rsidP="000B27B9">
      <w:pPr>
        <w:pStyle w:val="Tablenoteroman"/>
        <w:rPr>
          <w:lang w:eastAsia="en-AU"/>
        </w:rPr>
      </w:pPr>
      <w:r w:rsidRPr="00A67ABC">
        <w:rPr>
          <w:lang w:eastAsia="en-AU"/>
        </w:rPr>
        <w:t>Figures adjusted to remove one-off funding impacts in 202</w:t>
      </w:r>
      <w:r w:rsidR="005D1FCB" w:rsidRPr="00A67ABC">
        <w:rPr>
          <w:lang w:eastAsia="en-AU"/>
        </w:rPr>
        <w:t>1</w:t>
      </w:r>
      <w:r w:rsidR="00CA1B3E" w:rsidRPr="00A67ABC">
        <w:rPr>
          <w:lang w:eastAsia="en-AU"/>
        </w:rPr>
        <w:t>–</w:t>
      </w:r>
      <w:r w:rsidRPr="00A67ABC">
        <w:rPr>
          <w:lang w:eastAsia="en-AU"/>
        </w:rPr>
        <w:t>2</w:t>
      </w:r>
      <w:r w:rsidR="005D1FCB" w:rsidRPr="00A67ABC">
        <w:rPr>
          <w:lang w:eastAsia="en-AU"/>
        </w:rPr>
        <w:t>2</w:t>
      </w:r>
      <w:r w:rsidR="008F7C2F" w:rsidRPr="00A67ABC">
        <w:rPr>
          <w:lang w:eastAsia="en-AU"/>
        </w:rPr>
        <w:t xml:space="preserve"> and </w:t>
      </w:r>
      <w:r w:rsidR="005D1FCB" w:rsidRPr="00A67ABC">
        <w:rPr>
          <w:lang w:eastAsia="en-AU"/>
        </w:rPr>
        <w:t>2022</w:t>
      </w:r>
      <w:r w:rsidR="00CA1B3E" w:rsidRPr="00A67ABC">
        <w:rPr>
          <w:lang w:eastAsia="en-AU"/>
        </w:rPr>
        <w:t>–</w:t>
      </w:r>
      <w:r w:rsidR="005D1FCB" w:rsidRPr="00A67ABC">
        <w:rPr>
          <w:lang w:eastAsia="en-AU"/>
        </w:rPr>
        <w:t>23</w:t>
      </w:r>
      <w:r w:rsidRPr="00A67ABC">
        <w:rPr>
          <w:lang w:eastAsia="en-AU"/>
        </w:rPr>
        <w:t>.</w:t>
      </w:r>
    </w:p>
    <w:p w14:paraId="628DCF1A" w14:textId="17EB0AA3" w:rsidR="00925E8D" w:rsidRPr="00A67ABC" w:rsidRDefault="00925E8D" w:rsidP="000B27B9">
      <w:pPr>
        <w:pStyle w:val="Tablenoteroman"/>
        <w:rPr>
          <w:lang w:eastAsia="en-AU"/>
        </w:rPr>
      </w:pPr>
      <w:r w:rsidRPr="00A67ABC">
        <w:rPr>
          <w:lang w:eastAsia="en-AU"/>
        </w:rPr>
        <w:t xml:space="preserve">When published, Statement of Priorities </w:t>
      </w:r>
      <w:r w:rsidR="00BA5CF5" w:rsidRPr="00A67ABC">
        <w:rPr>
          <w:lang w:eastAsia="en-AU"/>
        </w:rPr>
        <w:t xml:space="preserve">Part C </w:t>
      </w:r>
      <w:r w:rsidR="007615EC" w:rsidRPr="00A67ABC">
        <w:rPr>
          <w:lang w:eastAsia="en-AU"/>
        </w:rPr>
        <w:t>supersede</w:t>
      </w:r>
      <w:r w:rsidR="00BA5CF5" w:rsidRPr="00A67ABC">
        <w:rPr>
          <w:lang w:eastAsia="en-AU"/>
        </w:rPr>
        <w:t xml:space="preserve"> these table</w:t>
      </w:r>
      <w:r w:rsidR="004A627F" w:rsidRPr="00A67ABC">
        <w:rPr>
          <w:lang w:eastAsia="en-AU"/>
        </w:rPr>
        <w:t>s.</w:t>
      </w:r>
    </w:p>
    <w:p w14:paraId="42DEB45D" w14:textId="168C0A85" w:rsidR="000B27B9" w:rsidRDefault="000B27B9" w:rsidP="000E08EF">
      <w:pPr>
        <w:pStyle w:val="Tablecaption"/>
      </w:pPr>
      <w:bookmarkStart w:id="1134" w:name="_Toc12780560"/>
      <w:bookmarkStart w:id="1135" w:name="_Toc14194816"/>
      <w:bookmarkStart w:id="1136" w:name="_Toc33703997"/>
      <w:bookmarkStart w:id="1137" w:name="_Toc119500908"/>
      <w:r w:rsidRPr="00A67ABC">
        <w:t xml:space="preserve">Table </w:t>
      </w:r>
      <w:r>
        <w:fldChar w:fldCharType="begin"/>
      </w:r>
      <w:r>
        <w:instrText>STYLEREF 1 \s</w:instrText>
      </w:r>
      <w:r>
        <w:fldChar w:fldCharType="separate"/>
      </w:r>
      <w:r w:rsidR="006D0756" w:rsidRPr="00A67ABC">
        <w:rPr>
          <w:noProof/>
        </w:rPr>
        <w:t>2</w:t>
      </w:r>
      <w:r>
        <w:fldChar w:fldCharType="end"/>
      </w:r>
      <w:r w:rsidR="00EC6300" w:rsidRPr="00A67ABC">
        <w:t>.</w:t>
      </w:r>
      <w:r>
        <w:fldChar w:fldCharType="begin"/>
      </w:r>
      <w:r>
        <w:instrText>SEQ Table \* ARABIC \s 1</w:instrText>
      </w:r>
      <w:r>
        <w:fldChar w:fldCharType="separate"/>
      </w:r>
      <w:r w:rsidR="006D0756" w:rsidRPr="00A67ABC">
        <w:rPr>
          <w:noProof/>
        </w:rPr>
        <w:t>1</w:t>
      </w:r>
      <w:r>
        <w:fldChar w:fldCharType="end"/>
      </w:r>
      <w:r w:rsidRPr="00A67ABC">
        <w:t xml:space="preserve">: Expenditure budgets </w:t>
      </w:r>
      <w:r w:rsidR="001F5EE4" w:rsidRPr="00A67ABC">
        <w:t>202</w:t>
      </w:r>
      <w:r w:rsidR="005D1FCB" w:rsidRPr="00A67ABC">
        <w:t>1</w:t>
      </w:r>
      <w:r w:rsidR="004A627F" w:rsidRPr="00A67ABC">
        <w:t>–</w:t>
      </w:r>
      <w:r w:rsidR="001F5EE4" w:rsidRPr="00A67ABC">
        <w:t>2</w:t>
      </w:r>
      <w:r w:rsidR="005D1FCB" w:rsidRPr="00A67ABC">
        <w:t>2</w:t>
      </w:r>
      <w:r w:rsidRPr="00A67ABC">
        <w:t xml:space="preserve"> and </w:t>
      </w:r>
      <w:bookmarkEnd w:id="1134"/>
      <w:bookmarkEnd w:id="1135"/>
      <w:bookmarkEnd w:id="1136"/>
      <w:r w:rsidR="001F5EE4" w:rsidRPr="00A67ABC">
        <w:t>202</w:t>
      </w:r>
      <w:r w:rsidR="005D1FCB" w:rsidRPr="00A67ABC">
        <w:t>2</w:t>
      </w:r>
      <w:r w:rsidR="004A627F" w:rsidRPr="00A67ABC">
        <w:t>–</w:t>
      </w:r>
      <w:r w:rsidR="001F5EE4" w:rsidRPr="00A67ABC">
        <w:t>2</w:t>
      </w:r>
      <w:r w:rsidR="005D1FCB" w:rsidRPr="00A67ABC">
        <w:t>3</w:t>
      </w:r>
      <w:bookmarkEnd w:id="1137"/>
    </w:p>
    <w:p w14:paraId="6579E1EE" w14:textId="77777777" w:rsidR="007521B3" w:rsidRDefault="007521B3" w:rsidP="007521B3">
      <w:pPr>
        <w:pStyle w:val="Body"/>
      </w:pPr>
      <w:r>
        <w:t>Metropolitan</w:t>
      </w:r>
      <w:r w:rsidR="00790C0B">
        <w:t xml:space="preserve"> and Regional</w:t>
      </w:r>
    </w:p>
    <w:tbl>
      <w:tblPr>
        <w:tblStyle w:val="TableGrid1"/>
        <w:tblW w:w="15163" w:type="dxa"/>
        <w:tblLayout w:type="fixed"/>
        <w:tblLook w:val="04A0" w:firstRow="1" w:lastRow="0" w:firstColumn="1" w:lastColumn="0" w:noHBand="0" w:noVBand="1"/>
      </w:tblPr>
      <w:tblGrid>
        <w:gridCol w:w="1344"/>
        <w:gridCol w:w="987"/>
        <w:gridCol w:w="987"/>
        <w:gridCol w:w="987"/>
        <w:gridCol w:w="987"/>
        <w:gridCol w:w="987"/>
        <w:gridCol w:w="987"/>
        <w:gridCol w:w="987"/>
        <w:gridCol w:w="987"/>
        <w:gridCol w:w="987"/>
        <w:gridCol w:w="987"/>
        <w:gridCol w:w="987"/>
        <w:gridCol w:w="987"/>
        <w:gridCol w:w="987"/>
        <w:gridCol w:w="988"/>
      </w:tblGrid>
      <w:tr w:rsidR="004E7DFB" w:rsidRPr="009A0E7D" w14:paraId="1C915926" w14:textId="77777777" w:rsidTr="004E7DFB">
        <w:trPr>
          <w:cnfStyle w:val="100000000000" w:firstRow="1" w:lastRow="0" w:firstColumn="0" w:lastColumn="0" w:oddVBand="0" w:evenVBand="0" w:oddHBand="0" w:evenHBand="0" w:firstRowFirstColumn="0" w:firstRowLastColumn="0" w:lastRowFirstColumn="0" w:lastRowLastColumn="0"/>
          <w:trHeight w:val="353"/>
          <w:tblHeader/>
        </w:trPr>
        <w:tc>
          <w:tcPr>
            <w:tcW w:w="1344" w:type="dxa"/>
            <w:vMerge w:val="restart"/>
            <w:noWrap/>
            <w:hideMark/>
          </w:tcPr>
          <w:p w14:paraId="3746E1E2" w14:textId="675658A8" w:rsidR="004E7DFB" w:rsidRPr="009A0E7D" w:rsidRDefault="004E7DFB" w:rsidP="009A0E7D">
            <w:pPr>
              <w:spacing w:after="0" w:line="240" w:lineRule="auto"/>
              <w:rPr>
                <w:rFonts w:cs="Arial"/>
                <w:b/>
                <w:bCs/>
                <w:color w:val="FFFFFF"/>
                <w:sz w:val="16"/>
                <w:szCs w:val="16"/>
                <w:lang w:eastAsia="en-AU"/>
              </w:rPr>
            </w:pPr>
            <w:r w:rsidRPr="009A0E7D">
              <w:rPr>
                <w:rFonts w:cs="Arial"/>
                <w:b/>
                <w:bCs/>
                <w:color w:val="FFFFFF"/>
                <w:sz w:val="16"/>
                <w:szCs w:val="16"/>
                <w:lang w:eastAsia="en-AU"/>
              </w:rPr>
              <w:t>Health Service</w:t>
            </w:r>
          </w:p>
        </w:tc>
        <w:tc>
          <w:tcPr>
            <w:tcW w:w="6909" w:type="dxa"/>
            <w:gridSpan w:val="7"/>
            <w:noWrap/>
            <w:hideMark/>
          </w:tcPr>
          <w:p w14:paraId="35545ADE" w14:textId="001CCFE5" w:rsidR="004E7DFB" w:rsidRPr="009A0E7D" w:rsidRDefault="004E7DFB" w:rsidP="009A0E7D">
            <w:pPr>
              <w:spacing w:after="0" w:line="240" w:lineRule="auto"/>
              <w:jc w:val="center"/>
              <w:rPr>
                <w:rFonts w:cs="Arial"/>
                <w:b/>
                <w:bCs/>
                <w:color w:val="FFFFFF"/>
                <w:sz w:val="16"/>
                <w:szCs w:val="16"/>
                <w:lang w:eastAsia="en-AU"/>
              </w:rPr>
            </w:pPr>
            <w:r w:rsidRPr="009A0E7D">
              <w:rPr>
                <w:rFonts w:cs="Arial"/>
                <w:b/>
                <w:bCs/>
                <w:color w:val="FFFFFF"/>
                <w:sz w:val="16"/>
                <w:szCs w:val="16"/>
                <w:lang w:eastAsia="en-AU"/>
              </w:rPr>
              <w:t>2021</w:t>
            </w:r>
            <w:r w:rsidR="002F204E" w:rsidRPr="005353E5">
              <w:rPr>
                <w:rFonts w:cs="Arial"/>
                <w:b/>
                <w:bCs/>
                <w:color w:val="FFFFFF"/>
                <w:sz w:val="16"/>
                <w:szCs w:val="16"/>
                <w:lang w:eastAsia="en-AU"/>
              </w:rPr>
              <w:t>–</w:t>
            </w:r>
            <w:r w:rsidRPr="009A0E7D">
              <w:rPr>
                <w:rFonts w:cs="Arial"/>
                <w:b/>
                <w:bCs/>
                <w:color w:val="FFFFFF"/>
                <w:sz w:val="16"/>
                <w:szCs w:val="16"/>
                <w:lang w:eastAsia="en-AU"/>
              </w:rPr>
              <w:t>2021</w:t>
            </w:r>
          </w:p>
        </w:tc>
        <w:tc>
          <w:tcPr>
            <w:tcW w:w="6910" w:type="dxa"/>
            <w:gridSpan w:val="7"/>
            <w:noWrap/>
            <w:hideMark/>
          </w:tcPr>
          <w:p w14:paraId="002EC03B" w14:textId="22F3C1BE" w:rsidR="004E7DFB" w:rsidRPr="009A0E7D" w:rsidRDefault="004E7DFB" w:rsidP="009A0E7D">
            <w:pPr>
              <w:spacing w:after="0" w:line="240" w:lineRule="auto"/>
              <w:jc w:val="center"/>
              <w:rPr>
                <w:rFonts w:cs="Arial"/>
                <w:b/>
                <w:bCs/>
                <w:color w:val="FFFFFF"/>
                <w:sz w:val="16"/>
                <w:szCs w:val="16"/>
                <w:lang w:eastAsia="en-AU"/>
              </w:rPr>
            </w:pPr>
            <w:r w:rsidRPr="009A0E7D">
              <w:rPr>
                <w:rFonts w:cs="Arial"/>
                <w:b/>
                <w:bCs/>
                <w:color w:val="FFFFFF"/>
                <w:sz w:val="16"/>
                <w:szCs w:val="16"/>
                <w:lang w:eastAsia="en-AU"/>
              </w:rPr>
              <w:t>2022</w:t>
            </w:r>
            <w:r w:rsidR="002F204E" w:rsidRPr="005353E5">
              <w:rPr>
                <w:rFonts w:cs="Arial"/>
                <w:b/>
                <w:bCs/>
                <w:color w:val="FFFFFF"/>
                <w:sz w:val="16"/>
                <w:szCs w:val="16"/>
                <w:lang w:eastAsia="en-AU"/>
              </w:rPr>
              <w:t>–</w:t>
            </w:r>
            <w:r w:rsidRPr="009A0E7D">
              <w:rPr>
                <w:rFonts w:cs="Arial"/>
                <w:b/>
                <w:bCs/>
                <w:color w:val="FFFFFF"/>
                <w:sz w:val="16"/>
                <w:szCs w:val="16"/>
                <w:lang w:eastAsia="en-AU"/>
              </w:rPr>
              <w:t>2023</w:t>
            </w:r>
          </w:p>
        </w:tc>
      </w:tr>
      <w:tr w:rsidR="004E7DFB" w:rsidRPr="009A0E7D" w14:paraId="3D4F4730" w14:textId="77777777" w:rsidTr="00601236">
        <w:trPr>
          <w:trHeight w:val="736"/>
        </w:trPr>
        <w:tc>
          <w:tcPr>
            <w:tcW w:w="1344" w:type="dxa"/>
            <w:vMerge/>
            <w:hideMark/>
          </w:tcPr>
          <w:p w14:paraId="0F15C5C0" w14:textId="3DD5F373" w:rsidR="004E7DFB" w:rsidRPr="009A0E7D" w:rsidRDefault="004E7DFB" w:rsidP="009A0E7D">
            <w:pPr>
              <w:spacing w:after="0" w:line="240" w:lineRule="auto"/>
              <w:rPr>
                <w:rFonts w:cs="Arial"/>
                <w:b/>
                <w:bCs/>
                <w:color w:val="FFFFFF"/>
                <w:sz w:val="16"/>
                <w:szCs w:val="16"/>
                <w:lang w:eastAsia="en-AU"/>
              </w:rPr>
            </w:pPr>
          </w:p>
        </w:tc>
        <w:tc>
          <w:tcPr>
            <w:tcW w:w="987" w:type="dxa"/>
            <w:shd w:val="clear" w:color="auto" w:fill="201547"/>
            <w:noWrap/>
            <w:hideMark/>
          </w:tcPr>
          <w:p w14:paraId="5248C972"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Acute Health Services</w:t>
            </w:r>
          </w:p>
          <w:p w14:paraId="5150086D" w14:textId="4D650E0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7B7F9D85"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Ageing, aged and home care</w:t>
            </w:r>
          </w:p>
          <w:p w14:paraId="066027DA" w14:textId="69CAE456"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2DBF933B"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Drugs Services</w:t>
            </w:r>
          </w:p>
          <w:p w14:paraId="31E5790A" w14:textId="29800D69"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4A550C4E"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Mental Health</w:t>
            </w:r>
          </w:p>
          <w:p w14:paraId="4B6139DE" w14:textId="3BC5E1FB"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319096B8"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Primary and Dental Health</w:t>
            </w:r>
          </w:p>
          <w:p w14:paraId="6BF5CD31" w14:textId="12F2CFA3"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089226EA"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Public Health</w:t>
            </w:r>
          </w:p>
          <w:p w14:paraId="4FCDBEF2" w14:textId="69EBA25E"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45FD5FA0"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 xml:space="preserve"> Total</w:t>
            </w:r>
          </w:p>
          <w:p w14:paraId="2323245B" w14:textId="244A4DAD"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7F77B090"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Acute Health Services</w:t>
            </w:r>
          </w:p>
          <w:p w14:paraId="163673C1" w14:textId="2DBD8CFC"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0882152B"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Ageing, aged and home care</w:t>
            </w:r>
          </w:p>
          <w:p w14:paraId="42036B89" w14:textId="0172B88A"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137E5C7F"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Drugs Services</w:t>
            </w:r>
          </w:p>
          <w:p w14:paraId="184137FF" w14:textId="71AF237D"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2978CDF6"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Mental Health</w:t>
            </w:r>
          </w:p>
          <w:p w14:paraId="190DE138" w14:textId="1A821AC8"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0BA5C723"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Primary and Dental Health</w:t>
            </w:r>
          </w:p>
          <w:p w14:paraId="4485E1EF" w14:textId="71D54B20"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7" w:type="dxa"/>
            <w:shd w:val="clear" w:color="auto" w:fill="201547"/>
            <w:noWrap/>
            <w:hideMark/>
          </w:tcPr>
          <w:p w14:paraId="785DA41F"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Public Health</w:t>
            </w:r>
          </w:p>
          <w:p w14:paraId="5F395754" w14:textId="3B6E3CC3"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c>
          <w:tcPr>
            <w:tcW w:w="988" w:type="dxa"/>
            <w:shd w:val="clear" w:color="auto" w:fill="201547"/>
            <w:noWrap/>
            <w:hideMark/>
          </w:tcPr>
          <w:p w14:paraId="5F8BCBC9" w14:textId="77777777"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Total</w:t>
            </w:r>
          </w:p>
          <w:p w14:paraId="35D812A0" w14:textId="1115C859" w:rsidR="004E7DFB" w:rsidRPr="009A0E7D" w:rsidRDefault="004E7DFB" w:rsidP="00384761">
            <w:pPr>
              <w:spacing w:after="0" w:line="240" w:lineRule="auto"/>
              <w:jc w:val="right"/>
              <w:rPr>
                <w:rFonts w:cs="Arial"/>
                <w:b/>
                <w:bCs/>
                <w:color w:val="FFFFFF"/>
                <w:sz w:val="16"/>
                <w:szCs w:val="16"/>
                <w:lang w:eastAsia="en-AU"/>
              </w:rPr>
            </w:pPr>
            <w:r w:rsidRPr="009A0E7D">
              <w:rPr>
                <w:rFonts w:cs="Arial"/>
                <w:b/>
                <w:bCs/>
                <w:color w:val="FFFFFF"/>
                <w:sz w:val="16"/>
                <w:szCs w:val="16"/>
                <w:lang w:eastAsia="en-AU"/>
              </w:rPr>
              <w:t>$'000s</w:t>
            </w:r>
          </w:p>
        </w:tc>
      </w:tr>
      <w:tr w:rsidR="00F66E0C" w:rsidRPr="009A0E7D" w14:paraId="7B53C8AF" w14:textId="77777777" w:rsidTr="004E7DFB">
        <w:trPr>
          <w:trHeight w:val="367"/>
        </w:trPr>
        <w:tc>
          <w:tcPr>
            <w:tcW w:w="1344" w:type="dxa"/>
            <w:noWrap/>
            <w:hideMark/>
          </w:tcPr>
          <w:p w14:paraId="4E2A3381"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Albury Wodonga Health</w:t>
            </w:r>
          </w:p>
        </w:tc>
        <w:tc>
          <w:tcPr>
            <w:tcW w:w="987" w:type="dxa"/>
            <w:noWrap/>
            <w:hideMark/>
          </w:tcPr>
          <w:p w14:paraId="4406C36A"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248,235</w:t>
            </w:r>
          </w:p>
        </w:tc>
        <w:tc>
          <w:tcPr>
            <w:tcW w:w="987" w:type="dxa"/>
            <w:noWrap/>
            <w:hideMark/>
          </w:tcPr>
          <w:p w14:paraId="5283946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836</w:t>
            </w:r>
          </w:p>
        </w:tc>
        <w:tc>
          <w:tcPr>
            <w:tcW w:w="987" w:type="dxa"/>
            <w:noWrap/>
            <w:hideMark/>
          </w:tcPr>
          <w:p w14:paraId="1CE0CD32"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793</w:t>
            </w:r>
          </w:p>
        </w:tc>
        <w:tc>
          <w:tcPr>
            <w:tcW w:w="987" w:type="dxa"/>
            <w:noWrap/>
            <w:hideMark/>
          </w:tcPr>
          <w:p w14:paraId="772CBD3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50,484</w:t>
            </w:r>
          </w:p>
        </w:tc>
        <w:tc>
          <w:tcPr>
            <w:tcW w:w="987" w:type="dxa"/>
            <w:noWrap/>
            <w:hideMark/>
          </w:tcPr>
          <w:p w14:paraId="0A64072E"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4,442</w:t>
            </w:r>
          </w:p>
        </w:tc>
        <w:tc>
          <w:tcPr>
            <w:tcW w:w="987" w:type="dxa"/>
            <w:noWrap/>
            <w:hideMark/>
          </w:tcPr>
          <w:p w14:paraId="3A7430AD"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167C22D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304,790</w:t>
            </w:r>
          </w:p>
        </w:tc>
        <w:tc>
          <w:tcPr>
            <w:tcW w:w="987" w:type="dxa"/>
            <w:noWrap/>
            <w:hideMark/>
          </w:tcPr>
          <w:p w14:paraId="335111E2"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262,703</w:t>
            </w:r>
          </w:p>
        </w:tc>
        <w:tc>
          <w:tcPr>
            <w:tcW w:w="987" w:type="dxa"/>
            <w:noWrap/>
            <w:hideMark/>
          </w:tcPr>
          <w:p w14:paraId="4827D009"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855</w:t>
            </w:r>
          </w:p>
        </w:tc>
        <w:tc>
          <w:tcPr>
            <w:tcW w:w="987" w:type="dxa"/>
            <w:noWrap/>
            <w:hideMark/>
          </w:tcPr>
          <w:p w14:paraId="3A64C74E"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813</w:t>
            </w:r>
          </w:p>
        </w:tc>
        <w:tc>
          <w:tcPr>
            <w:tcW w:w="987" w:type="dxa"/>
            <w:noWrap/>
            <w:hideMark/>
          </w:tcPr>
          <w:p w14:paraId="473ED39A"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52,439</w:t>
            </w:r>
          </w:p>
        </w:tc>
        <w:tc>
          <w:tcPr>
            <w:tcW w:w="987" w:type="dxa"/>
            <w:noWrap/>
            <w:hideMark/>
          </w:tcPr>
          <w:p w14:paraId="504893BC"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4,544</w:t>
            </w:r>
          </w:p>
        </w:tc>
        <w:tc>
          <w:tcPr>
            <w:tcW w:w="987" w:type="dxa"/>
            <w:noWrap/>
            <w:hideMark/>
          </w:tcPr>
          <w:p w14:paraId="0B587681"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8" w:type="dxa"/>
            <w:noWrap/>
            <w:hideMark/>
          </w:tcPr>
          <w:p w14:paraId="5BC6F938" w14:textId="77777777" w:rsidR="009A0E7D" w:rsidRPr="009A0E7D" w:rsidRDefault="009A0E7D" w:rsidP="009A0E7D">
            <w:pPr>
              <w:spacing w:after="0" w:line="240" w:lineRule="auto"/>
              <w:jc w:val="right"/>
              <w:rPr>
                <w:rFonts w:cs="Arial"/>
                <w:b/>
                <w:bCs/>
                <w:color w:val="000000"/>
                <w:sz w:val="16"/>
                <w:szCs w:val="16"/>
                <w:lang w:eastAsia="en-AU"/>
              </w:rPr>
            </w:pPr>
            <w:r w:rsidRPr="009A0E7D">
              <w:rPr>
                <w:rFonts w:cs="Arial"/>
                <w:b/>
                <w:bCs/>
                <w:color w:val="000000"/>
                <w:sz w:val="16"/>
                <w:szCs w:val="16"/>
                <w:lang w:eastAsia="en-AU"/>
              </w:rPr>
              <w:t>321,354</w:t>
            </w:r>
          </w:p>
        </w:tc>
      </w:tr>
      <w:tr w:rsidR="00F66E0C" w:rsidRPr="009A0E7D" w14:paraId="59881A4F" w14:textId="77777777" w:rsidTr="004E7DFB">
        <w:trPr>
          <w:trHeight w:val="367"/>
        </w:trPr>
        <w:tc>
          <w:tcPr>
            <w:tcW w:w="1344" w:type="dxa"/>
            <w:noWrap/>
            <w:hideMark/>
          </w:tcPr>
          <w:p w14:paraId="5846DEA1"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Alfred Health</w:t>
            </w:r>
          </w:p>
        </w:tc>
        <w:tc>
          <w:tcPr>
            <w:tcW w:w="987" w:type="dxa"/>
            <w:noWrap/>
            <w:hideMark/>
          </w:tcPr>
          <w:p w14:paraId="31D7A679"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937,971</w:t>
            </w:r>
          </w:p>
        </w:tc>
        <w:tc>
          <w:tcPr>
            <w:tcW w:w="987" w:type="dxa"/>
            <w:noWrap/>
            <w:hideMark/>
          </w:tcPr>
          <w:p w14:paraId="391A3D9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3,110</w:t>
            </w:r>
          </w:p>
        </w:tc>
        <w:tc>
          <w:tcPr>
            <w:tcW w:w="987" w:type="dxa"/>
            <w:noWrap/>
            <w:hideMark/>
          </w:tcPr>
          <w:p w14:paraId="3EB95DDD"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672</w:t>
            </w:r>
          </w:p>
        </w:tc>
        <w:tc>
          <w:tcPr>
            <w:tcW w:w="987" w:type="dxa"/>
            <w:noWrap/>
            <w:hideMark/>
          </w:tcPr>
          <w:p w14:paraId="6852ADDE"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98,616</w:t>
            </w:r>
          </w:p>
        </w:tc>
        <w:tc>
          <w:tcPr>
            <w:tcW w:w="987" w:type="dxa"/>
            <w:noWrap/>
            <w:hideMark/>
          </w:tcPr>
          <w:p w14:paraId="46E4FB89"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2,165</w:t>
            </w:r>
          </w:p>
        </w:tc>
        <w:tc>
          <w:tcPr>
            <w:tcW w:w="987" w:type="dxa"/>
            <w:noWrap/>
            <w:hideMark/>
          </w:tcPr>
          <w:p w14:paraId="59928119"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9,974</w:t>
            </w:r>
          </w:p>
        </w:tc>
        <w:tc>
          <w:tcPr>
            <w:tcW w:w="987" w:type="dxa"/>
            <w:noWrap/>
            <w:hideMark/>
          </w:tcPr>
          <w:p w14:paraId="646F7D1D"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1,052,508</w:t>
            </w:r>
          </w:p>
        </w:tc>
        <w:tc>
          <w:tcPr>
            <w:tcW w:w="987" w:type="dxa"/>
            <w:noWrap/>
            <w:hideMark/>
          </w:tcPr>
          <w:p w14:paraId="241FA3FE"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1,038,299</w:t>
            </w:r>
          </w:p>
        </w:tc>
        <w:tc>
          <w:tcPr>
            <w:tcW w:w="987" w:type="dxa"/>
            <w:noWrap/>
            <w:hideMark/>
          </w:tcPr>
          <w:p w14:paraId="6CE314AC"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3,177</w:t>
            </w:r>
          </w:p>
        </w:tc>
        <w:tc>
          <w:tcPr>
            <w:tcW w:w="987" w:type="dxa"/>
            <w:noWrap/>
            <w:hideMark/>
          </w:tcPr>
          <w:p w14:paraId="5E9CFCAC"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689</w:t>
            </w:r>
          </w:p>
        </w:tc>
        <w:tc>
          <w:tcPr>
            <w:tcW w:w="987" w:type="dxa"/>
            <w:noWrap/>
            <w:hideMark/>
          </w:tcPr>
          <w:p w14:paraId="47964BCB"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112,378</w:t>
            </w:r>
          </w:p>
        </w:tc>
        <w:tc>
          <w:tcPr>
            <w:tcW w:w="987" w:type="dxa"/>
            <w:noWrap/>
            <w:hideMark/>
          </w:tcPr>
          <w:p w14:paraId="6BE68781"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2,215</w:t>
            </w:r>
          </w:p>
        </w:tc>
        <w:tc>
          <w:tcPr>
            <w:tcW w:w="987" w:type="dxa"/>
            <w:noWrap/>
            <w:hideMark/>
          </w:tcPr>
          <w:p w14:paraId="05E95B20"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9,431</w:t>
            </w:r>
          </w:p>
        </w:tc>
        <w:tc>
          <w:tcPr>
            <w:tcW w:w="988" w:type="dxa"/>
            <w:noWrap/>
            <w:hideMark/>
          </w:tcPr>
          <w:p w14:paraId="64598675" w14:textId="77777777" w:rsidR="009A0E7D" w:rsidRPr="009A0E7D" w:rsidRDefault="009A0E7D" w:rsidP="009A0E7D">
            <w:pPr>
              <w:spacing w:after="0" w:line="240" w:lineRule="auto"/>
              <w:jc w:val="right"/>
              <w:rPr>
                <w:rFonts w:cs="Arial"/>
                <w:b/>
                <w:bCs/>
                <w:color w:val="000000"/>
                <w:sz w:val="16"/>
                <w:szCs w:val="16"/>
                <w:lang w:eastAsia="en-AU"/>
              </w:rPr>
            </w:pPr>
            <w:r w:rsidRPr="009A0E7D">
              <w:rPr>
                <w:rFonts w:cs="Arial"/>
                <w:b/>
                <w:bCs/>
                <w:color w:val="000000"/>
                <w:sz w:val="16"/>
                <w:szCs w:val="16"/>
                <w:lang w:eastAsia="en-AU"/>
              </w:rPr>
              <w:t>1,166,188</w:t>
            </w:r>
          </w:p>
        </w:tc>
      </w:tr>
      <w:tr w:rsidR="00F66E0C" w:rsidRPr="009A0E7D" w14:paraId="6C1FF129" w14:textId="77777777" w:rsidTr="004E7DFB">
        <w:trPr>
          <w:trHeight w:val="367"/>
        </w:trPr>
        <w:tc>
          <w:tcPr>
            <w:tcW w:w="1344" w:type="dxa"/>
            <w:noWrap/>
            <w:hideMark/>
          </w:tcPr>
          <w:p w14:paraId="55662070"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Austin Health</w:t>
            </w:r>
          </w:p>
        </w:tc>
        <w:tc>
          <w:tcPr>
            <w:tcW w:w="987" w:type="dxa"/>
            <w:noWrap/>
            <w:hideMark/>
          </w:tcPr>
          <w:p w14:paraId="49F75D6D"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784,353</w:t>
            </w:r>
          </w:p>
        </w:tc>
        <w:tc>
          <w:tcPr>
            <w:tcW w:w="987" w:type="dxa"/>
            <w:noWrap/>
            <w:hideMark/>
          </w:tcPr>
          <w:p w14:paraId="31C7F84A"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1,190</w:t>
            </w:r>
          </w:p>
        </w:tc>
        <w:tc>
          <w:tcPr>
            <w:tcW w:w="987" w:type="dxa"/>
            <w:noWrap/>
            <w:hideMark/>
          </w:tcPr>
          <w:p w14:paraId="5F8CF29E"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2,629</w:t>
            </w:r>
          </w:p>
        </w:tc>
        <w:tc>
          <w:tcPr>
            <w:tcW w:w="987" w:type="dxa"/>
            <w:noWrap/>
            <w:hideMark/>
          </w:tcPr>
          <w:p w14:paraId="3D44790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92,965</w:t>
            </w:r>
          </w:p>
        </w:tc>
        <w:tc>
          <w:tcPr>
            <w:tcW w:w="987" w:type="dxa"/>
            <w:noWrap/>
            <w:hideMark/>
          </w:tcPr>
          <w:p w14:paraId="06E3F563"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7249836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113</w:t>
            </w:r>
          </w:p>
        </w:tc>
        <w:tc>
          <w:tcPr>
            <w:tcW w:w="987" w:type="dxa"/>
            <w:noWrap/>
            <w:hideMark/>
          </w:tcPr>
          <w:p w14:paraId="0942AEE2"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881,250</w:t>
            </w:r>
          </w:p>
        </w:tc>
        <w:tc>
          <w:tcPr>
            <w:tcW w:w="987" w:type="dxa"/>
            <w:noWrap/>
            <w:hideMark/>
          </w:tcPr>
          <w:p w14:paraId="5E3BCADF"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888,031</w:t>
            </w:r>
          </w:p>
        </w:tc>
        <w:tc>
          <w:tcPr>
            <w:tcW w:w="987" w:type="dxa"/>
            <w:noWrap/>
            <w:hideMark/>
          </w:tcPr>
          <w:p w14:paraId="36E2C4BF"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1,151</w:t>
            </w:r>
          </w:p>
        </w:tc>
        <w:tc>
          <w:tcPr>
            <w:tcW w:w="987" w:type="dxa"/>
            <w:noWrap/>
            <w:hideMark/>
          </w:tcPr>
          <w:p w14:paraId="34A2B744"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2,376</w:t>
            </w:r>
          </w:p>
        </w:tc>
        <w:tc>
          <w:tcPr>
            <w:tcW w:w="987" w:type="dxa"/>
            <w:noWrap/>
            <w:hideMark/>
          </w:tcPr>
          <w:p w14:paraId="615D8A69"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98,790</w:t>
            </w:r>
          </w:p>
        </w:tc>
        <w:tc>
          <w:tcPr>
            <w:tcW w:w="987" w:type="dxa"/>
            <w:noWrap/>
            <w:hideMark/>
          </w:tcPr>
          <w:p w14:paraId="5C93CEC3"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2D6FE8E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116</w:t>
            </w:r>
          </w:p>
        </w:tc>
        <w:tc>
          <w:tcPr>
            <w:tcW w:w="988" w:type="dxa"/>
            <w:noWrap/>
            <w:hideMark/>
          </w:tcPr>
          <w:p w14:paraId="3946CC7F" w14:textId="77777777" w:rsidR="009A0E7D" w:rsidRPr="009A0E7D" w:rsidRDefault="009A0E7D" w:rsidP="009A0E7D">
            <w:pPr>
              <w:spacing w:after="0" w:line="240" w:lineRule="auto"/>
              <w:jc w:val="right"/>
              <w:rPr>
                <w:rFonts w:cs="Arial"/>
                <w:b/>
                <w:bCs/>
                <w:color w:val="000000"/>
                <w:sz w:val="16"/>
                <w:szCs w:val="16"/>
                <w:lang w:eastAsia="en-AU"/>
              </w:rPr>
            </w:pPr>
            <w:r w:rsidRPr="009A0E7D">
              <w:rPr>
                <w:rFonts w:cs="Arial"/>
                <w:b/>
                <w:bCs/>
                <w:color w:val="000000"/>
                <w:sz w:val="16"/>
                <w:szCs w:val="16"/>
                <w:lang w:eastAsia="en-AU"/>
              </w:rPr>
              <w:t>990,464</w:t>
            </w:r>
          </w:p>
        </w:tc>
      </w:tr>
      <w:tr w:rsidR="00F66E0C" w:rsidRPr="009A0E7D" w14:paraId="70146BF4" w14:textId="77777777" w:rsidTr="004E7DFB">
        <w:trPr>
          <w:trHeight w:val="367"/>
        </w:trPr>
        <w:tc>
          <w:tcPr>
            <w:tcW w:w="1344" w:type="dxa"/>
            <w:noWrap/>
            <w:hideMark/>
          </w:tcPr>
          <w:p w14:paraId="2073A79C"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Barwon Health</w:t>
            </w:r>
          </w:p>
        </w:tc>
        <w:tc>
          <w:tcPr>
            <w:tcW w:w="987" w:type="dxa"/>
            <w:noWrap/>
            <w:hideMark/>
          </w:tcPr>
          <w:p w14:paraId="0FF1CCF0"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604,147</w:t>
            </w:r>
          </w:p>
        </w:tc>
        <w:tc>
          <w:tcPr>
            <w:tcW w:w="987" w:type="dxa"/>
            <w:noWrap/>
            <w:hideMark/>
          </w:tcPr>
          <w:p w14:paraId="4A4FCEAE"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12,842</w:t>
            </w:r>
          </w:p>
        </w:tc>
        <w:tc>
          <w:tcPr>
            <w:tcW w:w="987" w:type="dxa"/>
            <w:noWrap/>
            <w:hideMark/>
          </w:tcPr>
          <w:p w14:paraId="72B8CB97"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3,113</w:t>
            </w:r>
          </w:p>
        </w:tc>
        <w:tc>
          <w:tcPr>
            <w:tcW w:w="987" w:type="dxa"/>
            <w:noWrap/>
            <w:hideMark/>
          </w:tcPr>
          <w:p w14:paraId="36674CA7"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75,697</w:t>
            </w:r>
          </w:p>
        </w:tc>
        <w:tc>
          <w:tcPr>
            <w:tcW w:w="987" w:type="dxa"/>
            <w:noWrap/>
            <w:hideMark/>
          </w:tcPr>
          <w:p w14:paraId="33F4729E"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5,458</w:t>
            </w:r>
          </w:p>
        </w:tc>
        <w:tc>
          <w:tcPr>
            <w:tcW w:w="987" w:type="dxa"/>
            <w:noWrap/>
            <w:hideMark/>
          </w:tcPr>
          <w:p w14:paraId="43DDE9F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113</w:t>
            </w:r>
          </w:p>
        </w:tc>
        <w:tc>
          <w:tcPr>
            <w:tcW w:w="987" w:type="dxa"/>
            <w:noWrap/>
            <w:hideMark/>
          </w:tcPr>
          <w:p w14:paraId="3365AF61"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701,371</w:t>
            </w:r>
          </w:p>
        </w:tc>
        <w:tc>
          <w:tcPr>
            <w:tcW w:w="987" w:type="dxa"/>
            <w:noWrap/>
            <w:hideMark/>
          </w:tcPr>
          <w:p w14:paraId="5F05DF5F"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646,102</w:t>
            </w:r>
          </w:p>
        </w:tc>
        <w:tc>
          <w:tcPr>
            <w:tcW w:w="987" w:type="dxa"/>
            <w:noWrap/>
            <w:hideMark/>
          </w:tcPr>
          <w:p w14:paraId="7F57361F"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12,978</w:t>
            </w:r>
          </w:p>
        </w:tc>
        <w:tc>
          <w:tcPr>
            <w:tcW w:w="987" w:type="dxa"/>
            <w:noWrap/>
            <w:hideMark/>
          </w:tcPr>
          <w:p w14:paraId="4FC431B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2,988</w:t>
            </w:r>
          </w:p>
        </w:tc>
        <w:tc>
          <w:tcPr>
            <w:tcW w:w="987" w:type="dxa"/>
            <w:noWrap/>
            <w:hideMark/>
          </w:tcPr>
          <w:p w14:paraId="34B3BCB4"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89,314</w:t>
            </w:r>
          </w:p>
        </w:tc>
        <w:tc>
          <w:tcPr>
            <w:tcW w:w="987" w:type="dxa"/>
            <w:noWrap/>
            <w:hideMark/>
          </w:tcPr>
          <w:p w14:paraId="6E5B17F6"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5,365</w:t>
            </w:r>
          </w:p>
        </w:tc>
        <w:tc>
          <w:tcPr>
            <w:tcW w:w="987" w:type="dxa"/>
            <w:noWrap/>
            <w:hideMark/>
          </w:tcPr>
          <w:p w14:paraId="37B318A7"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116</w:t>
            </w:r>
          </w:p>
        </w:tc>
        <w:tc>
          <w:tcPr>
            <w:tcW w:w="988" w:type="dxa"/>
            <w:noWrap/>
            <w:hideMark/>
          </w:tcPr>
          <w:p w14:paraId="6CC581E0" w14:textId="77777777" w:rsidR="009A0E7D" w:rsidRPr="009A0E7D" w:rsidRDefault="009A0E7D" w:rsidP="009A0E7D">
            <w:pPr>
              <w:spacing w:after="0" w:line="240" w:lineRule="auto"/>
              <w:jc w:val="right"/>
              <w:rPr>
                <w:rFonts w:cs="Arial"/>
                <w:b/>
                <w:bCs/>
                <w:color w:val="000000"/>
                <w:sz w:val="16"/>
                <w:szCs w:val="16"/>
                <w:lang w:eastAsia="en-AU"/>
              </w:rPr>
            </w:pPr>
            <w:r w:rsidRPr="009A0E7D">
              <w:rPr>
                <w:rFonts w:cs="Arial"/>
                <w:b/>
                <w:bCs/>
                <w:color w:val="000000"/>
                <w:sz w:val="16"/>
                <w:szCs w:val="16"/>
                <w:lang w:eastAsia="en-AU"/>
              </w:rPr>
              <w:t>756,863</w:t>
            </w:r>
          </w:p>
        </w:tc>
      </w:tr>
      <w:tr w:rsidR="00F66E0C" w:rsidRPr="009A0E7D" w14:paraId="4E78CE6D" w14:textId="77777777" w:rsidTr="004E7DFB">
        <w:trPr>
          <w:trHeight w:val="367"/>
        </w:trPr>
        <w:tc>
          <w:tcPr>
            <w:tcW w:w="1344" w:type="dxa"/>
            <w:noWrap/>
            <w:hideMark/>
          </w:tcPr>
          <w:p w14:paraId="5A7E59F6"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Bendigo Health</w:t>
            </w:r>
          </w:p>
        </w:tc>
        <w:tc>
          <w:tcPr>
            <w:tcW w:w="987" w:type="dxa"/>
            <w:noWrap/>
            <w:hideMark/>
          </w:tcPr>
          <w:p w14:paraId="3C4E28FB"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313,214</w:t>
            </w:r>
          </w:p>
        </w:tc>
        <w:tc>
          <w:tcPr>
            <w:tcW w:w="987" w:type="dxa"/>
            <w:noWrap/>
            <w:hideMark/>
          </w:tcPr>
          <w:p w14:paraId="1D86ED44"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11,531</w:t>
            </w:r>
          </w:p>
        </w:tc>
        <w:tc>
          <w:tcPr>
            <w:tcW w:w="987" w:type="dxa"/>
            <w:noWrap/>
            <w:hideMark/>
          </w:tcPr>
          <w:p w14:paraId="5C491980"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2,270</w:t>
            </w:r>
          </w:p>
        </w:tc>
        <w:tc>
          <w:tcPr>
            <w:tcW w:w="987" w:type="dxa"/>
            <w:noWrap/>
            <w:hideMark/>
          </w:tcPr>
          <w:p w14:paraId="7B642E7F"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77,270</w:t>
            </w:r>
          </w:p>
        </w:tc>
        <w:tc>
          <w:tcPr>
            <w:tcW w:w="987" w:type="dxa"/>
            <w:noWrap/>
            <w:hideMark/>
          </w:tcPr>
          <w:p w14:paraId="4D58A6A9"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1,388</w:t>
            </w:r>
          </w:p>
        </w:tc>
        <w:tc>
          <w:tcPr>
            <w:tcW w:w="987" w:type="dxa"/>
            <w:noWrap/>
            <w:hideMark/>
          </w:tcPr>
          <w:p w14:paraId="5CFE8A3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2C09649B"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405,674</w:t>
            </w:r>
          </w:p>
        </w:tc>
        <w:tc>
          <w:tcPr>
            <w:tcW w:w="987" w:type="dxa"/>
            <w:noWrap/>
            <w:hideMark/>
          </w:tcPr>
          <w:p w14:paraId="7F65551D"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339,440</w:t>
            </w:r>
          </w:p>
        </w:tc>
        <w:tc>
          <w:tcPr>
            <w:tcW w:w="987" w:type="dxa"/>
            <w:noWrap/>
            <w:hideMark/>
          </w:tcPr>
          <w:p w14:paraId="6D7F2C53"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11,629</w:t>
            </w:r>
          </w:p>
        </w:tc>
        <w:tc>
          <w:tcPr>
            <w:tcW w:w="987" w:type="dxa"/>
            <w:noWrap/>
            <w:hideMark/>
          </w:tcPr>
          <w:p w14:paraId="42D4507B"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2,327</w:t>
            </w:r>
          </w:p>
        </w:tc>
        <w:tc>
          <w:tcPr>
            <w:tcW w:w="987" w:type="dxa"/>
            <w:noWrap/>
            <w:hideMark/>
          </w:tcPr>
          <w:p w14:paraId="662060EA"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81,277</w:t>
            </w:r>
          </w:p>
        </w:tc>
        <w:tc>
          <w:tcPr>
            <w:tcW w:w="987" w:type="dxa"/>
            <w:noWrap/>
            <w:hideMark/>
          </w:tcPr>
          <w:p w14:paraId="0332CFDF"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1,219</w:t>
            </w:r>
          </w:p>
        </w:tc>
        <w:tc>
          <w:tcPr>
            <w:tcW w:w="987" w:type="dxa"/>
            <w:noWrap/>
            <w:hideMark/>
          </w:tcPr>
          <w:p w14:paraId="4F5D4FD7"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8" w:type="dxa"/>
            <w:noWrap/>
            <w:hideMark/>
          </w:tcPr>
          <w:p w14:paraId="49CCBCEE" w14:textId="77777777" w:rsidR="009A0E7D" w:rsidRPr="009A0E7D" w:rsidRDefault="009A0E7D" w:rsidP="009A0E7D">
            <w:pPr>
              <w:spacing w:after="0" w:line="240" w:lineRule="auto"/>
              <w:jc w:val="right"/>
              <w:rPr>
                <w:rFonts w:cs="Arial"/>
                <w:b/>
                <w:bCs/>
                <w:color w:val="000000"/>
                <w:sz w:val="16"/>
                <w:szCs w:val="16"/>
                <w:lang w:eastAsia="en-AU"/>
              </w:rPr>
            </w:pPr>
            <w:r w:rsidRPr="009A0E7D">
              <w:rPr>
                <w:rFonts w:cs="Arial"/>
                <w:b/>
                <w:bCs/>
                <w:color w:val="000000"/>
                <w:sz w:val="16"/>
                <w:szCs w:val="16"/>
                <w:lang w:eastAsia="en-AU"/>
              </w:rPr>
              <w:t>435,892</w:t>
            </w:r>
          </w:p>
        </w:tc>
      </w:tr>
      <w:tr w:rsidR="00F66E0C" w:rsidRPr="009A0E7D" w14:paraId="4A65032C" w14:textId="77777777" w:rsidTr="004E7DFB">
        <w:trPr>
          <w:trHeight w:val="367"/>
        </w:trPr>
        <w:tc>
          <w:tcPr>
            <w:tcW w:w="1344" w:type="dxa"/>
            <w:noWrap/>
            <w:hideMark/>
          </w:tcPr>
          <w:p w14:paraId="0B940EE2"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Calvary Health Care Bethlehem Limited</w:t>
            </w:r>
          </w:p>
        </w:tc>
        <w:tc>
          <w:tcPr>
            <w:tcW w:w="987" w:type="dxa"/>
            <w:noWrap/>
            <w:hideMark/>
          </w:tcPr>
          <w:p w14:paraId="4A0B9B10"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22,977</w:t>
            </w:r>
          </w:p>
        </w:tc>
        <w:tc>
          <w:tcPr>
            <w:tcW w:w="987" w:type="dxa"/>
            <w:noWrap/>
            <w:hideMark/>
          </w:tcPr>
          <w:p w14:paraId="3A48A009"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0F305057"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4B86CFA1"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0DD82BE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391923A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14794BE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22,977</w:t>
            </w:r>
          </w:p>
        </w:tc>
        <w:tc>
          <w:tcPr>
            <w:tcW w:w="987" w:type="dxa"/>
            <w:noWrap/>
            <w:hideMark/>
          </w:tcPr>
          <w:p w14:paraId="0C61CA64"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24,048</w:t>
            </w:r>
          </w:p>
        </w:tc>
        <w:tc>
          <w:tcPr>
            <w:tcW w:w="987" w:type="dxa"/>
            <w:noWrap/>
            <w:hideMark/>
          </w:tcPr>
          <w:p w14:paraId="1E9E2044"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3348A48D"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04DD728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3E7EFBC2"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288D1818"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8" w:type="dxa"/>
            <w:noWrap/>
            <w:hideMark/>
          </w:tcPr>
          <w:p w14:paraId="47E229A9" w14:textId="77777777" w:rsidR="009A0E7D" w:rsidRPr="009A0E7D" w:rsidRDefault="009A0E7D" w:rsidP="009A0E7D">
            <w:pPr>
              <w:spacing w:after="0" w:line="240" w:lineRule="auto"/>
              <w:jc w:val="right"/>
              <w:rPr>
                <w:rFonts w:cs="Arial"/>
                <w:b/>
                <w:bCs/>
                <w:color w:val="000000"/>
                <w:sz w:val="16"/>
                <w:szCs w:val="16"/>
                <w:lang w:eastAsia="en-AU"/>
              </w:rPr>
            </w:pPr>
            <w:r w:rsidRPr="009A0E7D">
              <w:rPr>
                <w:rFonts w:cs="Arial"/>
                <w:b/>
                <w:bCs/>
                <w:color w:val="000000"/>
                <w:sz w:val="16"/>
                <w:szCs w:val="16"/>
                <w:lang w:eastAsia="en-AU"/>
              </w:rPr>
              <w:t>24,048</w:t>
            </w:r>
          </w:p>
        </w:tc>
      </w:tr>
      <w:tr w:rsidR="00F66E0C" w:rsidRPr="009A0E7D" w14:paraId="395FC1F0" w14:textId="77777777" w:rsidTr="004E7DFB">
        <w:trPr>
          <w:trHeight w:val="367"/>
        </w:trPr>
        <w:tc>
          <w:tcPr>
            <w:tcW w:w="1344" w:type="dxa"/>
            <w:noWrap/>
            <w:hideMark/>
          </w:tcPr>
          <w:p w14:paraId="20379377"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Eastern Health</w:t>
            </w:r>
          </w:p>
        </w:tc>
        <w:tc>
          <w:tcPr>
            <w:tcW w:w="987" w:type="dxa"/>
            <w:noWrap/>
            <w:hideMark/>
          </w:tcPr>
          <w:p w14:paraId="0F2105F7"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839,286</w:t>
            </w:r>
          </w:p>
        </w:tc>
        <w:tc>
          <w:tcPr>
            <w:tcW w:w="987" w:type="dxa"/>
            <w:noWrap/>
            <w:hideMark/>
          </w:tcPr>
          <w:p w14:paraId="00EE7E05"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8,487</w:t>
            </w:r>
          </w:p>
        </w:tc>
        <w:tc>
          <w:tcPr>
            <w:tcW w:w="987" w:type="dxa"/>
            <w:noWrap/>
            <w:hideMark/>
          </w:tcPr>
          <w:p w14:paraId="58653C83"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18,064</w:t>
            </w:r>
          </w:p>
        </w:tc>
        <w:tc>
          <w:tcPr>
            <w:tcW w:w="987" w:type="dxa"/>
            <w:noWrap/>
            <w:hideMark/>
          </w:tcPr>
          <w:p w14:paraId="3ECF5E5C"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174,807</w:t>
            </w:r>
          </w:p>
        </w:tc>
        <w:tc>
          <w:tcPr>
            <w:tcW w:w="987" w:type="dxa"/>
            <w:noWrap/>
            <w:hideMark/>
          </w:tcPr>
          <w:p w14:paraId="3463BC86"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4,218</w:t>
            </w:r>
          </w:p>
        </w:tc>
        <w:tc>
          <w:tcPr>
            <w:tcW w:w="987" w:type="dxa"/>
            <w:noWrap/>
            <w:hideMark/>
          </w:tcPr>
          <w:p w14:paraId="714436FF"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7" w:type="dxa"/>
            <w:noWrap/>
            <w:hideMark/>
          </w:tcPr>
          <w:p w14:paraId="60FEB811"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1,044,862</w:t>
            </w:r>
          </w:p>
        </w:tc>
        <w:tc>
          <w:tcPr>
            <w:tcW w:w="987" w:type="dxa"/>
            <w:noWrap/>
            <w:hideMark/>
          </w:tcPr>
          <w:p w14:paraId="26E83F84"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904,936</w:t>
            </w:r>
          </w:p>
        </w:tc>
        <w:tc>
          <w:tcPr>
            <w:tcW w:w="987" w:type="dxa"/>
            <w:noWrap/>
            <w:hideMark/>
          </w:tcPr>
          <w:p w14:paraId="36D96E8A"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8,301</w:t>
            </w:r>
          </w:p>
        </w:tc>
        <w:tc>
          <w:tcPr>
            <w:tcW w:w="987" w:type="dxa"/>
            <w:noWrap/>
            <w:hideMark/>
          </w:tcPr>
          <w:p w14:paraId="4E7277D4"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15,968</w:t>
            </w:r>
          </w:p>
        </w:tc>
        <w:tc>
          <w:tcPr>
            <w:tcW w:w="987" w:type="dxa"/>
            <w:noWrap/>
            <w:hideMark/>
          </w:tcPr>
          <w:p w14:paraId="186BD5BD"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179,628</w:t>
            </w:r>
          </w:p>
        </w:tc>
        <w:tc>
          <w:tcPr>
            <w:tcW w:w="987" w:type="dxa"/>
            <w:noWrap/>
            <w:hideMark/>
          </w:tcPr>
          <w:p w14:paraId="7BF35F57"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4,312</w:t>
            </w:r>
          </w:p>
        </w:tc>
        <w:tc>
          <w:tcPr>
            <w:tcW w:w="987" w:type="dxa"/>
            <w:noWrap/>
            <w:hideMark/>
          </w:tcPr>
          <w:p w14:paraId="429D88D6" w14:textId="77777777" w:rsidR="009A0E7D" w:rsidRPr="009A0E7D" w:rsidRDefault="009A0E7D" w:rsidP="009A0E7D">
            <w:pPr>
              <w:spacing w:after="0" w:line="240" w:lineRule="auto"/>
              <w:jc w:val="right"/>
              <w:rPr>
                <w:rFonts w:cs="Arial"/>
                <w:color w:val="000000"/>
                <w:sz w:val="16"/>
                <w:szCs w:val="16"/>
                <w:lang w:eastAsia="en-AU"/>
              </w:rPr>
            </w:pPr>
            <w:r w:rsidRPr="009A0E7D">
              <w:rPr>
                <w:rFonts w:cs="Arial"/>
                <w:color w:val="000000"/>
                <w:sz w:val="16"/>
                <w:szCs w:val="16"/>
                <w:lang w:eastAsia="en-AU"/>
              </w:rPr>
              <w:t>0</w:t>
            </w:r>
          </w:p>
        </w:tc>
        <w:tc>
          <w:tcPr>
            <w:tcW w:w="988" w:type="dxa"/>
            <w:noWrap/>
            <w:hideMark/>
          </w:tcPr>
          <w:p w14:paraId="309759E0" w14:textId="77777777" w:rsidR="009A0E7D" w:rsidRPr="009A0E7D" w:rsidRDefault="009A0E7D" w:rsidP="009A0E7D">
            <w:pPr>
              <w:spacing w:after="0" w:line="240" w:lineRule="auto"/>
              <w:jc w:val="right"/>
              <w:rPr>
                <w:rFonts w:cs="Arial"/>
                <w:b/>
                <w:bCs/>
                <w:color w:val="000000"/>
                <w:sz w:val="16"/>
                <w:szCs w:val="16"/>
                <w:lang w:eastAsia="en-AU"/>
              </w:rPr>
            </w:pPr>
            <w:r w:rsidRPr="009A0E7D">
              <w:rPr>
                <w:rFonts w:cs="Arial"/>
                <w:b/>
                <w:bCs/>
                <w:color w:val="000000"/>
                <w:sz w:val="16"/>
                <w:szCs w:val="16"/>
                <w:lang w:eastAsia="en-AU"/>
              </w:rPr>
              <w:t>1,113,144</w:t>
            </w:r>
          </w:p>
        </w:tc>
      </w:tr>
      <w:tr w:rsidR="00F66E0C" w:rsidRPr="009A0E7D" w14:paraId="5CFBD609" w14:textId="77777777" w:rsidTr="004E7DFB">
        <w:trPr>
          <w:trHeight w:val="367"/>
        </w:trPr>
        <w:tc>
          <w:tcPr>
            <w:tcW w:w="1344" w:type="dxa"/>
            <w:noWrap/>
            <w:hideMark/>
          </w:tcPr>
          <w:p w14:paraId="299FECAE"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Goulburn Valley Health</w:t>
            </w:r>
          </w:p>
        </w:tc>
        <w:tc>
          <w:tcPr>
            <w:tcW w:w="987" w:type="dxa"/>
            <w:noWrap/>
            <w:hideMark/>
          </w:tcPr>
          <w:p w14:paraId="7747968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241,540</w:t>
            </w:r>
          </w:p>
        </w:tc>
        <w:tc>
          <w:tcPr>
            <w:tcW w:w="987" w:type="dxa"/>
            <w:noWrap/>
            <w:hideMark/>
          </w:tcPr>
          <w:p w14:paraId="10672957"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3,737</w:t>
            </w:r>
          </w:p>
        </w:tc>
        <w:tc>
          <w:tcPr>
            <w:tcW w:w="987" w:type="dxa"/>
            <w:noWrap/>
            <w:hideMark/>
          </w:tcPr>
          <w:p w14:paraId="60A9B62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2,916</w:t>
            </w:r>
          </w:p>
        </w:tc>
        <w:tc>
          <w:tcPr>
            <w:tcW w:w="987" w:type="dxa"/>
            <w:noWrap/>
            <w:hideMark/>
          </w:tcPr>
          <w:p w14:paraId="69BE2EA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39,645</w:t>
            </w:r>
          </w:p>
        </w:tc>
        <w:tc>
          <w:tcPr>
            <w:tcW w:w="987" w:type="dxa"/>
            <w:noWrap/>
            <w:hideMark/>
          </w:tcPr>
          <w:p w14:paraId="40102B0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1,751</w:t>
            </w:r>
          </w:p>
        </w:tc>
        <w:tc>
          <w:tcPr>
            <w:tcW w:w="987" w:type="dxa"/>
            <w:noWrap/>
            <w:hideMark/>
          </w:tcPr>
          <w:p w14:paraId="4750C45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00898BB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289,588</w:t>
            </w:r>
          </w:p>
        </w:tc>
        <w:tc>
          <w:tcPr>
            <w:tcW w:w="987" w:type="dxa"/>
            <w:noWrap/>
            <w:hideMark/>
          </w:tcPr>
          <w:p w14:paraId="37C2795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274,614</w:t>
            </w:r>
          </w:p>
        </w:tc>
        <w:tc>
          <w:tcPr>
            <w:tcW w:w="987" w:type="dxa"/>
            <w:noWrap/>
            <w:hideMark/>
          </w:tcPr>
          <w:p w14:paraId="3AB715B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3,736</w:t>
            </w:r>
          </w:p>
        </w:tc>
        <w:tc>
          <w:tcPr>
            <w:tcW w:w="987" w:type="dxa"/>
            <w:noWrap/>
            <w:hideMark/>
          </w:tcPr>
          <w:p w14:paraId="1CC806F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2,990</w:t>
            </w:r>
          </w:p>
        </w:tc>
        <w:tc>
          <w:tcPr>
            <w:tcW w:w="987" w:type="dxa"/>
            <w:noWrap/>
            <w:hideMark/>
          </w:tcPr>
          <w:p w14:paraId="40C0C9A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40,474</w:t>
            </w:r>
          </w:p>
        </w:tc>
        <w:tc>
          <w:tcPr>
            <w:tcW w:w="987" w:type="dxa"/>
            <w:noWrap/>
            <w:hideMark/>
          </w:tcPr>
          <w:p w14:paraId="3F05499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1,919</w:t>
            </w:r>
          </w:p>
        </w:tc>
        <w:tc>
          <w:tcPr>
            <w:tcW w:w="987" w:type="dxa"/>
            <w:noWrap/>
            <w:hideMark/>
          </w:tcPr>
          <w:p w14:paraId="48E5D11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8" w:type="dxa"/>
            <w:noWrap/>
            <w:hideMark/>
          </w:tcPr>
          <w:p w14:paraId="339457DF"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323,732</w:t>
            </w:r>
          </w:p>
        </w:tc>
      </w:tr>
      <w:tr w:rsidR="00F66E0C" w:rsidRPr="009A0E7D" w14:paraId="1338DC30" w14:textId="77777777" w:rsidTr="004E7DFB">
        <w:trPr>
          <w:trHeight w:val="367"/>
        </w:trPr>
        <w:tc>
          <w:tcPr>
            <w:tcW w:w="1344" w:type="dxa"/>
            <w:noWrap/>
            <w:hideMark/>
          </w:tcPr>
          <w:p w14:paraId="444EF0CF"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Grampians Health</w:t>
            </w:r>
          </w:p>
        </w:tc>
        <w:tc>
          <w:tcPr>
            <w:tcW w:w="987" w:type="dxa"/>
            <w:noWrap/>
            <w:hideMark/>
          </w:tcPr>
          <w:p w14:paraId="2379115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411,957</w:t>
            </w:r>
          </w:p>
        </w:tc>
        <w:tc>
          <w:tcPr>
            <w:tcW w:w="987" w:type="dxa"/>
            <w:noWrap/>
            <w:hideMark/>
          </w:tcPr>
          <w:p w14:paraId="769BE04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36,620</w:t>
            </w:r>
          </w:p>
        </w:tc>
        <w:tc>
          <w:tcPr>
            <w:tcW w:w="987" w:type="dxa"/>
            <w:noWrap/>
            <w:hideMark/>
          </w:tcPr>
          <w:p w14:paraId="54F8905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302</w:t>
            </w:r>
          </w:p>
        </w:tc>
        <w:tc>
          <w:tcPr>
            <w:tcW w:w="987" w:type="dxa"/>
            <w:noWrap/>
            <w:hideMark/>
          </w:tcPr>
          <w:p w14:paraId="5EC60D1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61,443</w:t>
            </w:r>
          </w:p>
        </w:tc>
        <w:tc>
          <w:tcPr>
            <w:tcW w:w="987" w:type="dxa"/>
            <w:noWrap/>
            <w:hideMark/>
          </w:tcPr>
          <w:p w14:paraId="6EF0B04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3,979</w:t>
            </w:r>
          </w:p>
        </w:tc>
        <w:tc>
          <w:tcPr>
            <w:tcW w:w="987" w:type="dxa"/>
            <w:noWrap/>
            <w:hideMark/>
          </w:tcPr>
          <w:p w14:paraId="22A8535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2E92E51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514,301</w:t>
            </w:r>
          </w:p>
        </w:tc>
        <w:tc>
          <w:tcPr>
            <w:tcW w:w="987" w:type="dxa"/>
            <w:noWrap/>
            <w:hideMark/>
          </w:tcPr>
          <w:p w14:paraId="546B4FB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434,754</w:t>
            </w:r>
          </w:p>
        </w:tc>
        <w:tc>
          <w:tcPr>
            <w:tcW w:w="987" w:type="dxa"/>
            <w:noWrap/>
            <w:hideMark/>
          </w:tcPr>
          <w:p w14:paraId="33DDE75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34,886</w:t>
            </w:r>
          </w:p>
        </w:tc>
        <w:tc>
          <w:tcPr>
            <w:tcW w:w="987" w:type="dxa"/>
            <w:noWrap/>
            <w:hideMark/>
          </w:tcPr>
          <w:p w14:paraId="6300AF7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310</w:t>
            </w:r>
          </w:p>
        </w:tc>
        <w:tc>
          <w:tcPr>
            <w:tcW w:w="987" w:type="dxa"/>
            <w:noWrap/>
            <w:hideMark/>
          </w:tcPr>
          <w:p w14:paraId="2C59928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62,297</w:t>
            </w:r>
          </w:p>
        </w:tc>
        <w:tc>
          <w:tcPr>
            <w:tcW w:w="987" w:type="dxa"/>
            <w:noWrap/>
            <w:hideMark/>
          </w:tcPr>
          <w:p w14:paraId="0355F98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3,946</w:t>
            </w:r>
          </w:p>
        </w:tc>
        <w:tc>
          <w:tcPr>
            <w:tcW w:w="987" w:type="dxa"/>
            <w:noWrap/>
            <w:hideMark/>
          </w:tcPr>
          <w:p w14:paraId="1452F01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8" w:type="dxa"/>
            <w:noWrap/>
            <w:hideMark/>
          </w:tcPr>
          <w:p w14:paraId="4CD1445F"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536,194</w:t>
            </w:r>
          </w:p>
        </w:tc>
      </w:tr>
      <w:tr w:rsidR="00F66E0C" w:rsidRPr="009A0E7D" w14:paraId="000E7D0B" w14:textId="77777777" w:rsidTr="004E7DFB">
        <w:trPr>
          <w:trHeight w:val="367"/>
        </w:trPr>
        <w:tc>
          <w:tcPr>
            <w:tcW w:w="1344" w:type="dxa"/>
            <w:noWrap/>
            <w:hideMark/>
          </w:tcPr>
          <w:p w14:paraId="0763D197"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Latrobe Regional Hospital</w:t>
            </w:r>
          </w:p>
        </w:tc>
        <w:tc>
          <w:tcPr>
            <w:tcW w:w="987" w:type="dxa"/>
            <w:noWrap/>
            <w:hideMark/>
          </w:tcPr>
          <w:p w14:paraId="1B6C518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203,644</w:t>
            </w:r>
          </w:p>
        </w:tc>
        <w:tc>
          <w:tcPr>
            <w:tcW w:w="987" w:type="dxa"/>
            <w:noWrap/>
            <w:hideMark/>
          </w:tcPr>
          <w:p w14:paraId="25800F9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3CE3F1F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152</w:t>
            </w:r>
          </w:p>
        </w:tc>
        <w:tc>
          <w:tcPr>
            <w:tcW w:w="987" w:type="dxa"/>
            <w:noWrap/>
            <w:hideMark/>
          </w:tcPr>
          <w:p w14:paraId="0FC7961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66,714</w:t>
            </w:r>
          </w:p>
        </w:tc>
        <w:tc>
          <w:tcPr>
            <w:tcW w:w="987" w:type="dxa"/>
            <w:noWrap/>
            <w:hideMark/>
          </w:tcPr>
          <w:p w14:paraId="76D48FC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1,585</w:t>
            </w:r>
          </w:p>
        </w:tc>
        <w:tc>
          <w:tcPr>
            <w:tcW w:w="987" w:type="dxa"/>
            <w:noWrap/>
            <w:hideMark/>
          </w:tcPr>
          <w:p w14:paraId="539D507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55259B0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272,096</w:t>
            </w:r>
          </w:p>
        </w:tc>
        <w:tc>
          <w:tcPr>
            <w:tcW w:w="987" w:type="dxa"/>
            <w:noWrap/>
            <w:hideMark/>
          </w:tcPr>
          <w:p w14:paraId="1EBA6B8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208,890</w:t>
            </w:r>
          </w:p>
        </w:tc>
        <w:tc>
          <w:tcPr>
            <w:tcW w:w="987" w:type="dxa"/>
            <w:noWrap/>
            <w:hideMark/>
          </w:tcPr>
          <w:p w14:paraId="70BB4AF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5C38DA4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156</w:t>
            </w:r>
          </w:p>
        </w:tc>
        <w:tc>
          <w:tcPr>
            <w:tcW w:w="987" w:type="dxa"/>
            <w:noWrap/>
            <w:hideMark/>
          </w:tcPr>
          <w:p w14:paraId="0C1A8DC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68,721</w:t>
            </w:r>
          </w:p>
        </w:tc>
        <w:tc>
          <w:tcPr>
            <w:tcW w:w="987" w:type="dxa"/>
            <w:noWrap/>
            <w:hideMark/>
          </w:tcPr>
          <w:p w14:paraId="71BD65F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1,502</w:t>
            </w:r>
          </w:p>
        </w:tc>
        <w:tc>
          <w:tcPr>
            <w:tcW w:w="987" w:type="dxa"/>
            <w:noWrap/>
            <w:hideMark/>
          </w:tcPr>
          <w:p w14:paraId="09FE167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8" w:type="dxa"/>
            <w:noWrap/>
            <w:hideMark/>
          </w:tcPr>
          <w:p w14:paraId="73B19E30"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279,269</w:t>
            </w:r>
          </w:p>
        </w:tc>
      </w:tr>
      <w:tr w:rsidR="00F66E0C" w:rsidRPr="009A0E7D" w14:paraId="609A653B" w14:textId="77777777" w:rsidTr="004E7DFB">
        <w:trPr>
          <w:trHeight w:val="367"/>
        </w:trPr>
        <w:tc>
          <w:tcPr>
            <w:tcW w:w="1344" w:type="dxa"/>
            <w:noWrap/>
            <w:hideMark/>
          </w:tcPr>
          <w:p w14:paraId="46DFCE29"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lastRenderedPageBreak/>
              <w:t>Melbourne Health</w:t>
            </w:r>
          </w:p>
        </w:tc>
        <w:tc>
          <w:tcPr>
            <w:tcW w:w="987" w:type="dxa"/>
            <w:noWrap/>
            <w:hideMark/>
          </w:tcPr>
          <w:p w14:paraId="12F4D97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782,044</w:t>
            </w:r>
          </w:p>
        </w:tc>
        <w:tc>
          <w:tcPr>
            <w:tcW w:w="987" w:type="dxa"/>
            <w:noWrap/>
            <w:hideMark/>
          </w:tcPr>
          <w:p w14:paraId="5647277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6,974</w:t>
            </w:r>
          </w:p>
        </w:tc>
        <w:tc>
          <w:tcPr>
            <w:tcW w:w="987" w:type="dxa"/>
            <w:noWrap/>
            <w:hideMark/>
          </w:tcPr>
          <w:p w14:paraId="02C1981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152</w:t>
            </w:r>
          </w:p>
        </w:tc>
        <w:tc>
          <w:tcPr>
            <w:tcW w:w="987" w:type="dxa"/>
            <w:noWrap/>
            <w:hideMark/>
          </w:tcPr>
          <w:p w14:paraId="57F3482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327,869</w:t>
            </w:r>
          </w:p>
        </w:tc>
        <w:tc>
          <w:tcPr>
            <w:tcW w:w="987" w:type="dxa"/>
            <w:noWrap/>
            <w:hideMark/>
          </w:tcPr>
          <w:p w14:paraId="2B23A55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118AA25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16,365</w:t>
            </w:r>
          </w:p>
        </w:tc>
        <w:tc>
          <w:tcPr>
            <w:tcW w:w="987" w:type="dxa"/>
            <w:noWrap/>
            <w:hideMark/>
          </w:tcPr>
          <w:p w14:paraId="0E81E19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1,133,404</w:t>
            </w:r>
          </w:p>
        </w:tc>
        <w:tc>
          <w:tcPr>
            <w:tcW w:w="987" w:type="dxa"/>
            <w:noWrap/>
            <w:hideMark/>
          </w:tcPr>
          <w:p w14:paraId="27B8CB8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857,242</w:t>
            </w:r>
          </w:p>
        </w:tc>
        <w:tc>
          <w:tcPr>
            <w:tcW w:w="987" w:type="dxa"/>
            <w:noWrap/>
            <w:hideMark/>
          </w:tcPr>
          <w:p w14:paraId="7764DA2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6,385</w:t>
            </w:r>
          </w:p>
        </w:tc>
        <w:tc>
          <w:tcPr>
            <w:tcW w:w="987" w:type="dxa"/>
            <w:noWrap/>
            <w:hideMark/>
          </w:tcPr>
          <w:p w14:paraId="7312CBE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156</w:t>
            </w:r>
          </w:p>
        </w:tc>
        <w:tc>
          <w:tcPr>
            <w:tcW w:w="987" w:type="dxa"/>
            <w:noWrap/>
            <w:hideMark/>
          </w:tcPr>
          <w:p w14:paraId="3325824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349,175</w:t>
            </w:r>
          </w:p>
        </w:tc>
        <w:tc>
          <w:tcPr>
            <w:tcW w:w="987" w:type="dxa"/>
            <w:noWrap/>
            <w:hideMark/>
          </w:tcPr>
          <w:p w14:paraId="4103FFD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517B96D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16,686</w:t>
            </w:r>
          </w:p>
        </w:tc>
        <w:tc>
          <w:tcPr>
            <w:tcW w:w="988" w:type="dxa"/>
            <w:noWrap/>
            <w:hideMark/>
          </w:tcPr>
          <w:p w14:paraId="0D5713AC"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1,229,643</w:t>
            </w:r>
          </w:p>
        </w:tc>
      </w:tr>
      <w:tr w:rsidR="00F66E0C" w:rsidRPr="009A0E7D" w14:paraId="51DB5E4E" w14:textId="77777777" w:rsidTr="004E7DFB">
        <w:trPr>
          <w:trHeight w:val="367"/>
        </w:trPr>
        <w:tc>
          <w:tcPr>
            <w:tcW w:w="1344" w:type="dxa"/>
            <w:noWrap/>
            <w:hideMark/>
          </w:tcPr>
          <w:p w14:paraId="1E2A67AB"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Mercy Hospitals Victoria Limited</w:t>
            </w:r>
          </w:p>
        </w:tc>
        <w:tc>
          <w:tcPr>
            <w:tcW w:w="987" w:type="dxa"/>
            <w:noWrap/>
            <w:hideMark/>
          </w:tcPr>
          <w:p w14:paraId="5BD7DFC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372,735</w:t>
            </w:r>
          </w:p>
        </w:tc>
        <w:tc>
          <w:tcPr>
            <w:tcW w:w="987" w:type="dxa"/>
            <w:noWrap/>
            <w:hideMark/>
          </w:tcPr>
          <w:p w14:paraId="03B12BF7"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3EF0659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152</w:t>
            </w:r>
          </w:p>
        </w:tc>
        <w:tc>
          <w:tcPr>
            <w:tcW w:w="987" w:type="dxa"/>
            <w:noWrap/>
            <w:hideMark/>
          </w:tcPr>
          <w:p w14:paraId="2775466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80,777</w:t>
            </w:r>
          </w:p>
        </w:tc>
        <w:tc>
          <w:tcPr>
            <w:tcW w:w="987" w:type="dxa"/>
            <w:noWrap/>
            <w:hideMark/>
          </w:tcPr>
          <w:p w14:paraId="591B291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3,718</w:t>
            </w:r>
          </w:p>
        </w:tc>
        <w:tc>
          <w:tcPr>
            <w:tcW w:w="987" w:type="dxa"/>
            <w:noWrap/>
            <w:hideMark/>
          </w:tcPr>
          <w:p w14:paraId="02038C3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5D26799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457,383</w:t>
            </w:r>
          </w:p>
        </w:tc>
        <w:tc>
          <w:tcPr>
            <w:tcW w:w="987" w:type="dxa"/>
            <w:noWrap/>
            <w:hideMark/>
          </w:tcPr>
          <w:p w14:paraId="281443E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393,054</w:t>
            </w:r>
          </w:p>
        </w:tc>
        <w:tc>
          <w:tcPr>
            <w:tcW w:w="987" w:type="dxa"/>
            <w:noWrap/>
            <w:hideMark/>
          </w:tcPr>
          <w:p w14:paraId="2C7D7A17"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64C18C4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156</w:t>
            </w:r>
          </w:p>
        </w:tc>
        <w:tc>
          <w:tcPr>
            <w:tcW w:w="987" w:type="dxa"/>
            <w:noWrap/>
            <w:hideMark/>
          </w:tcPr>
          <w:p w14:paraId="702FB4B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84,254</w:t>
            </w:r>
          </w:p>
        </w:tc>
        <w:tc>
          <w:tcPr>
            <w:tcW w:w="987" w:type="dxa"/>
            <w:noWrap/>
            <w:hideMark/>
          </w:tcPr>
          <w:p w14:paraId="7135D04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3,610</w:t>
            </w:r>
          </w:p>
        </w:tc>
        <w:tc>
          <w:tcPr>
            <w:tcW w:w="987" w:type="dxa"/>
            <w:noWrap/>
            <w:hideMark/>
          </w:tcPr>
          <w:p w14:paraId="3883824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8" w:type="dxa"/>
            <w:noWrap/>
            <w:hideMark/>
          </w:tcPr>
          <w:p w14:paraId="28294225"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481,074</w:t>
            </w:r>
          </w:p>
        </w:tc>
      </w:tr>
      <w:tr w:rsidR="00F66E0C" w:rsidRPr="009A0E7D" w14:paraId="3B02FBEC" w14:textId="77777777" w:rsidTr="004E7DFB">
        <w:trPr>
          <w:trHeight w:val="367"/>
        </w:trPr>
        <w:tc>
          <w:tcPr>
            <w:tcW w:w="1344" w:type="dxa"/>
            <w:noWrap/>
            <w:hideMark/>
          </w:tcPr>
          <w:p w14:paraId="67BDC082"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Monash Health</w:t>
            </w:r>
          </w:p>
        </w:tc>
        <w:tc>
          <w:tcPr>
            <w:tcW w:w="987" w:type="dxa"/>
            <w:noWrap/>
            <w:hideMark/>
          </w:tcPr>
          <w:p w14:paraId="758F23D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1,596,790</w:t>
            </w:r>
          </w:p>
        </w:tc>
        <w:tc>
          <w:tcPr>
            <w:tcW w:w="987" w:type="dxa"/>
            <w:noWrap/>
            <w:hideMark/>
          </w:tcPr>
          <w:p w14:paraId="0F5E456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10,054</w:t>
            </w:r>
          </w:p>
        </w:tc>
        <w:tc>
          <w:tcPr>
            <w:tcW w:w="987" w:type="dxa"/>
            <w:noWrap/>
            <w:hideMark/>
          </w:tcPr>
          <w:p w14:paraId="2E9820C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4,909</w:t>
            </w:r>
          </w:p>
        </w:tc>
        <w:tc>
          <w:tcPr>
            <w:tcW w:w="987" w:type="dxa"/>
            <w:noWrap/>
            <w:hideMark/>
          </w:tcPr>
          <w:p w14:paraId="1D2D84C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253,677</w:t>
            </w:r>
          </w:p>
        </w:tc>
        <w:tc>
          <w:tcPr>
            <w:tcW w:w="987" w:type="dxa"/>
            <w:noWrap/>
            <w:hideMark/>
          </w:tcPr>
          <w:p w14:paraId="764A7E2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14,168</w:t>
            </w:r>
          </w:p>
        </w:tc>
        <w:tc>
          <w:tcPr>
            <w:tcW w:w="987" w:type="dxa"/>
            <w:noWrap/>
            <w:hideMark/>
          </w:tcPr>
          <w:p w14:paraId="22D6BE8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800</w:t>
            </w:r>
          </w:p>
        </w:tc>
        <w:tc>
          <w:tcPr>
            <w:tcW w:w="987" w:type="dxa"/>
            <w:noWrap/>
            <w:hideMark/>
          </w:tcPr>
          <w:p w14:paraId="23579CB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1,880,397</w:t>
            </w:r>
          </w:p>
        </w:tc>
        <w:tc>
          <w:tcPr>
            <w:tcW w:w="987" w:type="dxa"/>
            <w:noWrap/>
            <w:hideMark/>
          </w:tcPr>
          <w:p w14:paraId="73237B8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1,746,805</w:t>
            </w:r>
          </w:p>
        </w:tc>
        <w:tc>
          <w:tcPr>
            <w:tcW w:w="987" w:type="dxa"/>
            <w:noWrap/>
            <w:hideMark/>
          </w:tcPr>
          <w:p w14:paraId="3347F27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9,946</w:t>
            </w:r>
          </w:p>
        </w:tc>
        <w:tc>
          <w:tcPr>
            <w:tcW w:w="987" w:type="dxa"/>
            <w:noWrap/>
            <w:hideMark/>
          </w:tcPr>
          <w:p w14:paraId="6A2CBCA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4,901</w:t>
            </w:r>
          </w:p>
        </w:tc>
        <w:tc>
          <w:tcPr>
            <w:tcW w:w="987" w:type="dxa"/>
            <w:noWrap/>
            <w:hideMark/>
          </w:tcPr>
          <w:p w14:paraId="514D55B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261,690</w:t>
            </w:r>
          </w:p>
        </w:tc>
        <w:tc>
          <w:tcPr>
            <w:tcW w:w="987" w:type="dxa"/>
            <w:noWrap/>
            <w:hideMark/>
          </w:tcPr>
          <w:p w14:paraId="1EDD1BA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14,215</w:t>
            </w:r>
          </w:p>
        </w:tc>
        <w:tc>
          <w:tcPr>
            <w:tcW w:w="987" w:type="dxa"/>
            <w:noWrap/>
            <w:hideMark/>
          </w:tcPr>
          <w:p w14:paraId="237B946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240</w:t>
            </w:r>
          </w:p>
        </w:tc>
        <w:tc>
          <w:tcPr>
            <w:tcW w:w="988" w:type="dxa"/>
            <w:noWrap/>
            <w:hideMark/>
          </w:tcPr>
          <w:p w14:paraId="56F974CF"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2,037,797</w:t>
            </w:r>
          </w:p>
        </w:tc>
      </w:tr>
      <w:tr w:rsidR="00F66E0C" w:rsidRPr="009A0E7D" w14:paraId="0608B203" w14:textId="77777777" w:rsidTr="004E7DFB">
        <w:trPr>
          <w:trHeight w:val="367"/>
        </w:trPr>
        <w:tc>
          <w:tcPr>
            <w:tcW w:w="1344" w:type="dxa"/>
            <w:noWrap/>
            <w:hideMark/>
          </w:tcPr>
          <w:p w14:paraId="7C875496"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Northern Health</w:t>
            </w:r>
          </w:p>
        </w:tc>
        <w:tc>
          <w:tcPr>
            <w:tcW w:w="987" w:type="dxa"/>
            <w:noWrap/>
            <w:hideMark/>
          </w:tcPr>
          <w:p w14:paraId="6EC5061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608,668</w:t>
            </w:r>
          </w:p>
        </w:tc>
        <w:tc>
          <w:tcPr>
            <w:tcW w:w="987" w:type="dxa"/>
            <w:noWrap/>
            <w:hideMark/>
          </w:tcPr>
          <w:p w14:paraId="178857A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4,397</w:t>
            </w:r>
          </w:p>
        </w:tc>
        <w:tc>
          <w:tcPr>
            <w:tcW w:w="987" w:type="dxa"/>
            <w:noWrap/>
            <w:hideMark/>
          </w:tcPr>
          <w:p w14:paraId="6498A39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151</w:t>
            </w:r>
          </w:p>
        </w:tc>
        <w:tc>
          <w:tcPr>
            <w:tcW w:w="987" w:type="dxa"/>
            <w:noWrap/>
            <w:hideMark/>
          </w:tcPr>
          <w:p w14:paraId="4EC9FCC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204</w:t>
            </w:r>
          </w:p>
        </w:tc>
        <w:tc>
          <w:tcPr>
            <w:tcW w:w="987" w:type="dxa"/>
            <w:noWrap/>
            <w:hideMark/>
          </w:tcPr>
          <w:p w14:paraId="35F42FD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73DC567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66EE341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613,420</w:t>
            </w:r>
          </w:p>
        </w:tc>
        <w:tc>
          <w:tcPr>
            <w:tcW w:w="987" w:type="dxa"/>
            <w:noWrap/>
            <w:hideMark/>
          </w:tcPr>
          <w:p w14:paraId="5B51A2A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664,531</w:t>
            </w:r>
          </w:p>
        </w:tc>
        <w:tc>
          <w:tcPr>
            <w:tcW w:w="987" w:type="dxa"/>
            <w:noWrap/>
            <w:hideMark/>
          </w:tcPr>
          <w:p w14:paraId="65DAFA3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4,336</w:t>
            </w:r>
          </w:p>
        </w:tc>
        <w:tc>
          <w:tcPr>
            <w:tcW w:w="987" w:type="dxa"/>
            <w:noWrap/>
            <w:hideMark/>
          </w:tcPr>
          <w:p w14:paraId="1CBE571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155</w:t>
            </w:r>
          </w:p>
        </w:tc>
        <w:tc>
          <w:tcPr>
            <w:tcW w:w="987" w:type="dxa"/>
            <w:noWrap/>
            <w:hideMark/>
          </w:tcPr>
          <w:p w14:paraId="4D1EF267"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7,596</w:t>
            </w:r>
          </w:p>
        </w:tc>
        <w:tc>
          <w:tcPr>
            <w:tcW w:w="987" w:type="dxa"/>
            <w:noWrap/>
            <w:hideMark/>
          </w:tcPr>
          <w:p w14:paraId="3746415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1D45A45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8" w:type="dxa"/>
            <w:noWrap/>
            <w:hideMark/>
          </w:tcPr>
          <w:p w14:paraId="13BE4924"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676,619</w:t>
            </w:r>
          </w:p>
        </w:tc>
      </w:tr>
      <w:tr w:rsidR="00F66E0C" w:rsidRPr="009A0E7D" w14:paraId="6A1549E6" w14:textId="77777777" w:rsidTr="004E7DFB">
        <w:trPr>
          <w:trHeight w:val="367"/>
        </w:trPr>
        <w:tc>
          <w:tcPr>
            <w:tcW w:w="1344" w:type="dxa"/>
            <w:noWrap/>
            <w:hideMark/>
          </w:tcPr>
          <w:p w14:paraId="16A1DEF4"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Peninsula Health</w:t>
            </w:r>
          </w:p>
        </w:tc>
        <w:tc>
          <w:tcPr>
            <w:tcW w:w="987" w:type="dxa"/>
            <w:noWrap/>
            <w:hideMark/>
          </w:tcPr>
          <w:p w14:paraId="5AF3038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535,064</w:t>
            </w:r>
          </w:p>
        </w:tc>
        <w:tc>
          <w:tcPr>
            <w:tcW w:w="987" w:type="dxa"/>
            <w:noWrap/>
            <w:hideMark/>
          </w:tcPr>
          <w:p w14:paraId="37DAC6B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6,224</w:t>
            </w:r>
          </w:p>
        </w:tc>
        <w:tc>
          <w:tcPr>
            <w:tcW w:w="987" w:type="dxa"/>
            <w:noWrap/>
            <w:hideMark/>
          </w:tcPr>
          <w:p w14:paraId="5F06BD5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2,805</w:t>
            </w:r>
          </w:p>
        </w:tc>
        <w:tc>
          <w:tcPr>
            <w:tcW w:w="987" w:type="dxa"/>
            <w:noWrap/>
            <w:hideMark/>
          </w:tcPr>
          <w:p w14:paraId="209B72E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70,646</w:t>
            </w:r>
          </w:p>
        </w:tc>
        <w:tc>
          <w:tcPr>
            <w:tcW w:w="987" w:type="dxa"/>
            <w:noWrap/>
            <w:hideMark/>
          </w:tcPr>
          <w:p w14:paraId="0694B54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7,815</w:t>
            </w:r>
          </w:p>
        </w:tc>
        <w:tc>
          <w:tcPr>
            <w:tcW w:w="987" w:type="dxa"/>
            <w:noWrap/>
            <w:hideMark/>
          </w:tcPr>
          <w:p w14:paraId="11FB541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71D4B98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622,553</w:t>
            </w:r>
          </w:p>
        </w:tc>
        <w:tc>
          <w:tcPr>
            <w:tcW w:w="987" w:type="dxa"/>
            <w:noWrap/>
            <w:hideMark/>
          </w:tcPr>
          <w:p w14:paraId="08DEA0C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594,323</w:t>
            </w:r>
          </w:p>
        </w:tc>
        <w:tc>
          <w:tcPr>
            <w:tcW w:w="987" w:type="dxa"/>
            <w:noWrap/>
            <w:hideMark/>
          </w:tcPr>
          <w:p w14:paraId="5FCB9ED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6,135</w:t>
            </w:r>
          </w:p>
        </w:tc>
        <w:tc>
          <w:tcPr>
            <w:tcW w:w="987" w:type="dxa"/>
            <w:noWrap/>
            <w:hideMark/>
          </w:tcPr>
          <w:p w14:paraId="21991A5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2,875</w:t>
            </w:r>
          </w:p>
        </w:tc>
        <w:tc>
          <w:tcPr>
            <w:tcW w:w="987" w:type="dxa"/>
            <w:noWrap/>
            <w:hideMark/>
          </w:tcPr>
          <w:p w14:paraId="0995121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74,261</w:t>
            </w:r>
          </w:p>
        </w:tc>
        <w:tc>
          <w:tcPr>
            <w:tcW w:w="987" w:type="dxa"/>
            <w:noWrap/>
            <w:hideMark/>
          </w:tcPr>
          <w:p w14:paraId="36E4C27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7,621</w:t>
            </w:r>
          </w:p>
        </w:tc>
        <w:tc>
          <w:tcPr>
            <w:tcW w:w="987" w:type="dxa"/>
            <w:noWrap/>
            <w:hideMark/>
          </w:tcPr>
          <w:p w14:paraId="0104561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8" w:type="dxa"/>
            <w:noWrap/>
            <w:hideMark/>
          </w:tcPr>
          <w:p w14:paraId="1E66D565"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685,214</w:t>
            </w:r>
          </w:p>
        </w:tc>
      </w:tr>
      <w:tr w:rsidR="00F66E0C" w:rsidRPr="009A0E7D" w14:paraId="5BCC2E5A" w14:textId="77777777" w:rsidTr="004E7DFB">
        <w:trPr>
          <w:trHeight w:val="367"/>
        </w:trPr>
        <w:tc>
          <w:tcPr>
            <w:tcW w:w="1344" w:type="dxa"/>
            <w:noWrap/>
            <w:hideMark/>
          </w:tcPr>
          <w:p w14:paraId="4DC0E976" w14:textId="0AE7992E"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Peter Mac</w:t>
            </w:r>
            <w:r w:rsidR="00930C71">
              <w:rPr>
                <w:rFonts w:cs="Arial"/>
                <w:color w:val="000000"/>
                <w:sz w:val="16"/>
                <w:szCs w:val="16"/>
                <w:lang w:eastAsia="en-AU"/>
              </w:rPr>
              <w:t>C</w:t>
            </w:r>
            <w:r w:rsidRPr="009A0E7D">
              <w:rPr>
                <w:rFonts w:cs="Arial"/>
                <w:color w:val="000000"/>
                <w:sz w:val="16"/>
                <w:szCs w:val="16"/>
                <w:lang w:eastAsia="en-AU"/>
              </w:rPr>
              <w:t>allum Cancer Institute</w:t>
            </w:r>
          </w:p>
        </w:tc>
        <w:tc>
          <w:tcPr>
            <w:tcW w:w="987" w:type="dxa"/>
            <w:noWrap/>
            <w:hideMark/>
          </w:tcPr>
          <w:p w14:paraId="7CC9416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294,527</w:t>
            </w:r>
          </w:p>
        </w:tc>
        <w:tc>
          <w:tcPr>
            <w:tcW w:w="987" w:type="dxa"/>
            <w:noWrap/>
            <w:hideMark/>
          </w:tcPr>
          <w:p w14:paraId="4FDF486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43E9DA4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7D68CD5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278</w:t>
            </w:r>
          </w:p>
        </w:tc>
        <w:tc>
          <w:tcPr>
            <w:tcW w:w="987" w:type="dxa"/>
            <w:noWrap/>
            <w:hideMark/>
          </w:tcPr>
          <w:p w14:paraId="389A1E6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0B8D3E3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357</w:t>
            </w:r>
          </w:p>
        </w:tc>
        <w:tc>
          <w:tcPr>
            <w:tcW w:w="987" w:type="dxa"/>
            <w:noWrap/>
            <w:hideMark/>
          </w:tcPr>
          <w:p w14:paraId="4499AEC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295,163</w:t>
            </w:r>
          </w:p>
        </w:tc>
        <w:tc>
          <w:tcPr>
            <w:tcW w:w="987" w:type="dxa"/>
            <w:noWrap/>
            <w:hideMark/>
          </w:tcPr>
          <w:p w14:paraId="56D31BD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303,849</w:t>
            </w:r>
          </w:p>
        </w:tc>
        <w:tc>
          <w:tcPr>
            <w:tcW w:w="987" w:type="dxa"/>
            <w:noWrap/>
            <w:hideMark/>
          </w:tcPr>
          <w:p w14:paraId="7BDF607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4383B36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2E85727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287</w:t>
            </w:r>
          </w:p>
        </w:tc>
        <w:tc>
          <w:tcPr>
            <w:tcW w:w="987" w:type="dxa"/>
            <w:noWrap/>
            <w:hideMark/>
          </w:tcPr>
          <w:p w14:paraId="5085447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239FEE5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377</w:t>
            </w:r>
          </w:p>
        </w:tc>
        <w:tc>
          <w:tcPr>
            <w:tcW w:w="988" w:type="dxa"/>
            <w:noWrap/>
            <w:hideMark/>
          </w:tcPr>
          <w:p w14:paraId="498704B3"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304,513</w:t>
            </w:r>
          </w:p>
        </w:tc>
      </w:tr>
      <w:tr w:rsidR="00F66E0C" w:rsidRPr="009A0E7D" w14:paraId="392A9BAA" w14:textId="77777777" w:rsidTr="004E7DFB">
        <w:trPr>
          <w:trHeight w:val="367"/>
        </w:trPr>
        <w:tc>
          <w:tcPr>
            <w:tcW w:w="1344" w:type="dxa"/>
            <w:noWrap/>
            <w:hideMark/>
          </w:tcPr>
          <w:p w14:paraId="431B1F0B"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Royal Victorian Eye &amp; Ear Hospital</w:t>
            </w:r>
          </w:p>
        </w:tc>
        <w:tc>
          <w:tcPr>
            <w:tcW w:w="987" w:type="dxa"/>
            <w:noWrap/>
            <w:hideMark/>
          </w:tcPr>
          <w:p w14:paraId="0282B58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108,778</w:t>
            </w:r>
          </w:p>
        </w:tc>
        <w:tc>
          <w:tcPr>
            <w:tcW w:w="987" w:type="dxa"/>
            <w:noWrap/>
            <w:hideMark/>
          </w:tcPr>
          <w:p w14:paraId="6B79B46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370BE45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5E448CB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06D63207"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6249F43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4A2A81E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108,778</w:t>
            </w:r>
          </w:p>
        </w:tc>
        <w:tc>
          <w:tcPr>
            <w:tcW w:w="987" w:type="dxa"/>
            <w:noWrap/>
            <w:hideMark/>
          </w:tcPr>
          <w:p w14:paraId="5BC63CE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116,064</w:t>
            </w:r>
          </w:p>
        </w:tc>
        <w:tc>
          <w:tcPr>
            <w:tcW w:w="987" w:type="dxa"/>
            <w:noWrap/>
            <w:hideMark/>
          </w:tcPr>
          <w:p w14:paraId="5F1C514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5C66C9F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6E5ED2E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46CE07B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690BC86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8" w:type="dxa"/>
            <w:noWrap/>
            <w:hideMark/>
          </w:tcPr>
          <w:p w14:paraId="04151DF3"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116,064</w:t>
            </w:r>
          </w:p>
        </w:tc>
      </w:tr>
      <w:tr w:rsidR="00F66E0C" w:rsidRPr="009A0E7D" w14:paraId="526F7680" w14:textId="77777777" w:rsidTr="004E7DFB">
        <w:trPr>
          <w:trHeight w:val="367"/>
        </w:trPr>
        <w:tc>
          <w:tcPr>
            <w:tcW w:w="1344" w:type="dxa"/>
            <w:noWrap/>
            <w:hideMark/>
          </w:tcPr>
          <w:p w14:paraId="32A29EED" w14:textId="3EFBE483"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St Vincent</w:t>
            </w:r>
            <w:r w:rsidR="00930C71">
              <w:rPr>
                <w:rFonts w:cs="Arial"/>
                <w:color w:val="000000"/>
                <w:sz w:val="16"/>
                <w:szCs w:val="16"/>
                <w:lang w:eastAsia="en-AU"/>
              </w:rPr>
              <w:t>’</w:t>
            </w:r>
            <w:r w:rsidRPr="009A0E7D">
              <w:rPr>
                <w:rFonts w:cs="Arial"/>
                <w:color w:val="000000"/>
                <w:sz w:val="16"/>
                <w:szCs w:val="16"/>
                <w:lang w:eastAsia="en-AU"/>
              </w:rPr>
              <w:t>s Hospital Melbourne Limited</w:t>
            </w:r>
          </w:p>
        </w:tc>
        <w:tc>
          <w:tcPr>
            <w:tcW w:w="987" w:type="dxa"/>
            <w:noWrap/>
            <w:hideMark/>
          </w:tcPr>
          <w:p w14:paraId="23B7BF9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551,333</w:t>
            </w:r>
          </w:p>
        </w:tc>
        <w:tc>
          <w:tcPr>
            <w:tcW w:w="987" w:type="dxa"/>
            <w:noWrap/>
            <w:hideMark/>
          </w:tcPr>
          <w:p w14:paraId="5B3DE75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4,784</w:t>
            </w:r>
          </w:p>
        </w:tc>
        <w:tc>
          <w:tcPr>
            <w:tcW w:w="987" w:type="dxa"/>
            <w:noWrap/>
            <w:hideMark/>
          </w:tcPr>
          <w:p w14:paraId="70E196A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3,335</w:t>
            </w:r>
          </w:p>
        </w:tc>
        <w:tc>
          <w:tcPr>
            <w:tcW w:w="987" w:type="dxa"/>
            <w:noWrap/>
            <w:hideMark/>
          </w:tcPr>
          <w:p w14:paraId="195D6388"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82,102</w:t>
            </w:r>
          </w:p>
        </w:tc>
        <w:tc>
          <w:tcPr>
            <w:tcW w:w="987" w:type="dxa"/>
            <w:noWrap/>
            <w:hideMark/>
          </w:tcPr>
          <w:p w14:paraId="2EC00A6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310</w:t>
            </w:r>
          </w:p>
        </w:tc>
        <w:tc>
          <w:tcPr>
            <w:tcW w:w="987" w:type="dxa"/>
            <w:noWrap/>
            <w:hideMark/>
          </w:tcPr>
          <w:p w14:paraId="185B315D"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202</w:t>
            </w:r>
          </w:p>
        </w:tc>
        <w:tc>
          <w:tcPr>
            <w:tcW w:w="987" w:type="dxa"/>
            <w:noWrap/>
            <w:hideMark/>
          </w:tcPr>
          <w:p w14:paraId="7D81758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642,068</w:t>
            </w:r>
          </w:p>
        </w:tc>
        <w:tc>
          <w:tcPr>
            <w:tcW w:w="987" w:type="dxa"/>
            <w:noWrap/>
            <w:hideMark/>
          </w:tcPr>
          <w:p w14:paraId="6A85C2F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579,363</w:t>
            </w:r>
          </w:p>
        </w:tc>
        <w:tc>
          <w:tcPr>
            <w:tcW w:w="987" w:type="dxa"/>
            <w:noWrap/>
            <w:hideMark/>
          </w:tcPr>
          <w:p w14:paraId="28951CD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4,753</w:t>
            </w:r>
          </w:p>
        </w:tc>
        <w:tc>
          <w:tcPr>
            <w:tcW w:w="987" w:type="dxa"/>
            <w:noWrap/>
            <w:hideMark/>
          </w:tcPr>
          <w:p w14:paraId="7B7FB31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3,420</w:t>
            </w:r>
          </w:p>
        </w:tc>
        <w:tc>
          <w:tcPr>
            <w:tcW w:w="987" w:type="dxa"/>
            <w:noWrap/>
            <w:hideMark/>
          </w:tcPr>
          <w:p w14:paraId="6D06CE3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85,869</w:t>
            </w:r>
          </w:p>
        </w:tc>
        <w:tc>
          <w:tcPr>
            <w:tcW w:w="987" w:type="dxa"/>
            <w:noWrap/>
            <w:hideMark/>
          </w:tcPr>
          <w:p w14:paraId="3922628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317</w:t>
            </w:r>
          </w:p>
        </w:tc>
        <w:tc>
          <w:tcPr>
            <w:tcW w:w="987" w:type="dxa"/>
            <w:noWrap/>
            <w:hideMark/>
          </w:tcPr>
          <w:p w14:paraId="772BD98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207</w:t>
            </w:r>
          </w:p>
        </w:tc>
        <w:tc>
          <w:tcPr>
            <w:tcW w:w="988" w:type="dxa"/>
            <w:noWrap/>
            <w:hideMark/>
          </w:tcPr>
          <w:p w14:paraId="6845A247"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673,928</w:t>
            </w:r>
          </w:p>
        </w:tc>
      </w:tr>
      <w:tr w:rsidR="00F66E0C" w:rsidRPr="009A0E7D" w14:paraId="13FAE44A" w14:textId="77777777" w:rsidTr="004E7DFB">
        <w:trPr>
          <w:trHeight w:val="367"/>
        </w:trPr>
        <w:tc>
          <w:tcPr>
            <w:tcW w:w="1344" w:type="dxa"/>
            <w:noWrap/>
            <w:hideMark/>
          </w:tcPr>
          <w:p w14:paraId="1921FE3E" w14:textId="7A8EC1F2"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The Royal Children</w:t>
            </w:r>
            <w:r w:rsidR="00930C71">
              <w:rPr>
                <w:rFonts w:cs="Arial"/>
                <w:color w:val="000000"/>
                <w:sz w:val="16"/>
                <w:szCs w:val="16"/>
                <w:lang w:eastAsia="en-AU"/>
              </w:rPr>
              <w:t>’</w:t>
            </w:r>
            <w:r w:rsidRPr="009A0E7D">
              <w:rPr>
                <w:rFonts w:cs="Arial"/>
                <w:color w:val="000000"/>
                <w:sz w:val="16"/>
                <w:szCs w:val="16"/>
                <w:lang w:eastAsia="en-AU"/>
              </w:rPr>
              <w:t>s Hospital</w:t>
            </w:r>
          </w:p>
        </w:tc>
        <w:tc>
          <w:tcPr>
            <w:tcW w:w="987" w:type="dxa"/>
            <w:noWrap/>
            <w:hideMark/>
          </w:tcPr>
          <w:p w14:paraId="4823600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544,703</w:t>
            </w:r>
          </w:p>
        </w:tc>
        <w:tc>
          <w:tcPr>
            <w:tcW w:w="987" w:type="dxa"/>
            <w:noWrap/>
            <w:hideMark/>
          </w:tcPr>
          <w:p w14:paraId="1027954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20</w:t>
            </w:r>
          </w:p>
        </w:tc>
        <w:tc>
          <w:tcPr>
            <w:tcW w:w="987" w:type="dxa"/>
            <w:noWrap/>
            <w:hideMark/>
          </w:tcPr>
          <w:p w14:paraId="5997A3F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297ABB7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28,525</w:t>
            </w:r>
          </w:p>
        </w:tc>
        <w:tc>
          <w:tcPr>
            <w:tcW w:w="987" w:type="dxa"/>
            <w:noWrap/>
            <w:hideMark/>
          </w:tcPr>
          <w:p w14:paraId="647576B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502</w:t>
            </w:r>
          </w:p>
        </w:tc>
        <w:tc>
          <w:tcPr>
            <w:tcW w:w="987" w:type="dxa"/>
            <w:noWrap/>
            <w:hideMark/>
          </w:tcPr>
          <w:p w14:paraId="0957A80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1,046</w:t>
            </w:r>
          </w:p>
        </w:tc>
        <w:tc>
          <w:tcPr>
            <w:tcW w:w="987" w:type="dxa"/>
            <w:noWrap/>
            <w:hideMark/>
          </w:tcPr>
          <w:p w14:paraId="02D5660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574,796</w:t>
            </w:r>
          </w:p>
        </w:tc>
        <w:tc>
          <w:tcPr>
            <w:tcW w:w="987" w:type="dxa"/>
            <w:noWrap/>
            <w:hideMark/>
          </w:tcPr>
          <w:p w14:paraId="4FB762A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564,633</w:t>
            </w:r>
          </w:p>
        </w:tc>
        <w:tc>
          <w:tcPr>
            <w:tcW w:w="987" w:type="dxa"/>
            <w:noWrap/>
            <w:hideMark/>
          </w:tcPr>
          <w:p w14:paraId="495040D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21</w:t>
            </w:r>
          </w:p>
        </w:tc>
        <w:tc>
          <w:tcPr>
            <w:tcW w:w="987" w:type="dxa"/>
            <w:noWrap/>
            <w:hideMark/>
          </w:tcPr>
          <w:p w14:paraId="26D3597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151CAF6F"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29,119</w:t>
            </w:r>
          </w:p>
        </w:tc>
        <w:tc>
          <w:tcPr>
            <w:tcW w:w="987" w:type="dxa"/>
            <w:noWrap/>
            <w:hideMark/>
          </w:tcPr>
          <w:p w14:paraId="0882F07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514</w:t>
            </w:r>
          </w:p>
        </w:tc>
        <w:tc>
          <w:tcPr>
            <w:tcW w:w="987" w:type="dxa"/>
            <w:noWrap/>
            <w:hideMark/>
          </w:tcPr>
          <w:p w14:paraId="224F04F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458</w:t>
            </w:r>
          </w:p>
        </w:tc>
        <w:tc>
          <w:tcPr>
            <w:tcW w:w="988" w:type="dxa"/>
            <w:noWrap/>
            <w:hideMark/>
          </w:tcPr>
          <w:p w14:paraId="4C7DDFAE"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594,745</w:t>
            </w:r>
          </w:p>
        </w:tc>
      </w:tr>
      <w:tr w:rsidR="00F66E0C" w:rsidRPr="009A0E7D" w14:paraId="2CA46CEF" w14:textId="77777777" w:rsidTr="004E7DFB">
        <w:trPr>
          <w:trHeight w:val="367"/>
        </w:trPr>
        <w:tc>
          <w:tcPr>
            <w:tcW w:w="1344" w:type="dxa"/>
            <w:noWrap/>
            <w:hideMark/>
          </w:tcPr>
          <w:p w14:paraId="1B14A8B4" w14:textId="0F3816C6"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The Royal Women</w:t>
            </w:r>
            <w:r w:rsidR="00930C71">
              <w:rPr>
                <w:rFonts w:cs="Arial"/>
                <w:color w:val="000000"/>
                <w:sz w:val="16"/>
                <w:szCs w:val="16"/>
                <w:lang w:eastAsia="en-AU"/>
              </w:rPr>
              <w:t>’</w:t>
            </w:r>
            <w:r w:rsidRPr="009A0E7D">
              <w:rPr>
                <w:rFonts w:cs="Arial"/>
                <w:color w:val="000000"/>
                <w:sz w:val="16"/>
                <w:szCs w:val="16"/>
                <w:lang w:eastAsia="en-AU"/>
              </w:rPr>
              <w:t>s Hospital</w:t>
            </w:r>
          </w:p>
        </w:tc>
        <w:tc>
          <w:tcPr>
            <w:tcW w:w="987" w:type="dxa"/>
            <w:noWrap/>
            <w:hideMark/>
          </w:tcPr>
          <w:p w14:paraId="0298AF4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234,085</w:t>
            </w:r>
          </w:p>
        </w:tc>
        <w:tc>
          <w:tcPr>
            <w:tcW w:w="987" w:type="dxa"/>
            <w:noWrap/>
            <w:hideMark/>
          </w:tcPr>
          <w:p w14:paraId="3687E40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16436F6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1,074</w:t>
            </w:r>
          </w:p>
        </w:tc>
        <w:tc>
          <w:tcPr>
            <w:tcW w:w="987" w:type="dxa"/>
            <w:noWrap/>
            <w:hideMark/>
          </w:tcPr>
          <w:p w14:paraId="3414CBBC"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840</w:t>
            </w:r>
          </w:p>
        </w:tc>
        <w:tc>
          <w:tcPr>
            <w:tcW w:w="987" w:type="dxa"/>
            <w:noWrap/>
            <w:hideMark/>
          </w:tcPr>
          <w:p w14:paraId="1CD8A991"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469</w:t>
            </w:r>
          </w:p>
        </w:tc>
        <w:tc>
          <w:tcPr>
            <w:tcW w:w="987" w:type="dxa"/>
            <w:noWrap/>
            <w:hideMark/>
          </w:tcPr>
          <w:p w14:paraId="3EEDD0F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8</w:t>
            </w:r>
          </w:p>
        </w:tc>
        <w:tc>
          <w:tcPr>
            <w:tcW w:w="987" w:type="dxa"/>
            <w:noWrap/>
            <w:hideMark/>
          </w:tcPr>
          <w:p w14:paraId="4476F497"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236,477</w:t>
            </w:r>
          </w:p>
        </w:tc>
        <w:tc>
          <w:tcPr>
            <w:tcW w:w="987" w:type="dxa"/>
            <w:noWrap/>
            <w:hideMark/>
          </w:tcPr>
          <w:p w14:paraId="229222A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243,064</w:t>
            </w:r>
          </w:p>
        </w:tc>
        <w:tc>
          <w:tcPr>
            <w:tcW w:w="987" w:type="dxa"/>
            <w:noWrap/>
            <w:hideMark/>
          </w:tcPr>
          <w:p w14:paraId="5B48BD7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87" w:type="dxa"/>
            <w:noWrap/>
            <w:hideMark/>
          </w:tcPr>
          <w:p w14:paraId="1099FCD7"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1,102</w:t>
            </w:r>
          </w:p>
        </w:tc>
        <w:tc>
          <w:tcPr>
            <w:tcW w:w="987" w:type="dxa"/>
            <w:noWrap/>
            <w:hideMark/>
          </w:tcPr>
          <w:p w14:paraId="7E857FD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796</w:t>
            </w:r>
          </w:p>
        </w:tc>
        <w:tc>
          <w:tcPr>
            <w:tcW w:w="987" w:type="dxa"/>
            <w:noWrap/>
            <w:hideMark/>
          </w:tcPr>
          <w:p w14:paraId="6285929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297</w:t>
            </w:r>
          </w:p>
        </w:tc>
        <w:tc>
          <w:tcPr>
            <w:tcW w:w="987" w:type="dxa"/>
            <w:noWrap/>
            <w:hideMark/>
          </w:tcPr>
          <w:p w14:paraId="3954F1D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289</w:t>
            </w:r>
          </w:p>
        </w:tc>
        <w:tc>
          <w:tcPr>
            <w:tcW w:w="988" w:type="dxa"/>
            <w:noWrap/>
            <w:hideMark/>
          </w:tcPr>
          <w:p w14:paraId="0ACE6FD1"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245,547</w:t>
            </w:r>
          </w:p>
        </w:tc>
      </w:tr>
      <w:tr w:rsidR="00F66E0C" w:rsidRPr="009A0E7D" w14:paraId="771B1F6E" w14:textId="77777777" w:rsidTr="004E7DFB">
        <w:trPr>
          <w:trHeight w:val="367"/>
        </w:trPr>
        <w:tc>
          <w:tcPr>
            <w:tcW w:w="1344" w:type="dxa"/>
            <w:noWrap/>
            <w:hideMark/>
          </w:tcPr>
          <w:p w14:paraId="3AF3D5A8" w14:textId="77777777" w:rsidR="009A0E7D" w:rsidRPr="009A0E7D" w:rsidRDefault="009A0E7D" w:rsidP="009A0E7D">
            <w:pPr>
              <w:spacing w:after="0" w:line="240" w:lineRule="auto"/>
              <w:rPr>
                <w:rFonts w:cs="Arial"/>
                <w:color w:val="000000"/>
                <w:sz w:val="16"/>
                <w:szCs w:val="16"/>
                <w:lang w:eastAsia="en-AU"/>
              </w:rPr>
            </w:pPr>
            <w:r w:rsidRPr="009A0E7D">
              <w:rPr>
                <w:rFonts w:cs="Arial"/>
                <w:color w:val="000000"/>
                <w:sz w:val="16"/>
                <w:szCs w:val="16"/>
                <w:lang w:eastAsia="en-AU"/>
              </w:rPr>
              <w:t>Western Health</w:t>
            </w:r>
          </w:p>
        </w:tc>
        <w:tc>
          <w:tcPr>
            <w:tcW w:w="987" w:type="dxa"/>
            <w:noWrap/>
            <w:hideMark/>
          </w:tcPr>
          <w:p w14:paraId="375856C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935,321</w:t>
            </w:r>
          </w:p>
        </w:tc>
        <w:tc>
          <w:tcPr>
            <w:tcW w:w="987" w:type="dxa"/>
            <w:noWrap/>
            <w:hideMark/>
          </w:tcPr>
          <w:p w14:paraId="5306452B"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5,872</w:t>
            </w:r>
          </w:p>
        </w:tc>
        <w:tc>
          <w:tcPr>
            <w:tcW w:w="987" w:type="dxa"/>
            <w:noWrap/>
            <w:hideMark/>
          </w:tcPr>
          <w:p w14:paraId="32986EE5"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14,660</w:t>
            </w:r>
          </w:p>
        </w:tc>
        <w:tc>
          <w:tcPr>
            <w:tcW w:w="987" w:type="dxa"/>
            <w:noWrap/>
            <w:hideMark/>
          </w:tcPr>
          <w:p w14:paraId="1CE30CB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4,022</w:t>
            </w:r>
          </w:p>
        </w:tc>
        <w:tc>
          <w:tcPr>
            <w:tcW w:w="987" w:type="dxa"/>
            <w:noWrap/>
            <w:hideMark/>
          </w:tcPr>
          <w:p w14:paraId="4D6C04A0"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2,711</w:t>
            </w:r>
          </w:p>
        </w:tc>
        <w:tc>
          <w:tcPr>
            <w:tcW w:w="987" w:type="dxa"/>
            <w:noWrap/>
            <w:hideMark/>
          </w:tcPr>
          <w:p w14:paraId="43FA4BC9"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923</w:t>
            </w:r>
          </w:p>
        </w:tc>
        <w:tc>
          <w:tcPr>
            <w:tcW w:w="987" w:type="dxa"/>
            <w:noWrap/>
            <w:hideMark/>
          </w:tcPr>
          <w:p w14:paraId="743A39C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963,509</w:t>
            </w:r>
          </w:p>
        </w:tc>
        <w:tc>
          <w:tcPr>
            <w:tcW w:w="987" w:type="dxa"/>
            <w:noWrap/>
            <w:hideMark/>
          </w:tcPr>
          <w:p w14:paraId="78C8813A"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1,024,804</w:t>
            </w:r>
          </w:p>
        </w:tc>
        <w:tc>
          <w:tcPr>
            <w:tcW w:w="987" w:type="dxa"/>
            <w:noWrap/>
            <w:hideMark/>
          </w:tcPr>
          <w:p w14:paraId="3F1295C4"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5,801</w:t>
            </w:r>
          </w:p>
        </w:tc>
        <w:tc>
          <w:tcPr>
            <w:tcW w:w="987" w:type="dxa"/>
            <w:noWrap/>
            <w:hideMark/>
          </w:tcPr>
          <w:p w14:paraId="4708583E"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15,008</w:t>
            </w:r>
          </w:p>
        </w:tc>
        <w:tc>
          <w:tcPr>
            <w:tcW w:w="987" w:type="dxa"/>
            <w:noWrap/>
            <w:hideMark/>
          </w:tcPr>
          <w:p w14:paraId="262E2CC6"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5,587</w:t>
            </w:r>
          </w:p>
        </w:tc>
        <w:tc>
          <w:tcPr>
            <w:tcW w:w="987" w:type="dxa"/>
            <w:noWrap/>
            <w:hideMark/>
          </w:tcPr>
          <w:p w14:paraId="54787122"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2,772</w:t>
            </w:r>
          </w:p>
        </w:tc>
        <w:tc>
          <w:tcPr>
            <w:tcW w:w="987" w:type="dxa"/>
            <w:noWrap/>
            <w:hideMark/>
          </w:tcPr>
          <w:p w14:paraId="2B9910F3" w14:textId="77777777" w:rsidR="009A0E7D" w:rsidRPr="00D87C7F" w:rsidRDefault="009A0E7D" w:rsidP="009A0E7D">
            <w:pPr>
              <w:spacing w:after="0" w:line="240" w:lineRule="auto"/>
              <w:jc w:val="right"/>
              <w:rPr>
                <w:rFonts w:cs="Arial"/>
                <w:color w:val="000000"/>
                <w:sz w:val="15"/>
                <w:szCs w:val="15"/>
                <w:lang w:eastAsia="en-AU"/>
              </w:rPr>
            </w:pPr>
            <w:r w:rsidRPr="00D87C7F">
              <w:rPr>
                <w:rFonts w:cs="Arial"/>
                <w:color w:val="000000"/>
                <w:sz w:val="15"/>
                <w:szCs w:val="15"/>
                <w:lang w:eastAsia="en-AU"/>
              </w:rPr>
              <w:t>496</w:t>
            </w:r>
          </w:p>
        </w:tc>
        <w:tc>
          <w:tcPr>
            <w:tcW w:w="988" w:type="dxa"/>
            <w:noWrap/>
            <w:hideMark/>
          </w:tcPr>
          <w:p w14:paraId="2A2C0DD3" w14:textId="77777777" w:rsidR="009A0E7D" w:rsidRPr="00D87C7F" w:rsidRDefault="009A0E7D" w:rsidP="009A0E7D">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1,054,468</w:t>
            </w:r>
          </w:p>
        </w:tc>
      </w:tr>
      <w:tr w:rsidR="004E7DFB" w:rsidRPr="00FD5A32" w14:paraId="4AFBE5FA" w14:textId="77777777" w:rsidTr="004E7DFB">
        <w:trPr>
          <w:trHeight w:val="353"/>
        </w:trPr>
        <w:tc>
          <w:tcPr>
            <w:tcW w:w="1344" w:type="dxa"/>
            <w:shd w:val="clear" w:color="auto" w:fill="201547"/>
            <w:noWrap/>
            <w:hideMark/>
          </w:tcPr>
          <w:p w14:paraId="6691BF9C" w14:textId="77777777" w:rsidR="009A0E7D" w:rsidRPr="00FD5A32" w:rsidRDefault="009A0E7D" w:rsidP="005D6F39">
            <w:pPr>
              <w:spacing w:after="0" w:line="240" w:lineRule="auto"/>
              <w:rPr>
                <w:rFonts w:cs="Arial"/>
                <w:b/>
                <w:bCs/>
                <w:color w:val="FFFFFF"/>
                <w:sz w:val="15"/>
                <w:szCs w:val="15"/>
                <w:lang w:eastAsia="en-AU"/>
              </w:rPr>
            </w:pPr>
            <w:r w:rsidRPr="00FD5A32">
              <w:rPr>
                <w:rFonts w:cs="Arial"/>
                <w:b/>
                <w:bCs/>
                <w:color w:val="FFFFFF"/>
                <w:sz w:val="15"/>
                <w:szCs w:val="15"/>
                <w:lang w:eastAsia="en-AU"/>
              </w:rPr>
              <w:t>Total</w:t>
            </w:r>
          </w:p>
        </w:tc>
        <w:tc>
          <w:tcPr>
            <w:tcW w:w="987" w:type="dxa"/>
            <w:shd w:val="clear" w:color="auto" w:fill="201547"/>
            <w:noWrap/>
            <w:hideMark/>
          </w:tcPr>
          <w:p w14:paraId="0070BF3C"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11,171,372</w:t>
            </w:r>
          </w:p>
        </w:tc>
        <w:tc>
          <w:tcPr>
            <w:tcW w:w="987" w:type="dxa"/>
            <w:shd w:val="clear" w:color="auto" w:fill="201547"/>
            <w:noWrap/>
            <w:hideMark/>
          </w:tcPr>
          <w:p w14:paraId="00650212"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116,677</w:t>
            </w:r>
          </w:p>
        </w:tc>
        <w:tc>
          <w:tcPr>
            <w:tcW w:w="987" w:type="dxa"/>
            <w:shd w:val="clear" w:color="auto" w:fill="201547"/>
            <w:noWrap/>
            <w:hideMark/>
          </w:tcPr>
          <w:p w14:paraId="3E0D1288"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58,151</w:t>
            </w:r>
          </w:p>
        </w:tc>
        <w:tc>
          <w:tcPr>
            <w:tcW w:w="987" w:type="dxa"/>
            <w:shd w:val="clear" w:color="auto" w:fill="201547"/>
            <w:noWrap/>
            <w:hideMark/>
          </w:tcPr>
          <w:p w14:paraId="168CADE8"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1,586,583</w:t>
            </w:r>
          </w:p>
        </w:tc>
        <w:tc>
          <w:tcPr>
            <w:tcW w:w="987" w:type="dxa"/>
            <w:shd w:val="clear" w:color="auto" w:fill="201547"/>
            <w:noWrap/>
            <w:hideMark/>
          </w:tcPr>
          <w:p w14:paraId="2DF857BA"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54,679</w:t>
            </w:r>
          </w:p>
        </w:tc>
        <w:tc>
          <w:tcPr>
            <w:tcW w:w="987" w:type="dxa"/>
            <w:shd w:val="clear" w:color="auto" w:fill="201547"/>
            <w:noWrap/>
            <w:hideMark/>
          </w:tcPr>
          <w:p w14:paraId="2B4A481F"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29,901</w:t>
            </w:r>
          </w:p>
        </w:tc>
        <w:tc>
          <w:tcPr>
            <w:tcW w:w="987" w:type="dxa"/>
            <w:shd w:val="clear" w:color="auto" w:fill="201547"/>
            <w:noWrap/>
            <w:hideMark/>
          </w:tcPr>
          <w:p w14:paraId="5BBDA706"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13,017,364</w:t>
            </w:r>
          </w:p>
        </w:tc>
        <w:tc>
          <w:tcPr>
            <w:tcW w:w="987" w:type="dxa"/>
            <w:shd w:val="clear" w:color="auto" w:fill="201547"/>
            <w:noWrap/>
            <w:hideMark/>
          </w:tcPr>
          <w:p w14:paraId="15BD8240"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12,109,549</w:t>
            </w:r>
          </w:p>
        </w:tc>
        <w:tc>
          <w:tcPr>
            <w:tcW w:w="987" w:type="dxa"/>
            <w:shd w:val="clear" w:color="auto" w:fill="201547"/>
            <w:noWrap/>
            <w:hideMark/>
          </w:tcPr>
          <w:p w14:paraId="223A8866"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114,089</w:t>
            </w:r>
          </w:p>
        </w:tc>
        <w:tc>
          <w:tcPr>
            <w:tcW w:w="987" w:type="dxa"/>
            <w:shd w:val="clear" w:color="auto" w:fill="201547"/>
            <w:noWrap/>
            <w:hideMark/>
          </w:tcPr>
          <w:p w14:paraId="3A8F7EE8"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56,390</w:t>
            </w:r>
          </w:p>
        </w:tc>
        <w:tc>
          <w:tcPr>
            <w:tcW w:w="987" w:type="dxa"/>
            <w:shd w:val="clear" w:color="auto" w:fill="201547"/>
            <w:noWrap/>
            <w:hideMark/>
          </w:tcPr>
          <w:p w14:paraId="2E04598F"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1,683,951</w:t>
            </w:r>
          </w:p>
        </w:tc>
        <w:tc>
          <w:tcPr>
            <w:tcW w:w="987" w:type="dxa"/>
            <w:shd w:val="clear" w:color="auto" w:fill="201547"/>
            <w:noWrap/>
            <w:hideMark/>
          </w:tcPr>
          <w:p w14:paraId="77EC7D2A"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54,368</w:t>
            </w:r>
          </w:p>
        </w:tc>
        <w:tc>
          <w:tcPr>
            <w:tcW w:w="987" w:type="dxa"/>
            <w:shd w:val="clear" w:color="auto" w:fill="201547"/>
            <w:noWrap/>
            <w:hideMark/>
          </w:tcPr>
          <w:p w14:paraId="468AB9A1"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28,415</w:t>
            </w:r>
          </w:p>
        </w:tc>
        <w:tc>
          <w:tcPr>
            <w:tcW w:w="988" w:type="dxa"/>
            <w:shd w:val="clear" w:color="auto" w:fill="201547"/>
            <w:noWrap/>
            <w:hideMark/>
          </w:tcPr>
          <w:p w14:paraId="53003B9D" w14:textId="77777777" w:rsidR="009A0E7D" w:rsidRPr="00FD5A32" w:rsidRDefault="009A0E7D" w:rsidP="005D6F39">
            <w:pPr>
              <w:spacing w:after="0" w:line="240" w:lineRule="auto"/>
              <w:jc w:val="right"/>
              <w:rPr>
                <w:rFonts w:cs="Arial"/>
                <w:b/>
                <w:bCs/>
                <w:color w:val="FFFFFF"/>
                <w:sz w:val="15"/>
                <w:szCs w:val="15"/>
                <w:lang w:eastAsia="en-AU"/>
              </w:rPr>
            </w:pPr>
            <w:r w:rsidRPr="00FD5A32">
              <w:rPr>
                <w:rFonts w:cs="Arial"/>
                <w:b/>
                <w:bCs/>
                <w:color w:val="FFFFFF"/>
                <w:sz w:val="15"/>
                <w:szCs w:val="15"/>
                <w:lang w:eastAsia="en-AU"/>
              </w:rPr>
              <w:t>14,046,762</w:t>
            </w:r>
          </w:p>
        </w:tc>
      </w:tr>
    </w:tbl>
    <w:p w14:paraId="673EFF43" w14:textId="77777777" w:rsidR="00F01C32" w:rsidRDefault="00F01C32" w:rsidP="00B92CD4">
      <w:pPr>
        <w:pStyle w:val="Body"/>
      </w:pPr>
    </w:p>
    <w:p w14:paraId="5D3FD15C" w14:textId="7AFC3D34" w:rsidR="00F01C32" w:rsidRDefault="00013554" w:rsidP="00B92CD4">
      <w:pPr>
        <w:pStyle w:val="Body"/>
      </w:pPr>
      <w:r>
        <w:t xml:space="preserve">Subregional and </w:t>
      </w:r>
      <w:r w:rsidR="00A67ABC">
        <w:t>local</w:t>
      </w:r>
    </w:p>
    <w:tbl>
      <w:tblPr>
        <w:tblStyle w:val="TableGrid1"/>
        <w:tblW w:w="15163" w:type="dxa"/>
        <w:tblLayout w:type="fixed"/>
        <w:tblLook w:val="04A0" w:firstRow="1" w:lastRow="0" w:firstColumn="1" w:lastColumn="0" w:noHBand="0" w:noVBand="1"/>
      </w:tblPr>
      <w:tblGrid>
        <w:gridCol w:w="1555"/>
        <w:gridCol w:w="961"/>
        <w:gridCol w:w="961"/>
        <w:gridCol w:w="961"/>
        <w:gridCol w:w="961"/>
        <w:gridCol w:w="961"/>
        <w:gridCol w:w="961"/>
        <w:gridCol w:w="962"/>
        <w:gridCol w:w="961"/>
        <w:gridCol w:w="961"/>
        <w:gridCol w:w="961"/>
        <w:gridCol w:w="961"/>
        <w:gridCol w:w="961"/>
        <w:gridCol w:w="961"/>
        <w:gridCol w:w="1114"/>
      </w:tblGrid>
      <w:tr w:rsidR="004E7DFB" w:rsidRPr="008836C8" w14:paraId="6C743935" w14:textId="77777777" w:rsidTr="004E7DFB">
        <w:trPr>
          <w:cnfStyle w:val="100000000000" w:firstRow="1" w:lastRow="0" w:firstColumn="0" w:lastColumn="0" w:oddVBand="0" w:evenVBand="0" w:oddHBand="0" w:evenHBand="0" w:firstRowFirstColumn="0" w:firstRowLastColumn="0" w:lastRowFirstColumn="0" w:lastRowLastColumn="0"/>
          <w:trHeight w:val="241"/>
          <w:tblHeader/>
        </w:trPr>
        <w:tc>
          <w:tcPr>
            <w:tcW w:w="1555" w:type="dxa"/>
            <w:vMerge w:val="restart"/>
            <w:noWrap/>
            <w:hideMark/>
          </w:tcPr>
          <w:p w14:paraId="5D830E0B" w14:textId="0F5B34FA" w:rsidR="004E7DFB" w:rsidRPr="008836C8" w:rsidRDefault="004E7DFB" w:rsidP="008836C8">
            <w:pPr>
              <w:spacing w:after="0" w:line="240" w:lineRule="auto"/>
              <w:rPr>
                <w:rFonts w:cs="Arial"/>
                <w:b/>
                <w:bCs/>
                <w:color w:val="FFFFFF"/>
                <w:sz w:val="16"/>
                <w:szCs w:val="16"/>
                <w:lang w:eastAsia="en-AU"/>
              </w:rPr>
            </w:pPr>
            <w:r w:rsidRPr="008836C8">
              <w:rPr>
                <w:rFonts w:cs="Arial"/>
                <w:b/>
                <w:bCs/>
                <w:color w:val="FFFFFF"/>
                <w:sz w:val="16"/>
                <w:szCs w:val="16"/>
                <w:lang w:eastAsia="en-AU"/>
              </w:rPr>
              <w:t>Health Service</w:t>
            </w:r>
          </w:p>
        </w:tc>
        <w:tc>
          <w:tcPr>
            <w:tcW w:w="6728" w:type="dxa"/>
            <w:gridSpan w:val="7"/>
            <w:noWrap/>
            <w:hideMark/>
          </w:tcPr>
          <w:p w14:paraId="07BE94F1" w14:textId="666C0954" w:rsidR="004E7DFB" w:rsidRPr="008836C8" w:rsidRDefault="004E7DFB" w:rsidP="008836C8">
            <w:pPr>
              <w:spacing w:after="0" w:line="240" w:lineRule="auto"/>
              <w:jc w:val="center"/>
              <w:rPr>
                <w:rFonts w:cs="Arial"/>
                <w:b/>
                <w:bCs/>
                <w:color w:val="FFFFFF"/>
                <w:sz w:val="16"/>
                <w:szCs w:val="16"/>
                <w:lang w:eastAsia="en-AU"/>
              </w:rPr>
            </w:pPr>
            <w:r w:rsidRPr="008836C8">
              <w:rPr>
                <w:rFonts w:cs="Arial"/>
                <w:b/>
                <w:bCs/>
                <w:color w:val="FFFFFF"/>
                <w:sz w:val="16"/>
                <w:szCs w:val="16"/>
                <w:lang w:eastAsia="en-AU"/>
              </w:rPr>
              <w:t>2021</w:t>
            </w:r>
            <w:r w:rsidR="002F204E" w:rsidRPr="005353E5">
              <w:rPr>
                <w:rFonts w:cs="Arial"/>
                <w:b/>
                <w:bCs/>
                <w:color w:val="FFFFFF"/>
                <w:sz w:val="16"/>
                <w:szCs w:val="16"/>
                <w:lang w:eastAsia="en-AU"/>
              </w:rPr>
              <w:t>–</w:t>
            </w:r>
            <w:r w:rsidRPr="008836C8">
              <w:rPr>
                <w:rFonts w:cs="Arial"/>
                <w:b/>
                <w:bCs/>
                <w:color w:val="FFFFFF"/>
                <w:sz w:val="16"/>
                <w:szCs w:val="16"/>
                <w:lang w:eastAsia="en-AU"/>
              </w:rPr>
              <w:t>2021</w:t>
            </w:r>
          </w:p>
        </w:tc>
        <w:tc>
          <w:tcPr>
            <w:tcW w:w="6880" w:type="dxa"/>
            <w:gridSpan w:val="7"/>
            <w:noWrap/>
            <w:hideMark/>
          </w:tcPr>
          <w:p w14:paraId="356485F8" w14:textId="5EB78D15" w:rsidR="004E7DFB" w:rsidRPr="008836C8" w:rsidRDefault="004E7DFB" w:rsidP="008836C8">
            <w:pPr>
              <w:spacing w:after="0" w:line="240" w:lineRule="auto"/>
              <w:jc w:val="center"/>
              <w:rPr>
                <w:rFonts w:cs="Arial"/>
                <w:b/>
                <w:bCs/>
                <w:color w:val="FFFFFF"/>
                <w:sz w:val="16"/>
                <w:szCs w:val="16"/>
                <w:lang w:eastAsia="en-AU"/>
              </w:rPr>
            </w:pPr>
            <w:r w:rsidRPr="008836C8">
              <w:rPr>
                <w:rFonts w:cs="Arial"/>
                <w:b/>
                <w:bCs/>
                <w:color w:val="FFFFFF"/>
                <w:sz w:val="16"/>
                <w:szCs w:val="16"/>
                <w:lang w:eastAsia="en-AU"/>
              </w:rPr>
              <w:t>2022</w:t>
            </w:r>
            <w:r w:rsidR="002F204E" w:rsidRPr="005353E5">
              <w:rPr>
                <w:rFonts w:cs="Arial"/>
                <w:b/>
                <w:bCs/>
                <w:color w:val="FFFFFF"/>
                <w:sz w:val="16"/>
                <w:szCs w:val="16"/>
                <w:lang w:eastAsia="en-AU"/>
              </w:rPr>
              <w:t>–</w:t>
            </w:r>
            <w:r w:rsidRPr="008836C8">
              <w:rPr>
                <w:rFonts w:cs="Arial"/>
                <w:b/>
                <w:bCs/>
                <w:color w:val="FFFFFF"/>
                <w:sz w:val="16"/>
                <w:szCs w:val="16"/>
                <w:lang w:eastAsia="en-AU"/>
              </w:rPr>
              <w:t>2023</w:t>
            </w:r>
          </w:p>
        </w:tc>
      </w:tr>
      <w:tr w:rsidR="004E7DFB" w:rsidRPr="008836C8" w14:paraId="484CA01B" w14:textId="77777777" w:rsidTr="00601236">
        <w:trPr>
          <w:trHeight w:val="736"/>
        </w:trPr>
        <w:tc>
          <w:tcPr>
            <w:tcW w:w="1555" w:type="dxa"/>
            <w:vMerge/>
            <w:hideMark/>
          </w:tcPr>
          <w:p w14:paraId="41C39659" w14:textId="5028BE15" w:rsidR="004E7DFB" w:rsidRPr="008836C8" w:rsidRDefault="004E7DFB" w:rsidP="008836C8">
            <w:pPr>
              <w:spacing w:after="0" w:line="240" w:lineRule="auto"/>
              <w:rPr>
                <w:rFonts w:cs="Arial"/>
                <w:b/>
                <w:bCs/>
                <w:color w:val="FFFFFF"/>
                <w:sz w:val="16"/>
                <w:szCs w:val="16"/>
                <w:lang w:eastAsia="en-AU"/>
              </w:rPr>
            </w:pPr>
          </w:p>
        </w:tc>
        <w:tc>
          <w:tcPr>
            <w:tcW w:w="961" w:type="dxa"/>
            <w:shd w:val="clear" w:color="auto" w:fill="201547"/>
            <w:noWrap/>
            <w:hideMark/>
          </w:tcPr>
          <w:p w14:paraId="47ED8D74"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Acute Health Services</w:t>
            </w:r>
          </w:p>
          <w:p w14:paraId="076BA3FC" w14:textId="7F5882EA"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45BBAFF5"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Ageing, aged and home care</w:t>
            </w:r>
          </w:p>
          <w:p w14:paraId="477EB13F" w14:textId="4C5A28CA"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3349621B"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Drugs Services</w:t>
            </w:r>
          </w:p>
          <w:p w14:paraId="6262884A" w14:textId="21456859"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3E301F98"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Mental Health</w:t>
            </w:r>
          </w:p>
          <w:p w14:paraId="791366E1" w14:textId="5738EC39"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0A979E21"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Primary and Dental Health</w:t>
            </w:r>
          </w:p>
          <w:p w14:paraId="785ECA6F" w14:textId="759A130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12F38072"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Public Health</w:t>
            </w:r>
          </w:p>
          <w:p w14:paraId="6788F889" w14:textId="2293587A"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2" w:type="dxa"/>
            <w:shd w:val="clear" w:color="auto" w:fill="201547"/>
            <w:noWrap/>
            <w:hideMark/>
          </w:tcPr>
          <w:p w14:paraId="5A802378"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 xml:space="preserve"> Total</w:t>
            </w:r>
          </w:p>
          <w:p w14:paraId="0CB3957C" w14:textId="00DD8F82"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4889858E"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Acute Health Services</w:t>
            </w:r>
          </w:p>
          <w:p w14:paraId="607A773C" w14:textId="5ED57CEA"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3DD72835"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Ageing, aged and home care</w:t>
            </w:r>
          </w:p>
          <w:p w14:paraId="553D13AF" w14:textId="022E4AC8"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7486D114"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Drugs Services</w:t>
            </w:r>
          </w:p>
          <w:p w14:paraId="23290714" w14:textId="730FE7BF"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143B6BA8"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Mental Health</w:t>
            </w:r>
          </w:p>
          <w:p w14:paraId="78015052" w14:textId="469DBDDC"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4C106DCA"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Primary and Dental Health</w:t>
            </w:r>
          </w:p>
          <w:p w14:paraId="6573539F" w14:textId="2D50BAEC"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961" w:type="dxa"/>
            <w:shd w:val="clear" w:color="auto" w:fill="201547"/>
            <w:noWrap/>
            <w:hideMark/>
          </w:tcPr>
          <w:p w14:paraId="2078DACA"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Public Health</w:t>
            </w:r>
          </w:p>
          <w:p w14:paraId="145BE217" w14:textId="576E3CB1"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c>
          <w:tcPr>
            <w:tcW w:w="1114" w:type="dxa"/>
            <w:shd w:val="clear" w:color="auto" w:fill="201547"/>
            <w:noWrap/>
            <w:hideMark/>
          </w:tcPr>
          <w:p w14:paraId="1BA102B2" w14:textId="77777777"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Total</w:t>
            </w:r>
          </w:p>
          <w:p w14:paraId="23FD5257" w14:textId="0AF1150C" w:rsidR="004E7DFB" w:rsidRPr="008836C8" w:rsidRDefault="004E7DFB" w:rsidP="008836C8">
            <w:pPr>
              <w:spacing w:after="0" w:line="240" w:lineRule="auto"/>
              <w:jc w:val="right"/>
              <w:rPr>
                <w:rFonts w:cs="Arial"/>
                <w:b/>
                <w:bCs/>
                <w:color w:val="FFFFFF"/>
                <w:sz w:val="16"/>
                <w:szCs w:val="16"/>
                <w:lang w:eastAsia="en-AU"/>
              </w:rPr>
            </w:pPr>
            <w:r w:rsidRPr="008836C8">
              <w:rPr>
                <w:rFonts w:cs="Arial"/>
                <w:b/>
                <w:bCs/>
                <w:color w:val="FFFFFF"/>
                <w:sz w:val="16"/>
                <w:szCs w:val="16"/>
                <w:lang w:eastAsia="en-AU"/>
              </w:rPr>
              <w:t>$'000s</w:t>
            </w:r>
          </w:p>
        </w:tc>
      </w:tr>
      <w:tr w:rsidR="008836C8" w:rsidRPr="008836C8" w14:paraId="52F2CE47" w14:textId="77777777" w:rsidTr="004E7DFB">
        <w:trPr>
          <w:trHeight w:val="251"/>
        </w:trPr>
        <w:tc>
          <w:tcPr>
            <w:tcW w:w="1555" w:type="dxa"/>
            <w:noWrap/>
            <w:hideMark/>
          </w:tcPr>
          <w:p w14:paraId="2364749A"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Bairnsdale Regional Health Service</w:t>
            </w:r>
          </w:p>
        </w:tc>
        <w:tc>
          <w:tcPr>
            <w:tcW w:w="961" w:type="dxa"/>
            <w:noWrap/>
            <w:hideMark/>
          </w:tcPr>
          <w:p w14:paraId="5FDA0F2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73,525</w:t>
            </w:r>
          </w:p>
        </w:tc>
        <w:tc>
          <w:tcPr>
            <w:tcW w:w="961" w:type="dxa"/>
            <w:noWrap/>
            <w:hideMark/>
          </w:tcPr>
          <w:p w14:paraId="4B84823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1,341</w:t>
            </w:r>
          </w:p>
        </w:tc>
        <w:tc>
          <w:tcPr>
            <w:tcW w:w="961" w:type="dxa"/>
            <w:noWrap/>
            <w:hideMark/>
          </w:tcPr>
          <w:p w14:paraId="35846E8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792</w:t>
            </w:r>
          </w:p>
        </w:tc>
        <w:tc>
          <w:tcPr>
            <w:tcW w:w="961" w:type="dxa"/>
            <w:noWrap/>
            <w:hideMark/>
          </w:tcPr>
          <w:p w14:paraId="3490A56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2C2740E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225</w:t>
            </w:r>
          </w:p>
        </w:tc>
        <w:tc>
          <w:tcPr>
            <w:tcW w:w="961" w:type="dxa"/>
            <w:noWrap/>
            <w:hideMark/>
          </w:tcPr>
          <w:p w14:paraId="78F0E25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4C28CF78"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75,883</w:t>
            </w:r>
          </w:p>
        </w:tc>
        <w:tc>
          <w:tcPr>
            <w:tcW w:w="961" w:type="dxa"/>
            <w:noWrap/>
            <w:hideMark/>
          </w:tcPr>
          <w:p w14:paraId="54AC05B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86,136</w:t>
            </w:r>
          </w:p>
        </w:tc>
        <w:tc>
          <w:tcPr>
            <w:tcW w:w="961" w:type="dxa"/>
            <w:noWrap/>
            <w:hideMark/>
          </w:tcPr>
          <w:p w14:paraId="6664E0A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1,372</w:t>
            </w:r>
          </w:p>
        </w:tc>
        <w:tc>
          <w:tcPr>
            <w:tcW w:w="961" w:type="dxa"/>
            <w:noWrap/>
            <w:hideMark/>
          </w:tcPr>
          <w:p w14:paraId="470B3AF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810</w:t>
            </w:r>
          </w:p>
        </w:tc>
        <w:tc>
          <w:tcPr>
            <w:tcW w:w="961" w:type="dxa"/>
            <w:noWrap/>
            <w:hideMark/>
          </w:tcPr>
          <w:p w14:paraId="14E1D67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6ED910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230</w:t>
            </w:r>
          </w:p>
        </w:tc>
        <w:tc>
          <w:tcPr>
            <w:tcW w:w="961" w:type="dxa"/>
            <w:noWrap/>
            <w:hideMark/>
          </w:tcPr>
          <w:p w14:paraId="52E1DF2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3E3A0586"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88,548</w:t>
            </w:r>
          </w:p>
        </w:tc>
      </w:tr>
      <w:tr w:rsidR="008836C8" w:rsidRPr="008836C8" w14:paraId="5434486A" w14:textId="77777777" w:rsidTr="004E7DFB">
        <w:trPr>
          <w:trHeight w:val="251"/>
        </w:trPr>
        <w:tc>
          <w:tcPr>
            <w:tcW w:w="1555" w:type="dxa"/>
            <w:noWrap/>
            <w:hideMark/>
          </w:tcPr>
          <w:p w14:paraId="47E06983"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Bass Coast Health</w:t>
            </w:r>
          </w:p>
        </w:tc>
        <w:tc>
          <w:tcPr>
            <w:tcW w:w="961" w:type="dxa"/>
            <w:noWrap/>
            <w:hideMark/>
          </w:tcPr>
          <w:p w14:paraId="073C99C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73,181</w:t>
            </w:r>
          </w:p>
        </w:tc>
        <w:tc>
          <w:tcPr>
            <w:tcW w:w="961" w:type="dxa"/>
            <w:noWrap/>
            <w:hideMark/>
          </w:tcPr>
          <w:p w14:paraId="3AE3992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1,689</w:t>
            </w:r>
          </w:p>
        </w:tc>
        <w:tc>
          <w:tcPr>
            <w:tcW w:w="961" w:type="dxa"/>
            <w:noWrap/>
            <w:hideMark/>
          </w:tcPr>
          <w:p w14:paraId="4876E8F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90</w:t>
            </w:r>
          </w:p>
        </w:tc>
        <w:tc>
          <w:tcPr>
            <w:tcW w:w="961" w:type="dxa"/>
            <w:noWrap/>
            <w:hideMark/>
          </w:tcPr>
          <w:p w14:paraId="14D46BB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434AAA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2,558</w:t>
            </w:r>
          </w:p>
        </w:tc>
        <w:tc>
          <w:tcPr>
            <w:tcW w:w="961" w:type="dxa"/>
            <w:noWrap/>
            <w:hideMark/>
          </w:tcPr>
          <w:p w14:paraId="6384002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5A07453D"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77,518</w:t>
            </w:r>
          </w:p>
        </w:tc>
        <w:tc>
          <w:tcPr>
            <w:tcW w:w="961" w:type="dxa"/>
            <w:noWrap/>
            <w:hideMark/>
          </w:tcPr>
          <w:p w14:paraId="63F82A4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83,561</w:t>
            </w:r>
          </w:p>
        </w:tc>
        <w:tc>
          <w:tcPr>
            <w:tcW w:w="961" w:type="dxa"/>
            <w:noWrap/>
            <w:hideMark/>
          </w:tcPr>
          <w:p w14:paraId="427A959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1,727</w:t>
            </w:r>
          </w:p>
        </w:tc>
        <w:tc>
          <w:tcPr>
            <w:tcW w:w="961" w:type="dxa"/>
            <w:noWrap/>
            <w:hideMark/>
          </w:tcPr>
          <w:p w14:paraId="73C9E41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92</w:t>
            </w:r>
          </w:p>
        </w:tc>
        <w:tc>
          <w:tcPr>
            <w:tcW w:w="961" w:type="dxa"/>
            <w:noWrap/>
            <w:hideMark/>
          </w:tcPr>
          <w:p w14:paraId="233F906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5893C80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2,280</w:t>
            </w:r>
          </w:p>
        </w:tc>
        <w:tc>
          <w:tcPr>
            <w:tcW w:w="961" w:type="dxa"/>
            <w:noWrap/>
            <w:hideMark/>
          </w:tcPr>
          <w:p w14:paraId="386CF9F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47BDB778"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87,659</w:t>
            </w:r>
          </w:p>
        </w:tc>
      </w:tr>
      <w:tr w:rsidR="008836C8" w:rsidRPr="008836C8" w14:paraId="667EFD7E" w14:textId="77777777" w:rsidTr="004E7DFB">
        <w:trPr>
          <w:trHeight w:val="251"/>
        </w:trPr>
        <w:tc>
          <w:tcPr>
            <w:tcW w:w="1555" w:type="dxa"/>
            <w:noWrap/>
            <w:hideMark/>
          </w:tcPr>
          <w:p w14:paraId="74CAF1D5"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Benalla Health</w:t>
            </w:r>
          </w:p>
        </w:tc>
        <w:tc>
          <w:tcPr>
            <w:tcW w:w="961" w:type="dxa"/>
            <w:noWrap/>
            <w:hideMark/>
          </w:tcPr>
          <w:p w14:paraId="28AC64B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21,865</w:t>
            </w:r>
          </w:p>
        </w:tc>
        <w:tc>
          <w:tcPr>
            <w:tcW w:w="961" w:type="dxa"/>
            <w:noWrap/>
            <w:hideMark/>
          </w:tcPr>
          <w:p w14:paraId="78A1003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1,234</w:t>
            </w:r>
          </w:p>
        </w:tc>
        <w:tc>
          <w:tcPr>
            <w:tcW w:w="961" w:type="dxa"/>
            <w:noWrap/>
            <w:hideMark/>
          </w:tcPr>
          <w:p w14:paraId="53925D9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11CCCB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8E622B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1,201</w:t>
            </w:r>
          </w:p>
        </w:tc>
        <w:tc>
          <w:tcPr>
            <w:tcW w:w="961" w:type="dxa"/>
            <w:noWrap/>
            <w:hideMark/>
          </w:tcPr>
          <w:p w14:paraId="6FCE434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56F71C15"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24,300</w:t>
            </w:r>
          </w:p>
        </w:tc>
        <w:tc>
          <w:tcPr>
            <w:tcW w:w="961" w:type="dxa"/>
            <w:noWrap/>
            <w:hideMark/>
          </w:tcPr>
          <w:p w14:paraId="60FD3B0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22,478</w:t>
            </w:r>
          </w:p>
        </w:tc>
        <w:tc>
          <w:tcPr>
            <w:tcW w:w="961" w:type="dxa"/>
            <w:noWrap/>
            <w:hideMark/>
          </w:tcPr>
          <w:p w14:paraId="6DCF515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1,261</w:t>
            </w:r>
          </w:p>
        </w:tc>
        <w:tc>
          <w:tcPr>
            <w:tcW w:w="961" w:type="dxa"/>
            <w:noWrap/>
            <w:hideMark/>
          </w:tcPr>
          <w:p w14:paraId="45714F5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26FDFF3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933F04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1,229</w:t>
            </w:r>
          </w:p>
        </w:tc>
        <w:tc>
          <w:tcPr>
            <w:tcW w:w="961" w:type="dxa"/>
            <w:noWrap/>
            <w:hideMark/>
          </w:tcPr>
          <w:p w14:paraId="5896198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115E375F"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24,968</w:t>
            </w:r>
          </w:p>
        </w:tc>
      </w:tr>
      <w:tr w:rsidR="008836C8" w:rsidRPr="008836C8" w14:paraId="47D83420" w14:textId="77777777" w:rsidTr="004E7DFB">
        <w:trPr>
          <w:trHeight w:val="251"/>
        </w:trPr>
        <w:tc>
          <w:tcPr>
            <w:tcW w:w="1555" w:type="dxa"/>
            <w:noWrap/>
            <w:hideMark/>
          </w:tcPr>
          <w:p w14:paraId="30CFBDA4"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lastRenderedPageBreak/>
              <w:t>Central Gippsland Health Service</w:t>
            </w:r>
          </w:p>
        </w:tc>
        <w:tc>
          <w:tcPr>
            <w:tcW w:w="961" w:type="dxa"/>
            <w:noWrap/>
            <w:hideMark/>
          </w:tcPr>
          <w:p w14:paraId="2CAB018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69,654</w:t>
            </w:r>
          </w:p>
        </w:tc>
        <w:tc>
          <w:tcPr>
            <w:tcW w:w="961" w:type="dxa"/>
            <w:noWrap/>
            <w:hideMark/>
          </w:tcPr>
          <w:p w14:paraId="3765DCA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3,477</w:t>
            </w:r>
          </w:p>
        </w:tc>
        <w:tc>
          <w:tcPr>
            <w:tcW w:w="961" w:type="dxa"/>
            <w:noWrap/>
            <w:hideMark/>
          </w:tcPr>
          <w:p w14:paraId="59CDBE6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571</w:t>
            </w:r>
          </w:p>
        </w:tc>
        <w:tc>
          <w:tcPr>
            <w:tcW w:w="961" w:type="dxa"/>
            <w:noWrap/>
            <w:hideMark/>
          </w:tcPr>
          <w:p w14:paraId="450DDB1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F9BF11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1,777</w:t>
            </w:r>
          </w:p>
        </w:tc>
        <w:tc>
          <w:tcPr>
            <w:tcW w:w="961" w:type="dxa"/>
            <w:noWrap/>
            <w:hideMark/>
          </w:tcPr>
          <w:p w14:paraId="5C7D5F2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50B8BD9A"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75,480</w:t>
            </w:r>
          </w:p>
        </w:tc>
        <w:tc>
          <w:tcPr>
            <w:tcW w:w="961" w:type="dxa"/>
            <w:noWrap/>
            <w:hideMark/>
          </w:tcPr>
          <w:p w14:paraId="5A4E93A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72,498</w:t>
            </w:r>
          </w:p>
        </w:tc>
        <w:tc>
          <w:tcPr>
            <w:tcW w:w="961" w:type="dxa"/>
            <w:noWrap/>
            <w:hideMark/>
          </w:tcPr>
          <w:p w14:paraId="1382B42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3,554</w:t>
            </w:r>
          </w:p>
        </w:tc>
        <w:tc>
          <w:tcPr>
            <w:tcW w:w="961" w:type="dxa"/>
            <w:noWrap/>
            <w:hideMark/>
          </w:tcPr>
          <w:p w14:paraId="1844F64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586</w:t>
            </w:r>
          </w:p>
        </w:tc>
        <w:tc>
          <w:tcPr>
            <w:tcW w:w="961" w:type="dxa"/>
            <w:noWrap/>
            <w:hideMark/>
          </w:tcPr>
          <w:p w14:paraId="28A90D0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864F24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1,820</w:t>
            </w:r>
          </w:p>
        </w:tc>
        <w:tc>
          <w:tcPr>
            <w:tcW w:w="961" w:type="dxa"/>
            <w:noWrap/>
            <w:hideMark/>
          </w:tcPr>
          <w:p w14:paraId="53B02F0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29088B64"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78,458</w:t>
            </w:r>
          </w:p>
        </w:tc>
      </w:tr>
      <w:tr w:rsidR="008836C8" w:rsidRPr="008836C8" w14:paraId="44ACBEC6" w14:textId="77777777" w:rsidTr="004E7DFB">
        <w:trPr>
          <w:trHeight w:val="251"/>
        </w:trPr>
        <w:tc>
          <w:tcPr>
            <w:tcW w:w="1555" w:type="dxa"/>
            <w:noWrap/>
            <w:hideMark/>
          </w:tcPr>
          <w:p w14:paraId="4C547D53"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Colac Area Health</w:t>
            </w:r>
          </w:p>
        </w:tc>
        <w:tc>
          <w:tcPr>
            <w:tcW w:w="961" w:type="dxa"/>
            <w:noWrap/>
            <w:hideMark/>
          </w:tcPr>
          <w:p w14:paraId="6058C0D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33,554</w:t>
            </w:r>
          </w:p>
        </w:tc>
        <w:tc>
          <w:tcPr>
            <w:tcW w:w="961" w:type="dxa"/>
            <w:noWrap/>
            <w:hideMark/>
          </w:tcPr>
          <w:p w14:paraId="47EB540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2,247</w:t>
            </w:r>
          </w:p>
        </w:tc>
        <w:tc>
          <w:tcPr>
            <w:tcW w:w="961" w:type="dxa"/>
            <w:noWrap/>
            <w:hideMark/>
          </w:tcPr>
          <w:p w14:paraId="2A03221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w:t>
            </w:r>
          </w:p>
        </w:tc>
        <w:tc>
          <w:tcPr>
            <w:tcW w:w="961" w:type="dxa"/>
            <w:noWrap/>
            <w:hideMark/>
          </w:tcPr>
          <w:p w14:paraId="553F201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1BE455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663</w:t>
            </w:r>
          </w:p>
        </w:tc>
        <w:tc>
          <w:tcPr>
            <w:tcW w:w="961" w:type="dxa"/>
            <w:noWrap/>
            <w:hideMark/>
          </w:tcPr>
          <w:p w14:paraId="2B768BD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7DDFBFB2"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36,473</w:t>
            </w:r>
          </w:p>
        </w:tc>
        <w:tc>
          <w:tcPr>
            <w:tcW w:w="961" w:type="dxa"/>
            <w:noWrap/>
            <w:hideMark/>
          </w:tcPr>
          <w:p w14:paraId="0BCA14E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35,483</w:t>
            </w:r>
          </w:p>
        </w:tc>
        <w:tc>
          <w:tcPr>
            <w:tcW w:w="961" w:type="dxa"/>
            <w:noWrap/>
            <w:hideMark/>
          </w:tcPr>
          <w:p w14:paraId="629020C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2,296</w:t>
            </w:r>
          </w:p>
        </w:tc>
        <w:tc>
          <w:tcPr>
            <w:tcW w:w="961" w:type="dxa"/>
            <w:noWrap/>
            <w:hideMark/>
          </w:tcPr>
          <w:p w14:paraId="4E475E9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w:t>
            </w:r>
          </w:p>
        </w:tc>
        <w:tc>
          <w:tcPr>
            <w:tcW w:w="961" w:type="dxa"/>
            <w:noWrap/>
            <w:hideMark/>
          </w:tcPr>
          <w:p w14:paraId="2304CC4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0A1E931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678</w:t>
            </w:r>
          </w:p>
        </w:tc>
        <w:tc>
          <w:tcPr>
            <w:tcW w:w="961" w:type="dxa"/>
            <w:noWrap/>
            <w:hideMark/>
          </w:tcPr>
          <w:p w14:paraId="51FCDEF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6D03C516"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38,466</w:t>
            </w:r>
          </w:p>
        </w:tc>
      </w:tr>
      <w:tr w:rsidR="008836C8" w:rsidRPr="008836C8" w14:paraId="66FCC359" w14:textId="77777777" w:rsidTr="004E7DFB">
        <w:trPr>
          <w:trHeight w:val="251"/>
        </w:trPr>
        <w:tc>
          <w:tcPr>
            <w:tcW w:w="1555" w:type="dxa"/>
            <w:noWrap/>
            <w:hideMark/>
          </w:tcPr>
          <w:p w14:paraId="321F8D6B"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Dhelkaya Health</w:t>
            </w:r>
          </w:p>
        </w:tc>
        <w:tc>
          <w:tcPr>
            <w:tcW w:w="961" w:type="dxa"/>
            <w:noWrap/>
            <w:hideMark/>
          </w:tcPr>
          <w:p w14:paraId="7F81136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35,130</w:t>
            </w:r>
          </w:p>
        </w:tc>
        <w:tc>
          <w:tcPr>
            <w:tcW w:w="961" w:type="dxa"/>
            <w:noWrap/>
            <w:hideMark/>
          </w:tcPr>
          <w:p w14:paraId="15D1D52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3,766</w:t>
            </w:r>
          </w:p>
        </w:tc>
        <w:tc>
          <w:tcPr>
            <w:tcW w:w="961" w:type="dxa"/>
            <w:noWrap/>
            <w:hideMark/>
          </w:tcPr>
          <w:p w14:paraId="2DEAC2F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22470F8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B2B303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695</w:t>
            </w:r>
          </w:p>
        </w:tc>
        <w:tc>
          <w:tcPr>
            <w:tcW w:w="961" w:type="dxa"/>
            <w:noWrap/>
            <w:hideMark/>
          </w:tcPr>
          <w:p w14:paraId="62E5921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1C22233F"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39,591</w:t>
            </w:r>
          </w:p>
        </w:tc>
        <w:tc>
          <w:tcPr>
            <w:tcW w:w="961" w:type="dxa"/>
            <w:noWrap/>
            <w:hideMark/>
          </w:tcPr>
          <w:p w14:paraId="64AEE5C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36,056</w:t>
            </w:r>
          </w:p>
        </w:tc>
        <w:tc>
          <w:tcPr>
            <w:tcW w:w="961" w:type="dxa"/>
            <w:noWrap/>
            <w:hideMark/>
          </w:tcPr>
          <w:p w14:paraId="24B1DE7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3,891</w:t>
            </w:r>
          </w:p>
        </w:tc>
        <w:tc>
          <w:tcPr>
            <w:tcW w:w="961" w:type="dxa"/>
            <w:noWrap/>
            <w:hideMark/>
          </w:tcPr>
          <w:p w14:paraId="56B0F0B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5D0EB89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8CCC0E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956</w:t>
            </w:r>
          </w:p>
        </w:tc>
        <w:tc>
          <w:tcPr>
            <w:tcW w:w="961" w:type="dxa"/>
            <w:noWrap/>
            <w:hideMark/>
          </w:tcPr>
          <w:p w14:paraId="0211AA1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7AB759CB"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40,903</w:t>
            </w:r>
          </w:p>
        </w:tc>
      </w:tr>
      <w:tr w:rsidR="008836C8" w:rsidRPr="008836C8" w14:paraId="566F2D82" w14:textId="77777777" w:rsidTr="004E7DFB">
        <w:trPr>
          <w:trHeight w:val="251"/>
        </w:trPr>
        <w:tc>
          <w:tcPr>
            <w:tcW w:w="1555" w:type="dxa"/>
            <w:noWrap/>
            <w:hideMark/>
          </w:tcPr>
          <w:p w14:paraId="09DF0ED1"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East Grampians Health Serv</w:t>
            </w:r>
          </w:p>
        </w:tc>
        <w:tc>
          <w:tcPr>
            <w:tcW w:w="961" w:type="dxa"/>
            <w:noWrap/>
            <w:hideMark/>
          </w:tcPr>
          <w:p w14:paraId="4D48277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25,812</w:t>
            </w:r>
          </w:p>
        </w:tc>
        <w:tc>
          <w:tcPr>
            <w:tcW w:w="961" w:type="dxa"/>
            <w:noWrap/>
            <w:hideMark/>
          </w:tcPr>
          <w:p w14:paraId="641EDB4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1,702</w:t>
            </w:r>
          </w:p>
        </w:tc>
        <w:tc>
          <w:tcPr>
            <w:tcW w:w="961" w:type="dxa"/>
            <w:noWrap/>
            <w:hideMark/>
          </w:tcPr>
          <w:p w14:paraId="0ECEB42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2AE1AD4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2EC0913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893</w:t>
            </w:r>
          </w:p>
        </w:tc>
        <w:tc>
          <w:tcPr>
            <w:tcW w:w="961" w:type="dxa"/>
            <w:noWrap/>
            <w:hideMark/>
          </w:tcPr>
          <w:p w14:paraId="2C8F0B4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06B13E2D"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28,407</w:t>
            </w:r>
          </w:p>
        </w:tc>
        <w:tc>
          <w:tcPr>
            <w:tcW w:w="961" w:type="dxa"/>
            <w:noWrap/>
            <w:hideMark/>
          </w:tcPr>
          <w:p w14:paraId="58AAF67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29,106</w:t>
            </w:r>
          </w:p>
        </w:tc>
        <w:tc>
          <w:tcPr>
            <w:tcW w:w="961" w:type="dxa"/>
            <w:noWrap/>
            <w:hideMark/>
          </w:tcPr>
          <w:p w14:paraId="31BE6DA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1,741</w:t>
            </w:r>
          </w:p>
        </w:tc>
        <w:tc>
          <w:tcPr>
            <w:tcW w:w="961" w:type="dxa"/>
            <w:noWrap/>
            <w:hideMark/>
          </w:tcPr>
          <w:p w14:paraId="7181768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0EAC471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022F627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914</w:t>
            </w:r>
          </w:p>
        </w:tc>
        <w:tc>
          <w:tcPr>
            <w:tcW w:w="961" w:type="dxa"/>
            <w:noWrap/>
            <w:hideMark/>
          </w:tcPr>
          <w:p w14:paraId="6EE162C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5796FCDA"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31,761</w:t>
            </w:r>
          </w:p>
        </w:tc>
      </w:tr>
      <w:tr w:rsidR="008836C8" w:rsidRPr="008836C8" w14:paraId="5588B24D" w14:textId="77777777" w:rsidTr="004E7DFB">
        <w:trPr>
          <w:trHeight w:val="251"/>
        </w:trPr>
        <w:tc>
          <w:tcPr>
            <w:tcW w:w="1555" w:type="dxa"/>
            <w:noWrap/>
            <w:hideMark/>
          </w:tcPr>
          <w:p w14:paraId="0231A6CD"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Echuca Regional Health</w:t>
            </w:r>
          </w:p>
        </w:tc>
        <w:tc>
          <w:tcPr>
            <w:tcW w:w="961" w:type="dxa"/>
            <w:noWrap/>
            <w:hideMark/>
          </w:tcPr>
          <w:p w14:paraId="45D8C06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73,475</w:t>
            </w:r>
          </w:p>
        </w:tc>
        <w:tc>
          <w:tcPr>
            <w:tcW w:w="961" w:type="dxa"/>
            <w:noWrap/>
            <w:hideMark/>
          </w:tcPr>
          <w:p w14:paraId="2759A5D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2,033</w:t>
            </w:r>
          </w:p>
        </w:tc>
        <w:tc>
          <w:tcPr>
            <w:tcW w:w="961" w:type="dxa"/>
            <w:noWrap/>
            <w:hideMark/>
          </w:tcPr>
          <w:p w14:paraId="353B9D4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4B0D1F1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516E394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970</w:t>
            </w:r>
          </w:p>
        </w:tc>
        <w:tc>
          <w:tcPr>
            <w:tcW w:w="961" w:type="dxa"/>
            <w:noWrap/>
            <w:hideMark/>
          </w:tcPr>
          <w:p w14:paraId="0C97372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202C748B"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76,478</w:t>
            </w:r>
          </w:p>
        </w:tc>
        <w:tc>
          <w:tcPr>
            <w:tcW w:w="961" w:type="dxa"/>
            <w:noWrap/>
            <w:hideMark/>
          </w:tcPr>
          <w:p w14:paraId="647FBF0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80,867</w:t>
            </w:r>
          </w:p>
        </w:tc>
        <w:tc>
          <w:tcPr>
            <w:tcW w:w="961" w:type="dxa"/>
            <w:noWrap/>
            <w:hideMark/>
          </w:tcPr>
          <w:p w14:paraId="13CF604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2,078</w:t>
            </w:r>
          </w:p>
        </w:tc>
        <w:tc>
          <w:tcPr>
            <w:tcW w:w="961" w:type="dxa"/>
            <w:noWrap/>
            <w:hideMark/>
          </w:tcPr>
          <w:p w14:paraId="15AD789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AF8B2F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1F693B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1,042</w:t>
            </w:r>
          </w:p>
        </w:tc>
        <w:tc>
          <w:tcPr>
            <w:tcW w:w="961" w:type="dxa"/>
            <w:noWrap/>
            <w:hideMark/>
          </w:tcPr>
          <w:p w14:paraId="1B8D68C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1AF8CACC"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83,986</w:t>
            </w:r>
          </w:p>
        </w:tc>
      </w:tr>
      <w:tr w:rsidR="008836C8" w:rsidRPr="008836C8" w14:paraId="775617DC" w14:textId="77777777" w:rsidTr="004E7DFB">
        <w:trPr>
          <w:trHeight w:val="251"/>
        </w:trPr>
        <w:tc>
          <w:tcPr>
            <w:tcW w:w="1555" w:type="dxa"/>
            <w:noWrap/>
            <w:hideMark/>
          </w:tcPr>
          <w:p w14:paraId="782D04AB"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Gippsland Southern Health Service</w:t>
            </w:r>
          </w:p>
        </w:tc>
        <w:tc>
          <w:tcPr>
            <w:tcW w:w="961" w:type="dxa"/>
            <w:noWrap/>
            <w:hideMark/>
          </w:tcPr>
          <w:p w14:paraId="7219060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23,737</w:t>
            </w:r>
          </w:p>
        </w:tc>
        <w:tc>
          <w:tcPr>
            <w:tcW w:w="961" w:type="dxa"/>
            <w:noWrap/>
            <w:hideMark/>
          </w:tcPr>
          <w:p w14:paraId="45087E8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2,478</w:t>
            </w:r>
          </w:p>
        </w:tc>
        <w:tc>
          <w:tcPr>
            <w:tcW w:w="961" w:type="dxa"/>
            <w:noWrap/>
            <w:hideMark/>
          </w:tcPr>
          <w:p w14:paraId="71EAC7F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211</w:t>
            </w:r>
          </w:p>
        </w:tc>
        <w:tc>
          <w:tcPr>
            <w:tcW w:w="961" w:type="dxa"/>
            <w:noWrap/>
            <w:hideMark/>
          </w:tcPr>
          <w:p w14:paraId="5707825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5621060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413</w:t>
            </w:r>
          </w:p>
        </w:tc>
        <w:tc>
          <w:tcPr>
            <w:tcW w:w="961" w:type="dxa"/>
            <w:noWrap/>
            <w:hideMark/>
          </w:tcPr>
          <w:p w14:paraId="4BF0DEA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729AC1FF"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26,839</w:t>
            </w:r>
          </w:p>
        </w:tc>
        <w:tc>
          <w:tcPr>
            <w:tcW w:w="961" w:type="dxa"/>
            <w:noWrap/>
            <w:hideMark/>
          </w:tcPr>
          <w:p w14:paraId="3611543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25,112</w:t>
            </w:r>
          </w:p>
        </w:tc>
        <w:tc>
          <w:tcPr>
            <w:tcW w:w="961" w:type="dxa"/>
            <w:noWrap/>
            <w:hideMark/>
          </w:tcPr>
          <w:p w14:paraId="51D8902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2,534</w:t>
            </w:r>
          </w:p>
        </w:tc>
        <w:tc>
          <w:tcPr>
            <w:tcW w:w="961" w:type="dxa"/>
            <w:noWrap/>
            <w:hideMark/>
          </w:tcPr>
          <w:p w14:paraId="7C1E2D2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216</w:t>
            </w:r>
          </w:p>
        </w:tc>
        <w:tc>
          <w:tcPr>
            <w:tcW w:w="961" w:type="dxa"/>
            <w:noWrap/>
            <w:hideMark/>
          </w:tcPr>
          <w:p w14:paraId="2CB667D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6CB9772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422</w:t>
            </w:r>
          </w:p>
        </w:tc>
        <w:tc>
          <w:tcPr>
            <w:tcW w:w="961" w:type="dxa"/>
            <w:noWrap/>
            <w:hideMark/>
          </w:tcPr>
          <w:p w14:paraId="221CA57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400412E8"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28,284</w:t>
            </w:r>
          </w:p>
        </w:tc>
      </w:tr>
      <w:tr w:rsidR="008836C8" w:rsidRPr="008836C8" w14:paraId="2F2A1831" w14:textId="77777777" w:rsidTr="004E7DFB">
        <w:trPr>
          <w:trHeight w:val="251"/>
        </w:trPr>
        <w:tc>
          <w:tcPr>
            <w:tcW w:w="1555" w:type="dxa"/>
            <w:noWrap/>
            <w:hideMark/>
          </w:tcPr>
          <w:p w14:paraId="3CDE3AFF"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Kyabram District Health Services</w:t>
            </w:r>
          </w:p>
        </w:tc>
        <w:tc>
          <w:tcPr>
            <w:tcW w:w="961" w:type="dxa"/>
            <w:noWrap/>
            <w:hideMark/>
          </w:tcPr>
          <w:p w14:paraId="348A2E0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17,626</w:t>
            </w:r>
          </w:p>
        </w:tc>
        <w:tc>
          <w:tcPr>
            <w:tcW w:w="961" w:type="dxa"/>
            <w:noWrap/>
            <w:hideMark/>
          </w:tcPr>
          <w:p w14:paraId="3414201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1,455</w:t>
            </w:r>
          </w:p>
        </w:tc>
        <w:tc>
          <w:tcPr>
            <w:tcW w:w="961" w:type="dxa"/>
            <w:noWrap/>
            <w:hideMark/>
          </w:tcPr>
          <w:p w14:paraId="031F63D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6645773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1FB192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1,195</w:t>
            </w:r>
          </w:p>
        </w:tc>
        <w:tc>
          <w:tcPr>
            <w:tcW w:w="961" w:type="dxa"/>
            <w:noWrap/>
            <w:hideMark/>
          </w:tcPr>
          <w:p w14:paraId="68FFCE8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38A3963E"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20,276</w:t>
            </w:r>
          </w:p>
        </w:tc>
        <w:tc>
          <w:tcPr>
            <w:tcW w:w="961" w:type="dxa"/>
            <w:noWrap/>
            <w:hideMark/>
          </w:tcPr>
          <w:p w14:paraId="76C7AA0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17,859</w:t>
            </w:r>
          </w:p>
        </w:tc>
        <w:tc>
          <w:tcPr>
            <w:tcW w:w="961" w:type="dxa"/>
            <w:noWrap/>
            <w:hideMark/>
          </w:tcPr>
          <w:p w14:paraId="64D1CE4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1,488</w:t>
            </w:r>
          </w:p>
        </w:tc>
        <w:tc>
          <w:tcPr>
            <w:tcW w:w="961" w:type="dxa"/>
            <w:noWrap/>
            <w:hideMark/>
          </w:tcPr>
          <w:p w14:paraId="5FE2E1B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DFB041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41D9174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1,223</w:t>
            </w:r>
          </w:p>
        </w:tc>
        <w:tc>
          <w:tcPr>
            <w:tcW w:w="961" w:type="dxa"/>
            <w:noWrap/>
            <w:hideMark/>
          </w:tcPr>
          <w:p w14:paraId="405E398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79D30314"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20,570</w:t>
            </w:r>
          </w:p>
        </w:tc>
      </w:tr>
      <w:tr w:rsidR="008836C8" w:rsidRPr="008836C8" w14:paraId="45F49D6F" w14:textId="77777777" w:rsidTr="004E7DFB">
        <w:trPr>
          <w:trHeight w:val="251"/>
        </w:trPr>
        <w:tc>
          <w:tcPr>
            <w:tcW w:w="1555" w:type="dxa"/>
            <w:noWrap/>
            <w:hideMark/>
          </w:tcPr>
          <w:p w14:paraId="7CEEE870"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Maryborough District Health Service</w:t>
            </w:r>
          </w:p>
        </w:tc>
        <w:tc>
          <w:tcPr>
            <w:tcW w:w="961" w:type="dxa"/>
            <w:noWrap/>
            <w:hideMark/>
          </w:tcPr>
          <w:p w14:paraId="74580C5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24,369</w:t>
            </w:r>
          </w:p>
        </w:tc>
        <w:tc>
          <w:tcPr>
            <w:tcW w:w="961" w:type="dxa"/>
            <w:noWrap/>
            <w:hideMark/>
          </w:tcPr>
          <w:p w14:paraId="70DD748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2,653</w:t>
            </w:r>
          </w:p>
        </w:tc>
        <w:tc>
          <w:tcPr>
            <w:tcW w:w="961" w:type="dxa"/>
            <w:noWrap/>
            <w:hideMark/>
          </w:tcPr>
          <w:p w14:paraId="7ACCA85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864476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5A146D9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781</w:t>
            </w:r>
          </w:p>
        </w:tc>
        <w:tc>
          <w:tcPr>
            <w:tcW w:w="961" w:type="dxa"/>
            <w:noWrap/>
            <w:hideMark/>
          </w:tcPr>
          <w:p w14:paraId="5CBC5F7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41A83C5D"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27,803</w:t>
            </w:r>
          </w:p>
        </w:tc>
        <w:tc>
          <w:tcPr>
            <w:tcW w:w="961" w:type="dxa"/>
            <w:noWrap/>
            <w:hideMark/>
          </w:tcPr>
          <w:p w14:paraId="6E20A29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25,242</w:t>
            </w:r>
          </w:p>
        </w:tc>
        <w:tc>
          <w:tcPr>
            <w:tcW w:w="961" w:type="dxa"/>
            <w:noWrap/>
            <w:hideMark/>
          </w:tcPr>
          <w:p w14:paraId="750A366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2,712</w:t>
            </w:r>
          </w:p>
        </w:tc>
        <w:tc>
          <w:tcPr>
            <w:tcW w:w="961" w:type="dxa"/>
            <w:noWrap/>
            <w:hideMark/>
          </w:tcPr>
          <w:p w14:paraId="23D6B6A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F2A3AB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21CAAE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799</w:t>
            </w:r>
          </w:p>
        </w:tc>
        <w:tc>
          <w:tcPr>
            <w:tcW w:w="961" w:type="dxa"/>
            <w:noWrap/>
            <w:hideMark/>
          </w:tcPr>
          <w:p w14:paraId="70D5EB2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59AC66E7"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28,753</w:t>
            </w:r>
          </w:p>
        </w:tc>
      </w:tr>
      <w:tr w:rsidR="008836C8" w:rsidRPr="008836C8" w14:paraId="71AA5365" w14:textId="77777777" w:rsidTr="004E7DFB">
        <w:trPr>
          <w:trHeight w:val="251"/>
        </w:trPr>
        <w:tc>
          <w:tcPr>
            <w:tcW w:w="1555" w:type="dxa"/>
            <w:noWrap/>
            <w:hideMark/>
          </w:tcPr>
          <w:p w14:paraId="54488C48"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Mildura Base Public Hospital</w:t>
            </w:r>
          </w:p>
        </w:tc>
        <w:tc>
          <w:tcPr>
            <w:tcW w:w="961" w:type="dxa"/>
            <w:noWrap/>
            <w:hideMark/>
          </w:tcPr>
          <w:p w14:paraId="7E3A81A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121,232</w:t>
            </w:r>
          </w:p>
        </w:tc>
        <w:tc>
          <w:tcPr>
            <w:tcW w:w="961" w:type="dxa"/>
            <w:noWrap/>
            <w:hideMark/>
          </w:tcPr>
          <w:p w14:paraId="258C687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69068B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425</w:t>
            </w:r>
          </w:p>
        </w:tc>
        <w:tc>
          <w:tcPr>
            <w:tcW w:w="961" w:type="dxa"/>
            <w:noWrap/>
            <w:hideMark/>
          </w:tcPr>
          <w:p w14:paraId="3D0CD80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24,741</w:t>
            </w:r>
          </w:p>
        </w:tc>
        <w:tc>
          <w:tcPr>
            <w:tcW w:w="961" w:type="dxa"/>
            <w:noWrap/>
            <w:hideMark/>
          </w:tcPr>
          <w:p w14:paraId="30C8E90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269F780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4ECC3B8C"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146,398</w:t>
            </w:r>
          </w:p>
        </w:tc>
        <w:tc>
          <w:tcPr>
            <w:tcW w:w="961" w:type="dxa"/>
            <w:noWrap/>
            <w:hideMark/>
          </w:tcPr>
          <w:p w14:paraId="0C153AA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130,236</w:t>
            </w:r>
          </w:p>
        </w:tc>
        <w:tc>
          <w:tcPr>
            <w:tcW w:w="961" w:type="dxa"/>
            <w:noWrap/>
            <w:hideMark/>
          </w:tcPr>
          <w:p w14:paraId="25772B5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67C6CEA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436</w:t>
            </w:r>
          </w:p>
        </w:tc>
        <w:tc>
          <w:tcPr>
            <w:tcW w:w="961" w:type="dxa"/>
            <w:noWrap/>
            <w:hideMark/>
          </w:tcPr>
          <w:p w14:paraId="50F27D9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25,459</w:t>
            </w:r>
          </w:p>
        </w:tc>
        <w:tc>
          <w:tcPr>
            <w:tcW w:w="961" w:type="dxa"/>
            <w:noWrap/>
            <w:hideMark/>
          </w:tcPr>
          <w:p w14:paraId="01C7CD3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6917760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4418420A"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156,131</w:t>
            </w:r>
          </w:p>
        </w:tc>
      </w:tr>
      <w:tr w:rsidR="008836C8" w:rsidRPr="008836C8" w14:paraId="28730A36" w14:textId="77777777" w:rsidTr="004E7DFB">
        <w:trPr>
          <w:trHeight w:val="251"/>
        </w:trPr>
        <w:tc>
          <w:tcPr>
            <w:tcW w:w="1555" w:type="dxa"/>
            <w:noWrap/>
            <w:hideMark/>
          </w:tcPr>
          <w:p w14:paraId="2E4E3AC2"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Northeast Health Wangaratta</w:t>
            </w:r>
          </w:p>
        </w:tc>
        <w:tc>
          <w:tcPr>
            <w:tcW w:w="961" w:type="dxa"/>
            <w:noWrap/>
            <w:hideMark/>
          </w:tcPr>
          <w:p w14:paraId="0A31021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143,873</w:t>
            </w:r>
          </w:p>
        </w:tc>
        <w:tc>
          <w:tcPr>
            <w:tcW w:w="961" w:type="dxa"/>
            <w:noWrap/>
            <w:hideMark/>
          </w:tcPr>
          <w:p w14:paraId="1528F4A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2,127</w:t>
            </w:r>
          </w:p>
        </w:tc>
        <w:tc>
          <w:tcPr>
            <w:tcW w:w="961" w:type="dxa"/>
            <w:noWrap/>
            <w:hideMark/>
          </w:tcPr>
          <w:p w14:paraId="5F3DB60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150</w:t>
            </w:r>
          </w:p>
        </w:tc>
        <w:tc>
          <w:tcPr>
            <w:tcW w:w="961" w:type="dxa"/>
            <w:noWrap/>
            <w:hideMark/>
          </w:tcPr>
          <w:p w14:paraId="5D7C255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EB0964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737</w:t>
            </w:r>
          </w:p>
        </w:tc>
        <w:tc>
          <w:tcPr>
            <w:tcW w:w="961" w:type="dxa"/>
            <w:noWrap/>
            <w:hideMark/>
          </w:tcPr>
          <w:p w14:paraId="5781F35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2F6035E1"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146,887</w:t>
            </w:r>
          </w:p>
        </w:tc>
        <w:tc>
          <w:tcPr>
            <w:tcW w:w="961" w:type="dxa"/>
            <w:noWrap/>
            <w:hideMark/>
          </w:tcPr>
          <w:p w14:paraId="18FFCF3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156,362</w:t>
            </w:r>
          </w:p>
        </w:tc>
        <w:tc>
          <w:tcPr>
            <w:tcW w:w="961" w:type="dxa"/>
            <w:noWrap/>
            <w:hideMark/>
          </w:tcPr>
          <w:p w14:paraId="28BCEF4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2,174</w:t>
            </w:r>
          </w:p>
        </w:tc>
        <w:tc>
          <w:tcPr>
            <w:tcW w:w="961" w:type="dxa"/>
            <w:noWrap/>
            <w:hideMark/>
          </w:tcPr>
          <w:p w14:paraId="733389F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154</w:t>
            </w:r>
          </w:p>
        </w:tc>
        <w:tc>
          <w:tcPr>
            <w:tcW w:w="961" w:type="dxa"/>
            <w:noWrap/>
            <w:hideMark/>
          </w:tcPr>
          <w:p w14:paraId="1B41DF5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4922E9F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754</w:t>
            </w:r>
          </w:p>
        </w:tc>
        <w:tc>
          <w:tcPr>
            <w:tcW w:w="961" w:type="dxa"/>
            <w:noWrap/>
            <w:hideMark/>
          </w:tcPr>
          <w:p w14:paraId="5B77B51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1A6B7BA4"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159,444</w:t>
            </w:r>
          </w:p>
        </w:tc>
      </w:tr>
      <w:tr w:rsidR="008836C8" w:rsidRPr="008836C8" w14:paraId="11E96863" w14:textId="77777777" w:rsidTr="004E7DFB">
        <w:trPr>
          <w:trHeight w:val="251"/>
        </w:trPr>
        <w:tc>
          <w:tcPr>
            <w:tcW w:w="1555" w:type="dxa"/>
            <w:noWrap/>
            <w:hideMark/>
          </w:tcPr>
          <w:p w14:paraId="605B85F8"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Portland District Health</w:t>
            </w:r>
          </w:p>
        </w:tc>
        <w:tc>
          <w:tcPr>
            <w:tcW w:w="961" w:type="dxa"/>
            <w:noWrap/>
            <w:hideMark/>
          </w:tcPr>
          <w:p w14:paraId="322F587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30,301</w:t>
            </w:r>
          </w:p>
        </w:tc>
        <w:tc>
          <w:tcPr>
            <w:tcW w:w="961" w:type="dxa"/>
            <w:noWrap/>
            <w:hideMark/>
          </w:tcPr>
          <w:p w14:paraId="5D61406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1,240</w:t>
            </w:r>
          </w:p>
        </w:tc>
        <w:tc>
          <w:tcPr>
            <w:tcW w:w="961" w:type="dxa"/>
            <w:noWrap/>
            <w:hideMark/>
          </w:tcPr>
          <w:p w14:paraId="76F1206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14</w:t>
            </w:r>
          </w:p>
        </w:tc>
        <w:tc>
          <w:tcPr>
            <w:tcW w:w="961" w:type="dxa"/>
            <w:noWrap/>
            <w:hideMark/>
          </w:tcPr>
          <w:p w14:paraId="1B7455C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590C593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1,939</w:t>
            </w:r>
          </w:p>
        </w:tc>
        <w:tc>
          <w:tcPr>
            <w:tcW w:w="961" w:type="dxa"/>
            <w:noWrap/>
            <w:hideMark/>
          </w:tcPr>
          <w:p w14:paraId="49C842B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22B534BD"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33,494</w:t>
            </w:r>
          </w:p>
        </w:tc>
        <w:tc>
          <w:tcPr>
            <w:tcW w:w="961" w:type="dxa"/>
            <w:noWrap/>
            <w:hideMark/>
          </w:tcPr>
          <w:p w14:paraId="1CB4F59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32,555</w:t>
            </w:r>
          </w:p>
        </w:tc>
        <w:tc>
          <w:tcPr>
            <w:tcW w:w="961" w:type="dxa"/>
            <w:noWrap/>
            <w:hideMark/>
          </w:tcPr>
          <w:p w14:paraId="653EDE9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1,267</w:t>
            </w:r>
          </w:p>
        </w:tc>
        <w:tc>
          <w:tcPr>
            <w:tcW w:w="961" w:type="dxa"/>
            <w:noWrap/>
            <w:hideMark/>
          </w:tcPr>
          <w:p w14:paraId="37EE82A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14</w:t>
            </w:r>
          </w:p>
        </w:tc>
        <w:tc>
          <w:tcPr>
            <w:tcW w:w="961" w:type="dxa"/>
            <w:noWrap/>
            <w:hideMark/>
          </w:tcPr>
          <w:p w14:paraId="5416154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6E3C41B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1,984</w:t>
            </w:r>
          </w:p>
        </w:tc>
        <w:tc>
          <w:tcPr>
            <w:tcW w:w="961" w:type="dxa"/>
            <w:noWrap/>
            <w:hideMark/>
          </w:tcPr>
          <w:p w14:paraId="18B2681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0F502D60"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35,820</w:t>
            </w:r>
          </w:p>
        </w:tc>
      </w:tr>
      <w:tr w:rsidR="008836C8" w:rsidRPr="008836C8" w14:paraId="0D2DBD94" w14:textId="77777777" w:rsidTr="004E7DFB">
        <w:trPr>
          <w:trHeight w:val="251"/>
        </w:trPr>
        <w:tc>
          <w:tcPr>
            <w:tcW w:w="1555" w:type="dxa"/>
            <w:noWrap/>
            <w:hideMark/>
          </w:tcPr>
          <w:p w14:paraId="42564D65"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South West Healthcare</w:t>
            </w:r>
          </w:p>
        </w:tc>
        <w:tc>
          <w:tcPr>
            <w:tcW w:w="961" w:type="dxa"/>
            <w:noWrap/>
            <w:hideMark/>
          </w:tcPr>
          <w:p w14:paraId="03E3F4B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149,365</w:t>
            </w:r>
          </w:p>
        </w:tc>
        <w:tc>
          <w:tcPr>
            <w:tcW w:w="961" w:type="dxa"/>
            <w:noWrap/>
            <w:hideMark/>
          </w:tcPr>
          <w:p w14:paraId="5B2F958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1,615</w:t>
            </w:r>
          </w:p>
        </w:tc>
        <w:tc>
          <w:tcPr>
            <w:tcW w:w="961" w:type="dxa"/>
            <w:noWrap/>
            <w:hideMark/>
          </w:tcPr>
          <w:p w14:paraId="4B872FD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441</w:t>
            </w:r>
          </w:p>
        </w:tc>
        <w:tc>
          <w:tcPr>
            <w:tcW w:w="961" w:type="dxa"/>
            <w:noWrap/>
            <w:hideMark/>
          </w:tcPr>
          <w:p w14:paraId="1C43D50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32,456</w:t>
            </w:r>
          </w:p>
        </w:tc>
        <w:tc>
          <w:tcPr>
            <w:tcW w:w="961" w:type="dxa"/>
            <w:noWrap/>
            <w:hideMark/>
          </w:tcPr>
          <w:p w14:paraId="715039AB"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2,519</w:t>
            </w:r>
          </w:p>
        </w:tc>
        <w:tc>
          <w:tcPr>
            <w:tcW w:w="961" w:type="dxa"/>
            <w:noWrap/>
            <w:hideMark/>
          </w:tcPr>
          <w:p w14:paraId="2DC143F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6A5840E7"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186,397</w:t>
            </w:r>
          </w:p>
        </w:tc>
        <w:tc>
          <w:tcPr>
            <w:tcW w:w="961" w:type="dxa"/>
            <w:noWrap/>
            <w:hideMark/>
          </w:tcPr>
          <w:p w14:paraId="56BEBB4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155,535</w:t>
            </w:r>
          </w:p>
        </w:tc>
        <w:tc>
          <w:tcPr>
            <w:tcW w:w="961" w:type="dxa"/>
            <w:noWrap/>
            <w:hideMark/>
          </w:tcPr>
          <w:p w14:paraId="6E23791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1,651</w:t>
            </w:r>
          </w:p>
        </w:tc>
        <w:tc>
          <w:tcPr>
            <w:tcW w:w="961" w:type="dxa"/>
            <w:noWrap/>
            <w:hideMark/>
          </w:tcPr>
          <w:p w14:paraId="61E87F0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452</w:t>
            </w:r>
          </w:p>
        </w:tc>
        <w:tc>
          <w:tcPr>
            <w:tcW w:w="961" w:type="dxa"/>
            <w:noWrap/>
            <w:hideMark/>
          </w:tcPr>
          <w:p w14:paraId="2F5F1BE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34,678</w:t>
            </w:r>
          </w:p>
        </w:tc>
        <w:tc>
          <w:tcPr>
            <w:tcW w:w="961" w:type="dxa"/>
            <w:noWrap/>
            <w:hideMark/>
          </w:tcPr>
          <w:p w14:paraId="6EBEEC6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2,439</w:t>
            </w:r>
          </w:p>
        </w:tc>
        <w:tc>
          <w:tcPr>
            <w:tcW w:w="961" w:type="dxa"/>
            <w:noWrap/>
            <w:hideMark/>
          </w:tcPr>
          <w:p w14:paraId="2D80D43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4259E187"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194,755</w:t>
            </w:r>
          </w:p>
        </w:tc>
      </w:tr>
      <w:tr w:rsidR="008836C8" w:rsidRPr="008836C8" w14:paraId="12103171" w14:textId="77777777" w:rsidTr="004E7DFB">
        <w:trPr>
          <w:trHeight w:val="251"/>
        </w:trPr>
        <w:tc>
          <w:tcPr>
            <w:tcW w:w="1555" w:type="dxa"/>
            <w:noWrap/>
            <w:hideMark/>
          </w:tcPr>
          <w:p w14:paraId="2ECE9FD2"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Swan Hill District Health</w:t>
            </w:r>
          </w:p>
        </w:tc>
        <w:tc>
          <w:tcPr>
            <w:tcW w:w="961" w:type="dxa"/>
            <w:noWrap/>
            <w:hideMark/>
          </w:tcPr>
          <w:p w14:paraId="47D618F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48,644</w:t>
            </w:r>
          </w:p>
        </w:tc>
        <w:tc>
          <w:tcPr>
            <w:tcW w:w="961" w:type="dxa"/>
            <w:noWrap/>
            <w:hideMark/>
          </w:tcPr>
          <w:p w14:paraId="7B87FE1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2,061</w:t>
            </w:r>
          </w:p>
        </w:tc>
        <w:tc>
          <w:tcPr>
            <w:tcW w:w="961" w:type="dxa"/>
            <w:noWrap/>
            <w:hideMark/>
          </w:tcPr>
          <w:p w14:paraId="2B2A993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1C44679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0746BD76"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1,849</w:t>
            </w:r>
          </w:p>
        </w:tc>
        <w:tc>
          <w:tcPr>
            <w:tcW w:w="961" w:type="dxa"/>
            <w:noWrap/>
            <w:hideMark/>
          </w:tcPr>
          <w:p w14:paraId="3FDF14C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6C2D3058"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52,554</w:t>
            </w:r>
          </w:p>
        </w:tc>
        <w:tc>
          <w:tcPr>
            <w:tcW w:w="961" w:type="dxa"/>
            <w:noWrap/>
            <w:hideMark/>
          </w:tcPr>
          <w:p w14:paraId="1CA48B3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51,719</w:t>
            </w:r>
          </w:p>
        </w:tc>
        <w:tc>
          <w:tcPr>
            <w:tcW w:w="961" w:type="dxa"/>
            <w:noWrap/>
            <w:hideMark/>
          </w:tcPr>
          <w:p w14:paraId="6F7CADF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2,106</w:t>
            </w:r>
          </w:p>
        </w:tc>
        <w:tc>
          <w:tcPr>
            <w:tcW w:w="961" w:type="dxa"/>
            <w:noWrap/>
            <w:hideMark/>
          </w:tcPr>
          <w:p w14:paraId="1D29D9E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69996DB9"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E13473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1,630</w:t>
            </w:r>
          </w:p>
        </w:tc>
        <w:tc>
          <w:tcPr>
            <w:tcW w:w="961" w:type="dxa"/>
            <w:noWrap/>
            <w:hideMark/>
          </w:tcPr>
          <w:p w14:paraId="04A10B1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3133249C"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55,454</w:t>
            </w:r>
          </w:p>
        </w:tc>
      </w:tr>
      <w:tr w:rsidR="008836C8" w:rsidRPr="008836C8" w14:paraId="139AB486" w14:textId="77777777" w:rsidTr="004E7DFB">
        <w:trPr>
          <w:trHeight w:val="251"/>
        </w:trPr>
        <w:tc>
          <w:tcPr>
            <w:tcW w:w="1555" w:type="dxa"/>
            <w:noWrap/>
            <w:hideMark/>
          </w:tcPr>
          <w:p w14:paraId="12457B71"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West Gippsland Healthcare Group</w:t>
            </w:r>
          </w:p>
        </w:tc>
        <w:tc>
          <w:tcPr>
            <w:tcW w:w="961" w:type="dxa"/>
            <w:noWrap/>
            <w:hideMark/>
          </w:tcPr>
          <w:p w14:paraId="0E9D6B28"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97,220</w:t>
            </w:r>
          </w:p>
        </w:tc>
        <w:tc>
          <w:tcPr>
            <w:tcW w:w="961" w:type="dxa"/>
            <w:noWrap/>
            <w:hideMark/>
          </w:tcPr>
          <w:p w14:paraId="48248D7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2,970</w:t>
            </w:r>
          </w:p>
        </w:tc>
        <w:tc>
          <w:tcPr>
            <w:tcW w:w="961" w:type="dxa"/>
            <w:noWrap/>
            <w:hideMark/>
          </w:tcPr>
          <w:p w14:paraId="3D54B17A"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529709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51D0E71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1,038</w:t>
            </w:r>
          </w:p>
        </w:tc>
        <w:tc>
          <w:tcPr>
            <w:tcW w:w="961" w:type="dxa"/>
            <w:noWrap/>
            <w:hideMark/>
          </w:tcPr>
          <w:p w14:paraId="563EF51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2" w:type="dxa"/>
            <w:noWrap/>
            <w:hideMark/>
          </w:tcPr>
          <w:p w14:paraId="484C4320"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101,228</w:t>
            </w:r>
          </w:p>
        </w:tc>
        <w:tc>
          <w:tcPr>
            <w:tcW w:w="961" w:type="dxa"/>
            <w:noWrap/>
            <w:hideMark/>
          </w:tcPr>
          <w:p w14:paraId="30B7F413"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100,989</w:t>
            </w:r>
          </w:p>
        </w:tc>
        <w:tc>
          <w:tcPr>
            <w:tcW w:w="961" w:type="dxa"/>
            <w:noWrap/>
            <w:hideMark/>
          </w:tcPr>
          <w:p w14:paraId="1C1B4164"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3,032</w:t>
            </w:r>
          </w:p>
        </w:tc>
        <w:tc>
          <w:tcPr>
            <w:tcW w:w="961" w:type="dxa"/>
            <w:noWrap/>
            <w:hideMark/>
          </w:tcPr>
          <w:p w14:paraId="5CA84D8D"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3FB40B3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91F138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1,062</w:t>
            </w:r>
          </w:p>
        </w:tc>
        <w:tc>
          <w:tcPr>
            <w:tcW w:w="961" w:type="dxa"/>
            <w:noWrap/>
            <w:hideMark/>
          </w:tcPr>
          <w:p w14:paraId="383CCDA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1114" w:type="dxa"/>
            <w:noWrap/>
            <w:hideMark/>
          </w:tcPr>
          <w:p w14:paraId="0FAA4EB8"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105,084</w:t>
            </w:r>
          </w:p>
        </w:tc>
      </w:tr>
      <w:tr w:rsidR="008836C8" w:rsidRPr="008836C8" w14:paraId="00EE9E09" w14:textId="77777777" w:rsidTr="004E7DFB">
        <w:trPr>
          <w:trHeight w:val="251"/>
        </w:trPr>
        <w:tc>
          <w:tcPr>
            <w:tcW w:w="1555" w:type="dxa"/>
            <w:noWrap/>
            <w:hideMark/>
          </w:tcPr>
          <w:p w14:paraId="310C3DB1" w14:textId="77777777" w:rsidR="008836C8" w:rsidRPr="008836C8" w:rsidRDefault="008836C8" w:rsidP="008836C8">
            <w:pPr>
              <w:spacing w:after="0" w:line="240" w:lineRule="auto"/>
              <w:rPr>
                <w:rFonts w:cs="Arial"/>
                <w:color w:val="000000"/>
                <w:sz w:val="16"/>
                <w:szCs w:val="16"/>
                <w:lang w:eastAsia="en-AU"/>
              </w:rPr>
            </w:pPr>
            <w:r w:rsidRPr="008836C8">
              <w:rPr>
                <w:rFonts w:cs="Arial"/>
                <w:color w:val="000000"/>
                <w:sz w:val="16"/>
                <w:szCs w:val="16"/>
                <w:lang w:eastAsia="en-AU"/>
              </w:rPr>
              <w:t>Western District Health Service</w:t>
            </w:r>
          </w:p>
        </w:tc>
        <w:tc>
          <w:tcPr>
            <w:tcW w:w="961" w:type="dxa"/>
            <w:noWrap/>
            <w:hideMark/>
          </w:tcPr>
          <w:p w14:paraId="3DA76DF1"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54,306</w:t>
            </w:r>
          </w:p>
        </w:tc>
        <w:tc>
          <w:tcPr>
            <w:tcW w:w="961" w:type="dxa"/>
            <w:noWrap/>
            <w:hideMark/>
          </w:tcPr>
          <w:p w14:paraId="5B318AB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3,685</w:t>
            </w:r>
          </w:p>
        </w:tc>
        <w:tc>
          <w:tcPr>
            <w:tcW w:w="961" w:type="dxa"/>
            <w:noWrap/>
            <w:hideMark/>
          </w:tcPr>
          <w:p w14:paraId="16A2A7D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790D4FB2"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117</w:t>
            </w:r>
          </w:p>
        </w:tc>
        <w:tc>
          <w:tcPr>
            <w:tcW w:w="961" w:type="dxa"/>
            <w:noWrap/>
            <w:hideMark/>
          </w:tcPr>
          <w:p w14:paraId="0EB75E2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1,044</w:t>
            </w:r>
          </w:p>
        </w:tc>
        <w:tc>
          <w:tcPr>
            <w:tcW w:w="961" w:type="dxa"/>
            <w:noWrap/>
            <w:hideMark/>
          </w:tcPr>
          <w:p w14:paraId="2BA37C4C"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1,100</w:t>
            </w:r>
          </w:p>
        </w:tc>
        <w:tc>
          <w:tcPr>
            <w:tcW w:w="962" w:type="dxa"/>
            <w:noWrap/>
            <w:hideMark/>
          </w:tcPr>
          <w:p w14:paraId="39E434B2"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60,252</w:t>
            </w:r>
          </w:p>
        </w:tc>
        <w:tc>
          <w:tcPr>
            <w:tcW w:w="961" w:type="dxa"/>
            <w:noWrap/>
            <w:hideMark/>
          </w:tcPr>
          <w:p w14:paraId="02C65647"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58,543</w:t>
            </w:r>
          </w:p>
        </w:tc>
        <w:tc>
          <w:tcPr>
            <w:tcW w:w="961" w:type="dxa"/>
            <w:noWrap/>
            <w:hideMark/>
          </w:tcPr>
          <w:p w14:paraId="0DE88B75"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3,768</w:t>
            </w:r>
          </w:p>
        </w:tc>
        <w:tc>
          <w:tcPr>
            <w:tcW w:w="961" w:type="dxa"/>
            <w:noWrap/>
            <w:hideMark/>
          </w:tcPr>
          <w:p w14:paraId="2D3ABAAF"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0</w:t>
            </w:r>
          </w:p>
        </w:tc>
        <w:tc>
          <w:tcPr>
            <w:tcW w:w="961" w:type="dxa"/>
            <w:noWrap/>
            <w:hideMark/>
          </w:tcPr>
          <w:p w14:paraId="4118986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119</w:t>
            </w:r>
          </w:p>
        </w:tc>
        <w:tc>
          <w:tcPr>
            <w:tcW w:w="961" w:type="dxa"/>
            <w:noWrap/>
            <w:hideMark/>
          </w:tcPr>
          <w:p w14:paraId="679A7BAE"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703</w:t>
            </w:r>
          </w:p>
        </w:tc>
        <w:tc>
          <w:tcPr>
            <w:tcW w:w="961" w:type="dxa"/>
            <w:noWrap/>
            <w:hideMark/>
          </w:tcPr>
          <w:p w14:paraId="2C87B620" w14:textId="77777777" w:rsidR="008836C8" w:rsidRPr="00D87C7F" w:rsidRDefault="008836C8" w:rsidP="008836C8">
            <w:pPr>
              <w:spacing w:after="0" w:line="240" w:lineRule="auto"/>
              <w:jc w:val="right"/>
              <w:rPr>
                <w:rFonts w:cs="Arial"/>
                <w:color w:val="000000"/>
                <w:sz w:val="15"/>
                <w:szCs w:val="15"/>
                <w:lang w:eastAsia="en-AU"/>
              </w:rPr>
            </w:pPr>
            <w:r w:rsidRPr="00D87C7F">
              <w:rPr>
                <w:rFonts w:cs="Arial"/>
                <w:color w:val="000000"/>
                <w:sz w:val="15"/>
                <w:szCs w:val="15"/>
                <w:lang w:eastAsia="en-AU"/>
              </w:rPr>
              <w:t>1,000</w:t>
            </w:r>
          </w:p>
        </w:tc>
        <w:tc>
          <w:tcPr>
            <w:tcW w:w="1114" w:type="dxa"/>
            <w:noWrap/>
            <w:hideMark/>
          </w:tcPr>
          <w:p w14:paraId="6D62C363" w14:textId="77777777" w:rsidR="008836C8" w:rsidRPr="00D87C7F" w:rsidRDefault="008836C8" w:rsidP="008836C8">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64,133</w:t>
            </w:r>
          </w:p>
        </w:tc>
      </w:tr>
      <w:tr w:rsidR="004E7DFB" w:rsidRPr="008836C8" w14:paraId="20BFB79C" w14:textId="77777777" w:rsidTr="004E7DFB">
        <w:trPr>
          <w:trHeight w:val="241"/>
        </w:trPr>
        <w:tc>
          <w:tcPr>
            <w:tcW w:w="1555" w:type="dxa"/>
            <w:shd w:val="clear" w:color="auto" w:fill="201547"/>
            <w:noWrap/>
            <w:hideMark/>
          </w:tcPr>
          <w:p w14:paraId="5D31767D" w14:textId="77777777" w:rsidR="008836C8" w:rsidRPr="008836C8" w:rsidRDefault="008836C8" w:rsidP="005D6F39">
            <w:pPr>
              <w:spacing w:after="0" w:line="240" w:lineRule="auto"/>
              <w:rPr>
                <w:rFonts w:cs="Arial"/>
                <w:b/>
                <w:bCs/>
                <w:color w:val="FFFFFF"/>
                <w:sz w:val="16"/>
                <w:szCs w:val="16"/>
                <w:lang w:eastAsia="en-AU"/>
              </w:rPr>
            </w:pPr>
            <w:r w:rsidRPr="008836C8">
              <w:rPr>
                <w:rFonts w:cs="Arial"/>
                <w:b/>
                <w:bCs/>
                <w:color w:val="FFFFFF"/>
                <w:sz w:val="16"/>
                <w:szCs w:val="16"/>
                <w:lang w:eastAsia="en-AU"/>
              </w:rPr>
              <w:t>Total</w:t>
            </w:r>
          </w:p>
        </w:tc>
        <w:tc>
          <w:tcPr>
            <w:tcW w:w="961" w:type="dxa"/>
            <w:shd w:val="clear" w:color="auto" w:fill="201547"/>
            <w:noWrap/>
            <w:hideMark/>
          </w:tcPr>
          <w:p w14:paraId="4D9B9498"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1,116,869</w:t>
            </w:r>
          </w:p>
        </w:tc>
        <w:tc>
          <w:tcPr>
            <w:tcW w:w="961" w:type="dxa"/>
            <w:shd w:val="clear" w:color="auto" w:fill="201547"/>
            <w:noWrap/>
            <w:hideMark/>
          </w:tcPr>
          <w:p w14:paraId="64A061D5"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37,774</w:t>
            </w:r>
          </w:p>
        </w:tc>
        <w:tc>
          <w:tcPr>
            <w:tcW w:w="961" w:type="dxa"/>
            <w:shd w:val="clear" w:color="auto" w:fill="201547"/>
            <w:noWrap/>
            <w:hideMark/>
          </w:tcPr>
          <w:p w14:paraId="77D627AE"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2,702</w:t>
            </w:r>
          </w:p>
        </w:tc>
        <w:tc>
          <w:tcPr>
            <w:tcW w:w="961" w:type="dxa"/>
            <w:shd w:val="clear" w:color="auto" w:fill="201547"/>
            <w:noWrap/>
            <w:hideMark/>
          </w:tcPr>
          <w:p w14:paraId="6DBD2F5A"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57,314</w:t>
            </w:r>
          </w:p>
        </w:tc>
        <w:tc>
          <w:tcPr>
            <w:tcW w:w="961" w:type="dxa"/>
            <w:shd w:val="clear" w:color="auto" w:fill="201547"/>
            <w:noWrap/>
            <w:hideMark/>
          </w:tcPr>
          <w:p w14:paraId="0DCE7454"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20,499</w:t>
            </w:r>
          </w:p>
        </w:tc>
        <w:tc>
          <w:tcPr>
            <w:tcW w:w="961" w:type="dxa"/>
            <w:shd w:val="clear" w:color="auto" w:fill="201547"/>
            <w:noWrap/>
            <w:hideMark/>
          </w:tcPr>
          <w:p w14:paraId="44516BE5"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1,100</w:t>
            </w:r>
          </w:p>
        </w:tc>
        <w:tc>
          <w:tcPr>
            <w:tcW w:w="962" w:type="dxa"/>
            <w:shd w:val="clear" w:color="auto" w:fill="201547"/>
            <w:noWrap/>
            <w:hideMark/>
          </w:tcPr>
          <w:p w14:paraId="02A4FE92"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1,236,258</w:t>
            </w:r>
          </w:p>
        </w:tc>
        <w:tc>
          <w:tcPr>
            <w:tcW w:w="961" w:type="dxa"/>
            <w:shd w:val="clear" w:color="auto" w:fill="201547"/>
            <w:noWrap/>
            <w:hideMark/>
          </w:tcPr>
          <w:p w14:paraId="0EC6DA5E"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1,200,337</w:t>
            </w:r>
          </w:p>
        </w:tc>
        <w:tc>
          <w:tcPr>
            <w:tcW w:w="961" w:type="dxa"/>
            <w:shd w:val="clear" w:color="auto" w:fill="201547"/>
            <w:noWrap/>
            <w:hideMark/>
          </w:tcPr>
          <w:p w14:paraId="7DB40BE2"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38,654</w:t>
            </w:r>
          </w:p>
        </w:tc>
        <w:tc>
          <w:tcPr>
            <w:tcW w:w="961" w:type="dxa"/>
            <w:shd w:val="clear" w:color="auto" w:fill="201547"/>
            <w:noWrap/>
            <w:hideMark/>
          </w:tcPr>
          <w:p w14:paraId="7F38D5BC"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2,769</w:t>
            </w:r>
          </w:p>
        </w:tc>
        <w:tc>
          <w:tcPr>
            <w:tcW w:w="961" w:type="dxa"/>
            <w:shd w:val="clear" w:color="auto" w:fill="201547"/>
            <w:noWrap/>
            <w:hideMark/>
          </w:tcPr>
          <w:p w14:paraId="426C7838"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60,256</w:t>
            </w:r>
          </w:p>
        </w:tc>
        <w:tc>
          <w:tcPr>
            <w:tcW w:w="961" w:type="dxa"/>
            <w:shd w:val="clear" w:color="auto" w:fill="201547"/>
            <w:noWrap/>
            <w:hideMark/>
          </w:tcPr>
          <w:p w14:paraId="564CDDF9"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20,162</w:t>
            </w:r>
          </w:p>
        </w:tc>
        <w:tc>
          <w:tcPr>
            <w:tcW w:w="961" w:type="dxa"/>
            <w:shd w:val="clear" w:color="auto" w:fill="201547"/>
            <w:noWrap/>
            <w:hideMark/>
          </w:tcPr>
          <w:p w14:paraId="5DEC8D4B"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1,000</w:t>
            </w:r>
          </w:p>
        </w:tc>
        <w:tc>
          <w:tcPr>
            <w:tcW w:w="1114" w:type="dxa"/>
            <w:shd w:val="clear" w:color="auto" w:fill="201547"/>
            <w:noWrap/>
            <w:hideMark/>
          </w:tcPr>
          <w:p w14:paraId="56F56F67" w14:textId="77777777" w:rsidR="008836C8" w:rsidRPr="00D87C7F" w:rsidRDefault="008836C8" w:rsidP="005D6F39">
            <w:pPr>
              <w:spacing w:after="0" w:line="240" w:lineRule="auto"/>
              <w:jc w:val="right"/>
              <w:rPr>
                <w:rFonts w:cs="Arial"/>
                <w:b/>
                <w:bCs/>
                <w:color w:val="FFFFFF"/>
                <w:sz w:val="15"/>
                <w:szCs w:val="15"/>
                <w:lang w:eastAsia="en-AU"/>
              </w:rPr>
            </w:pPr>
            <w:r w:rsidRPr="00D87C7F">
              <w:rPr>
                <w:rFonts w:cs="Arial"/>
                <w:b/>
                <w:bCs/>
                <w:color w:val="FFFFFF"/>
                <w:sz w:val="15"/>
                <w:szCs w:val="15"/>
                <w:lang w:eastAsia="en-AU"/>
              </w:rPr>
              <w:t>1,323,177</w:t>
            </w:r>
          </w:p>
        </w:tc>
      </w:tr>
    </w:tbl>
    <w:p w14:paraId="277B529C" w14:textId="72693E0D" w:rsidR="00F01C32" w:rsidRDefault="00061EE0" w:rsidP="00E1480C">
      <w:pPr>
        <w:pStyle w:val="Bodyaftertablefigure"/>
      </w:pPr>
      <w:r w:rsidRPr="00464B7E">
        <w:t>Combined</w:t>
      </w:r>
      <w:r>
        <w:t xml:space="preserve"> total</w:t>
      </w:r>
    </w:p>
    <w:tbl>
      <w:tblPr>
        <w:tblW w:w="15197" w:type="dxa"/>
        <w:tblLayout w:type="fixed"/>
        <w:tblLook w:val="04A0" w:firstRow="1" w:lastRow="0" w:firstColumn="1" w:lastColumn="0" w:noHBand="0" w:noVBand="1"/>
      </w:tblPr>
      <w:tblGrid>
        <w:gridCol w:w="1413"/>
        <w:gridCol w:w="1116"/>
        <w:gridCol w:w="974"/>
        <w:gridCol w:w="975"/>
        <w:gridCol w:w="974"/>
        <w:gridCol w:w="922"/>
        <w:gridCol w:w="851"/>
        <w:gridCol w:w="1151"/>
        <w:gridCol w:w="1117"/>
        <w:gridCol w:w="831"/>
        <w:gridCol w:w="975"/>
        <w:gridCol w:w="974"/>
        <w:gridCol w:w="975"/>
        <w:gridCol w:w="781"/>
        <w:gridCol w:w="1168"/>
      </w:tblGrid>
      <w:tr w:rsidR="00384761" w:rsidRPr="00C316F1" w14:paraId="246323F9" w14:textId="77777777" w:rsidTr="00601236">
        <w:trPr>
          <w:trHeight w:val="247"/>
        </w:trPr>
        <w:tc>
          <w:tcPr>
            <w:tcW w:w="1413" w:type="dxa"/>
            <w:vMerge w:val="restart"/>
            <w:tcBorders>
              <w:top w:val="single" w:sz="4" w:space="0" w:color="auto"/>
              <w:left w:val="single" w:sz="4" w:space="0" w:color="auto"/>
              <w:right w:val="single" w:sz="4" w:space="0" w:color="auto"/>
            </w:tcBorders>
            <w:shd w:val="clear" w:color="000000" w:fill="201547"/>
            <w:noWrap/>
            <w:vAlign w:val="bottom"/>
            <w:hideMark/>
          </w:tcPr>
          <w:p w14:paraId="67885A5D" w14:textId="77777777" w:rsidR="00384761" w:rsidRPr="00C316F1" w:rsidRDefault="00384761" w:rsidP="00C316F1">
            <w:pPr>
              <w:spacing w:after="0" w:line="240" w:lineRule="auto"/>
              <w:jc w:val="center"/>
              <w:rPr>
                <w:rFonts w:cs="Arial"/>
                <w:b/>
                <w:bCs/>
                <w:color w:val="FFFFFF"/>
                <w:sz w:val="16"/>
                <w:szCs w:val="16"/>
                <w:lang w:eastAsia="en-AU"/>
              </w:rPr>
            </w:pPr>
            <w:r w:rsidRPr="00C316F1">
              <w:rPr>
                <w:rFonts w:cs="Arial"/>
                <w:b/>
                <w:bCs/>
                <w:color w:val="FFFFFF"/>
                <w:sz w:val="16"/>
                <w:szCs w:val="16"/>
                <w:lang w:eastAsia="en-AU"/>
              </w:rPr>
              <w:t> </w:t>
            </w:r>
          </w:p>
          <w:p w14:paraId="484EDA09" w14:textId="74FF93E6" w:rsidR="00384761" w:rsidRPr="00C316F1" w:rsidRDefault="00384761" w:rsidP="00C316F1">
            <w:pPr>
              <w:spacing w:after="0" w:line="240" w:lineRule="auto"/>
              <w:rPr>
                <w:rFonts w:cs="Arial"/>
                <w:b/>
                <w:bCs/>
                <w:color w:val="FFFFFF"/>
                <w:sz w:val="16"/>
                <w:szCs w:val="16"/>
                <w:lang w:eastAsia="en-AU"/>
              </w:rPr>
            </w:pPr>
            <w:r w:rsidRPr="00C316F1">
              <w:rPr>
                <w:rFonts w:cs="Arial"/>
                <w:b/>
                <w:bCs/>
                <w:color w:val="FFFFFF"/>
                <w:sz w:val="16"/>
                <w:szCs w:val="16"/>
                <w:lang w:eastAsia="en-AU"/>
              </w:rPr>
              <w:t> </w:t>
            </w:r>
          </w:p>
        </w:tc>
        <w:tc>
          <w:tcPr>
            <w:tcW w:w="6963" w:type="dxa"/>
            <w:gridSpan w:val="7"/>
            <w:tcBorders>
              <w:top w:val="single" w:sz="4" w:space="0" w:color="auto"/>
              <w:left w:val="nil"/>
              <w:bottom w:val="single" w:sz="4" w:space="0" w:color="auto"/>
              <w:right w:val="single" w:sz="4" w:space="0" w:color="000000"/>
            </w:tcBorders>
            <w:shd w:val="clear" w:color="000000" w:fill="201547"/>
            <w:noWrap/>
            <w:vAlign w:val="bottom"/>
            <w:hideMark/>
          </w:tcPr>
          <w:p w14:paraId="140F6EA1" w14:textId="0823F767" w:rsidR="00384761" w:rsidRPr="00C316F1" w:rsidRDefault="00384761" w:rsidP="00C316F1">
            <w:pPr>
              <w:spacing w:after="0" w:line="240" w:lineRule="auto"/>
              <w:jc w:val="center"/>
              <w:rPr>
                <w:rFonts w:cs="Arial"/>
                <w:b/>
                <w:bCs/>
                <w:color w:val="FFFFFF"/>
                <w:sz w:val="16"/>
                <w:szCs w:val="16"/>
                <w:lang w:eastAsia="en-AU"/>
              </w:rPr>
            </w:pPr>
            <w:r w:rsidRPr="00C316F1">
              <w:rPr>
                <w:rFonts w:cs="Arial"/>
                <w:b/>
                <w:bCs/>
                <w:color w:val="FFFFFF"/>
                <w:sz w:val="16"/>
                <w:szCs w:val="16"/>
                <w:lang w:eastAsia="en-AU"/>
              </w:rPr>
              <w:t>2021</w:t>
            </w:r>
            <w:r w:rsidR="002F204E" w:rsidRPr="005353E5">
              <w:rPr>
                <w:rFonts w:cs="Arial"/>
                <w:b/>
                <w:bCs/>
                <w:color w:val="FFFFFF"/>
                <w:sz w:val="16"/>
                <w:szCs w:val="16"/>
                <w:lang w:eastAsia="en-AU"/>
              </w:rPr>
              <w:t>–</w:t>
            </w:r>
            <w:r w:rsidRPr="00C316F1">
              <w:rPr>
                <w:rFonts w:cs="Arial"/>
                <w:b/>
                <w:bCs/>
                <w:color w:val="FFFFFF"/>
                <w:sz w:val="16"/>
                <w:szCs w:val="16"/>
                <w:lang w:eastAsia="en-AU"/>
              </w:rPr>
              <w:t>2021</w:t>
            </w:r>
          </w:p>
        </w:tc>
        <w:tc>
          <w:tcPr>
            <w:tcW w:w="6821" w:type="dxa"/>
            <w:gridSpan w:val="7"/>
            <w:tcBorders>
              <w:top w:val="single" w:sz="4" w:space="0" w:color="auto"/>
              <w:left w:val="nil"/>
              <w:bottom w:val="single" w:sz="4" w:space="0" w:color="auto"/>
              <w:right w:val="single" w:sz="4" w:space="0" w:color="000000"/>
            </w:tcBorders>
            <w:shd w:val="clear" w:color="000000" w:fill="201547"/>
            <w:noWrap/>
            <w:vAlign w:val="bottom"/>
            <w:hideMark/>
          </w:tcPr>
          <w:p w14:paraId="2F13C46C" w14:textId="164DCFD6" w:rsidR="00384761" w:rsidRPr="00C316F1" w:rsidRDefault="00384761" w:rsidP="00C316F1">
            <w:pPr>
              <w:spacing w:after="0" w:line="240" w:lineRule="auto"/>
              <w:jc w:val="center"/>
              <w:rPr>
                <w:rFonts w:cs="Arial"/>
                <w:b/>
                <w:bCs/>
                <w:color w:val="FFFFFF"/>
                <w:sz w:val="16"/>
                <w:szCs w:val="16"/>
                <w:lang w:eastAsia="en-AU"/>
              </w:rPr>
            </w:pPr>
            <w:r w:rsidRPr="00C316F1">
              <w:rPr>
                <w:rFonts w:cs="Arial"/>
                <w:b/>
                <w:bCs/>
                <w:color w:val="FFFFFF"/>
                <w:sz w:val="16"/>
                <w:szCs w:val="16"/>
                <w:lang w:eastAsia="en-AU"/>
              </w:rPr>
              <w:t>2022</w:t>
            </w:r>
            <w:r w:rsidR="002F204E" w:rsidRPr="00216EF2">
              <w:t>–</w:t>
            </w:r>
            <w:r w:rsidRPr="00C316F1">
              <w:rPr>
                <w:rFonts w:cs="Arial"/>
                <w:b/>
                <w:bCs/>
                <w:color w:val="FFFFFF"/>
                <w:sz w:val="16"/>
                <w:szCs w:val="16"/>
                <w:lang w:eastAsia="en-AU"/>
              </w:rPr>
              <w:t>2023</w:t>
            </w:r>
          </w:p>
        </w:tc>
      </w:tr>
      <w:tr w:rsidR="00384761" w:rsidRPr="00C316F1" w14:paraId="7EB1D328" w14:textId="77777777" w:rsidTr="00601236">
        <w:trPr>
          <w:trHeight w:val="247"/>
        </w:trPr>
        <w:tc>
          <w:tcPr>
            <w:tcW w:w="1413" w:type="dxa"/>
            <w:vMerge/>
            <w:tcBorders>
              <w:left w:val="single" w:sz="4" w:space="0" w:color="auto"/>
              <w:right w:val="single" w:sz="4" w:space="0" w:color="auto"/>
            </w:tcBorders>
            <w:shd w:val="clear" w:color="000000" w:fill="201547"/>
            <w:vAlign w:val="bottom"/>
            <w:hideMark/>
          </w:tcPr>
          <w:p w14:paraId="0A67DEE7" w14:textId="6949B2F3" w:rsidR="00384761" w:rsidRPr="00C316F1" w:rsidRDefault="00384761" w:rsidP="00C316F1">
            <w:pPr>
              <w:spacing w:after="0" w:line="240" w:lineRule="auto"/>
              <w:rPr>
                <w:rFonts w:cs="Arial"/>
                <w:b/>
                <w:bCs/>
                <w:color w:val="FFFFFF"/>
                <w:sz w:val="16"/>
                <w:szCs w:val="16"/>
                <w:lang w:eastAsia="en-AU"/>
              </w:rPr>
            </w:pPr>
          </w:p>
        </w:tc>
        <w:tc>
          <w:tcPr>
            <w:tcW w:w="1116" w:type="dxa"/>
            <w:tcBorders>
              <w:top w:val="nil"/>
              <w:left w:val="nil"/>
              <w:bottom w:val="single" w:sz="4" w:space="0" w:color="auto"/>
              <w:right w:val="single" w:sz="4" w:space="0" w:color="auto"/>
            </w:tcBorders>
            <w:shd w:val="clear" w:color="000000" w:fill="201547"/>
            <w:noWrap/>
            <w:vAlign w:val="bottom"/>
            <w:hideMark/>
          </w:tcPr>
          <w:p w14:paraId="4DDEF66B"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Acute Health Services</w:t>
            </w:r>
          </w:p>
        </w:tc>
        <w:tc>
          <w:tcPr>
            <w:tcW w:w="974" w:type="dxa"/>
            <w:tcBorders>
              <w:top w:val="nil"/>
              <w:left w:val="nil"/>
              <w:bottom w:val="single" w:sz="4" w:space="0" w:color="auto"/>
              <w:right w:val="single" w:sz="4" w:space="0" w:color="auto"/>
            </w:tcBorders>
            <w:shd w:val="clear" w:color="000000" w:fill="201547"/>
            <w:noWrap/>
            <w:vAlign w:val="bottom"/>
            <w:hideMark/>
          </w:tcPr>
          <w:p w14:paraId="7DA0510B"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Ageing, aged and home care</w:t>
            </w:r>
          </w:p>
        </w:tc>
        <w:tc>
          <w:tcPr>
            <w:tcW w:w="975" w:type="dxa"/>
            <w:tcBorders>
              <w:top w:val="nil"/>
              <w:left w:val="nil"/>
              <w:bottom w:val="single" w:sz="4" w:space="0" w:color="auto"/>
              <w:right w:val="single" w:sz="4" w:space="0" w:color="auto"/>
            </w:tcBorders>
            <w:shd w:val="clear" w:color="000000" w:fill="201547"/>
            <w:noWrap/>
            <w:vAlign w:val="bottom"/>
            <w:hideMark/>
          </w:tcPr>
          <w:p w14:paraId="0A51FB99"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Drugs Services</w:t>
            </w:r>
          </w:p>
        </w:tc>
        <w:tc>
          <w:tcPr>
            <w:tcW w:w="974" w:type="dxa"/>
            <w:tcBorders>
              <w:top w:val="nil"/>
              <w:left w:val="nil"/>
              <w:bottom w:val="single" w:sz="4" w:space="0" w:color="auto"/>
              <w:right w:val="single" w:sz="4" w:space="0" w:color="auto"/>
            </w:tcBorders>
            <w:shd w:val="clear" w:color="000000" w:fill="201547"/>
            <w:noWrap/>
            <w:vAlign w:val="bottom"/>
            <w:hideMark/>
          </w:tcPr>
          <w:p w14:paraId="062DE5F1"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Mental Health</w:t>
            </w:r>
          </w:p>
        </w:tc>
        <w:tc>
          <w:tcPr>
            <w:tcW w:w="922" w:type="dxa"/>
            <w:tcBorders>
              <w:top w:val="nil"/>
              <w:left w:val="nil"/>
              <w:bottom w:val="single" w:sz="4" w:space="0" w:color="auto"/>
              <w:right w:val="single" w:sz="4" w:space="0" w:color="auto"/>
            </w:tcBorders>
            <w:shd w:val="clear" w:color="000000" w:fill="201547"/>
            <w:noWrap/>
            <w:vAlign w:val="bottom"/>
            <w:hideMark/>
          </w:tcPr>
          <w:p w14:paraId="29DAFB5C"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Primary and Dental Health</w:t>
            </w:r>
          </w:p>
        </w:tc>
        <w:tc>
          <w:tcPr>
            <w:tcW w:w="851" w:type="dxa"/>
            <w:tcBorders>
              <w:top w:val="nil"/>
              <w:left w:val="nil"/>
              <w:bottom w:val="single" w:sz="4" w:space="0" w:color="auto"/>
              <w:right w:val="single" w:sz="4" w:space="0" w:color="auto"/>
            </w:tcBorders>
            <w:shd w:val="clear" w:color="000000" w:fill="201547"/>
            <w:noWrap/>
            <w:vAlign w:val="bottom"/>
            <w:hideMark/>
          </w:tcPr>
          <w:p w14:paraId="50E9C3B9"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Public Health</w:t>
            </w:r>
          </w:p>
        </w:tc>
        <w:tc>
          <w:tcPr>
            <w:tcW w:w="1151" w:type="dxa"/>
            <w:tcBorders>
              <w:top w:val="nil"/>
              <w:left w:val="nil"/>
              <w:bottom w:val="single" w:sz="4" w:space="0" w:color="auto"/>
              <w:right w:val="single" w:sz="4" w:space="0" w:color="auto"/>
            </w:tcBorders>
            <w:shd w:val="clear" w:color="000000" w:fill="201547"/>
            <w:noWrap/>
            <w:vAlign w:val="bottom"/>
            <w:hideMark/>
          </w:tcPr>
          <w:p w14:paraId="33067F1A"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 xml:space="preserve"> Total</w:t>
            </w:r>
          </w:p>
        </w:tc>
        <w:tc>
          <w:tcPr>
            <w:tcW w:w="1117" w:type="dxa"/>
            <w:tcBorders>
              <w:top w:val="nil"/>
              <w:left w:val="nil"/>
              <w:bottom w:val="single" w:sz="4" w:space="0" w:color="auto"/>
              <w:right w:val="single" w:sz="4" w:space="0" w:color="auto"/>
            </w:tcBorders>
            <w:shd w:val="clear" w:color="000000" w:fill="201547"/>
            <w:noWrap/>
            <w:vAlign w:val="bottom"/>
            <w:hideMark/>
          </w:tcPr>
          <w:p w14:paraId="1B46DBB1"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Acute Health Services</w:t>
            </w:r>
          </w:p>
        </w:tc>
        <w:tc>
          <w:tcPr>
            <w:tcW w:w="831" w:type="dxa"/>
            <w:tcBorders>
              <w:top w:val="nil"/>
              <w:left w:val="nil"/>
              <w:bottom w:val="single" w:sz="4" w:space="0" w:color="auto"/>
              <w:right w:val="single" w:sz="4" w:space="0" w:color="auto"/>
            </w:tcBorders>
            <w:shd w:val="clear" w:color="000000" w:fill="201547"/>
            <w:noWrap/>
            <w:vAlign w:val="bottom"/>
            <w:hideMark/>
          </w:tcPr>
          <w:p w14:paraId="0866E793"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Ageing, aged and home care</w:t>
            </w:r>
          </w:p>
        </w:tc>
        <w:tc>
          <w:tcPr>
            <w:tcW w:w="975" w:type="dxa"/>
            <w:tcBorders>
              <w:top w:val="nil"/>
              <w:left w:val="nil"/>
              <w:bottom w:val="single" w:sz="4" w:space="0" w:color="auto"/>
              <w:right w:val="single" w:sz="4" w:space="0" w:color="auto"/>
            </w:tcBorders>
            <w:shd w:val="clear" w:color="000000" w:fill="201547"/>
            <w:noWrap/>
            <w:vAlign w:val="bottom"/>
            <w:hideMark/>
          </w:tcPr>
          <w:p w14:paraId="6ECEB6CF"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Drugs Services</w:t>
            </w:r>
          </w:p>
        </w:tc>
        <w:tc>
          <w:tcPr>
            <w:tcW w:w="974" w:type="dxa"/>
            <w:tcBorders>
              <w:top w:val="nil"/>
              <w:left w:val="nil"/>
              <w:bottom w:val="single" w:sz="4" w:space="0" w:color="auto"/>
              <w:right w:val="single" w:sz="4" w:space="0" w:color="auto"/>
            </w:tcBorders>
            <w:shd w:val="clear" w:color="000000" w:fill="201547"/>
            <w:noWrap/>
            <w:vAlign w:val="bottom"/>
            <w:hideMark/>
          </w:tcPr>
          <w:p w14:paraId="0B481D30"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Mental Health</w:t>
            </w:r>
          </w:p>
        </w:tc>
        <w:tc>
          <w:tcPr>
            <w:tcW w:w="975" w:type="dxa"/>
            <w:tcBorders>
              <w:top w:val="nil"/>
              <w:left w:val="nil"/>
              <w:bottom w:val="single" w:sz="4" w:space="0" w:color="auto"/>
              <w:right w:val="single" w:sz="4" w:space="0" w:color="auto"/>
            </w:tcBorders>
            <w:shd w:val="clear" w:color="000000" w:fill="201547"/>
            <w:noWrap/>
            <w:vAlign w:val="bottom"/>
            <w:hideMark/>
          </w:tcPr>
          <w:p w14:paraId="689462D2"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Primary and Dental Health</w:t>
            </w:r>
          </w:p>
        </w:tc>
        <w:tc>
          <w:tcPr>
            <w:tcW w:w="781" w:type="dxa"/>
            <w:tcBorders>
              <w:top w:val="nil"/>
              <w:left w:val="nil"/>
              <w:bottom w:val="single" w:sz="4" w:space="0" w:color="auto"/>
              <w:right w:val="single" w:sz="4" w:space="0" w:color="auto"/>
            </w:tcBorders>
            <w:shd w:val="clear" w:color="000000" w:fill="201547"/>
            <w:noWrap/>
            <w:vAlign w:val="bottom"/>
            <w:hideMark/>
          </w:tcPr>
          <w:p w14:paraId="1FA00ED2"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Public Health</w:t>
            </w:r>
          </w:p>
        </w:tc>
        <w:tc>
          <w:tcPr>
            <w:tcW w:w="1168" w:type="dxa"/>
            <w:tcBorders>
              <w:top w:val="nil"/>
              <w:left w:val="nil"/>
              <w:bottom w:val="single" w:sz="4" w:space="0" w:color="auto"/>
              <w:right w:val="single" w:sz="4" w:space="0" w:color="auto"/>
            </w:tcBorders>
            <w:shd w:val="clear" w:color="000000" w:fill="201547"/>
            <w:noWrap/>
            <w:vAlign w:val="bottom"/>
            <w:hideMark/>
          </w:tcPr>
          <w:p w14:paraId="5A6563C8"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Total</w:t>
            </w:r>
          </w:p>
        </w:tc>
      </w:tr>
      <w:tr w:rsidR="00384761" w:rsidRPr="00C316F1" w14:paraId="14386257" w14:textId="77777777" w:rsidTr="00601236">
        <w:trPr>
          <w:trHeight w:val="247"/>
        </w:trPr>
        <w:tc>
          <w:tcPr>
            <w:tcW w:w="1413" w:type="dxa"/>
            <w:vMerge/>
            <w:tcBorders>
              <w:left w:val="single" w:sz="4" w:space="0" w:color="auto"/>
              <w:bottom w:val="single" w:sz="4" w:space="0" w:color="000000"/>
              <w:right w:val="single" w:sz="4" w:space="0" w:color="auto"/>
            </w:tcBorders>
            <w:vAlign w:val="center"/>
            <w:hideMark/>
          </w:tcPr>
          <w:p w14:paraId="06FEAE21" w14:textId="77777777" w:rsidR="00384761" w:rsidRPr="00C316F1" w:rsidRDefault="00384761" w:rsidP="00C316F1">
            <w:pPr>
              <w:spacing w:after="0" w:line="240" w:lineRule="auto"/>
              <w:rPr>
                <w:rFonts w:cs="Arial"/>
                <w:b/>
                <w:bCs/>
                <w:color w:val="FFFFFF"/>
                <w:sz w:val="16"/>
                <w:szCs w:val="16"/>
                <w:lang w:eastAsia="en-AU"/>
              </w:rPr>
            </w:pPr>
          </w:p>
        </w:tc>
        <w:tc>
          <w:tcPr>
            <w:tcW w:w="1116" w:type="dxa"/>
            <w:tcBorders>
              <w:top w:val="nil"/>
              <w:left w:val="nil"/>
              <w:bottom w:val="single" w:sz="4" w:space="0" w:color="auto"/>
              <w:right w:val="single" w:sz="4" w:space="0" w:color="auto"/>
            </w:tcBorders>
            <w:shd w:val="clear" w:color="000000" w:fill="201547"/>
            <w:noWrap/>
            <w:vAlign w:val="bottom"/>
            <w:hideMark/>
          </w:tcPr>
          <w:p w14:paraId="736AE08E"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974" w:type="dxa"/>
            <w:tcBorders>
              <w:top w:val="nil"/>
              <w:left w:val="nil"/>
              <w:bottom w:val="single" w:sz="4" w:space="0" w:color="auto"/>
              <w:right w:val="single" w:sz="4" w:space="0" w:color="auto"/>
            </w:tcBorders>
            <w:shd w:val="clear" w:color="000000" w:fill="201547"/>
            <w:noWrap/>
            <w:vAlign w:val="bottom"/>
            <w:hideMark/>
          </w:tcPr>
          <w:p w14:paraId="6635AD1B"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975" w:type="dxa"/>
            <w:tcBorders>
              <w:top w:val="nil"/>
              <w:left w:val="nil"/>
              <w:bottom w:val="single" w:sz="4" w:space="0" w:color="auto"/>
              <w:right w:val="single" w:sz="4" w:space="0" w:color="auto"/>
            </w:tcBorders>
            <w:shd w:val="clear" w:color="000000" w:fill="201547"/>
            <w:noWrap/>
            <w:vAlign w:val="bottom"/>
            <w:hideMark/>
          </w:tcPr>
          <w:p w14:paraId="343ED906"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974" w:type="dxa"/>
            <w:tcBorders>
              <w:top w:val="nil"/>
              <w:left w:val="nil"/>
              <w:bottom w:val="single" w:sz="4" w:space="0" w:color="auto"/>
              <w:right w:val="single" w:sz="4" w:space="0" w:color="auto"/>
            </w:tcBorders>
            <w:shd w:val="clear" w:color="000000" w:fill="201547"/>
            <w:noWrap/>
            <w:vAlign w:val="bottom"/>
            <w:hideMark/>
          </w:tcPr>
          <w:p w14:paraId="6A188A74"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922" w:type="dxa"/>
            <w:tcBorders>
              <w:top w:val="nil"/>
              <w:left w:val="nil"/>
              <w:bottom w:val="single" w:sz="4" w:space="0" w:color="auto"/>
              <w:right w:val="single" w:sz="4" w:space="0" w:color="auto"/>
            </w:tcBorders>
            <w:shd w:val="clear" w:color="000000" w:fill="201547"/>
            <w:noWrap/>
            <w:vAlign w:val="bottom"/>
            <w:hideMark/>
          </w:tcPr>
          <w:p w14:paraId="4A8464B9"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851" w:type="dxa"/>
            <w:tcBorders>
              <w:top w:val="nil"/>
              <w:left w:val="nil"/>
              <w:bottom w:val="single" w:sz="4" w:space="0" w:color="auto"/>
              <w:right w:val="single" w:sz="4" w:space="0" w:color="auto"/>
            </w:tcBorders>
            <w:shd w:val="clear" w:color="000000" w:fill="201547"/>
            <w:noWrap/>
            <w:vAlign w:val="bottom"/>
            <w:hideMark/>
          </w:tcPr>
          <w:p w14:paraId="5418EC37"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1151" w:type="dxa"/>
            <w:tcBorders>
              <w:top w:val="nil"/>
              <w:left w:val="nil"/>
              <w:bottom w:val="single" w:sz="4" w:space="0" w:color="auto"/>
              <w:right w:val="single" w:sz="4" w:space="0" w:color="auto"/>
            </w:tcBorders>
            <w:shd w:val="clear" w:color="000000" w:fill="201547"/>
            <w:noWrap/>
            <w:vAlign w:val="bottom"/>
            <w:hideMark/>
          </w:tcPr>
          <w:p w14:paraId="5B2AE01B"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1117" w:type="dxa"/>
            <w:tcBorders>
              <w:top w:val="nil"/>
              <w:left w:val="nil"/>
              <w:bottom w:val="single" w:sz="4" w:space="0" w:color="auto"/>
              <w:right w:val="single" w:sz="4" w:space="0" w:color="auto"/>
            </w:tcBorders>
            <w:shd w:val="clear" w:color="000000" w:fill="201547"/>
            <w:noWrap/>
            <w:vAlign w:val="bottom"/>
            <w:hideMark/>
          </w:tcPr>
          <w:p w14:paraId="16E45BC1"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831" w:type="dxa"/>
            <w:tcBorders>
              <w:top w:val="nil"/>
              <w:left w:val="nil"/>
              <w:bottom w:val="single" w:sz="4" w:space="0" w:color="auto"/>
              <w:right w:val="single" w:sz="4" w:space="0" w:color="auto"/>
            </w:tcBorders>
            <w:shd w:val="clear" w:color="000000" w:fill="201547"/>
            <w:noWrap/>
            <w:vAlign w:val="bottom"/>
            <w:hideMark/>
          </w:tcPr>
          <w:p w14:paraId="51A0BCD3"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975" w:type="dxa"/>
            <w:tcBorders>
              <w:top w:val="nil"/>
              <w:left w:val="nil"/>
              <w:bottom w:val="single" w:sz="4" w:space="0" w:color="auto"/>
              <w:right w:val="single" w:sz="4" w:space="0" w:color="auto"/>
            </w:tcBorders>
            <w:shd w:val="clear" w:color="000000" w:fill="201547"/>
            <w:noWrap/>
            <w:vAlign w:val="bottom"/>
            <w:hideMark/>
          </w:tcPr>
          <w:p w14:paraId="1E78CFF5"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974" w:type="dxa"/>
            <w:tcBorders>
              <w:top w:val="nil"/>
              <w:left w:val="nil"/>
              <w:bottom w:val="single" w:sz="4" w:space="0" w:color="auto"/>
              <w:right w:val="single" w:sz="4" w:space="0" w:color="auto"/>
            </w:tcBorders>
            <w:shd w:val="clear" w:color="000000" w:fill="201547"/>
            <w:noWrap/>
            <w:vAlign w:val="bottom"/>
            <w:hideMark/>
          </w:tcPr>
          <w:p w14:paraId="1BCEB3A9"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975" w:type="dxa"/>
            <w:tcBorders>
              <w:top w:val="nil"/>
              <w:left w:val="nil"/>
              <w:bottom w:val="single" w:sz="4" w:space="0" w:color="auto"/>
              <w:right w:val="single" w:sz="4" w:space="0" w:color="auto"/>
            </w:tcBorders>
            <w:shd w:val="clear" w:color="000000" w:fill="201547"/>
            <w:noWrap/>
            <w:vAlign w:val="bottom"/>
            <w:hideMark/>
          </w:tcPr>
          <w:p w14:paraId="63CF2313"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781" w:type="dxa"/>
            <w:tcBorders>
              <w:top w:val="nil"/>
              <w:left w:val="nil"/>
              <w:bottom w:val="single" w:sz="4" w:space="0" w:color="auto"/>
              <w:right w:val="single" w:sz="4" w:space="0" w:color="auto"/>
            </w:tcBorders>
            <w:shd w:val="clear" w:color="000000" w:fill="201547"/>
            <w:noWrap/>
            <w:vAlign w:val="bottom"/>
            <w:hideMark/>
          </w:tcPr>
          <w:p w14:paraId="1C817116"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c>
          <w:tcPr>
            <w:tcW w:w="1168" w:type="dxa"/>
            <w:tcBorders>
              <w:top w:val="nil"/>
              <w:left w:val="nil"/>
              <w:bottom w:val="single" w:sz="4" w:space="0" w:color="auto"/>
              <w:right w:val="single" w:sz="4" w:space="0" w:color="auto"/>
            </w:tcBorders>
            <w:shd w:val="clear" w:color="000000" w:fill="201547"/>
            <w:noWrap/>
            <w:vAlign w:val="bottom"/>
            <w:hideMark/>
          </w:tcPr>
          <w:p w14:paraId="2CDC2306" w14:textId="77777777" w:rsidR="00384761" w:rsidRPr="00C316F1" w:rsidRDefault="00384761" w:rsidP="005D6F39">
            <w:pPr>
              <w:spacing w:after="0" w:line="240" w:lineRule="auto"/>
              <w:jc w:val="right"/>
              <w:rPr>
                <w:rFonts w:cs="Arial"/>
                <w:b/>
                <w:bCs/>
                <w:color w:val="FFFFFF"/>
                <w:sz w:val="16"/>
                <w:szCs w:val="16"/>
                <w:lang w:eastAsia="en-AU"/>
              </w:rPr>
            </w:pPr>
            <w:r w:rsidRPr="00C316F1">
              <w:rPr>
                <w:rFonts w:cs="Arial"/>
                <w:b/>
                <w:bCs/>
                <w:color w:val="FFFFFF"/>
                <w:sz w:val="16"/>
                <w:szCs w:val="16"/>
                <w:lang w:eastAsia="en-AU"/>
              </w:rPr>
              <w:t>$'000s</w:t>
            </w:r>
          </w:p>
        </w:tc>
      </w:tr>
      <w:tr w:rsidR="00C316F1" w:rsidRPr="00C316F1" w14:paraId="6BA924B1" w14:textId="77777777" w:rsidTr="00C316F1">
        <w:trPr>
          <w:trHeight w:val="257"/>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5221702E" w14:textId="77777777" w:rsidR="00C316F1" w:rsidRPr="00D87C7F" w:rsidRDefault="00C316F1" w:rsidP="00C316F1">
            <w:pPr>
              <w:spacing w:after="0" w:line="240" w:lineRule="auto"/>
              <w:rPr>
                <w:rFonts w:cs="Arial"/>
                <w:color w:val="000000"/>
                <w:sz w:val="15"/>
                <w:szCs w:val="15"/>
                <w:lang w:eastAsia="en-AU"/>
              </w:rPr>
            </w:pPr>
            <w:r w:rsidRPr="00D87C7F">
              <w:rPr>
                <w:rFonts w:cs="Arial"/>
                <w:color w:val="000000"/>
                <w:sz w:val="15"/>
                <w:szCs w:val="15"/>
                <w:lang w:eastAsia="en-AU"/>
              </w:rPr>
              <w:t>Total</w:t>
            </w:r>
          </w:p>
        </w:tc>
        <w:tc>
          <w:tcPr>
            <w:tcW w:w="1116" w:type="dxa"/>
            <w:tcBorders>
              <w:top w:val="nil"/>
              <w:left w:val="nil"/>
              <w:bottom w:val="single" w:sz="8" w:space="0" w:color="auto"/>
              <w:right w:val="single" w:sz="8" w:space="0" w:color="auto"/>
            </w:tcBorders>
            <w:shd w:val="clear" w:color="auto" w:fill="auto"/>
            <w:noWrap/>
            <w:vAlign w:val="center"/>
            <w:hideMark/>
          </w:tcPr>
          <w:p w14:paraId="67D986F9"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12,288,241</w:t>
            </w:r>
          </w:p>
        </w:tc>
        <w:tc>
          <w:tcPr>
            <w:tcW w:w="974" w:type="dxa"/>
            <w:tcBorders>
              <w:top w:val="nil"/>
              <w:left w:val="nil"/>
              <w:bottom w:val="single" w:sz="8" w:space="0" w:color="auto"/>
              <w:right w:val="single" w:sz="8" w:space="0" w:color="auto"/>
            </w:tcBorders>
            <w:shd w:val="clear" w:color="auto" w:fill="auto"/>
            <w:noWrap/>
            <w:vAlign w:val="center"/>
            <w:hideMark/>
          </w:tcPr>
          <w:p w14:paraId="1F1BFEBD"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154,451</w:t>
            </w:r>
          </w:p>
        </w:tc>
        <w:tc>
          <w:tcPr>
            <w:tcW w:w="975" w:type="dxa"/>
            <w:tcBorders>
              <w:top w:val="nil"/>
              <w:left w:val="nil"/>
              <w:bottom w:val="single" w:sz="8" w:space="0" w:color="auto"/>
              <w:right w:val="single" w:sz="8" w:space="0" w:color="auto"/>
            </w:tcBorders>
            <w:shd w:val="clear" w:color="auto" w:fill="auto"/>
            <w:noWrap/>
            <w:vAlign w:val="center"/>
            <w:hideMark/>
          </w:tcPr>
          <w:p w14:paraId="10084AF1"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60,853</w:t>
            </w:r>
          </w:p>
        </w:tc>
        <w:tc>
          <w:tcPr>
            <w:tcW w:w="974" w:type="dxa"/>
            <w:tcBorders>
              <w:top w:val="nil"/>
              <w:left w:val="nil"/>
              <w:bottom w:val="single" w:sz="8" w:space="0" w:color="auto"/>
              <w:right w:val="single" w:sz="8" w:space="0" w:color="auto"/>
            </w:tcBorders>
            <w:shd w:val="clear" w:color="auto" w:fill="auto"/>
            <w:noWrap/>
            <w:vAlign w:val="center"/>
            <w:hideMark/>
          </w:tcPr>
          <w:p w14:paraId="292FAE75"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1,643,898</w:t>
            </w:r>
          </w:p>
        </w:tc>
        <w:tc>
          <w:tcPr>
            <w:tcW w:w="922" w:type="dxa"/>
            <w:tcBorders>
              <w:top w:val="nil"/>
              <w:left w:val="nil"/>
              <w:bottom w:val="single" w:sz="8" w:space="0" w:color="auto"/>
              <w:right w:val="single" w:sz="8" w:space="0" w:color="auto"/>
            </w:tcBorders>
            <w:shd w:val="clear" w:color="auto" w:fill="auto"/>
            <w:noWrap/>
            <w:vAlign w:val="center"/>
            <w:hideMark/>
          </w:tcPr>
          <w:p w14:paraId="25448D1B"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75,178</w:t>
            </w:r>
          </w:p>
        </w:tc>
        <w:tc>
          <w:tcPr>
            <w:tcW w:w="851" w:type="dxa"/>
            <w:tcBorders>
              <w:top w:val="nil"/>
              <w:left w:val="nil"/>
              <w:bottom w:val="single" w:sz="8" w:space="0" w:color="auto"/>
              <w:right w:val="single" w:sz="8" w:space="0" w:color="auto"/>
            </w:tcBorders>
            <w:shd w:val="clear" w:color="auto" w:fill="auto"/>
            <w:noWrap/>
            <w:vAlign w:val="center"/>
            <w:hideMark/>
          </w:tcPr>
          <w:p w14:paraId="51E60D0A"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31,001</w:t>
            </w:r>
          </w:p>
        </w:tc>
        <w:tc>
          <w:tcPr>
            <w:tcW w:w="1151" w:type="dxa"/>
            <w:tcBorders>
              <w:top w:val="nil"/>
              <w:left w:val="nil"/>
              <w:bottom w:val="single" w:sz="8" w:space="0" w:color="auto"/>
              <w:right w:val="single" w:sz="8" w:space="0" w:color="auto"/>
            </w:tcBorders>
            <w:shd w:val="clear" w:color="auto" w:fill="auto"/>
            <w:noWrap/>
            <w:vAlign w:val="center"/>
            <w:hideMark/>
          </w:tcPr>
          <w:p w14:paraId="018F165F" w14:textId="77777777" w:rsidR="00C316F1" w:rsidRPr="00D87C7F" w:rsidRDefault="00C316F1" w:rsidP="00C316F1">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14,253,622</w:t>
            </w:r>
          </w:p>
        </w:tc>
        <w:tc>
          <w:tcPr>
            <w:tcW w:w="1117" w:type="dxa"/>
            <w:tcBorders>
              <w:top w:val="nil"/>
              <w:left w:val="nil"/>
              <w:bottom w:val="single" w:sz="8" w:space="0" w:color="auto"/>
              <w:right w:val="single" w:sz="8" w:space="0" w:color="auto"/>
            </w:tcBorders>
            <w:shd w:val="clear" w:color="auto" w:fill="auto"/>
            <w:noWrap/>
            <w:vAlign w:val="center"/>
            <w:hideMark/>
          </w:tcPr>
          <w:p w14:paraId="6959F6E7"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13,309,886</w:t>
            </w:r>
          </w:p>
        </w:tc>
        <w:tc>
          <w:tcPr>
            <w:tcW w:w="831" w:type="dxa"/>
            <w:tcBorders>
              <w:top w:val="nil"/>
              <w:left w:val="nil"/>
              <w:bottom w:val="single" w:sz="8" w:space="0" w:color="auto"/>
              <w:right w:val="single" w:sz="8" w:space="0" w:color="auto"/>
            </w:tcBorders>
            <w:shd w:val="clear" w:color="auto" w:fill="auto"/>
            <w:noWrap/>
            <w:vAlign w:val="center"/>
            <w:hideMark/>
          </w:tcPr>
          <w:p w14:paraId="3B61E532"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152,743</w:t>
            </w:r>
          </w:p>
        </w:tc>
        <w:tc>
          <w:tcPr>
            <w:tcW w:w="975" w:type="dxa"/>
            <w:tcBorders>
              <w:top w:val="nil"/>
              <w:left w:val="nil"/>
              <w:bottom w:val="single" w:sz="8" w:space="0" w:color="auto"/>
              <w:right w:val="single" w:sz="8" w:space="0" w:color="auto"/>
            </w:tcBorders>
            <w:shd w:val="clear" w:color="auto" w:fill="auto"/>
            <w:noWrap/>
            <w:vAlign w:val="center"/>
            <w:hideMark/>
          </w:tcPr>
          <w:p w14:paraId="35A275F9"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59,159</w:t>
            </w:r>
          </w:p>
        </w:tc>
        <w:tc>
          <w:tcPr>
            <w:tcW w:w="974" w:type="dxa"/>
            <w:tcBorders>
              <w:top w:val="nil"/>
              <w:left w:val="nil"/>
              <w:bottom w:val="single" w:sz="8" w:space="0" w:color="auto"/>
              <w:right w:val="single" w:sz="8" w:space="0" w:color="auto"/>
            </w:tcBorders>
            <w:shd w:val="clear" w:color="auto" w:fill="auto"/>
            <w:noWrap/>
            <w:vAlign w:val="center"/>
            <w:hideMark/>
          </w:tcPr>
          <w:p w14:paraId="34949DE3"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1,744,206</w:t>
            </w:r>
          </w:p>
        </w:tc>
        <w:tc>
          <w:tcPr>
            <w:tcW w:w="975" w:type="dxa"/>
            <w:tcBorders>
              <w:top w:val="nil"/>
              <w:left w:val="nil"/>
              <w:bottom w:val="single" w:sz="8" w:space="0" w:color="auto"/>
              <w:right w:val="single" w:sz="8" w:space="0" w:color="auto"/>
            </w:tcBorders>
            <w:shd w:val="clear" w:color="auto" w:fill="auto"/>
            <w:noWrap/>
            <w:vAlign w:val="center"/>
            <w:hideMark/>
          </w:tcPr>
          <w:p w14:paraId="4479CB6E"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74,530</w:t>
            </w:r>
          </w:p>
        </w:tc>
        <w:tc>
          <w:tcPr>
            <w:tcW w:w="781" w:type="dxa"/>
            <w:tcBorders>
              <w:top w:val="nil"/>
              <w:left w:val="nil"/>
              <w:bottom w:val="single" w:sz="8" w:space="0" w:color="auto"/>
              <w:right w:val="single" w:sz="8" w:space="0" w:color="auto"/>
            </w:tcBorders>
            <w:shd w:val="clear" w:color="auto" w:fill="auto"/>
            <w:noWrap/>
            <w:vAlign w:val="center"/>
            <w:hideMark/>
          </w:tcPr>
          <w:p w14:paraId="0F7E1D1F" w14:textId="77777777" w:rsidR="00C316F1" w:rsidRPr="00D87C7F" w:rsidRDefault="00C316F1" w:rsidP="00C316F1">
            <w:pPr>
              <w:spacing w:after="0" w:line="240" w:lineRule="auto"/>
              <w:jc w:val="right"/>
              <w:rPr>
                <w:rFonts w:cs="Arial"/>
                <w:color w:val="000000"/>
                <w:sz w:val="15"/>
                <w:szCs w:val="15"/>
                <w:lang w:eastAsia="en-AU"/>
              </w:rPr>
            </w:pPr>
            <w:r w:rsidRPr="00D87C7F">
              <w:rPr>
                <w:rFonts w:cs="Arial"/>
                <w:color w:val="000000"/>
                <w:sz w:val="15"/>
                <w:szCs w:val="15"/>
                <w:lang w:eastAsia="en-AU"/>
              </w:rPr>
              <w:t>29,415</w:t>
            </w:r>
          </w:p>
        </w:tc>
        <w:tc>
          <w:tcPr>
            <w:tcW w:w="1168" w:type="dxa"/>
            <w:tcBorders>
              <w:top w:val="nil"/>
              <w:left w:val="nil"/>
              <w:bottom w:val="single" w:sz="8" w:space="0" w:color="auto"/>
              <w:right w:val="single" w:sz="8" w:space="0" w:color="auto"/>
            </w:tcBorders>
            <w:shd w:val="clear" w:color="auto" w:fill="auto"/>
            <w:noWrap/>
            <w:vAlign w:val="center"/>
            <w:hideMark/>
          </w:tcPr>
          <w:p w14:paraId="742FDFC9" w14:textId="77777777" w:rsidR="00C316F1" w:rsidRPr="00D87C7F" w:rsidRDefault="00C316F1" w:rsidP="00C316F1">
            <w:pPr>
              <w:spacing w:after="0" w:line="240" w:lineRule="auto"/>
              <w:jc w:val="right"/>
              <w:rPr>
                <w:rFonts w:cs="Arial"/>
                <w:b/>
                <w:bCs/>
                <w:color w:val="000000"/>
                <w:sz w:val="15"/>
                <w:szCs w:val="15"/>
                <w:lang w:eastAsia="en-AU"/>
              </w:rPr>
            </w:pPr>
            <w:r w:rsidRPr="00D87C7F">
              <w:rPr>
                <w:rFonts w:cs="Arial"/>
                <w:b/>
                <w:bCs/>
                <w:color w:val="000000"/>
                <w:sz w:val="15"/>
                <w:szCs w:val="15"/>
                <w:lang w:eastAsia="en-AU"/>
              </w:rPr>
              <w:t>15,369,939</w:t>
            </w:r>
          </w:p>
        </w:tc>
      </w:tr>
    </w:tbl>
    <w:p w14:paraId="63FC1787" w14:textId="77777777" w:rsidR="00F01C32" w:rsidRDefault="00F01C32" w:rsidP="00B92CD4">
      <w:pPr>
        <w:pStyle w:val="Body"/>
      </w:pPr>
    </w:p>
    <w:p w14:paraId="24BC0909" w14:textId="0C0ACC0E" w:rsidR="000B27B9" w:rsidRPr="005353E5" w:rsidRDefault="000B27B9" w:rsidP="00464B7E">
      <w:pPr>
        <w:pStyle w:val="Heading3"/>
        <w:spacing w:before="240"/>
      </w:pPr>
      <w:bookmarkStart w:id="1138" w:name="_Toc111713615"/>
      <w:bookmarkStart w:id="1139" w:name="_Toc111713616"/>
      <w:bookmarkStart w:id="1140" w:name="_Toc111713617"/>
      <w:bookmarkStart w:id="1141" w:name="_Toc12780657"/>
      <w:bookmarkStart w:id="1142" w:name="_Toc14172298"/>
      <w:bookmarkStart w:id="1143" w:name="_Toc33703972"/>
      <w:bookmarkStart w:id="1144" w:name="_Toc55381160"/>
      <w:bookmarkStart w:id="1145" w:name="_Toc127192014"/>
      <w:bookmarkEnd w:id="1138"/>
      <w:bookmarkEnd w:id="1139"/>
      <w:bookmarkEnd w:id="1140"/>
      <w:r w:rsidRPr="004903A7">
        <w:t xml:space="preserve">Small </w:t>
      </w:r>
      <w:r w:rsidR="00331D5D">
        <w:t>R</w:t>
      </w:r>
      <w:r w:rsidRPr="004903A7">
        <w:t xml:space="preserve">ural </w:t>
      </w:r>
      <w:r w:rsidR="00331D5D">
        <w:t>H</w:t>
      </w:r>
      <w:r w:rsidRPr="004903A7">
        <w:t xml:space="preserve">ealth </w:t>
      </w:r>
      <w:r w:rsidR="00331D5D">
        <w:t>S</w:t>
      </w:r>
      <w:r w:rsidRPr="004903A7">
        <w:t xml:space="preserve">ervices </w:t>
      </w:r>
      <w:r w:rsidR="00331D5D">
        <w:t>E</w:t>
      </w:r>
      <w:r>
        <w:t>xpen</w:t>
      </w:r>
      <w:r w:rsidRPr="005353E5">
        <w:t xml:space="preserve">diture </w:t>
      </w:r>
      <w:r w:rsidR="00331D5D" w:rsidRPr="005353E5">
        <w:t>B</w:t>
      </w:r>
      <w:r w:rsidRPr="005353E5">
        <w:t xml:space="preserve">udgets </w:t>
      </w:r>
      <w:bookmarkEnd w:id="1141"/>
      <w:bookmarkEnd w:id="1142"/>
      <w:bookmarkEnd w:id="1143"/>
      <w:bookmarkEnd w:id="1144"/>
      <w:r w:rsidR="005D1FCB" w:rsidRPr="005353E5">
        <w:t>2021</w:t>
      </w:r>
      <w:r w:rsidR="00464B7E" w:rsidRPr="005353E5">
        <w:t>–</w:t>
      </w:r>
      <w:r w:rsidR="005D1FCB" w:rsidRPr="005353E5">
        <w:t>22 and 2022</w:t>
      </w:r>
      <w:r w:rsidR="00464B7E" w:rsidRPr="005353E5">
        <w:t>–</w:t>
      </w:r>
      <w:r w:rsidR="005D1FCB" w:rsidRPr="005353E5">
        <w:t>23</w:t>
      </w:r>
      <w:bookmarkEnd w:id="1145"/>
    </w:p>
    <w:p w14:paraId="5CB3581D" w14:textId="77777777" w:rsidR="000B27B9" w:rsidRPr="005353E5" w:rsidRDefault="000B27B9" w:rsidP="001057AF">
      <w:pPr>
        <w:pStyle w:val="Tablefigurenote9pt"/>
        <w:keepNext/>
        <w:spacing w:line="240" w:lineRule="auto"/>
      </w:pPr>
      <w:r w:rsidRPr="005353E5">
        <w:t>Notes:</w:t>
      </w:r>
    </w:p>
    <w:p w14:paraId="5B4E5FD7" w14:textId="77777777" w:rsidR="000B27B9" w:rsidRPr="005353E5" w:rsidRDefault="000B27B9" w:rsidP="003C01AD">
      <w:pPr>
        <w:pStyle w:val="Tablenoteroman"/>
        <w:keepNext/>
        <w:numPr>
          <w:ilvl w:val="0"/>
          <w:numId w:val="4"/>
        </w:numPr>
        <w:spacing w:line="240" w:lineRule="auto"/>
        <w:rPr>
          <w:lang w:eastAsia="en-AU"/>
        </w:rPr>
      </w:pPr>
      <w:r w:rsidRPr="005353E5">
        <w:rPr>
          <w:rFonts w:cs="Arial"/>
        </w:rPr>
        <w:t>The expenditure budget for the Coleraine campus is reported as part of the Western District Health Service.</w:t>
      </w:r>
    </w:p>
    <w:p w14:paraId="68BFA9FF" w14:textId="77777777" w:rsidR="000B27B9" w:rsidRPr="005353E5" w:rsidRDefault="000B27B9" w:rsidP="003C01AD">
      <w:pPr>
        <w:pStyle w:val="Tablenoteroman"/>
        <w:keepNext/>
        <w:numPr>
          <w:ilvl w:val="0"/>
          <w:numId w:val="4"/>
        </w:numPr>
        <w:spacing w:line="240" w:lineRule="auto"/>
        <w:rPr>
          <w:lang w:eastAsia="en-AU"/>
        </w:rPr>
      </w:pPr>
      <w:r w:rsidRPr="005353E5">
        <w:rPr>
          <w:lang w:eastAsia="en-AU"/>
        </w:rPr>
        <w:t>Subtotals and totals may not add up due to rounding.</w:t>
      </w:r>
    </w:p>
    <w:p w14:paraId="545B5915" w14:textId="2B523392" w:rsidR="00B9325A" w:rsidRPr="005353E5" w:rsidRDefault="00B9325A" w:rsidP="003C01AD">
      <w:pPr>
        <w:pStyle w:val="Tablenoteroman"/>
        <w:keepNext/>
        <w:numPr>
          <w:ilvl w:val="0"/>
          <w:numId w:val="4"/>
        </w:numPr>
        <w:spacing w:line="240" w:lineRule="auto"/>
        <w:rPr>
          <w:lang w:eastAsia="en-AU"/>
        </w:rPr>
      </w:pPr>
      <w:r w:rsidRPr="005353E5">
        <w:rPr>
          <w:lang w:eastAsia="en-AU"/>
        </w:rPr>
        <w:t xml:space="preserve">Figures adjusted to remove one-off funding impacts in </w:t>
      </w:r>
      <w:r w:rsidR="005D1FCB" w:rsidRPr="005353E5">
        <w:rPr>
          <w:lang w:eastAsia="en-AU"/>
        </w:rPr>
        <w:t>2021</w:t>
      </w:r>
      <w:r w:rsidR="00464B7E" w:rsidRPr="005353E5">
        <w:rPr>
          <w:lang w:eastAsia="en-AU"/>
        </w:rPr>
        <w:t>–</w:t>
      </w:r>
      <w:r w:rsidR="005D1FCB" w:rsidRPr="005353E5">
        <w:rPr>
          <w:lang w:eastAsia="en-AU"/>
        </w:rPr>
        <w:t>22 and 2022</w:t>
      </w:r>
      <w:r w:rsidR="00464B7E" w:rsidRPr="005353E5">
        <w:rPr>
          <w:lang w:eastAsia="en-AU"/>
        </w:rPr>
        <w:t>–</w:t>
      </w:r>
      <w:r w:rsidR="005D1FCB" w:rsidRPr="005353E5">
        <w:rPr>
          <w:lang w:eastAsia="en-AU"/>
        </w:rPr>
        <w:t>23</w:t>
      </w:r>
      <w:r w:rsidRPr="005353E5" w:rsidDel="00A8493A">
        <w:rPr>
          <w:lang w:eastAsia="en-AU"/>
        </w:rPr>
        <w:t>.</w:t>
      </w:r>
    </w:p>
    <w:p w14:paraId="1BE9953F" w14:textId="65A3A583" w:rsidR="000B27B9" w:rsidRDefault="000B27B9" w:rsidP="00E1480C">
      <w:pPr>
        <w:pStyle w:val="Tablecaption"/>
        <w:spacing w:line="240" w:lineRule="auto"/>
      </w:pPr>
      <w:bookmarkStart w:id="1146" w:name="_Toc12780561"/>
      <w:bookmarkStart w:id="1147" w:name="_Toc14194817"/>
      <w:bookmarkStart w:id="1148" w:name="_Toc33703998"/>
      <w:bookmarkStart w:id="1149" w:name="_Toc109894128"/>
      <w:bookmarkStart w:id="1150" w:name="_Toc119500909"/>
      <w:r w:rsidRPr="005353E5">
        <w:t xml:space="preserve">Table </w:t>
      </w:r>
      <w:r>
        <w:fldChar w:fldCharType="begin"/>
      </w:r>
      <w:r>
        <w:instrText>STYLEREF 1 \s</w:instrText>
      </w:r>
      <w:r>
        <w:fldChar w:fldCharType="separate"/>
      </w:r>
      <w:r w:rsidR="006D0756" w:rsidRPr="005353E5">
        <w:rPr>
          <w:noProof/>
        </w:rPr>
        <w:t>2</w:t>
      </w:r>
      <w:r>
        <w:fldChar w:fldCharType="end"/>
      </w:r>
      <w:r w:rsidR="00EC6300" w:rsidRPr="005353E5">
        <w:t>.</w:t>
      </w:r>
      <w:r>
        <w:fldChar w:fldCharType="begin"/>
      </w:r>
      <w:r>
        <w:instrText>SEQ Table \* ARABIC \s 1</w:instrText>
      </w:r>
      <w:r>
        <w:fldChar w:fldCharType="separate"/>
      </w:r>
      <w:r w:rsidR="006D0756" w:rsidRPr="005353E5">
        <w:rPr>
          <w:noProof/>
        </w:rPr>
        <w:t>2</w:t>
      </w:r>
      <w:r>
        <w:fldChar w:fldCharType="end"/>
      </w:r>
      <w:r w:rsidRPr="005353E5">
        <w:t xml:space="preserve">: Small rural health services expenditure budgets </w:t>
      </w:r>
      <w:bookmarkEnd w:id="1146"/>
      <w:bookmarkEnd w:id="1147"/>
      <w:bookmarkEnd w:id="1148"/>
      <w:r w:rsidR="005D1FCB" w:rsidRPr="005353E5">
        <w:t>2021</w:t>
      </w:r>
      <w:r w:rsidR="00464B7E" w:rsidRPr="005353E5">
        <w:t>–</w:t>
      </w:r>
      <w:r w:rsidR="005D1FCB" w:rsidRPr="005353E5">
        <w:t>22 and 2022</w:t>
      </w:r>
      <w:r w:rsidR="00464B7E" w:rsidRPr="005353E5">
        <w:t>–</w:t>
      </w:r>
      <w:r w:rsidR="005D1FCB" w:rsidRPr="005353E5">
        <w:t>23</w:t>
      </w:r>
      <w:bookmarkEnd w:id="1149"/>
      <w:bookmarkEnd w:id="1150"/>
    </w:p>
    <w:tbl>
      <w:tblPr>
        <w:tblStyle w:val="TableGrid1"/>
        <w:tblW w:w="14737" w:type="dxa"/>
        <w:tblLayout w:type="fixed"/>
        <w:tblLook w:val="04A0" w:firstRow="1" w:lastRow="0" w:firstColumn="1" w:lastColumn="0" w:noHBand="0" w:noVBand="1"/>
      </w:tblPr>
      <w:tblGrid>
        <w:gridCol w:w="2122"/>
        <w:gridCol w:w="1263"/>
        <w:gridCol w:w="1264"/>
        <w:gridCol w:w="1264"/>
        <w:gridCol w:w="1264"/>
        <w:gridCol w:w="1182"/>
        <w:gridCol w:w="82"/>
        <w:gridCol w:w="1263"/>
        <w:gridCol w:w="1264"/>
        <w:gridCol w:w="1264"/>
        <w:gridCol w:w="1264"/>
        <w:gridCol w:w="1241"/>
      </w:tblGrid>
      <w:tr w:rsidR="005353E5" w:rsidRPr="005353E5" w14:paraId="337B8346" w14:textId="359F14A1" w:rsidTr="004E7DFB">
        <w:trPr>
          <w:cnfStyle w:val="100000000000" w:firstRow="1" w:lastRow="0" w:firstColumn="0" w:lastColumn="0" w:oddVBand="0" w:evenVBand="0" w:oddHBand="0" w:evenHBand="0" w:firstRowFirstColumn="0" w:firstRowLastColumn="0" w:lastRowFirstColumn="0" w:lastRowLastColumn="0"/>
          <w:trHeight w:val="288"/>
          <w:tblHeader/>
        </w:trPr>
        <w:tc>
          <w:tcPr>
            <w:tcW w:w="2122" w:type="dxa"/>
            <w:vMerge w:val="restart"/>
            <w:noWrap/>
            <w:hideMark/>
          </w:tcPr>
          <w:p w14:paraId="5D678FE5" w14:textId="3ADCFBA7" w:rsidR="005353E5" w:rsidRPr="005D3E92" w:rsidRDefault="005353E5" w:rsidP="00384761">
            <w:pPr>
              <w:spacing w:after="0" w:line="240" w:lineRule="auto"/>
              <w:rPr>
                <w:rFonts w:cs="Arial"/>
                <w:b/>
                <w:bCs/>
                <w:color w:val="FFFFFF"/>
                <w:sz w:val="16"/>
                <w:szCs w:val="16"/>
                <w:lang w:eastAsia="en-AU"/>
              </w:rPr>
            </w:pPr>
            <w:r w:rsidRPr="005353E5">
              <w:rPr>
                <w:rFonts w:cs="Arial"/>
                <w:b/>
                <w:bCs/>
                <w:color w:val="FFFFFF"/>
                <w:sz w:val="16"/>
                <w:szCs w:val="16"/>
                <w:lang w:eastAsia="en-AU"/>
              </w:rPr>
              <w:t> </w:t>
            </w:r>
            <w:r w:rsidRPr="005D3E92">
              <w:rPr>
                <w:rFonts w:cs="Arial"/>
                <w:b/>
                <w:bCs/>
                <w:color w:val="FFFFFF" w:themeColor="background1"/>
                <w:sz w:val="16"/>
                <w:szCs w:val="16"/>
                <w:lang w:eastAsia="en-AU"/>
              </w:rPr>
              <w:t>Health Service</w:t>
            </w:r>
          </w:p>
        </w:tc>
        <w:tc>
          <w:tcPr>
            <w:tcW w:w="6237" w:type="dxa"/>
            <w:gridSpan w:val="5"/>
            <w:noWrap/>
            <w:hideMark/>
          </w:tcPr>
          <w:p w14:paraId="329C454B" w14:textId="6A2D0BD8" w:rsidR="005353E5" w:rsidRPr="005353E5" w:rsidRDefault="005353E5" w:rsidP="005353E5">
            <w:pPr>
              <w:spacing w:after="0" w:line="240" w:lineRule="auto"/>
              <w:jc w:val="center"/>
              <w:rPr>
                <w:rFonts w:ascii="Times New Roman" w:hAnsi="Times New Roman"/>
                <w:sz w:val="20"/>
                <w:lang w:eastAsia="en-AU"/>
              </w:rPr>
            </w:pPr>
            <w:r w:rsidRPr="005353E5">
              <w:rPr>
                <w:rFonts w:cs="Arial"/>
                <w:b/>
                <w:bCs/>
                <w:color w:val="FFFFFF"/>
                <w:sz w:val="16"/>
                <w:szCs w:val="16"/>
                <w:lang w:eastAsia="en-AU"/>
              </w:rPr>
              <w:t>2021</w:t>
            </w:r>
            <w:r w:rsidR="002F204E" w:rsidRPr="005353E5">
              <w:rPr>
                <w:rFonts w:cs="Arial"/>
                <w:b/>
                <w:bCs/>
                <w:color w:val="FFFFFF"/>
                <w:sz w:val="16"/>
                <w:szCs w:val="16"/>
                <w:lang w:eastAsia="en-AU"/>
              </w:rPr>
              <w:t>–</w:t>
            </w:r>
            <w:r w:rsidRPr="005353E5">
              <w:rPr>
                <w:rFonts w:cs="Arial"/>
                <w:b/>
                <w:bCs/>
                <w:color w:val="FFFFFF"/>
                <w:sz w:val="16"/>
                <w:szCs w:val="16"/>
                <w:lang w:eastAsia="en-AU"/>
              </w:rPr>
              <w:t>2022</w:t>
            </w:r>
          </w:p>
          <w:p w14:paraId="5D42891E" w14:textId="098446C9" w:rsidR="005353E5" w:rsidRPr="005353E5" w:rsidRDefault="005353E5" w:rsidP="005353E5">
            <w:pPr>
              <w:spacing w:after="0" w:line="240" w:lineRule="auto"/>
              <w:rPr>
                <w:rFonts w:ascii="Times New Roman" w:hAnsi="Times New Roman"/>
                <w:sz w:val="20"/>
                <w:lang w:eastAsia="en-AU"/>
              </w:rPr>
            </w:pPr>
            <w:r w:rsidRPr="005353E5">
              <w:rPr>
                <w:rFonts w:cs="Arial"/>
                <w:b/>
                <w:bCs/>
                <w:color w:val="FFFFFF"/>
                <w:sz w:val="16"/>
                <w:szCs w:val="16"/>
                <w:lang w:eastAsia="en-AU"/>
              </w:rPr>
              <w:t> </w:t>
            </w:r>
          </w:p>
        </w:tc>
        <w:tc>
          <w:tcPr>
            <w:tcW w:w="6378" w:type="dxa"/>
            <w:gridSpan w:val="6"/>
          </w:tcPr>
          <w:p w14:paraId="5E1B36B1" w14:textId="05D77DD8" w:rsidR="005353E5" w:rsidRPr="005353E5" w:rsidRDefault="005353E5" w:rsidP="005353E5">
            <w:pPr>
              <w:spacing w:after="0" w:line="240" w:lineRule="auto"/>
              <w:jc w:val="center"/>
              <w:rPr>
                <w:rFonts w:cs="Arial"/>
                <w:b/>
                <w:bCs/>
                <w:color w:val="FFFFFF"/>
                <w:sz w:val="16"/>
                <w:szCs w:val="16"/>
                <w:lang w:eastAsia="en-AU"/>
              </w:rPr>
            </w:pPr>
            <w:r w:rsidRPr="005353E5">
              <w:rPr>
                <w:rFonts w:cs="Arial"/>
                <w:b/>
                <w:bCs/>
                <w:color w:val="FFFFFF"/>
                <w:sz w:val="16"/>
                <w:szCs w:val="16"/>
                <w:lang w:eastAsia="en-AU"/>
              </w:rPr>
              <w:t>202</w:t>
            </w:r>
            <w:r>
              <w:rPr>
                <w:rFonts w:cs="Arial"/>
                <w:b/>
                <w:bCs/>
                <w:color w:val="FFFFFF"/>
                <w:sz w:val="16"/>
                <w:szCs w:val="16"/>
                <w:lang w:eastAsia="en-AU"/>
              </w:rPr>
              <w:t>2</w:t>
            </w:r>
            <w:r w:rsidRPr="005353E5">
              <w:rPr>
                <w:rFonts w:cs="Arial"/>
                <w:b/>
                <w:bCs/>
                <w:color w:val="FFFFFF"/>
                <w:sz w:val="16"/>
                <w:szCs w:val="16"/>
                <w:lang w:eastAsia="en-AU"/>
              </w:rPr>
              <w:t>–</w:t>
            </w:r>
            <w:r>
              <w:rPr>
                <w:rFonts w:cs="Arial"/>
                <w:b/>
                <w:bCs/>
                <w:color w:val="FFFFFF"/>
                <w:sz w:val="16"/>
                <w:szCs w:val="16"/>
                <w:lang w:eastAsia="en-AU"/>
              </w:rPr>
              <w:t>23</w:t>
            </w:r>
          </w:p>
          <w:p w14:paraId="357EDF83" w14:textId="453CF146" w:rsidR="005353E5" w:rsidRPr="005353E5" w:rsidRDefault="005353E5" w:rsidP="005353E5">
            <w:pPr>
              <w:spacing w:after="0" w:line="240" w:lineRule="auto"/>
              <w:rPr>
                <w:rFonts w:ascii="Times New Roman" w:hAnsi="Times New Roman"/>
                <w:sz w:val="20"/>
                <w:lang w:eastAsia="en-AU"/>
              </w:rPr>
            </w:pPr>
          </w:p>
        </w:tc>
      </w:tr>
      <w:tr w:rsidR="005353E5" w:rsidRPr="005353E5" w14:paraId="6BDFBF07" w14:textId="77777777" w:rsidTr="004E7DFB">
        <w:trPr>
          <w:trHeight w:val="300"/>
        </w:trPr>
        <w:tc>
          <w:tcPr>
            <w:tcW w:w="2122" w:type="dxa"/>
            <w:vMerge/>
            <w:noWrap/>
            <w:hideMark/>
          </w:tcPr>
          <w:p w14:paraId="2467F577" w14:textId="24B17580" w:rsidR="005353E5" w:rsidRPr="005353E5" w:rsidRDefault="005353E5" w:rsidP="005353E5">
            <w:pPr>
              <w:spacing w:after="0" w:line="240" w:lineRule="auto"/>
              <w:rPr>
                <w:rFonts w:cs="Arial"/>
                <w:b/>
                <w:bCs/>
                <w:color w:val="FFFFFF"/>
                <w:sz w:val="16"/>
                <w:szCs w:val="16"/>
                <w:lang w:eastAsia="en-AU"/>
              </w:rPr>
            </w:pPr>
          </w:p>
        </w:tc>
        <w:tc>
          <w:tcPr>
            <w:tcW w:w="1263" w:type="dxa"/>
            <w:shd w:val="clear" w:color="auto" w:fill="201547"/>
            <w:noWrap/>
            <w:hideMark/>
          </w:tcPr>
          <w:p w14:paraId="43409253"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Acute Health Services</w:t>
            </w:r>
          </w:p>
        </w:tc>
        <w:tc>
          <w:tcPr>
            <w:tcW w:w="1264" w:type="dxa"/>
            <w:shd w:val="clear" w:color="auto" w:fill="201547"/>
            <w:noWrap/>
            <w:hideMark/>
          </w:tcPr>
          <w:p w14:paraId="1F3A478E"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Ageing, aged and home care</w:t>
            </w:r>
          </w:p>
        </w:tc>
        <w:tc>
          <w:tcPr>
            <w:tcW w:w="1264" w:type="dxa"/>
            <w:shd w:val="clear" w:color="auto" w:fill="201547"/>
            <w:noWrap/>
            <w:hideMark/>
          </w:tcPr>
          <w:p w14:paraId="19D7DE6B"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Mental Health</w:t>
            </w:r>
          </w:p>
        </w:tc>
        <w:tc>
          <w:tcPr>
            <w:tcW w:w="1264" w:type="dxa"/>
            <w:shd w:val="clear" w:color="auto" w:fill="201547"/>
            <w:noWrap/>
            <w:hideMark/>
          </w:tcPr>
          <w:p w14:paraId="097C5B75"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Primary and Dental Health</w:t>
            </w:r>
          </w:p>
        </w:tc>
        <w:tc>
          <w:tcPr>
            <w:tcW w:w="1264" w:type="dxa"/>
            <w:gridSpan w:val="2"/>
            <w:shd w:val="clear" w:color="auto" w:fill="201547"/>
            <w:noWrap/>
            <w:hideMark/>
          </w:tcPr>
          <w:p w14:paraId="02CD4DE8" w14:textId="7223A5CA"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Total</w:t>
            </w:r>
          </w:p>
        </w:tc>
        <w:tc>
          <w:tcPr>
            <w:tcW w:w="1263" w:type="dxa"/>
            <w:shd w:val="clear" w:color="auto" w:fill="201547"/>
            <w:noWrap/>
            <w:hideMark/>
          </w:tcPr>
          <w:p w14:paraId="19326BD0"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Acute Health Services</w:t>
            </w:r>
          </w:p>
        </w:tc>
        <w:tc>
          <w:tcPr>
            <w:tcW w:w="1264" w:type="dxa"/>
            <w:shd w:val="clear" w:color="auto" w:fill="201547"/>
            <w:noWrap/>
            <w:hideMark/>
          </w:tcPr>
          <w:p w14:paraId="3E5EDCB0"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Ageing, aged and home care</w:t>
            </w:r>
          </w:p>
        </w:tc>
        <w:tc>
          <w:tcPr>
            <w:tcW w:w="1264" w:type="dxa"/>
            <w:shd w:val="clear" w:color="auto" w:fill="201547"/>
            <w:noWrap/>
            <w:hideMark/>
          </w:tcPr>
          <w:p w14:paraId="5845196A"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Mental Health</w:t>
            </w:r>
          </w:p>
        </w:tc>
        <w:tc>
          <w:tcPr>
            <w:tcW w:w="1264" w:type="dxa"/>
            <w:shd w:val="clear" w:color="auto" w:fill="201547"/>
            <w:noWrap/>
            <w:hideMark/>
          </w:tcPr>
          <w:p w14:paraId="6DECCA4D"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Primary and Dental Health</w:t>
            </w:r>
          </w:p>
        </w:tc>
        <w:tc>
          <w:tcPr>
            <w:tcW w:w="1241" w:type="dxa"/>
            <w:shd w:val="clear" w:color="auto" w:fill="201547"/>
            <w:noWrap/>
            <w:hideMark/>
          </w:tcPr>
          <w:p w14:paraId="3019E129" w14:textId="5E1CCA33"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Total</w:t>
            </w:r>
          </w:p>
        </w:tc>
      </w:tr>
      <w:tr w:rsidR="005353E5" w:rsidRPr="005353E5" w14:paraId="241F17CB" w14:textId="77777777" w:rsidTr="004E7DFB">
        <w:trPr>
          <w:trHeight w:val="133"/>
        </w:trPr>
        <w:tc>
          <w:tcPr>
            <w:tcW w:w="2122" w:type="dxa"/>
            <w:vMerge/>
            <w:noWrap/>
            <w:hideMark/>
          </w:tcPr>
          <w:p w14:paraId="01B06748" w14:textId="51308C78" w:rsidR="005353E5" w:rsidRPr="005353E5" w:rsidRDefault="005353E5" w:rsidP="005353E5">
            <w:pPr>
              <w:spacing w:after="0" w:line="240" w:lineRule="auto"/>
              <w:rPr>
                <w:rFonts w:cs="Arial"/>
                <w:color w:val="FFFFFF" w:themeColor="background1"/>
                <w:sz w:val="16"/>
                <w:szCs w:val="16"/>
                <w:lang w:eastAsia="en-AU"/>
              </w:rPr>
            </w:pPr>
          </w:p>
        </w:tc>
        <w:tc>
          <w:tcPr>
            <w:tcW w:w="1263" w:type="dxa"/>
            <w:shd w:val="clear" w:color="auto" w:fill="201547"/>
            <w:noWrap/>
            <w:hideMark/>
          </w:tcPr>
          <w:p w14:paraId="6776F2D2"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4" w:type="dxa"/>
            <w:shd w:val="clear" w:color="auto" w:fill="201547"/>
            <w:noWrap/>
            <w:hideMark/>
          </w:tcPr>
          <w:p w14:paraId="594E4EF0"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4" w:type="dxa"/>
            <w:shd w:val="clear" w:color="auto" w:fill="201547"/>
            <w:noWrap/>
            <w:hideMark/>
          </w:tcPr>
          <w:p w14:paraId="2C372634"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4" w:type="dxa"/>
            <w:shd w:val="clear" w:color="auto" w:fill="201547"/>
            <w:noWrap/>
            <w:hideMark/>
          </w:tcPr>
          <w:p w14:paraId="5AC16AA3"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4" w:type="dxa"/>
            <w:gridSpan w:val="2"/>
            <w:shd w:val="clear" w:color="auto" w:fill="201547"/>
            <w:noWrap/>
            <w:hideMark/>
          </w:tcPr>
          <w:p w14:paraId="4924CF93"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3" w:type="dxa"/>
            <w:shd w:val="clear" w:color="auto" w:fill="201547"/>
            <w:noWrap/>
            <w:hideMark/>
          </w:tcPr>
          <w:p w14:paraId="243C0482"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4" w:type="dxa"/>
            <w:shd w:val="clear" w:color="auto" w:fill="201547"/>
            <w:noWrap/>
            <w:hideMark/>
          </w:tcPr>
          <w:p w14:paraId="2D85BB5B"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4" w:type="dxa"/>
            <w:shd w:val="clear" w:color="auto" w:fill="201547"/>
            <w:noWrap/>
            <w:hideMark/>
          </w:tcPr>
          <w:p w14:paraId="7E715A83"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64" w:type="dxa"/>
            <w:shd w:val="clear" w:color="auto" w:fill="201547"/>
            <w:noWrap/>
            <w:hideMark/>
          </w:tcPr>
          <w:p w14:paraId="5DAA463B"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c>
          <w:tcPr>
            <w:tcW w:w="1241" w:type="dxa"/>
            <w:shd w:val="clear" w:color="auto" w:fill="201547"/>
            <w:noWrap/>
            <w:hideMark/>
          </w:tcPr>
          <w:p w14:paraId="68551BF9" w14:textId="77777777" w:rsidR="005353E5" w:rsidRPr="005353E5" w:rsidRDefault="005353E5" w:rsidP="005353E5">
            <w:pPr>
              <w:spacing w:after="0" w:line="240" w:lineRule="auto"/>
              <w:jc w:val="right"/>
              <w:rPr>
                <w:rFonts w:cs="Arial"/>
                <w:color w:val="FFFFFF" w:themeColor="background1"/>
                <w:sz w:val="16"/>
                <w:szCs w:val="16"/>
                <w:lang w:eastAsia="en-AU"/>
              </w:rPr>
            </w:pPr>
            <w:r w:rsidRPr="005353E5">
              <w:rPr>
                <w:rFonts w:cs="Arial"/>
                <w:color w:val="FFFFFF" w:themeColor="background1"/>
                <w:sz w:val="16"/>
                <w:szCs w:val="16"/>
                <w:lang w:eastAsia="en-AU"/>
              </w:rPr>
              <w:t>$'000s</w:t>
            </w:r>
          </w:p>
        </w:tc>
      </w:tr>
      <w:tr w:rsidR="005353E5" w:rsidRPr="005353E5" w14:paraId="4AC2EAB5" w14:textId="77777777" w:rsidTr="004E7DFB">
        <w:trPr>
          <w:trHeight w:val="300"/>
        </w:trPr>
        <w:tc>
          <w:tcPr>
            <w:tcW w:w="2122" w:type="dxa"/>
            <w:noWrap/>
            <w:hideMark/>
          </w:tcPr>
          <w:p w14:paraId="57E095A5"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Alexandra District Health</w:t>
            </w:r>
          </w:p>
        </w:tc>
        <w:tc>
          <w:tcPr>
            <w:tcW w:w="1263" w:type="dxa"/>
            <w:noWrap/>
            <w:hideMark/>
          </w:tcPr>
          <w:p w14:paraId="5DD9BF0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7,459</w:t>
            </w:r>
          </w:p>
        </w:tc>
        <w:tc>
          <w:tcPr>
            <w:tcW w:w="1264" w:type="dxa"/>
            <w:noWrap/>
            <w:hideMark/>
          </w:tcPr>
          <w:p w14:paraId="0582FC9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141</w:t>
            </w:r>
          </w:p>
        </w:tc>
        <w:tc>
          <w:tcPr>
            <w:tcW w:w="1264" w:type="dxa"/>
            <w:noWrap/>
            <w:hideMark/>
          </w:tcPr>
          <w:p w14:paraId="0D21D0E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558EF4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470</w:t>
            </w:r>
          </w:p>
        </w:tc>
        <w:tc>
          <w:tcPr>
            <w:tcW w:w="1264" w:type="dxa"/>
            <w:gridSpan w:val="2"/>
            <w:noWrap/>
            <w:hideMark/>
          </w:tcPr>
          <w:p w14:paraId="1FE09F8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8,070</w:t>
            </w:r>
          </w:p>
        </w:tc>
        <w:tc>
          <w:tcPr>
            <w:tcW w:w="1263" w:type="dxa"/>
            <w:noWrap/>
            <w:hideMark/>
          </w:tcPr>
          <w:p w14:paraId="0755005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7,647</w:t>
            </w:r>
          </w:p>
        </w:tc>
        <w:tc>
          <w:tcPr>
            <w:tcW w:w="1264" w:type="dxa"/>
            <w:noWrap/>
            <w:hideMark/>
          </w:tcPr>
          <w:p w14:paraId="62FB04F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144</w:t>
            </w:r>
          </w:p>
        </w:tc>
        <w:tc>
          <w:tcPr>
            <w:tcW w:w="1264" w:type="dxa"/>
            <w:noWrap/>
            <w:hideMark/>
          </w:tcPr>
          <w:p w14:paraId="52F9444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FBD308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481</w:t>
            </w:r>
          </w:p>
        </w:tc>
        <w:tc>
          <w:tcPr>
            <w:tcW w:w="1241" w:type="dxa"/>
            <w:noWrap/>
            <w:hideMark/>
          </w:tcPr>
          <w:p w14:paraId="57FAC77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8,272</w:t>
            </w:r>
          </w:p>
        </w:tc>
      </w:tr>
      <w:tr w:rsidR="005353E5" w:rsidRPr="005353E5" w14:paraId="4E2D65A3" w14:textId="77777777" w:rsidTr="004E7DFB">
        <w:trPr>
          <w:trHeight w:val="300"/>
        </w:trPr>
        <w:tc>
          <w:tcPr>
            <w:tcW w:w="2122" w:type="dxa"/>
            <w:noWrap/>
            <w:hideMark/>
          </w:tcPr>
          <w:p w14:paraId="32B310B9"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Alpine Health</w:t>
            </w:r>
          </w:p>
        </w:tc>
        <w:tc>
          <w:tcPr>
            <w:tcW w:w="1263" w:type="dxa"/>
            <w:noWrap/>
            <w:hideMark/>
          </w:tcPr>
          <w:p w14:paraId="1A95636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13,105</w:t>
            </w:r>
          </w:p>
        </w:tc>
        <w:tc>
          <w:tcPr>
            <w:tcW w:w="1264" w:type="dxa"/>
            <w:noWrap/>
            <w:hideMark/>
          </w:tcPr>
          <w:p w14:paraId="7013F46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2,082</w:t>
            </w:r>
          </w:p>
        </w:tc>
        <w:tc>
          <w:tcPr>
            <w:tcW w:w="1264" w:type="dxa"/>
            <w:noWrap/>
            <w:hideMark/>
          </w:tcPr>
          <w:p w14:paraId="48933EC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53DB1BF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325</w:t>
            </w:r>
          </w:p>
        </w:tc>
        <w:tc>
          <w:tcPr>
            <w:tcW w:w="1264" w:type="dxa"/>
            <w:gridSpan w:val="2"/>
            <w:noWrap/>
            <w:hideMark/>
          </w:tcPr>
          <w:p w14:paraId="17CDF415"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15,512</w:t>
            </w:r>
          </w:p>
        </w:tc>
        <w:tc>
          <w:tcPr>
            <w:tcW w:w="1263" w:type="dxa"/>
            <w:noWrap/>
            <w:hideMark/>
          </w:tcPr>
          <w:p w14:paraId="5319996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13,760</w:t>
            </w:r>
          </w:p>
        </w:tc>
        <w:tc>
          <w:tcPr>
            <w:tcW w:w="1264" w:type="dxa"/>
            <w:noWrap/>
            <w:hideMark/>
          </w:tcPr>
          <w:p w14:paraId="181FD59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2,129</w:t>
            </w:r>
          </w:p>
        </w:tc>
        <w:tc>
          <w:tcPr>
            <w:tcW w:w="1264" w:type="dxa"/>
            <w:noWrap/>
            <w:hideMark/>
          </w:tcPr>
          <w:p w14:paraId="185210B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1F5931C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332</w:t>
            </w:r>
          </w:p>
        </w:tc>
        <w:tc>
          <w:tcPr>
            <w:tcW w:w="1241" w:type="dxa"/>
            <w:noWrap/>
            <w:hideMark/>
          </w:tcPr>
          <w:p w14:paraId="3BD7503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16,221</w:t>
            </w:r>
          </w:p>
        </w:tc>
      </w:tr>
      <w:tr w:rsidR="005353E5" w:rsidRPr="005353E5" w14:paraId="2C68CEE4" w14:textId="77777777" w:rsidTr="004E7DFB">
        <w:trPr>
          <w:trHeight w:val="300"/>
        </w:trPr>
        <w:tc>
          <w:tcPr>
            <w:tcW w:w="2122" w:type="dxa"/>
            <w:noWrap/>
            <w:hideMark/>
          </w:tcPr>
          <w:p w14:paraId="3EA0EA44"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Beaufort &amp; Skipton Health Service</w:t>
            </w:r>
          </w:p>
        </w:tc>
        <w:tc>
          <w:tcPr>
            <w:tcW w:w="1263" w:type="dxa"/>
            <w:noWrap/>
            <w:hideMark/>
          </w:tcPr>
          <w:p w14:paraId="3E481A8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6,569</w:t>
            </w:r>
          </w:p>
        </w:tc>
        <w:tc>
          <w:tcPr>
            <w:tcW w:w="1264" w:type="dxa"/>
            <w:noWrap/>
            <w:hideMark/>
          </w:tcPr>
          <w:p w14:paraId="6F2F89F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1,050</w:t>
            </w:r>
          </w:p>
        </w:tc>
        <w:tc>
          <w:tcPr>
            <w:tcW w:w="1264" w:type="dxa"/>
            <w:noWrap/>
            <w:hideMark/>
          </w:tcPr>
          <w:p w14:paraId="0DCD5E9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1AB1A83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158</w:t>
            </w:r>
          </w:p>
        </w:tc>
        <w:tc>
          <w:tcPr>
            <w:tcW w:w="1264" w:type="dxa"/>
            <w:gridSpan w:val="2"/>
            <w:noWrap/>
            <w:hideMark/>
          </w:tcPr>
          <w:p w14:paraId="2C8FCB2F"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7,777</w:t>
            </w:r>
          </w:p>
        </w:tc>
        <w:tc>
          <w:tcPr>
            <w:tcW w:w="1263" w:type="dxa"/>
            <w:noWrap/>
            <w:hideMark/>
          </w:tcPr>
          <w:p w14:paraId="2372853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6,839</w:t>
            </w:r>
          </w:p>
        </w:tc>
        <w:tc>
          <w:tcPr>
            <w:tcW w:w="1264" w:type="dxa"/>
            <w:noWrap/>
            <w:hideMark/>
          </w:tcPr>
          <w:p w14:paraId="7B6C8EB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1,073</w:t>
            </w:r>
          </w:p>
        </w:tc>
        <w:tc>
          <w:tcPr>
            <w:tcW w:w="1264" w:type="dxa"/>
            <w:noWrap/>
            <w:hideMark/>
          </w:tcPr>
          <w:p w14:paraId="0EAB6A6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11ECC1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162</w:t>
            </w:r>
          </w:p>
        </w:tc>
        <w:tc>
          <w:tcPr>
            <w:tcW w:w="1241" w:type="dxa"/>
            <w:noWrap/>
            <w:hideMark/>
          </w:tcPr>
          <w:p w14:paraId="75893951"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8,075</w:t>
            </w:r>
          </w:p>
        </w:tc>
      </w:tr>
      <w:tr w:rsidR="005353E5" w:rsidRPr="005353E5" w14:paraId="24BB3D07" w14:textId="77777777" w:rsidTr="004E7DFB">
        <w:trPr>
          <w:trHeight w:val="300"/>
        </w:trPr>
        <w:tc>
          <w:tcPr>
            <w:tcW w:w="2122" w:type="dxa"/>
            <w:noWrap/>
            <w:hideMark/>
          </w:tcPr>
          <w:p w14:paraId="4BD5BB0C"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Beechworth Health Service</w:t>
            </w:r>
          </w:p>
        </w:tc>
        <w:tc>
          <w:tcPr>
            <w:tcW w:w="1263" w:type="dxa"/>
            <w:noWrap/>
            <w:hideMark/>
          </w:tcPr>
          <w:p w14:paraId="61759A5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5,650</w:t>
            </w:r>
          </w:p>
        </w:tc>
        <w:tc>
          <w:tcPr>
            <w:tcW w:w="1264" w:type="dxa"/>
            <w:noWrap/>
            <w:hideMark/>
          </w:tcPr>
          <w:p w14:paraId="77AFEE4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1,198</w:t>
            </w:r>
          </w:p>
        </w:tc>
        <w:tc>
          <w:tcPr>
            <w:tcW w:w="1264" w:type="dxa"/>
            <w:noWrap/>
            <w:hideMark/>
          </w:tcPr>
          <w:p w14:paraId="3354E36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5AA39BB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366</w:t>
            </w:r>
          </w:p>
        </w:tc>
        <w:tc>
          <w:tcPr>
            <w:tcW w:w="1264" w:type="dxa"/>
            <w:gridSpan w:val="2"/>
            <w:noWrap/>
            <w:hideMark/>
          </w:tcPr>
          <w:p w14:paraId="519A6E8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7,214</w:t>
            </w:r>
          </w:p>
        </w:tc>
        <w:tc>
          <w:tcPr>
            <w:tcW w:w="1263" w:type="dxa"/>
            <w:noWrap/>
            <w:hideMark/>
          </w:tcPr>
          <w:p w14:paraId="2C8F658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6,570</w:t>
            </w:r>
          </w:p>
        </w:tc>
        <w:tc>
          <w:tcPr>
            <w:tcW w:w="1264" w:type="dxa"/>
            <w:noWrap/>
            <w:hideMark/>
          </w:tcPr>
          <w:p w14:paraId="1437754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1,225</w:t>
            </w:r>
          </w:p>
        </w:tc>
        <w:tc>
          <w:tcPr>
            <w:tcW w:w="1264" w:type="dxa"/>
            <w:noWrap/>
            <w:hideMark/>
          </w:tcPr>
          <w:p w14:paraId="2E9B720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1C72175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374</w:t>
            </w:r>
          </w:p>
        </w:tc>
        <w:tc>
          <w:tcPr>
            <w:tcW w:w="1241" w:type="dxa"/>
            <w:noWrap/>
            <w:hideMark/>
          </w:tcPr>
          <w:p w14:paraId="5FF713B0"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8,170</w:t>
            </w:r>
          </w:p>
        </w:tc>
      </w:tr>
      <w:tr w:rsidR="005353E5" w:rsidRPr="005353E5" w14:paraId="3626C34C" w14:textId="77777777" w:rsidTr="004E7DFB">
        <w:trPr>
          <w:trHeight w:val="300"/>
        </w:trPr>
        <w:tc>
          <w:tcPr>
            <w:tcW w:w="2122" w:type="dxa"/>
            <w:noWrap/>
            <w:hideMark/>
          </w:tcPr>
          <w:p w14:paraId="3E20F336"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Boort District Health</w:t>
            </w:r>
          </w:p>
        </w:tc>
        <w:tc>
          <w:tcPr>
            <w:tcW w:w="1263" w:type="dxa"/>
            <w:noWrap/>
            <w:hideMark/>
          </w:tcPr>
          <w:p w14:paraId="111F24E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3,198</w:t>
            </w:r>
          </w:p>
        </w:tc>
        <w:tc>
          <w:tcPr>
            <w:tcW w:w="1264" w:type="dxa"/>
            <w:noWrap/>
            <w:hideMark/>
          </w:tcPr>
          <w:p w14:paraId="72D773E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394</w:t>
            </w:r>
          </w:p>
        </w:tc>
        <w:tc>
          <w:tcPr>
            <w:tcW w:w="1264" w:type="dxa"/>
            <w:noWrap/>
            <w:hideMark/>
          </w:tcPr>
          <w:p w14:paraId="4E874C4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785F8F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29ACE5E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3,592</w:t>
            </w:r>
          </w:p>
        </w:tc>
        <w:tc>
          <w:tcPr>
            <w:tcW w:w="1263" w:type="dxa"/>
            <w:noWrap/>
            <w:hideMark/>
          </w:tcPr>
          <w:p w14:paraId="68FCEEB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3,529</w:t>
            </w:r>
          </w:p>
        </w:tc>
        <w:tc>
          <w:tcPr>
            <w:tcW w:w="1264" w:type="dxa"/>
            <w:noWrap/>
            <w:hideMark/>
          </w:tcPr>
          <w:p w14:paraId="4A5FB35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402</w:t>
            </w:r>
          </w:p>
        </w:tc>
        <w:tc>
          <w:tcPr>
            <w:tcW w:w="1264" w:type="dxa"/>
            <w:noWrap/>
            <w:hideMark/>
          </w:tcPr>
          <w:p w14:paraId="54709D1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F46B4C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5691E5B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3,932</w:t>
            </w:r>
          </w:p>
        </w:tc>
      </w:tr>
      <w:tr w:rsidR="005353E5" w:rsidRPr="005353E5" w14:paraId="6A96E01E" w14:textId="77777777" w:rsidTr="004E7DFB">
        <w:trPr>
          <w:trHeight w:val="300"/>
        </w:trPr>
        <w:tc>
          <w:tcPr>
            <w:tcW w:w="2122" w:type="dxa"/>
            <w:noWrap/>
            <w:hideMark/>
          </w:tcPr>
          <w:p w14:paraId="081F1354"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Casterton Memorial Hospital</w:t>
            </w:r>
          </w:p>
        </w:tc>
        <w:tc>
          <w:tcPr>
            <w:tcW w:w="1263" w:type="dxa"/>
            <w:noWrap/>
            <w:hideMark/>
          </w:tcPr>
          <w:p w14:paraId="2B35336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4,724</w:t>
            </w:r>
          </w:p>
        </w:tc>
        <w:tc>
          <w:tcPr>
            <w:tcW w:w="1264" w:type="dxa"/>
            <w:noWrap/>
            <w:hideMark/>
          </w:tcPr>
          <w:p w14:paraId="33014DC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1,044</w:t>
            </w:r>
          </w:p>
        </w:tc>
        <w:tc>
          <w:tcPr>
            <w:tcW w:w="1264" w:type="dxa"/>
            <w:noWrap/>
            <w:hideMark/>
          </w:tcPr>
          <w:p w14:paraId="5412C6C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F61A70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40</w:t>
            </w:r>
          </w:p>
        </w:tc>
        <w:tc>
          <w:tcPr>
            <w:tcW w:w="1264" w:type="dxa"/>
            <w:gridSpan w:val="2"/>
            <w:noWrap/>
            <w:hideMark/>
          </w:tcPr>
          <w:p w14:paraId="10526BE0"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5,807</w:t>
            </w:r>
          </w:p>
        </w:tc>
        <w:tc>
          <w:tcPr>
            <w:tcW w:w="1263" w:type="dxa"/>
            <w:noWrap/>
            <w:hideMark/>
          </w:tcPr>
          <w:p w14:paraId="4501353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5,314</w:t>
            </w:r>
          </w:p>
        </w:tc>
        <w:tc>
          <w:tcPr>
            <w:tcW w:w="1264" w:type="dxa"/>
            <w:noWrap/>
            <w:hideMark/>
          </w:tcPr>
          <w:p w14:paraId="5A6415D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1,067</w:t>
            </w:r>
          </w:p>
        </w:tc>
        <w:tc>
          <w:tcPr>
            <w:tcW w:w="1264" w:type="dxa"/>
            <w:noWrap/>
            <w:hideMark/>
          </w:tcPr>
          <w:p w14:paraId="4CA79BA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550BEDE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41</w:t>
            </w:r>
          </w:p>
        </w:tc>
        <w:tc>
          <w:tcPr>
            <w:tcW w:w="1241" w:type="dxa"/>
            <w:noWrap/>
            <w:hideMark/>
          </w:tcPr>
          <w:p w14:paraId="45B27748"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6,421</w:t>
            </w:r>
          </w:p>
        </w:tc>
      </w:tr>
      <w:tr w:rsidR="005353E5" w:rsidRPr="005353E5" w14:paraId="762D6529" w14:textId="77777777" w:rsidTr="004E7DFB">
        <w:trPr>
          <w:trHeight w:val="300"/>
        </w:trPr>
        <w:tc>
          <w:tcPr>
            <w:tcW w:w="2122" w:type="dxa"/>
            <w:noWrap/>
            <w:hideMark/>
          </w:tcPr>
          <w:p w14:paraId="3920CC5F"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Central Highlands Rural Health</w:t>
            </w:r>
          </w:p>
        </w:tc>
        <w:tc>
          <w:tcPr>
            <w:tcW w:w="1263" w:type="dxa"/>
            <w:noWrap/>
            <w:hideMark/>
          </w:tcPr>
          <w:p w14:paraId="3A4D1A7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25,773</w:t>
            </w:r>
          </w:p>
        </w:tc>
        <w:tc>
          <w:tcPr>
            <w:tcW w:w="1264" w:type="dxa"/>
            <w:noWrap/>
            <w:hideMark/>
          </w:tcPr>
          <w:p w14:paraId="3AFC819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2,463</w:t>
            </w:r>
          </w:p>
        </w:tc>
        <w:tc>
          <w:tcPr>
            <w:tcW w:w="1264" w:type="dxa"/>
            <w:noWrap/>
            <w:hideMark/>
          </w:tcPr>
          <w:p w14:paraId="0405946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51B96A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1,582</w:t>
            </w:r>
          </w:p>
        </w:tc>
        <w:tc>
          <w:tcPr>
            <w:tcW w:w="1264" w:type="dxa"/>
            <w:gridSpan w:val="2"/>
            <w:noWrap/>
            <w:hideMark/>
          </w:tcPr>
          <w:p w14:paraId="6E70417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29,819</w:t>
            </w:r>
          </w:p>
        </w:tc>
        <w:tc>
          <w:tcPr>
            <w:tcW w:w="1263" w:type="dxa"/>
            <w:noWrap/>
            <w:hideMark/>
          </w:tcPr>
          <w:p w14:paraId="638C4B2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29,492</w:t>
            </w:r>
          </w:p>
        </w:tc>
        <w:tc>
          <w:tcPr>
            <w:tcW w:w="1264" w:type="dxa"/>
            <w:noWrap/>
            <w:hideMark/>
          </w:tcPr>
          <w:p w14:paraId="182CA1D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2,518</w:t>
            </w:r>
          </w:p>
        </w:tc>
        <w:tc>
          <w:tcPr>
            <w:tcW w:w="1264" w:type="dxa"/>
            <w:noWrap/>
            <w:hideMark/>
          </w:tcPr>
          <w:p w14:paraId="03497A3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4E16F6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1,155</w:t>
            </w:r>
          </w:p>
        </w:tc>
        <w:tc>
          <w:tcPr>
            <w:tcW w:w="1241" w:type="dxa"/>
            <w:noWrap/>
            <w:hideMark/>
          </w:tcPr>
          <w:p w14:paraId="477BDF2C"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33,165</w:t>
            </w:r>
          </w:p>
        </w:tc>
      </w:tr>
      <w:tr w:rsidR="005353E5" w:rsidRPr="005353E5" w14:paraId="3352696C" w14:textId="77777777" w:rsidTr="004E7DFB">
        <w:trPr>
          <w:trHeight w:val="300"/>
        </w:trPr>
        <w:tc>
          <w:tcPr>
            <w:tcW w:w="2122" w:type="dxa"/>
            <w:noWrap/>
            <w:hideMark/>
          </w:tcPr>
          <w:p w14:paraId="468ECF5A"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Cohuna District Hospital</w:t>
            </w:r>
          </w:p>
        </w:tc>
        <w:tc>
          <w:tcPr>
            <w:tcW w:w="1263" w:type="dxa"/>
            <w:noWrap/>
            <w:hideMark/>
          </w:tcPr>
          <w:p w14:paraId="6FB59A7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7,709</w:t>
            </w:r>
          </w:p>
        </w:tc>
        <w:tc>
          <w:tcPr>
            <w:tcW w:w="1264" w:type="dxa"/>
            <w:noWrap/>
            <w:hideMark/>
          </w:tcPr>
          <w:p w14:paraId="24F3C13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589</w:t>
            </w:r>
          </w:p>
        </w:tc>
        <w:tc>
          <w:tcPr>
            <w:tcW w:w="1264" w:type="dxa"/>
            <w:noWrap/>
            <w:hideMark/>
          </w:tcPr>
          <w:p w14:paraId="364829B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0975C11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057DD7F1"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8,298</w:t>
            </w:r>
          </w:p>
        </w:tc>
        <w:tc>
          <w:tcPr>
            <w:tcW w:w="1263" w:type="dxa"/>
            <w:noWrap/>
            <w:hideMark/>
          </w:tcPr>
          <w:p w14:paraId="47D1F5B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8,233</w:t>
            </w:r>
          </w:p>
        </w:tc>
        <w:tc>
          <w:tcPr>
            <w:tcW w:w="1264" w:type="dxa"/>
            <w:noWrap/>
            <w:hideMark/>
          </w:tcPr>
          <w:p w14:paraId="5CCB698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602</w:t>
            </w:r>
          </w:p>
        </w:tc>
        <w:tc>
          <w:tcPr>
            <w:tcW w:w="1264" w:type="dxa"/>
            <w:noWrap/>
            <w:hideMark/>
          </w:tcPr>
          <w:p w14:paraId="029C654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4E5B9E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3C195804"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8,835</w:t>
            </w:r>
          </w:p>
        </w:tc>
      </w:tr>
      <w:tr w:rsidR="005353E5" w:rsidRPr="005353E5" w14:paraId="5CBB98A1" w14:textId="77777777" w:rsidTr="004E7DFB">
        <w:trPr>
          <w:trHeight w:val="300"/>
        </w:trPr>
        <w:tc>
          <w:tcPr>
            <w:tcW w:w="2122" w:type="dxa"/>
            <w:noWrap/>
            <w:hideMark/>
          </w:tcPr>
          <w:p w14:paraId="7BA31126"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Corryong Health</w:t>
            </w:r>
          </w:p>
        </w:tc>
        <w:tc>
          <w:tcPr>
            <w:tcW w:w="1263" w:type="dxa"/>
            <w:noWrap/>
            <w:hideMark/>
          </w:tcPr>
          <w:p w14:paraId="39D5D27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5,106</w:t>
            </w:r>
          </w:p>
        </w:tc>
        <w:tc>
          <w:tcPr>
            <w:tcW w:w="1264" w:type="dxa"/>
            <w:noWrap/>
            <w:hideMark/>
          </w:tcPr>
          <w:p w14:paraId="5AF916F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862</w:t>
            </w:r>
          </w:p>
        </w:tc>
        <w:tc>
          <w:tcPr>
            <w:tcW w:w="1264" w:type="dxa"/>
            <w:noWrap/>
            <w:hideMark/>
          </w:tcPr>
          <w:p w14:paraId="20F40BB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D71D4C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128</w:t>
            </w:r>
          </w:p>
        </w:tc>
        <w:tc>
          <w:tcPr>
            <w:tcW w:w="1264" w:type="dxa"/>
            <w:gridSpan w:val="2"/>
            <w:noWrap/>
            <w:hideMark/>
          </w:tcPr>
          <w:p w14:paraId="22FCAEB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6,095</w:t>
            </w:r>
          </w:p>
        </w:tc>
        <w:tc>
          <w:tcPr>
            <w:tcW w:w="1263" w:type="dxa"/>
            <w:noWrap/>
            <w:hideMark/>
          </w:tcPr>
          <w:p w14:paraId="52C73C7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5,253</w:t>
            </w:r>
          </w:p>
        </w:tc>
        <w:tc>
          <w:tcPr>
            <w:tcW w:w="1264" w:type="dxa"/>
            <w:noWrap/>
            <w:hideMark/>
          </w:tcPr>
          <w:p w14:paraId="406815A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881</w:t>
            </w:r>
          </w:p>
        </w:tc>
        <w:tc>
          <w:tcPr>
            <w:tcW w:w="1264" w:type="dxa"/>
            <w:noWrap/>
            <w:hideMark/>
          </w:tcPr>
          <w:p w14:paraId="7413486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22CDCC7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131</w:t>
            </w:r>
          </w:p>
        </w:tc>
        <w:tc>
          <w:tcPr>
            <w:tcW w:w="1241" w:type="dxa"/>
            <w:noWrap/>
            <w:hideMark/>
          </w:tcPr>
          <w:p w14:paraId="4C290542"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6,265</w:t>
            </w:r>
          </w:p>
        </w:tc>
      </w:tr>
      <w:tr w:rsidR="005353E5" w:rsidRPr="005353E5" w14:paraId="3E5C87CD" w14:textId="77777777" w:rsidTr="004E7DFB">
        <w:trPr>
          <w:trHeight w:val="300"/>
        </w:trPr>
        <w:tc>
          <w:tcPr>
            <w:tcW w:w="2122" w:type="dxa"/>
            <w:noWrap/>
            <w:hideMark/>
          </w:tcPr>
          <w:p w14:paraId="76C44B41" w14:textId="77777777" w:rsid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East Wimmera Health Service</w:t>
            </w:r>
          </w:p>
          <w:p w14:paraId="23DB48A8" w14:textId="23B1CAF8" w:rsidR="00165D8D" w:rsidRPr="005353E5" w:rsidRDefault="00165D8D" w:rsidP="005353E5">
            <w:pPr>
              <w:spacing w:after="0" w:line="240" w:lineRule="auto"/>
              <w:rPr>
                <w:rFonts w:cs="Arial"/>
                <w:color w:val="000000"/>
                <w:sz w:val="16"/>
                <w:szCs w:val="16"/>
                <w:lang w:eastAsia="en-AU"/>
              </w:rPr>
            </w:pPr>
          </w:p>
        </w:tc>
        <w:tc>
          <w:tcPr>
            <w:tcW w:w="1263" w:type="dxa"/>
            <w:noWrap/>
            <w:hideMark/>
          </w:tcPr>
          <w:p w14:paraId="2E7F2BA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17,342</w:t>
            </w:r>
          </w:p>
        </w:tc>
        <w:tc>
          <w:tcPr>
            <w:tcW w:w="1264" w:type="dxa"/>
            <w:noWrap/>
            <w:hideMark/>
          </w:tcPr>
          <w:p w14:paraId="5FBA583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2,825</w:t>
            </w:r>
          </w:p>
        </w:tc>
        <w:tc>
          <w:tcPr>
            <w:tcW w:w="1264" w:type="dxa"/>
            <w:noWrap/>
            <w:hideMark/>
          </w:tcPr>
          <w:p w14:paraId="0AD833A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2342E53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648</w:t>
            </w:r>
          </w:p>
        </w:tc>
        <w:tc>
          <w:tcPr>
            <w:tcW w:w="1264" w:type="dxa"/>
            <w:gridSpan w:val="2"/>
            <w:noWrap/>
            <w:hideMark/>
          </w:tcPr>
          <w:p w14:paraId="58611EE3"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20,815</w:t>
            </w:r>
          </w:p>
        </w:tc>
        <w:tc>
          <w:tcPr>
            <w:tcW w:w="1263" w:type="dxa"/>
            <w:noWrap/>
            <w:hideMark/>
          </w:tcPr>
          <w:p w14:paraId="20EAE07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18,382</w:t>
            </w:r>
          </w:p>
        </w:tc>
        <w:tc>
          <w:tcPr>
            <w:tcW w:w="1264" w:type="dxa"/>
            <w:noWrap/>
            <w:hideMark/>
          </w:tcPr>
          <w:p w14:paraId="6DB2856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2,888</w:t>
            </w:r>
          </w:p>
        </w:tc>
        <w:tc>
          <w:tcPr>
            <w:tcW w:w="1264" w:type="dxa"/>
            <w:noWrap/>
            <w:hideMark/>
          </w:tcPr>
          <w:p w14:paraId="74B3CB0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07FCD7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663</w:t>
            </w:r>
          </w:p>
        </w:tc>
        <w:tc>
          <w:tcPr>
            <w:tcW w:w="1241" w:type="dxa"/>
            <w:noWrap/>
            <w:hideMark/>
          </w:tcPr>
          <w:p w14:paraId="31F92711"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21,933</w:t>
            </w:r>
          </w:p>
        </w:tc>
      </w:tr>
      <w:tr w:rsidR="005353E5" w:rsidRPr="005353E5" w14:paraId="32BA757B" w14:textId="77777777" w:rsidTr="004E7DFB">
        <w:trPr>
          <w:trHeight w:val="300"/>
        </w:trPr>
        <w:tc>
          <w:tcPr>
            <w:tcW w:w="2122" w:type="dxa"/>
            <w:noWrap/>
            <w:hideMark/>
          </w:tcPr>
          <w:p w14:paraId="7ED28807"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Great Ocean Road Health</w:t>
            </w:r>
          </w:p>
        </w:tc>
        <w:tc>
          <w:tcPr>
            <w:tcW w:w="1263" w:type="dxa"/>
            <w:noWrap/>
            <w:hideMark/>
          </w:tcPr>
          <w:p w14:paraId="6DB97C7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6,601</w:t>
            </w:r>
          </w:p>
        </w:tc>
        <w:tc>
          <w:tcPr>
            <w:tcW w:w="1264" w:type="dxa"/>
            <w:noWrap/>
            <w:hideMark/>
          </w:tcPr>
          <w:p w14:paraId="7FE8A7E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1,069</w:t>
            </w:r>
          </w:p>
        </w:tc>
        <w:tc>
          <w:tcPr>
            <w:tcW w:w="1264" w:type="dxa"/>
            <w:noWrap/>
            <w:hideMark/>
          </w:tcPr>
          <w:p w14:paraId="1B7D946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BB2B3F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221</w:t>
            </w:r>
          </w:p>
        </w:tc>
        <w:tc>
          <w:tcPr>
            <w:tcW w:w="1264" w:type="dxa"/>
            <w:gridSpan w:val="2"/>
            <w:noWrap/>
            <w:hideMark/>
          </w:tcPr>
          <w:p w14:paraId="51AE08CE"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7,891</w:t>
            </w:r>
          </w:p>
        </w:tc>
        <w:tc>
          <w:tcPr>
            <w:tcW w:w="1263" w:type="dxa"/>
            <w:noWrap/>
            <w:hideMark/>
          </w:tcPr>
          <w:p w14:paraId="1C94A20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7,282</w:t>
            </w:r>
          </w:p>
        </w:tc>
        <w:tc>
          <w:tcPr>
            <w:tcW w:w="1264" w:type="dxa"/>
            <w:noWrap/>
            <w:hideMark/>
          </w:tcPr>
          <w:p w14:paraId="0D189C3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1,093</w:t>
            </w:r>
          </w:p>
        </w:tc>
        <w:tc>
          <w:tcPr>
            <w:tcW w:w="1264" w:type="dxa"/>
            <w:noWrap/>
            <w:hideMark/>
          </w:tcPr>
          <w:p w14:paraId="042CDFB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8902AA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226</w:t>
            </w:r>
          </w:p>
        </w:tc>
        <w:tc>
          <w:tcPr>
            <w:tcW w:w="1241" w:type="dxa"/>
            <w:noWrap/>
            <w:hideMark/>
          </w:tcPr>
          <w:p w14:paraId="5DC03B94"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8,601</w:t>
            </w:r>
          </w:p>
        </w:tc>
      </w:tr>
      <w:tr w:rsidR="005353E5" w:rsidRPr="005353E5" w14:paraId="32DC35AF" w14:textId="77777777" w:rsidTr="004E7DFB">
        <w:trPr>
          <w:trHeight w:val="300"/>
        </w:trPr>
        <w:tc>
          <w:tcPr>
            <w:tcW w:w="2122" w:type="dxa"/>
            <w:noWrap/>
            <w:hideMark/>
          </w:tcPr>
          <w:p w14:paraId="3639CBEC"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Heathcote Health</w:t>
            </w:r>
          </w:p>
        </w:tc>
        <w:tc>
          <w:tcPr>
            <w:tcW w:w="1263" w:type="dxa"/>
            <w:noWrap/>
            <w:hideMark/>
          </w:tcPr>
          <w:p w14:paraId="6250E73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3,474</w:t>
            </w:r>
          </w:p>
        </w:tc>
        <w:tc>
          <w:tcPr>
            <w:tcW w:w="1264" w:type="dxa"/>
            <w:noWrap/>
            <w:hideMark/>
          </w:tcPr>
          <w:p w14:paraId="54C2F19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544</w:t>
            </w:r>
          </w:p>
        </w:tc>
        <w:tc>
          <w:tcPr>
            <w:tcW w:w="1264" w:type="dxa"/>
            <w:noWrap/>
            <w:hideMark/>
          </w:tcPr>
          <w:p w14:paraId="55BAE1B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D71AAE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136</w:t>
            </w:r>
          </w:p>
        </w:tc>
        <w:tc>
          <w:tcPr>
            <w:tcW w:w="1264" w:type="dxa"/>
            <w:gridSpan w:val="2"/>
            <w:noWrap/>
            <w:hideMark/>
          </w:tcPr>
          <w:p w14:paraId="0CB64B12"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4,154</w:t>
            </w:r>
          </w:p>
        </w:tc>
        <w:tc>
          <w:tcPr>
            <w:tcW w:w="1263" w:type="dxa"/>
            <w:noWrap/>
            <w:hideMark/>
          </w:tcPr>
          <w:p w14:paraId="486A9B6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3,954</w:t>
            </w:r>
          </w:p>
        </w:tc>
        <w:tc>
          <w:tcPr>
            <w:tcW w:w="1264" w:type="dxa"/>
            <w:noWrap/>
            <w:hideMark/>
          </w:tcPr>
          <w:p w14:paraId="3CD96CA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556</w:t>
            </w:r>
          </w:p>
        </w:tc>
        <w:tc>
          <w:tcPr>
            <w:tcW w:w="1264" w:type="dxa"/>
            <w:noWrap/>
            <w:hideMark/>
          </w:tcPr>
          <w:p w14:paraId="7C2B1F0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1D517AB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139</w:t>
            </w:r>
          </w:p>
        </w:tc>
        <w:tc>
          <w:tcPr>
            <w:tcW w:w="1241" w:type="dxa"/>
            <w:noWrap/>
            <w:hideMark/>
          </w:tcPr>
          <w:p w14:paraId="59DDF3BB"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4,648</w:t>
            </w:r>
          </w:p>
        </w:tc>
      </w:tr>
      <w:tr w:rsidR="005353E5" w:rsidRPr="005353E5" w14:paraId="1E5EF7E3" w14:textId="77777777" w:rsidTr="004E7DFB">
        <w:trPr>
          <w:trHeight w:val="300"/>
        </w:trPr>
        <w:tc>
          <w:tcPr>
            <w:tcW w:w="2122" w:type="dxa"/>
            <w:noWrap/>
            <w:hideMark/>
          </w:tcPr>
          <w:p w14:paraId="450451DE"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Hesse Rural Health Service</w:t>
            </w:r>
          </w:p>
        </w:tc>
        <w:tc>
          <w:tcPr>
            <w:tcW w:w="1263" w:type="dxa"/>
            <w:noWrap/>
            <w:hideMark/>
          </w:tcPr>
          <w:p w14:paraId="51C57C9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2,736</w:t>
            </w:r>
          </w:p>
        </w:tc>
        <w:tc>
          <w:tcPr>
            <w:tcW w:w="1264" w:type="dxa"/>
            <w:noWrap/>
            <w:hideMark/>
          </w:tcPr>
          <w:p w14:paraId="204905D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808</w:t>
            </w:r>
          </w:p>
        </w:tc>
        <w:tc>
          <w:tcPr>
            <w:tcW w:w="1264" w:type="dxa"/>
            <w:noWrap/>
            <w:hideMark/>
          </w:tcPr>
          <w:p w14:paraId="2C710AC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07B744B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615</w:t>
            </w:r>
          </w:p>
        </w:tc>
        <w:tc>
          <w:tcPr>
            <w:tcW w:w="1264" w:type="dxa"/>
            <w:gridSpan w:val="2"/>
            <w:noWrap/>
            <w:hideMark/>
          </w:tcPr>
          <w:p w14:paraId="1CD31052"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4,159</w:t>
            </w:r>
          </w:p>
        </w:tc>
        <w:tc>
          <w:tcPr>
            <w:tcW w:w="1263" w:type="dxa"/>
            <w:noWrap/>
            <w:hideMark/>
          </w:tcPr>
          <w:p w14:paraId="6825E15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2,852</w:t>
            </w:r>
          </w:p>
        </w:tc>
        <w:tc>
          <w:tcPr>
            <w:tcW w:w="1264" w:type="dxa"/>
            <w:noWrap/>
            <w:hideMark/>
          </w:tcPr>
          <w:p w14:paraId="1042D8B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826</w:t>
            </w:r>
          </w:p>
        </w:tc>
        <w:tc>
          <w:tcPr>
            <w:tcW w:w="1264" w:type="dxa"/>
            <w:noWrap/>
            <w:hideMark/>
          </w:tcPr>
          <w:p w14:paraId="6F80C5F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A37544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629</w:t>
            </w:r>
          </w:p>
        </w:tc>
        <w:tc>
          <w:tcPr>
            <w:tcW w:w="1241" w:type="dxa"/>
            <w:noWrap/>
            <w:hideMark/>
          </w:tcPr>
          <w:p w14:paraId="77A8B61A"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4,307</w:t>
            </w:r>
          </w:p>
        </w:tc>
      </w:tr>
      <w:tr w:rsidR="005353E5" w:rsidRPr="005353E5" w14:paraId="16AB49C8" w14:textId="77777777" w:rsidTr="004E7DFB">
        <w:trPr>
          <w:trHeight w:val="300"/>
        </w:trPr>
        <w:tc>
          <w:tcPr>
            <w:tcW w:w="2122" w:type="dxa"/>
            <w:noWrap/>
            <w:hideMark/>
          </w:tcPr>
          <w:p w14:paraId="3C587D6E"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Heywood Rural Health</w:t>
            </w:r>
          </w:p>
        </w:tc>
        <w:tc>
          <w:tcPr>
            <w:tcW w:w="1263" w:type="dxa"/>
            <w:noWrap/>
            <w:hideMark/>
          </w:tcPr>
          <w:p w14:paraId="29D0C71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3,350</w:t>
            </w:r>
          </w:p>
        </w:tc>
        <w:tc>
          <w:tcPr>
            <w:tcW w:w="1264" w:type="dxa"/>
            <w:noWrap/>
            <w:hideMark/>
          </w:tcPr>
          <w:p w14:paraId="4973A1C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515</w:t>
            </w:r>
          </w:p>
        </w:tc>
        <w:tc>
          <w:tcPr>
            <w:tcW w:w="1264" w:type="dxa"/>
            <w:noWrap/>
            <w:hideMark/>
          </w:tcPr>
          <w:p w14:paraId="74129EB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095EE41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1861F11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3,865</w:t>
            </w:r>
          </w:p>
        </w:tc>
        <w:tc>
          <w:tcPr>
            <w:tcW w:w="1263" w:type="dxa"/>
            <w:noWrap/>
            <w:hideMark/>
          </w:tcPr>
          <w:p w14:paraId="006B074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3,592</w:t>
            </w:r>
          </w:p>
        </w:tc>
        <w:tc>
          <w:tcPr>
            <w:tcW w:w="1264" w:type="dxa"/>
            <w:noWrap/>
            <w:hideMark/>
          </w:tcPr>
          <w:p w14:paraId="2502F54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527</w:t>
            </w:r>
          </w:p>
        </w:tc>
        <w:tc>
          <w:tcPr>
            <w:tcW w:w="1264" w:type="dxa"/>
            <w:noWrap/>
            <w:hideMark/>
          </w:tcPr>
          <w:p w14:paraId="7D8961E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1A7D41C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52515EB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4,119</w:t>
            </w:r>
          </w:p>
        </w:tc>
      </w:tr>
      <w:tr w:rsidR="005353E5" w:rsidRPr="005353E5" w14:paraId="2E9C1584" w14:textId="77777777" w:rsidTr="004E7DFB">
        <w:trPr>
          <w:trHeight w:val="300"/>
        </w:trPr>
        <w:tc>
          <w:tcPr>
            <w:tcW w:w="2122" w:type="dxa"/>
            <w:noWrap/>
            <w:hideMark/>
          </w:tcPr>
          <w:p w14:paraId="443A3315"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Inglewood &amp; Districts Health Service</w:t>
            </w:r>
          </w:p>
        </w:tc>
        <w:tc>
          <w:tcPr>
            <w:tcW w:w="1263" w:type="dxa"/>
            <w:noWrap/>
            <w:hideMark/>
          </w:tcPr>
          <w:p w14:paraId="07C673A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3,150</w:t>
            </w:r>
          </w:p>
        </w:tc>
        <w:tc>
          <w:tcPr>
            <w:tcW w:w="1264" w:type="dxa"/>
            <w:noWrap/>
            <w:hideMark/>
          </w:tcPr>
          <w:p w14:paraId="634FFBB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590</w:t>
            </w:r>
          </w:p>
        </w:tc>
        <w:tc>
          <w:tcPr>
            <w:tcW w:w="1264" w:type="dxa"/>
            <w:noWrap/>
            <w:hideMark/>
          </w:tcPr>
          <w:p w14:paraId="0E78E68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F30F90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577</w:t>
            </w:r>
          </w:p>
        </w:tc>
        <w:tc>
          <w:tcPr>
            <w:tcW w:w="1264" w:type="dxa"/>
            <w:gridSpan w:val="2"/>
            <w:noWrap/>
            <w:hideMark/>
          </w:tcPr>
          <w:p w14:paraId="24CF350D"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4,317</w:t>
            </w:r>
          </w:p>
        </w:tc>
        <w:tc>
          <w:tcPr>
            <w:tcW w:w="1263" w:type="dxa"/>
            <w:noWrap/>
            <w:hideMark/>
          </w:tcPr>
          <w:p w14:paraId="3C32F89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3,303</w:t>
            </w:r>
          </w:p>
        </w:tc>
        <w:tc>
          <w:tcPr>
            <w:tcW w:w="1264" w:type="dxa"/>
            <w:noWrap/>
            <w:hideMark/>
          </w:tcPr>
          <w:p w14:paraId="0A77433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603</w:t>
            </w:r>
          </w:p>
        </w:tc>
        <w:tc>
          <w:tcPr>
            <w:tcW w:w="1264" w:type="dxa"/>
            <w:noWrap/>
            <w:hideMark/>
          </w:tcPr>
          <w:p w14:paraId="1C59B18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7FD46A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590</w:t>
            </w:r>
          </w:p>
        </w:tc>
        <w:tc>
          <w:tcPr>
            <w:tcW w:w="1241" w:type="dxa"/>
            <w:noWrap/>
            <w:hideMark/>
          </w:tcPr>
          <w:p w14:paraId="0A8BC1F2"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4,496</w:t>
            </w:r>
          </w:p>
        </w:tc>
      </w:tr>
      <w:tr w:rsidR="005353E5" w:rsidRPr="005353E5" w14:paraId="0CB46CA0" w14:textId="77777777" w:rsidTr="004E7DFB">
        <w:trPr>
          <w:trHeight w:val="300"/>
        </w:trPr>
        <w:tc>
          <w:tcPr>
            <w:tcW w:w="2122" w:type="dxa"/>
            <w:noWrap/>
            <w:hideMark/>
          </w:tcPr>
          <w:p w14:paraId="34F23010"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Kerang &amp; District Health</w:t>
            </w:r>
          </w:p>
        </w:tc>
        <w:tc>
          <w:tcPr>
            <w:tcW w:w="1263" w:type="dxa"/>
            <w:noWrap/>
            <w:hideMark/>
          </w:tcPr>
          <w:p w14:paraId="4A2A97C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7,745</w:t>
            </w:r>
          </w:p>
        </w:tc>
        <w:tc>
          <w:tcPr>
            <w:tcW w:w="1264" w:type="dxa"/>
            <w:noWrap/>
            <w:hideMark/>
          </w:tcPr>
          <w:p w14:paraId="5F0C749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1,152</w:t>
            </w:r>
          </w:p>
        </w:tc>
        <w:tc>
          <w:tcPr>
            <w:tcW w:w="1264" w:type="dxa"/>
            <w:noWrap/>
            <w:hideMark/>
          </w:tcPr>
          <w:p w14:paraId="7BE1CED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20CA312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07CD8868"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8,897</w:t>
            </w:r>
          </w:p>
        </w:tc>
        <w:tc>
          <w:tcPr>
            <w:tcW w:w="1263" w:type="dxa"/>
            <w:noWrap/>
            <w:hideMark/>
          </w:tcPr>
          <w:p w14:paraId="72F6B75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8,158</w:t>
            </w:r>
          </w:p>
        </w:tc>
        <w:tc>
          <w:tcPr>
            <w:tcW w:w="1264" w:type="dxa"/>
            <w:noWrap/>
            <w:hideMark/>
          </w:tcPr>
          <w:p w14:paraId="7DE3D82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1,178</w:t>
            </w:r>
          </w:p>
        </w:tc>
        <w:tc>
          <w:tcPr>
            <w:tcW w:w="1264" w:type="dxa"/>
            <w:noWrap/>
            <w:hideMark/>
          </w:tcPr>
          <w:p w14:paraId="28E8F4E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0C08824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3D7A023B"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9,335</w:t>
            </w:r>
          </w:p>
        </w:tc>
      </w:tr>
      <w:tr w:rsidR="005353E5" w:rsidRPr="005353E5" w14:paraId="5C452829" w14:textId="77777777" w:rsidTr="004E7DFB">
        <w:trPr>
          <w:trHeight w:val="300"/>
        </w:trPr>
        <w:tc>
          <w:tcPr>
            <w:tcW w:w="2122" w:type="dxa"/>
            <w:noWrap/>
            <w:hideMark/>
          </w:tcPr>
          <w:p w14:paraId="00B7EBC7"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Kilmore District Health</w:t>
            </w:r>
          </w:p>
        </w:tc>
        <w:tc>
          <w:tcPr>
            <w:tcW w:w="1263" w:type="dxa"/>
            <w:noWrap/>
            <w:hideMark/>
          </w:tcPr>
          <w:p w14:paraId="2ADCE6D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18,280</w:t>
            </w:r>
          </w:p>
        </w:tc>
        <w:tc>
          <w:tcPr>
            <w:tcW w:w="1264" w:type="dxa"/>
            <w:noWrap/>
            <w:hideMark/>
          </w:tcPr>
          <w:p w14:paraId="7791A79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1,102</w:t>
            </w:r>
          </w:p>
        </w:tc>
        <w:tc>
          <w:tcPr>
            <w:tcW w:w="1264" w:type="dxa"/>
            <w:noWrap/>
            <w:hideMark/>
          </w:tcPr>
          <w:p w14:paraId="29D83CF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7A89D6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4AAAB2E2"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19,381</w:t>
            </w:r>
          </w:p>
        </w:tc>
        <w:tc>
          <w:tcPr>
            <w:tcW w:w="1263" w:type="dxa"/>
            <w:noWrap/>
            <w:hideMark/>
          </w:tcPr>
          <w:p w14:paraId="119D72B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19,910</w:t>
            </w:r>
          </w:p>
        </w:tc>
        <w:tc>
          <w:tcPr>
            <w:tcW w:w="1264" w:type="dxa"/>
            <w:noWrap/>
            <w:hideMark/>
          </w:tcPr>
          <w:p w14:paraId="60470F4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1,126</w:t>
            </w:r>
          </w:p>
        </w:tc>
        <w:tc>
          <w:tcPr>
            <w:tcW w:w="1264" w:type="dxa"/>
            <w:noWrap/>
            <w:hideMark/>
          </w:tcPr>
          <w:p w14:paraId="2121079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0B2D9AB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6F95AE1B"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21,036</w:t>
            </w:r>
          </w:p>
        </w:tc>
      </w:tr>
      <w:tr w:rsidR="005353E5" w:rsidRPr="005353E5" w14:paraId="293D94FC" w14:textId="77777777" w:rsidTr="004E7DFB">
        <w:trPr>
          <w:trHeight w:val="300"/>
        </w:trPr>
        <w:tc>
          <w:tcPr>
            <w:tcW w:w="2122" w:type="dxa"/>
            <w:noWrap/>
            <w:hideMark/>
          </w:tcPr>
          <w:p w14:paraId="64228B87"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lastRenderedPageBreak/>
              <w:t>Kooweerup Regional Health Services</w:t>
            </w:r>
          </w:p>
        </w:tc>
        <w:tc>
          <w:tcPr>
            <w:tcW w:w="1263" w:type="dxa"/>
            <w:noWrap/>
            <w:hideMark/>
          </w:tcPr>
          <w:p w14:paraId="1C4FA3B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6,326</w:t>
            </w:r>
          </w:p>
        </w:tc>
        <w:tc>
          <w:tcPr>
            <w:tcW w:w="1264" w:type="dxa"/>
            <w:noWrap/>
            <w:hideMark/>
          </w:tcPr>
          <w:p w14:paraId="36479B7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956</w:t>
            </w:r>
          </w:p>
        </w:tc>
        <w:tc>
          <w:tcPr>
            <w:tcW w:w="1264" w:type="dxa"/>
            <w:noWrap/>
            <w:hideMark/>
          </w:tcPr>
          <w:p w14:paraId="7424CA3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26FC9C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559D7B23"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7,282</w:t>
            </w:r>
          </w:p>
        </w:tc>
        <w:tc>
          <w:tcPr>
            <w:tcW w:w="1263" w:type="dxa"/>
            <w:noWrap/>
            <w:hideMark/>
          </w:tcPr>
          <w:p w14:paraId="1589DA5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6,588</w:t>
            </w:r>
          </w:p>
        </w:tc>
        <w:tc>
          <w:tcPr>
            <w:tcW w:w="1264" w:type="dxa"/>
            <w:noWrap/>
            <w:hideMark/>
          </w:tcPr>
          <w:p w14:paraId="648AE3C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977</w:t>
            </w:r>
          </w:p>
        </w:tc>
        <w:tc>
          <w:tcPr>
            <w:tcW w:w="1264" w:type="dxa"/>
            <w:noWrap/>
            <w:hideMark/>
          </w:tcPr>
          <w:p w14:paraId="3F51E3E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3A1B44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2D8D853F"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7,565</w:t>
            </w:r>
          </w:p>
        </w:tc>
      </w:tr>
      <w:tr w:rsidR="005353E5" w:rsidRPr="005353E5" w14:paraId="4AA18BED" w14:textId="77777777" w:rsidTr="004E7DFB">
        <w:trPr>
          <w:trHeight w:val="300"/>
        </w:trPr>
        <w:tc>
          <w:tcPr>
            <w:tcW w:w="2122" w:type="dxa"/>
            <w:noWrap/>
            <w:hideMark/>
          </w:tcPr>
          <w:p w14:paraId="3A894BE2"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Mallee Track Health &amp; Community Service</w:t>
            </w:r>
          </w:p>
        </w:tc>
        <w:tc>
          <w:tcPr>
            <w:tcW w:w="1263" w:type="dxa"/>
            <w:noWrap/>
            <w:hideMark/>
          </w:tcPr>
          <w:p w14:paraId="4030E9C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5,052</w:t>
            </w:r>
          </w:p>
        </w:tc>
        <w:tc>
          <w:tcPr>
            <w:tcW w:w="1264" w:type="dxa"/>
            <w:noWrap/>
            <w:hideMark/>
          </w:tcPr>
          <w:p w14:paraId="2F8463F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1,733</w:t>
            </w:r>
          </w:p>
        </w:tc>
        <w:tc>
          <w:tcPr>
            <w:tcW w:w="1264" w:type="dxa"/>
            <w:noWrap/>
            <w:hideMark/>
          </w:tcPr>
          <w:p w14:paraId="04FC905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83A329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1BB4CF83"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6,785</w:t>
            </w:r>
          </w:p>
        </w:tc>
        <w:tc>
          <w:tcPr>
            <w:tcW w:w="1263" w:type="dxa"/>
            <w:noWrap/>
            <w:hideMark/>
          </w:tcPr>
          <w:p w14:paraId="02898E9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5,342</w:t>
            </w:r>
          </w:p>
        </w:tc>
        <w:tc>
          <w:tcPr>
            <w:tcW w:w="1264" w:type="dxa"/>
            <w:noWrap/>
            <w:hideMark/>
          </w:tcPr>
          <w:p w14:paraId="722FDA9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1,772</w:t>
            </w:r>
          </w:p>
        </w:tc>
        <w:tc>
          <w:tcPr>
            <w:tcW w:w="1264" w:type="dxa"/>
            <w:noWrap/>
            <w:hideMark/>
          </w:tcPr>
          <w:p w14:paraId="30E1EBB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61C84A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6F19C4D8"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7,114</w:t>
            </w:r>
          </w:p>
        </w:tc>
      </w:tr>
      <w:tr w:rsidR="005353E5" w:rsidRPr="005353E5" w14:paraId="00D509FF" w14:textId="77777777" w:rsidTr="004E7DFB">
        <w:trPr>
          <w:trHeight w:val="300"/>
        </w:trPr>
        <w:tc>
          <w:tcPr>
            <w:tcW w:w="2122" w:type="dxa"/>
            <w:noWrap/>
            <w:hideMark/>
          </w:tcPr>
          <w:p w14:paraId="3281EDDF"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Mansfield District Hospital</w:t>
            </w:r>
          </w:p>
        </w:tc>
        <w:tc>
          <w:tcPr>
            <w:tcW w:w="1263" w:type="dxa"/>
            <w:noWrap/>
            <w:hideMark/>
          </w:tcPr>
          <w:p w14:paraId="3D8F57A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9,835</w:t>
            </w:r>
          </w:p>
        </w:tc>
        <w:tc>
          <w:tcPr>
            <w:tcW w:w="1264" w:type="dxa"/>
            <w:noWrap/>
            <w:hideMark/>
          </w:tcPr>
          <w:p w14:paraId="3F21B09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1,132</w:t>
            </w:r>
          </w:p>
        </w:tc>
        <w:tc>
          <w:tcPr>
            <w:tcW w:w="1264" w:type="dxa"/>
            <w:noWrap/>
            <w:hideMark/>
          </w:tcPr>
          <w:p w14:paraId="0A80DA1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0C3C600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416</w:t>
            </w:r>
          </w:p>
        </w:tc>
        <w:tc>
          <w:tcPr>
            <w:tcW w:w="1264" w:type="dxa"/>
            <w:gridSpan w:val="2"/>
            <w:noWrap/>
            <w:hideMark/>
          </w:tcPr>
          <w:p w14:paraId="033CD00D"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11,384</w:t>
            </w:r>
          </w:p>
        </w:tc>
        <w:tc>
          <w:tcPr>
            <w:tcW w:w="1263" w:type="dxa"/>
            <w:noWrap/>
            <w:hideMark/>
          </w:tcPr>
          <w:p w14:paraId="4F063E9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10,372</w:t>
            </w:r>
          </w:p>
        </w:tc>
        <w:tc>
          <w:tcPr>
            <w:tcW w:w="1264" w:type="dxa"/>
            <w:noWrap/>
            <w:hideMark/>
          </w:tcPr>
          <w:p w14:paraId="3D9C05B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1,157</w:t>
            </w:r>
          </w:p>
        </w:tc>
        <w:tc>
          <w:tcPr>
            <w:tcW w:w="1264" w:type="dxa"/>
            <w:noWrap/>
            <w:hideMark/>
          </w:tcPr>
          <w:p w14:paraId="25942CA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082B19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425</w:t>
            </w:r>
          </w:p>
        </w:tc>
        <w:tc>
          <w:tcPr>
            <w:tcW w:w="1241" w:type="dxa"/>
            <w:noWrap/>
            <w:hideMark/>
          </w:tcPr>
          <w:p w14:paraId="70E44918"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11,955</w:t>
            </w:r>
          </w:p>
        </w:tc>
      </w:tr>
      <w:tr w:rsidR="005353E5" w:rsidRPr="005353E5" w14:paraId="3984EBAE" w14:textId="77777777" w:rsidTr="004E7DFB">
        <w:trPr>
          <w:trHeight w:val="300"/>
        </w:trPr>
        <w:tc>
          <w:tcPr>
            <w:tcW w:w="2122" w:type="dxa"/>
            <w:noWrap/>
            <w:hideMark/>
          </w:tcPr>
          <w:p w14:paraId="07ED1AE3"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Moyne Health Services</w:t>
            </w:r>
          </w:p>
        </w:tc>
        <w:tc>
          <w:tcPr>
            <w:tcW w:w="1263" w:type="dxa"/>
            <w:noWrap/>
            <w:hideMark/>
          </w:tcPr>
          <w:p w14:paraId="2E2D202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5,010</w:t>
            </w:r>
          </w:p>
        </w:tc>
        <w:tc>
          <w:tcPr>
            <w:tcW w:w="1264" w:type="dxa"/>
            <w:noWrap/>
            <w:hideMark/>
          </w:tcPr>
          <w:p w14:paraId="143650A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1,358</w:t>
            </w:r>
          </w:p>
        </w:tc>
        <w:tc>
          <w:tcPr>
            <w:tcW w:w="1264" w:type="dxa"/>
            <w:noWrap/>
            <w:hideMark/>
          </w:tcPr>
          <w:p w14:paraId="02C1749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52A1C8F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w:t>
            </w:r>
          </w:p>
        </w:tc>
        <w:tc>
          <w:tcPr>
            <w:tcW w:w="1264" w:type="dxa"/>
            <w:gridSpan w:val="2"/>
            <w:noWrap/>
            <w:hideMark/>
          </w:tcPr>
          <w:p w14:paraId="23A7653E"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6,376</w:t>
            </w:r>
          </w:p>
        </w:tc>
        <w:tc>
          <w:tcPr>
            <w:tcW w:w="1263" w:type="dxa"/>
            <w:noWrap/>
            <w:hideMark/>
          </w:tcPr>
          <w:p w14:paraId="67E3C27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5,289</w:t>
            </w:r>
          </w:p>
        </w:tc>
        <w:tc>
          <w:tcPr>
            <w:tcW w:w="1264" w:type="dxa"/>
            <w:noWrap/>
            <w:hideMark/>
          </w:tcPr>
          <w:p w14:paraId="27A8C30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1,389</w:t>
            </w:r>
          </w:p>
        </w:tc>
        <w:tc>
          <w:tcPr>
            <w:tcW w:w="1264" w:type="dxa"/>
            <w:noWrap/>
            <w:hideMark/>
          </w:tcPr>
          <w:p w14:paraId="104F7F7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54D91B5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w:t>
            </w:r>
          </w:p>
        </w:tc>
        <w:tc>
          <w:tcPr>
            <w:tcW w:w="1241" w:type="dxa"/>
            <w:noWrap/>
            <w:hideMark/>
          </w:tcPr>
          <w:p w14:paraId="27F9E9A3"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6,686</w:t>
            </w:r>
          </w:p>
        </w:tc>
      </w:tr>
      <w:tr w:rsidR="005353E5" w:rsidRPr="005353E5" w14:paraId="30C42068" w14:textId="77777777" w:rsidTr="004E7DFB">
        <w:trPr>
          <w:trHeight w:val="300"/>
        </w:trPr>
        <w:tc>
          <w:tcPr>
            <w:tcW w:w="2122" w:type="dxa"/>
            <w:noWrap/>
            <w:hideMark/>
          </w:tcPr>
          <w:p w14:paraId="3B524768" w14:textId="4F0734F2"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N</w:t>
            </w:r>
            <w:r>
              <w:rPr>
                <w:rFonts w:cs="Arial"/>
                <w:color w:val="000000"/>
                <w:sz w:val="16"/>
                <w:szCs w:val="16"/>
                <w:lang w:eastAsia="en-AU"/>
              </w:rPr>
              <w:t>CN</w:t>
            </w:r>
            <w:r w:rsidRPr="005353E5">
              <w:rPr>
                <w:rFonts w:cs="Arial"/>
                <w:color w:val="000000"/>
                <w:sz w:val="16"/>
                <w:szCs w:val="16"/>
                <w:lang w:eastAsia="en-AU"/>
              </w:rPr>
              <w:t xml:space="preserve"> Health</w:t>
            </w:r>
          </w:p>
        </w:tc>
        <w:tc>
          <w:tcPr>
            <w:tcW w:w="1263" w:type="dxa"/>
            <w:noWrap/>
            <w:hideMark/>
          </w:tcPr>
          <w:p w14:paraId="5E8A286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24,361</w:t>
            </w:r>
          </w:p>
        </w:tc>
        <w:tc>
          <w:tcPr>
            <w:tcW w:w="1264" w:type="dxa"/>
            <w:noWrap/>
            <w:hideMark/>
          </w:tcPr>
          <w:p w14:paraId="753D36D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2,886</w:t>
            </w:r>
          </w:p>
        </w:tc>
        <w:tc>
          <w:tcPr>
            <w:tcW w:w="1264" w:type="dxa"/>
            <w:noWrap/>
            <w:hideMark/>
          </w:tcPr>
          <w:p w14:paraId="486E734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5049779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403</w:t>
            </w:r>
          </w:p>
        </w:tc>
        <w:tc>
          <w:tcPr>
            <w:tcW w:w="1264" w:type="dxa"/>
            <w:gridSpan w:val="2"/>
            <w:noWrap/>
            <w:hideMark/>
          </w:tcPr>
          <w:p w14:paraId="2D7D7495"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27,650</w:t>
            </w:r>
          </w:p>
        </w:tc>
        <w:tc>
          <w:tcPr>
            <w:tcW w:w="1263" w:type="dxa"/>
            <w:noWrap/>
            <w:hideMark/>
          </w:tcPr>
          <w:p w14:paraId="40EE4FB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25,321</w:t>
            </w:r>
          </w:p>
        </w:tc>
        <w:tc>
          <w:tcPr>
            <w:tcW w:w="1264" w:type="dxa"/>
            <w:noWrap/>
            <w:hideMark/>
          </w:tcPr>
          <w:p w14:paraId="11752CA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2,950</w:t>
            </w:r>
          </w:p>
        </w:tc>
        <w:tc>
          <w:tcPr>
            <w:tcW w:w="1264" w:type="dxa"/>
            <w:noWrap/>
            <w:hideMark/>
          </w:tcPr>
          <w:p w14:paraId="573E97D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17552F5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413</w:t>
            </w:r>
          </w:p>
        </w:tc>
        <w:tc>
          <w:tcPr>
            <w:tcW w:w="1241" w:type="dxa"/>
            <w:noWrap/>
            <w:hideMark/>
          </w:tcPr>
          <w:p w14:paraId="3A06C51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28,683</w:t>
            </w:r>
          </w:p>
        </w:tc>
      </w:tr>
      <w:tr w:rsidR="005353E5" w:rsidRPr="005353E5" w14:paraId="2AFA2DBE" w14:textId="77777777" w:rsidTr="004E7DFB">
        <w:trPr>
          <w:trHeight w:val="300"/>
        </w:trPr>
        <w:tc>
          <w:tcPr>
            <w:tcW w:w="2122" w:type="dxa"/>
            <w:noWrap/>
            <w:hideMark/>
          </w:tcPr>
          <w:p w14:paraId="6F1C04D4"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Omeo District Health</w:t>
            </w:r>
          </w:p>
        </w:tc>
        <w:tc>
          <w:tcPr>
            <w:tcW w:w="1263" w:type="dxa"/>
            <w:noWrap/>
            <w:hideMark/>
          </w:tcPr>
          <w:p w14:paraId="20F22B0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2,825</w:t>
            </w:r>
          </w:p>
        </w:tc>
        <w:tc>
          <w:tcPr>
            <w:tcW w:w="1264" w:type="dxa"/>
            <w:noWrap/>
            <w:hideMark/>
          </w:tcPr>
          <w:p w14:paraId="056AA39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387</w:t>
            </w:r>
          </w:p>
        </w:tc>
        <w:tc>
          <w:tcPr>
            <w:tcW w:w="1264" w:type="dxa"/>
            <w:noWrap/>
            <w:hideMark/>
          </w:tcPr>
          <w:p w14:paraId="6713643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DF9B72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1FF42D1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3,212</w:t>
            </w:r>
          </w:p>
        </w:tc>
        <w:tc>
          <w:tcPr>
            <w:tcW w:w="1263" w:type="dxa"/>
            <w:noWrap/>
            <w:hideMark/>
          </w:tcPr>
          <w:p w14:paraId="7572574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3,350</w:t>
            </w:r>
          </w:p>
        </w:tc>
        <w:tc>
          <w:tcPr>
            <w:tcW w:w="1264" w:type="dxa"/>
            <w:noWrap/>
            <w:hideMark/>
          </w:tcPr>
          <w:p w14:paraId="3E8AC75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396</w:t>
            </w:r>
          </w:p>
        </w:tc>
        <w:tc>
          <w:tcPr>
            <w:tcW w:w="1264" w:type="dxa"/>
            <w:noWrap/>
            <w:hideMark/>
          </w:tcPr>
          <w:p w14:paraId="6D0DFCF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CAF727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01C62EB3"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3,745</w:t>
            </w:r>
          </w:p>
        </w:tc>
      </w:tr>
      <w:tr w:rsidR="005353E5" w:rsidRPr="005353E5" w14:paraId="134D20D1" w14:textId="77777777" w:rsidTr="004E7DFB">
        <w:trPr>
          <w:trHeight w:val="300"/>
        </w:trPr>
        <w:tc>
          <w:tcPr>
            <w:tcW w:w="2122" w:type="dxa"/>
            <w:noWrap/>
            <w:hideMark/>
          </w:tcPr>
          <w:p w14:paraId="5AB9AC03"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Orbost Regional Health</w:t>
            </w:r>
          </w:p>
        </w:tc>
        <w:tc>
          <w:tcPr>
            <w:tcW w:w="1263" w:type="dxa"/>
            <w:noWrap/>
            <w:hideMark/>
          </w:tcPr>
          <w:p w14:paraId="2008E5B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7,194</w:t>
            </w:r>
          </w:p>
        </w:tc>
        <w:tc>
          <w:tcPr>
            <w:tcW w:w="1264" w:type="dxa"/>
            <w:noWrap/>
            <w:hideMark/>
          </w:tcPr>
          <w:p w14:paraId="1060F27A"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651</w:t>
            </w:r>
          </w:p>
        </w:tc>
        <w:tc>
          <w:tcPr>
            <w:tcW w:w="1264" w:type="dxa"/>
            <w:noWrap/>
            <w:hideMark/>
          </w:tcPr>
          <w:p w14:paraId="7242DBC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09F5661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611</w:t>
            </w:r>
          </w:p>
        </w:tc>
        <w:tc>
          <w:tcPr>
            <w:tcW w:w="1264" w:type="dxa"/>
            <w:gridSpan w:val="2"/>
            <w:noWrap/>
            <w:hideMark/>
          </w:tcPr>
          <w:p w14:paraId="265B28B3"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8,455</w:t>
            </w:r>
          </w:p>
        </w:tc>
        <w:tc>
          <w:tcPr>
            <w:tcW w:w="1263" w:type="dxa"/>
            <w:noWrap/>
            <w:hideMark/>
          </w:tcPr>
          <w:p w14:paraId="12351D6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7,683</w:t>
            </w:r>
          </w:p>
        </w:tc>
        <w:tc>
          <w:tcPr>
            <w:tcW w:w="1264" w:type="dxa"/>
            <w:noWrap/>
            <w:hideMark/>
          </w:tcPr>
          <w:p w14:paraId="1AB642C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665</w:t>
            </w:r>
          </w:p>
        </w:tc>
        <w:tc>
          <w:tcPr>
            <w:tcW w:w="1264" w:type="dxa"/>
            <w:noWrap/>
            <w:hideMark/>
          </w:tcPr>
          <w:p w14:paraId="5D2D7D6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530A47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625</w:t>
            </w:r>
          </w:p>
        </w:tc>
        <w:tc>
          <w:tcPr>
            <w:tcW w:w="1241" w:type="dxa"/>
            <w:noWrap/>
            <w:hideMark/>
          </w:tcPr>
          <w:p w14:paraId="26227772"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8,974</w:t>
            </w:r>
          </w:p>
        </w:tc>
      </w:tr>
      <w:tr w:rsidR="005353E5" w:rsidRPr="005353E5" w14:paraId="48CD0B8F" w14:textId="77777777" w:rsidTr="004E7DFB">
        <w:trPr>
          <w:trHeight w:val="300"/>
        </w:trPr>
        <w:tc>
          <w:tcPr>
            <w:tcW w:w="2122" w:type="dxa"/>
            <w:noWrap/>
            <w:hideMark/>
          </w:tcPr>
          <w:p w14:paraId="10F0A195"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Robinvale District Health Services</w:t>
            </w:r>
          </w:p>
        </w:tc>
        <w:tc>
          <w:tcPr>
            <w:tcW w:w="1263" w:type="dxa"/>
            <w:noWrap/>
            <w:hideMark/>
          </w:tcPr>
          <w:p w14:paraId="7A7398A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6,679</w:t>
            </w:r>
          </w:p>
        </w:tc>
        <w:tc>
          <w:tcPr>
            <w:tcW w:w="1264" w:type="dxa"/>
            <w:noWrap/>
            <w:hideMark/>
          </w:tcPr>
          <w:p w14:paraId="3FB55D5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983</w:t>
            </w:r>
          </w:p>
        </w:tc>
        <w:tc>
          <w:tcPr>
            <w:tcW w:w="1264" w:type="dxa"/>
            <w:noWrap/>
            <w:hideMark/>
          </w:tcPr>
          <w:p w14:paraId="2BC9F46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DB2A0B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248</w:t>
            </w:r>
          </w:p>
        </w:tc>
        <w:tc>
          <w:tcPr>
            <w:tcW w:w="1264" w:type="dxa"/>
            <w:gridSpan w:val="2"/>
            <w:noWrap/>
            <w:hideMark/>
          </w:tcPr>
          <w:p w14:paraId="48CC38EA"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7,909</w:t>
            </w:r>
          </w:p>
        </w:tc>
        <w:tc>
          <w:tcPr>
            <w:tcW w:w="1263" w:type="dxa"/>
            <w:noWrap/>
            <w:hideMark/>
          </w:tcPr>
          <w:p w14:paraId="5DB037E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7,911</w:t>
            </w:r>
          </w:p>
        </w:tc>
        <w:tc>
          <w:tcPr>
            <w:tcW w:w="1264" w:type="dxa"/>
            <w:noWrap/>
            <w:hideMark/>
          </w:tcPr>
          <w:p w14:paraId="4C5DA36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1,004</w:t>
            </w:r>
          </w:p>
        </w:tc>
        <w:tc>
          <w:tcPr>
            <w:tcW w:w="1264" w:type="dxa"/>
            <w:noWrap/>
            <w:hideMark/>
          </w:tcPr>
          <w:p w14:paraId="3F51DA3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22D543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253</w:t>
            </w:r>
          </w:p>
        </w:tc>
        <w:tc>
          <w:tcPr>
            <w:tcW w:w="1241" w:type="dxa"/>
            <w:noWrap/>
            <w:hideMark/>
          </w:tcPr>
          <w:p w14:paraId="60055CFC"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9,169</w:t>
            </w:r>
          </w:p>
        </w:tc>
      </w:tr>
      <w:tr w:rsidR="005353E5" w:rsidRPr="005353E5" w14:paraId="7D3D8A67" w14:textId="77777777" w:rsidTr="004E7DFB">
        <w:trPr>
          <w:trHeight w:val="300"/>
        </w:trPr>
        <w:tc>
          <w:tcPr>
            <w:tcW w:w="2122" w:type="dxa"/>
            <w:noWrap/>
            <w:hideMark/>
          </w:tcPr>
          <w:p w14:paraId="7D4148E2"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Rochester And Elmore District Health Service</w:t>
            </w:r>
          </w:p>
        </w:tc>
        <w:tc>
          <w:tcPr>
            <w:tcW w:w="1263" w:type="dxa"/>
            <w:noWrap/>
            <w:hideMark/>
          </w:tcPr>
          <w:p w14:paraId="4C96016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6,658</w:t>
            </w:r>
          </w:p>
        </w:tc>
        <w:tc>
          <w:tcPr>
            <w:tcW w:w="1264" w:type="dxa"/>
            <w:noWrap/>
            <w:hideMark/>
          </w:tcPr>
          <w:p w14:paraId="31C1D89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1,109</w:t>
            </w:r>
          </w:p>
        </w:tc>
        <w:tc>
          <w:tcPr>
            <w:tcW w:w="1264" w:type="dxa"/>
            <w:noWrap/>
            <w:hideMark/>
          </w:tcPr>
          <w:p w14:paraId="749DF2F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A7EC1B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gridSpan w:val="2"/>
            <w:noWrap/>
            <w:hideMark/>
          </w:tcPr>
          <w:p w14:paraId="1BDAC7E0"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7,768</w:t>
            </w:r>
          </w:p>
        </w:tc>
        <w:tc>
          <w:tcPr>
            <w:tcW w:w="1263" w:type="dxa"/>
            <w:noWrap/>
            <w:hideMark/>
          </w:tcPr>
          <w:p w14:paraId="3332A4E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7,407</w:t>
            </w:r>
          </w:p>
        </w:tc>
        <w:tc>
          <w:tcPr>
            <w:tcW w:w="1264" w:type="dxa"/>
            <w:noWrap/>
            <w:hideMark/>
          </w:tcPr>
          <w:p w14:paraId="38ED2B8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1,134</w:t>
            </w:r>
          </w:p>
        </w:tc>
        <w:tc>
          <w:tcPr>
            <w:tcW w:w="1264" w:type="dxa"/>
            <w:noWrap/>
            <w:hideMark/>
          </w:tcPr>
          <w:p w14:paraId="7DABAC5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DFE63D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41" w:type="dxa"/>
            <w:noWrap/>
            <w:hideMark/>
          </w:tcPr>
          <w:p w14:paraId="6348DC6F"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8,541</w:t>
            </w:r>
          </w:p>
        </w:tc>
      </w:tr>
      <w:tr w:rsidR="005353E5" w:rsidRPr="005353E5" w14:paraId="7C31B943" w14:textId="77777777" w:rsidTr="004E7DFB">
        <w:trPr>
          <w:trHeight w:val="300"/>
        </w:trPr>
        <w:tc>
          <w:tcPr>
            <w:tcW w:w="2122" w:type="dxa"/>
            <w:noWrap/>
            <w:hideMark/>
          </w:tcPr>
          <w:p w14:paraId="3CF389D4"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Rural Northwest Health</w:t>
            </w:r>
          </w:p>
        </w:tc>
        <w:tc>
          <w:tcPr>
            <w:tcW w:w="1263" w:type="dxa"/>
            <w:noWrap/>
            <w:hideMark/>
          </w:tcPr>
          <w:p w14:paraId="65FB5FF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10,633</w:t>
            </w:r>
          </w:p>
        </w:tc>
        <w:tc>
          <w:tcPr>
            <w:tcW w:w="1264" w:type="dxa"/>
            <w:noWrap/>
            <w:hideMark/>
          </w:tcPr>
          <w:p w14:paraId="779D20F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1,945</w:t>
            </w:r>
          </w:p>
        </w:tc>
        <w:tc>
          <w:tcPr>
            <w:tcW w:w="1264" w:type="dxa"/>
            <w:noWrap/>
            <w:hideMark/>
          </w:tcPr>
          <w:p w14:paraId="6206208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2019FC6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619</w:t>
            </w:r>
          </w:p>
        </w:tc>
        <w:tc>
          <w:tcPr>
            <w:tcW w:w="1264" w:type="dxa"/>
            <w:gridSpan w:val="2"/>
            <w:noWrap/>
            <w:hideMark/>
          </w:tcPr>
          <w:p w14:paraId="1FF5122D"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13,196</w:t>
            </w:r>
          </w:p>
        </w:tc>
        <w:tc>
          <w:tcPr>
            <w:tcW w:w="1263" w:type="dxa"/>
            <w:noWrap/>
            <w:hideMark/>
          </w:tcPr>
          <w:p w14:paraId="17C70D8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11,458</w:t>
            </w:r>
          </w:p>
        </w:tc>
        <w:tc>
          <w:tcPr>
            <w:tcW w:w="1264" w:type="dxa"/>
            <w:noWrap/>
            <w:hideMark/>
          </w:tcPr>
          <w:p w14:paraId="4A5E00C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1,988</w:t>
            </w:r>
          </w:p>
        </w:tc>
        <w:tc>
          <w:tcPr>
            <w:tcW w:w="1264" w:type="dxa"/>
            <w:noWrap/>
            <w:hideMark/>
          </w:tcPr>
          <w:p w14:paraId="1351AAB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F0FEE9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633</w:t>
            </w:r>
          </w:p>
        </w:tc>
        <w:tc>
          <w:tcPr>
            <w:tcW w:w="1241" w:type="dxa"/>
            <w:noWrap/>
            <w:hideMark/>
          </w:tcPr>
          <w:p w14:paraId="6140560A"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14,080</w:t>
            </w:r>
          </w:p>
        </w:tc>
      </w:tr>
      <w:tr w:rsidR="005353E5" w:rsidRPr="005353E5" w14:paraId="466019D6" w14:textId="77777777" w:rsidTr="004E7DFB">
        <w:trPr>
          <w:trHeight w:val="300"/>
        </w:trPr>
        <w:tc>
          <w:tcPr>
            <w:tcW w:w="2122" w:type="dxa"/>
            <w:noWrap/>
            <w:hideMark/>
          </w:tcPr>
          <w:p w14:paraId="1A9D344E"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Seymour District Memorial Hospital</w:t>
            </w:r>
          </w:p>
        </w:tc>
        <w:tc>
          <w:tcPr>
            <w:tcW w:w="1263" w:type="dxa"/>
            <w:noWrap/>
            <w:hideMark/>
          </w:tcPr>
          <w:p w14:paraId="1BEC5CA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15,739</w:t>
            </w:r>
          </w:p>
        </w:tc>
        <w:tc>
          <w:tcPr>
            <w:tcW w:w="1264" w:type="dxa"/>
            <w:noWrap/>
            <w:hideMark/>
          </w:tcPr>
          <w:p w14:paraId="55AAE44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1,098</w:t>
            </w:r>
          </w:p>
        </w:tc>
        <w:tc>
          <w:tcPr>
            <w:tcW w:w="1264" w:type="dxa"/>
            <w:noWrap/>
            <w:hideMark/>
          </w:tcPr>
          <w:p w14:paraId="18047CC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F343B0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93</w:t>
            </w:r>
          </w:p>
        </w:tc>
        <w:tc>
          <w:tcPr>
            <w:tcW w:w="1264" w:type="dxa"/>
            <w:gridSpan w:val="2"/>
            <w:noWrap/>
            <w:hideMark/>
          </w:tcPr>
          <w:p w14:paraId="11C98018"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16,930</w:t>
            </w:r>
          </w:p>
        </w:tc>
        <w:tc>
          <w:tcPr>
            <w:tcW w:w="1263" w:type="dxa"/>
            <w:noWrap/>
            <w:hideMark/>
          </w:tcPr>
          <w:p w14:paraId="7A43D8A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16,796</w:t>
            </w:r>
          </w:p>
        </w:tc>
        <w:tc>
          <w:tcPr>
            <w:tcW w:w="1264" w:type="dxa"/>
            <w:noWrap/>
            <w:hideMark/>
          </w:tcPr>
          <w:p w14:paraId="17DA965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1,122</w:t>
            </w:r>
          </w:p>
        </w:tc>
        <w:tc>
          <w:tcPr>
            <w:tcW w:w="1264" w:type="dxa"/>
            <w:noWrap/>
            <w:hideMark/>
          </w:tcPr>
          <w:p w14:paraId="37C773F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9B94A3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95</w:t>
            </w:r>
          </w:p>
        </w:tc>
        <w:tc>
          <w:tcPr>
            <w:tcW w:w="1241" w:type="dxa"/>
            <w:noWrap/>
            <w:hideMark/>
          </w:tcPr>
          <w:p w14:paraId="5461C8C5"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18,013</w:t>
            </w:r>
          </w:p>
        </w:tc>
      </w:tr>
      <w:tr w:rsidR="005353E5" w:rsidRPr="005353E5" w14:paraId="2E36E433" w14:textId="77777777" w:rsidTr="004E7DFB">
        <w:trPr>
          <w:trHeight w:val="300"/>
        </w:trPr>
        <w:tc>
          <w:tcPr>
            <w:tcW w:w="2122" w:type="dxa"/>
            <w:noWrap/>
            <w:hideMark/>
          </w:tcPr>
          <w:p w14:paraId="6FCC12A3"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South Gippsland Hospital</w:t>
            </w:r>
          </w:p>
        </w:tc>
        <w:tc>
          <w:tcPr>
            <w:tcW w:w="1263" w:type="dxa"/>
            <w:noWrap/>
            <w:hideMark/>
          </w:tcPr>
          <w:p w14:paraId="02F3E6A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7,458</w:t>
            </w:r>
          </w:p>
        </w:tc>
        <w:tc>
          <w:tcPr>
            <w:tcW w:w="1264" w:type="dxa"/>
            <w:noWrap/>
            <w:hideMark/>
          </w:tcPr>
          <w:p w14:paraId="61E3B29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49</w:t>
            </w:r>
          </w:p>
        </w:tc>
        <w:tc>
          <w:tcPr>
            <w:tcW w:w="1264" w:type="dxa"/>
            <w:noWrap/>
            <w:hideMark/>
          </w:tcPr>
          <w:p w14:paraId="7747073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AEDFC2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85</w:t>
            </w:r>
          </w:p>
        </w:tc>
        <w:tc>
          <w:tcPr>
            <w:tcW w:w="1264" w:type="dxa"/>
            <w:gridSpan w:val="2"/>
            <w:noWrap/>
            <w:hideMark/>
          </w:tcPr>
          <w:p w14:paraId="16EFAFE7"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7,591</w:t>
            </w:r>
          </w:p>
        </w:tc>
        <w:tc>
          <w:tcPr>
            <w:tcW w:w="1263" w:type="dxa"/>
            <w:noWrap/>
            <w:hideMark/>
          </w:tcPr>
          <w:p w14:paraId="043BDFE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7,984</w:t>
            </w:r>
          </w:p>
        </w:tc>
        <w:tc>
          <w:tcPr>
            <w:tcW w:w="1264" w:type="dxa"/>
            <w:noWrap/>
            <w:hideMark/>
          </w:tcPr>
          <w:p w14:paraId="0809502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50</w:t>
            </w:r>
          </w:p>
        </w:tc>
        <w:tc>
          <w:tcPr>
            <w:tcW w:w="1264" w:type="dxa"/>
            <w:noWrap/>
            <w:hideMark/>
          </w:tcPr>
          <w:p w14:paraId="68539FB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B23CD6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87</w:t>
            </w:r>
          </w:p>
        </w:tc>
        <w:tc>
          <w:tcPr>
            <w:tcW w:w="1241" w:type="dxa"/>
            <w:noWrap/>
            <w:hideMark/>
          </w:tcPr>
          <w:p w14:paraId="578BEE04"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8,121</w:t>
            </w:r>
          </w:p>
        </w:tc>
      </w:tr>
      <w:tr w:rsidR="005353E5" w:rsidRPr="005353E5" w14:paraId="0CA9C840" w14:textId="77777777" w:rsidTr="004E7DFB">
        <w:trPr>
          <w:trHeight w:val="300"/>
        </w:trPr>
        <w:tc>
          <w:tcPr>
            <w:tcW w:w="2122" w:type="dxa"/>
            <w:noWrap/>
            <w:hideMark/>
          </w:tcPr>
          <w:p w14:paraId="0ADD3CB7"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Tallangatta Health Service</w:t>
            </w:r>
          </w:p>
        </w:tc>
        <w:tc>
          <w:tcPr>
            <w:tcW w:w="1263" w:type="dxa"/>
            <w:noWrap/>
            <w:hideMark/>
          </w:tcPr>
          <w:p w14:paraId="646EF73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5,184</w:t>
            </w:r>
          </w:p>
        </w:tc>
        <w:tc>
          <w:tcPr>
            <w:tcW w:w="1264" w:type="dxa"/>
            <w:noWrap/>
            <w:hideMark/>
          </w:tcPr>
          <w:p w14:paraId="100E144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670</w:t>
            </w:r>
          </w:p>
        </w:tc>
        <w:tc>
          <w:tcPr>
            <w:tcW w:w="1264" w:type="dxa"/>
            <w:noWrap/>
            <w:hideMark/>
          </w:tcPr>
          <w:p w14:paraId="072CBCD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5A553DC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237</w:t>
            </w:r>
          </w:p>
        </w:tc>
        <w:tc>
          <w:tcPr>
            <w:tcW w:w="1264" w:type="dxa"/>
            <w:gridSpan w:val="2"/>
            <w:noWrap/>
            <w:hideMark/>
          </w:tcPr>
          <w:p w14:paraId="1330B612"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6,091</w:t>
            </w:r>
          </w:p>
        </w:tc>
        <w:tc>
          <w:tcPr>
            <w:tcW w:w="1263" w:type="dxa"/>
            <w:noWrap/>
            <w:hideMark/>
          </w:tcPr>
          <w:p w14:paraId="4EC586C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5,343</w:t>
            </w:r>
          </w:p>
        </w:tc>
        <w:tc>
          <w:tcPr>
            <w:tcW w:w="1264" w:type="dxa"/>
            <w:noWrap/>
            <w:hideMark/>
          </w:tcPr>
          <w:p w14:paraId="0AD0BA5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685</w:t>
            </w:r>
          </w:p>
        </w:tc>
        <w:tc>
          <w:tcPr>
            <w:tcW w:w="1264" w:type="dxa"/>
            <w:noWrap/>
            <w:hideMark/>
          </w:tcPr>
          <w:p w14:paraId="048975F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287F872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243</w:t>
            </w:r>
          </w:p>
        </w:tc>
        <w:tc>
          <w:tcPr>
            <w:tcW w:w="1241" w:type="dxa"/>
            <w:noWrap/>
            <w:hideMark/>
          </w:tcPr>
          <w:p w14:paraId="3F71D29E"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6,271</w:t>
            </w:r>
          </w:p>
        </w:tc>
      </w:tr>
      <w:tr w:rsidR="005353E5" w:rsidRPr="005353E5" w14:paraId="0449CF14" w14:textId="77777777" w:rsidTr="004E7DFB">
        <w:trPr>
          <w:trHeight w:val="300"/>
        </w:trPr>
        <w:tc>
          <w:tcPr>
            <w:tcW w:w="2122" w:type="dxa"/>
            <w:noWrap/>
            <w:hideMark/>
          </w:tcPr>
          <w:p w14:paraId="6873F259"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Terang And Mortlake Health Service</w:t>
            </w:r>
          </w:p>
        </w:tc>
        <w:tc>
          <w:tcPr>
            <w:tcW w:w="1263" w:type="dxa"/>
            <w:noWrap/>
            <w:hideMark/>
          </w:tcPr>
          <w:p w14:paraId="43253BE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6,648</w:t>
            </w:r>
          </w:p>
        </w:tc>
        <w:tc>
          <w:tcPr>
            <w:tcW w:w="1264" w:type="dxa"/>
            <w:noWrap/>
            <w:hideMark/>
          </w:tcPr>
          <w:p w14:paraId="0677617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688</w:t>
            </w:r>
          </w:p>
        </w:tc>
        <w:tc>
          <w:tcPr>
            <w:tcW w:w="1264" w:type="dxa"/>
            <w:noWrap/>
            <w:hideMark/>
          </w:tcPr>
          <w:p w14:paraId="2CE2B83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10C219B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1,307</w:t>
            </w:r>
          </w:p>
        </w:tc>
        <w:tc>
          <w:tcPr>
            <w:tcW w:w="1264" w:type="dxa"/>
            <w:gridSpan w:val="2"/>
            <w:noWrap/>
            <w:hideMark/>
          </w:tcPr>
          <w:p w14:paraId="0160F4AC"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8,642</w:t>
            </w:r>
          </w:p>
        </w:tc>
        <w:tc>
          <w:tcPr>
            <w:tcW w:w="1263" w:type="dxa"/>
            <w:noWrap/>
            <w:hideMark/>
          </w:tcPr>
          <w:p w14:paraId="7F971BA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6,974</w:t>
            </w:r>
          </w:p>
        </w:tc>
        <w:tc>
          <w:tcPr>
            <w:tcW w:w="1264" w:type="dxa"/>
            <w:noWrap/>
            <w:hideMark/>
          </w:tcPr>
          <w:p w14:paraId="630C1C0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703</w:t>
            </w:r>
          </w:p>
        </w:tc>
        <w:tc>
          <w:tcPr>
            <w:tcW w:w="1264" w:type="dxa"/>
            <w:noWrap/>
            <w:hideMark/>
          </w:tcPr>
          <w:p w14:paraId="629CEA0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8CAD71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1,337</w:t>
            </w:r>
          </w:p>
        </w:tc>
        <w:tc>
          <w:tcPr>
            <w:tcW w:w="1241" w:type="dxa"/>
            <w:noWrap/>
            <w:hideMark/>
          </w:tcPr>
          <w:p w14:paraId="58A9C72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9,014</w:t>
            </w:r>
          </w:p>
        </w:tc>
      </w:tr>
      <w:tr w:rsidR="005353E5" w:rsidRPr="005353E5" w14:paraId="2B892F20" w14:textId="77777777" w:rsidTr="004E7DFB">
        <w:trPr>
          <w:trHeight w:val="300"/>
        </w:trPr>
        <w:tc>
          <w:tcPr>
            <w:tcW w:w="2122" w:type="dxa"/>
            <w:noWrap/>
            <w:hideMark/>
          </w:tcPr>
          <w:p w14:paraId="1E99F6AD"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Timboon &amp; District Healthcare Service</w:t>
            </w:r>
          </w:p>
        </w:tc>
        <w:tc>
          <w:tcPr>
            <w:tcW w:w="1263" w:type="dxa"/>
            <w:noWrap/>
            <w:hideMark/>
          </w:tcPr>
          <w:p w14:paraId="13991E7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4,421</w:t>
            </w:r>
          </w:p>
        </w:tc>
        <w:tc>
          <w:tcPr>
            <w:tcW w:w="1264" w:type="dxa"/>
            <w:noWrap/>
            <w:hideMark/>
          </w:tcPr>
          <w:p w14:paraId="7432B05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359</w:t>
            </w:r>
          </w:p>
        </w:tc>
        <w:tc>
          <w:tcPr>
            <w:tcW w:w="1264" w:type="dxa"/>
            <w:noWrap/>
            <w:hideMark/>
          </w:tcPr>
          <w:p w14:paraId="57A3F62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4826725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307</w:t>
            </w:r>
          </w:p>
        </w:tc>
        <w:tc>
          <w:tcPr>
            <w:tcW w:w="1264" w:type="dxa"/>
            <w:gridSpan w:val="2"/>
            <w:noWrap/>
            <w:hideMark/>
          </w:tcPr>
          <w:p w14:paraId="05FDFE81"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5,087</w:t>
            </w:r>
          </w:p>
        </w:tc>
        <w:tc>
          <w:tcPr>
            <w:tcW w:w="1263" w:type="dxa"/>
            <w:noWrap/>
            <w:hideMark/>
          </w:tcPr>
          <w:p w14:paraId="7C194E7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4,745</w:t>
            </w:r>
          </w:p>
        </w:tc>
        <w:tc>
          <w:tcPr>
            <w:tcW w:w="1264" w:type="dxa"/>
            <w:noWrap/>
            <w:hideMark/>
          </w:tcPr>
          <w:p w14:paraId="71E4F10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367</w:t>
            </w:r>
          </w:p>
        </w:tc>
        <w:tc>
          <w:tcPr>
            <w:tcW w:w="1264" w:type="dxa"/>
            <w:noWrap/>
            <w:hideMark/>
          </w:tcPr>
          <w:p w14:paraId="76FF1DF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42D5BC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314</w:t>
            </w:r>
          </w:p>
        </w:tc>
        <w:tc>
          <w:tcPr>
            <w:tcW w:w="1241" w:type="dxa"/>
            <w:noWrap/>
            <w:hideMark/>
          </w:tcPr>
          <w:p w14:paraId="4B26D369"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5,426</w:t>
            </w:r>
          </w:p>
        </w:tc>
      </w:tr>
      <w:tr w:rsidR="005353E5" w:rsidRPr="005353E5" w14:paraId="3EDE523F" w14:textId="77777777" w:rsidTr="004E7DFB">
        <w:trPr>
          <w:trHeight w:val="300"/>
        </w:trPr>
        <w:tc>
          <w:tcPr>
            <w:tcW w:w="2122" w:type="dxa"/>
            <w:noWrap/>
            <w:hideMark/>
          </w:tcPr>
          <w:p w14:paraId="48E19925"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West Wimmera Health Service</w:t>
            </w:r>
          </w:p>
        </w:tc>
        <w:tc>
          <w:tcPr>
            <w:tcW w:w="1263" w:type="dxa"/>
            <w:noWrap/>
            <w:hideMark/>
          </w:tcPr>
          <w:p w14:paraId="11BCF4F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17,729</w:t>
            </w:r>
          </w:p>
        </w:tc>
        <w:tc>
          <w:tcPr>
            <w:tcW w:w="1264" w:type="dxa"/>
            <w:noWrap/>
            <w:hideMark/>
          </w:tcPr>
          <w:p w14:paraId="190E570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3,393</w:t>
            </w:r>
          </w:p>
        </w:tc>
        <w:tc>
          <w:tcPr>
            <w:tcW w:w="1264" w:type="dxa"/>
            <w:noWrap/>
            <w:hideMark/>
          </w:tcPr>
          <w:p w14:paraId="562CD92B"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273</w:t>
            </w:r>
          </w:p>
        </w:tc>
        <w:tc>
          <w:tcPr>
            <w:tcW w:w="1264" w:type="dxa"/>
            <w:noWrap/>
            <w:hideMark/>
          </w:tcPr>
          <w:p w14:paraId="1194209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2,935</w:t>
            </w:r>
          </w:p>
        </w:tc>
        <w:tc>
          <w:tcPr>
            <w:tcW w:w="1264" w:type="dxa"/>
            <w:gridSpan w:val="2"/>
            <w:noWrap/>
            <w:hideMark/>
          </w:tcPr>
          <w:p w14:paraId="7AB3E047"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24,329</w:t>
            </w:r>
          </w:p>
        </w:tc>
        <w:tc>
          <w:tcPr>
            <w:tcW w:w="1263" w:type="dxa"/>
            <w:noWrap/>
            <w:hideMark/>
          </w:tcPr>
          <w:p w14:paraId="61AFFB4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18,575</w:t>
            </w:r>
          </w:p>
        </w:tc>
        <w:tc>
          <w:tcPr>
            <w:tcW w:w="1264" w:type="dxa"/>
            <w:noWrap/>
            <w:hideMark/>
          </w:tcPr>
          <w:p w14:paraId="3748AE6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3,469</w:t>
            </w:r>
          </w:p>
        </w:tc>
        <w:tc>
          <w:tcPr>
            <w:tcW w:w="1264" w:type="dxa"/>
            <w:noWrap/>
            <w:hideMark/>
          </w:tcPr>
          <w:p w14:paraId="7A56D7A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279</w:t>
            </w:r>
          </w:p>
        </w:tc>
        <w:tc>
          <w:tcPr>
            <w:tcW w:w="1264" w:type="dxa"/>
            <w:noWrap/>
            <w:hideMark/>
          </w:tcPr>
          <w:p w14:paraId="709B99F3"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3,003</w:t>
            </w:r>
          </w:p>
        </w:tc>
        <w:tc>
          <w:tcPr>
            <w:tcW w:w="1241" w:type="dxa"/>
            <w:noWrap/>
            <w:hideMark/>
          </w:tcPr>
          <w:p w14:paraId="1C6DE45C"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25,326</w:t>
            </w:r>
          </w:p>
        </w:tc>
      </w:tr>
      <w:tr w:rsidR="005353E5" w:rsidRPr="005353E5" w14:paraId="196495F0" w14:textId="77777777" w:rsidTr="004E7DFB">
        <w:trPr>
          <w:trHeight w:val="300"/>
        </w:trPr>
        <w:tc>
          <w:tcPr>
            <w:tcW w:w="2122" w:type="dxa"/>
            <w:noWrap/>
            <w:hideMark/>
          </w:tcPr>
          <w:p w14:paraId="720616E5"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Yarram &amp; District Health Service</w:t>
            </w:r>
          </w:p>
        </w:tc>
        <w:tc>
          <w:tcPr>
            <w:tcW w:w="1263" w:type="dxa"/>
            <w:noWrap/>
            <w:hideMark/>
          </w:tcPr>
          <w:p w14:paraId="6EA9517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7,115</w:t>
            </w:r>
          </w:p>
        </w:tc>
        <w:tc>
          <w:tcPr>
            <w:tcW w:w="1264" w:type="dxa"/>
            <w:noWrap/>
            <w:hideMark/>
          </w:tcPr>
          <w:p w14:paraId="70A823D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811</w:t>
            </w:r>
          </w:p>
        </w:tc>
        <w:tc>
          <w:tcPr>
            <w:tcW w:w="1264" w:type="dxa"/>
            <w:noWrap/>
            <w:hideMark/>
          </w:tcPr>
          <w:p w14:paraId="7D72E90E"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3C63C01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437</w:t>
            </w:r>
          </w:p>
        </w:tc>
        <w:tc>
          <w:tcPr>
            <w:tcW w:w="1264" w:type="dxa"/>
            <w:gridSpan w:val="2"/>
            <w:noWrap/>
            <w:hideMark/>
          </w:tcPr>
          <w:p w14:paraId="59CCEB8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8,362</w:t>
            </w:r>
          </w:p>
        </w:tc>
        <w:tc>
          <w:tcPr>
            <w:tcW w:w="1263" w:type="dxa"/>
            <w:noWrap/>
            <w:hideMark/>
          </w:tcPr>
          <w:p w14:paraId="2574643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7,682</w:t>
            </w:r>
          </w:p>
        </w:tc>
        <w:tc>
          <w:tcPr>
            <w:tcW w:w="1264" w:type="dxa"/>
            <w:noWrap/>
            <w:hideMark/>
          </w:tcPr>
          <w:p w14:paraId="7D35B1C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829</w:t>
            </w:r>
          </w:p>
        </w:tc>
        <w:tc>
          <w:tcPr>
            <w:tcW w:w="1264" w:type="dxa"/>
            <w:noWrap/>
            <w:hideMark/>
          </w:tcPr>
          <w:p w14:paraId="0FF2F02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5F494A2"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545</w:t>
            </w:r>
          </w:p>
        </w:tc>
        <w:tc>
          <w:tcPr>
            <w:tcW w:w="1241" w:type="dxa"/>
            <w:noWrap/>
            <w:hideMark/>
          </w:tcPr>
          <w:p w14:paraId="42F70416" w14:textId="77777777" w:rsidR="005353E5" w:rsidRPr="00581BAC" w:rsidRDefault="005353E5" w:rsidP="005353E5">
            <w:pPr>
              <w:spacing w:after="0" w:line="240" w:lineRule="auto"/>
              <w:jc w:val="right"/>
              <w:rPr>
                <w:rFonts w:cs="Arial"/>
                <w:b/>
                <w:bCs/>
                <w:color w:val="000000"/>
                <w:sz w:val="16"/>
                <w:szCs w:val="16"/>
                <w:lang w:eastAsia="en-AU"/>
              </w:rPr>
            </w:pPr>
            <w:r w:rsidRPr="00581BAC">
              <w:rPr>
                <w:rFonts w:cs="Arial"/>
                <w:b/>
                <w:bCs/>
                <w:color w:val="000000"/>
                <w:sz w:val="16"/>
                <w:szCs w:val="16"/>
                <w:lang w:eastAsia="en-AU"/>
              </w:rPr>
              <w:t>9,056</w:t>
            </w:r>
          </w:p>
        </w:tc>
      </w:tr>
      <w:tr w:rsidR="005353E5" w:rsidRPr="005353E5" w14:paraId="06E07751" w14:textId="77777777" w:rsidTr="004E7DFB">
        <w:trPr>
          <w:trHeight w:val="300"/>
        </w:trPr>
        <w:tc>
          <w:tcPr>
            <w:tcW w:w="2122" w:type="dxa"/>
            <w:noWrap/>
            <w:hideMark/>
          </w:tcPr>
          <w:p w14:paraId="42D8D8C7"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Yarrawonga District Health Service</w:t>
            </w:r>
          </w:p>
        </w:tc>
        <w:tc>
          <w:tcPr>
            <w:tcW w:w="1263" w:type="dxa"/>
            <w:noWrap/>
            <w:hideMark/>
          </w:tcPr>
          <w:p w14:paraId="140113C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11,717</w:t>
            </w:r>
          </w:p>
        </w:tc>
        <w:tc>
          <w:tcPr>
            <w:tcW w:w="1264" w:type="dxa"/>
            <w:noWrap/>
            <w:hideMark/>
          </w:tcPr>
          <w:p w14:paraId="08615A3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1,422</w:t>
            </w:r>
          </w:p>
        </w:tc>
        <w:tc>
          <w:tcPr>
            <w:tcW w:w="1264" w:type="dxa"/>
            <w:noWrap/>
            <w:hideMark/>
          </w:tcPr>
          <w:p w14:paraId="19CED968"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2F773410"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686</w:t>
            </w:r>
          </w:p>
        </w:tc>
        <w:tc>
          <w:tcPr>
            <w:tcW w:w="1264" w:type="dxa"/>
            <w:gridSpan w:val="2"/>
            <w:noWrap/>
            <w:hideMark/>
          </w:tcPr>
          <w:p w14:paraId="0B151605" w14:textId="77777777" w:rsidR="005353E5" w:rsidRPr="00581BAC" w:rsidRDefault="005353E5" w:rsidP="005353E5">
            <w:pPr>
              <w:spacing w:after="0" w:line="240" w:lineRule="auto"/>
              <w:jc w:val="right"/>
              <w:rPr>
                <w:rFonts w:cs="Arial"/>
                <w:color w:val="000000"/>
                <w:sz w:val="16"/>
                <w:szCs w:val="16"/>
                <w:lang w:eastAsia="en-AU"/>
              </w:rPr>
            </w:pPr>
            <w:r w:rsidRPr="00581BAC">
              <w:rPr>
                <w:rFonts w:cs="Arial"/>
                <w:color w:val="000000"/>
                <w:sz w:val="16"/>
                <w:szCs w:val="16"/>
                <w:lang w:eastAsia="en-AU"/>
              </w:rPr>
              <w:t>13,825</w:t>
            </w:r>
          </w:p>
        </w:tc>
        <w:tc>
          <w:tcPr>
            <w:tcW w:w="1263" w:type="dxa"/>
            <w:noWrap/>
            <w:hideMark/>
          </w:tcPr>
          <w:p w14:paraId="42FA66E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12,529</w:t>
            </w:r>
          </w:p>
        </w:tc>
        <w:tc>
          <w:tcPr>
            <w:tcW w:w="1264" w:type="dxa"/>
            <w:noWrap/>
            <w:hideMark/>
          </w:tcPr>
          <w:p w14:paraId="1B498DE6"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1,454</w:t>
            </w:r>
          </w:p>
        </w:tc>
        <w:tc>
          <w:tcPr>
            <w:tcW w:w="1264" w:type="dxa"/>
            <w:noWrap/>
            <w:hideMark/>
          </w:tcPr>
          <w:p w14:paraId="6FD560F5"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7F57DE1"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702</w:t>
            </w:r>
          </w:p>
        </w:tc>
        <w:tc>
          <w:tcPr>
            <w:tcW w:w="1241" w:type="dxa"/>
            <w:noWrap/>
            <w:hideMark/>
          </w:tcPr>
          <w:p w14:paraId="4FEB09B6" w14:textId="77777777" w:rsidR="005353E5" w:rsidRPr="00581BAC" w:rsidRDefault="005353E5" w:rsidP="005353E5">
            <w:pPr>
              <w:spacing w:after="0" w:line="240" w:lineRule="auto"/>
              <w:jc w:val="right"/>
              <w:rPr>
                <w:rFonts w:cs="Arial"/>
                <w:color w:val="000000"/>
                <w:sz w:val="16"/>
                <w:szCs w:val="16"/>
                <w:lang w:eastAsia="en-AU"/>
              </w:rPr>
            </w:pPr>
            <w:r w:rsidRPr="00581BAC">
              <w:rPr>
                <w:rFonts w:cs="Arial"/>
                <w:color w:val="000000"/>
                <w:sz w:val="16"/>
                <w:szCs w:val="16"/>
                <w:lang w:eastAsia="en-AU"/>
              </w:rPr>
              <w:t>14,684</w:t>
            </w:r>
          </w:p>
        </w:tc>
      </w:tr>
      <w:tr w:rsidR="005353E5" w:rsidRPr="005353E5" w14:paraId="48E1BDB4" w14:textId="77777777" w:rsidTr="004E7DFB">
        <w:trPr>
          <w:trHeight w:val="300"/>
        </w:trPr>
        <w:tc>
          <w:tcPr>
            <w:tcW w:w="2122" w:type="dxa"/>
            <w:noWrap/>
            <w:hideMark/>
          </w:tcPr>
          <w:p w14:paraId="6C4E1CFD" w14:textId="77777777" w:rsidR="005353E5" w:rsidRPr="005353E5" w:rsidRDefault="005353E5" w:rsidP="005353E5">
            <w:pPr>
              <w:spacing w:after="0" w:line="240" w:lineRule="auto"/>
              <w:rPr>
                <w:rFonts w:cs="Arial"/>
                <w:color w:val="000000"/>
                <w:sz w:val="16"/>
                <w:szCs w:val="16"/>
                <w:lang w:eastAsia="en-AU"/>
              </w:rPr>
            </w:pPr>
            <w:r w:rsidRPr="005353E5">
              <w:rPr>
                <w:rFonts w:cs="Arial"/>
                <w:color w:val="000000"/>
                <w:sz w:val="16"/>
                <w:szCs w:val="16"/>
                <w:lang w:eastAsia="en-AU"/>
              </w:rPr>
              <w:t>Yea &amp; District Memorial Hospital</w:t>
            </w:r>
          </w:p>
        </w:tc>
        <w:tc>
          <w:tcPr>
            <w:tcW w:w="1263" w:type="dxa"/>
            <w:noWrap/>
            <w:hideMark/>
          </w:tcPr>
          <w:p w14:paraId="0BBB0974"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3,430</w:t>
            </w:r>
          </w:p>
        </w:tc>
        <w:tc>
          <w:tcPr>
            <w:tcW w:w="1264" w:type="dxa"/>
            <w:noWrap/>
            <w:hideMark/>
          </w:tcPr>
          <w:p w14:paraId="21665E37"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399</w:t>
            </w:r>
          </w:p>
        </w:tc>
        <w:tc>
          <w:tcPr>
            <w:tcW w:w="1264" w:type="dxa"/>
            <w:noWrap/>
            <w:hideMark/>
          </w:tcPr>
          <w:p w14:paraId="6F392ADC"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7F2E33A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387</w:t>
            </w:r>
          </w:p>
        </w:tc>
        <w:tc>
          <w:tcPr>
            <w:tcW w:w="1264" w:type="dxa"/>
            <w:gridSpan w:val="2"/>
            <w:noWrap/>
            <w:hideMark/>
          </w:tcPr>
          <w:p w14:paraId="2A817A7F" w14:textId="77777777" w:rsidR="005353E5" w:rsidRPr="00581BAC" w:rsidRDefault="005353E5" w:rsidP="005353E5">
            <w:pPr>
              <w:spacing w:after="0" w:line="240" w:lineRule="auto"/>
              <w:jc w:val="right"/>
              <w:rPr>
                <w:rFonts w:cs="Arial"/>
                <w:color w:val="000000"/>
                <w:sz w:val="16"/>
                <w:szCs w:val="16"/>
                <w:lang w:eastAsia="en-AU"/>
              </w:rPr>
            </w:pPr>
            <w:r w:rsidRPr="00581BAC">
              <w:rPr>
                <w:rFonts w:cs="Arial"/>
                <w:color w:val="000000"/>
                <w:sz w:val="16"/>
                <w:szCs w:val="16"/>
                <w:lang w:eastAsia="en-AU"/>
              </w:rPr>
              <w:t>4,216</w:t>
            </w:r>
          </w:p>
        </w:tc>
        <w:tc>
          <w:tcPr>
            <w:tcW w:w="1263" w:type="dxa"/>
            <w:noWrap/>
            <w:hideMark/>
          </w:tcPr>
          <w:p w14:paraId="44451D59"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3,602</w:t>
            </w:r>
          </w:p>
        </w:tc>
        <w:tc>
          <w:tcPr>
            <w:tcW w:w="1264" w:type="dxa"/>
            <w:noWrap/>
            <w:hideMark/>
          </w:tcPr>
          <w:p w14:paraId="2A83B68D"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408</w:t>
            </w:r>
          </w:p>
        </w:tc>
        <w:tc>
          <w:tcPr>
            <w:tcW w:w="1264" w:type="dxa"/>
            <w:noWrap/>
            <w:hideMark/>
          </w:tcPr>
          <w:p w14:paraId="19FF032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0</w:t>
            </w:r>
          </w:p>
        </w:tc>
        <w:tc>
          <w:tcPr>
            <w:tcW w:w="1264" w:type="dxa"/>
            <w:noWrap/>
            <w:hideMark/>
          </w:tcPr>
          <w:p w14:paraId="6729F23F" w14:textId="77777777" w:rsidR="005353E5" w:rsidRPr="005353E5" w:rsidRDefault="005353E5" w:rsidP="005353E5">
            <w:pPr>
              <w:spacing w:after="0" w:line="240" w:lineRule="auto"/>
              <w:jc w:val="right"/>
              <w:rPr>
                <w:rFonts w:cs="Arial"/>
                <w:color w:val="000000"/>
                <w:sz w:val="16"/>
                <w:szCs w:val="16"/>
                <w:lang w:eastAsia="en-AU"/>
              </w:rPr>
            </w:pPr>
            <w:r w:rsidRPr="005353E5">
              <w:rPr>
                <w:rFonts w:cs="Arial"/>
                <w:color w:val="000000"/>
                <w:sz w:val="16"/>
                <w:szCs w:val="16"/>
                <w:lang w:eastAsia="en-AU"/>
              </w:rPr>
              <w:t>396</w:t>
            </w:r>
          </w:p>
        </w:tc>
        <w:tc>
          <w:tcPr>
            <w:tcW w:w="1241" w:type="dxa"/>
            <w:noWrap/>
            <w:hideMark/>
          </w:tcPr>
          <w:p w14:paraId="4F3F425D" w14:textId="77777777" w:rsidR="005353E5" w:rsidRPr="00581BAC" w:rsidRDefault="005353E5" w:rsidP="005353E5">
            <w:pPr>
              <w:spacing w:after="0" w:line="240" w:lineRule="auto"/>
              <w:jc w:val="right"/>
              <w:rPr>
                <w:rFonts w:cs="Arial"/>
                <w:color w:val="000000"/>
                <w:sz w:val="16"/>
                <w:szCs w:val="16"/>
                <w:lang w:eastAsia="en-AU"/>
              </w:rPr>
            </w:pPr>
            <w:r w:rsidRPr="00581BAC">
              <w:rPr>
                <w:rFonts w:cs="Arial"/>
                <w:color w:val="000000"/>
                <w:sz w:val="16"/>
                <w:szCs w:val="16"/>
                <w:lang w:eastAsia="en-AU"/>
              </w:rPr>
              <w:t>4,405</w:t>
            </w:r>
          </w:p>
        </w:tc>
      </w:tr>
      <w:tr w:rsidR="005353E5" w:rsidRPr="005353E5" w14:paraId="25DF5FC4" w14:textId="77777777" w:rsidTr="004E7DFB">
        <w:trPr>
          <w:trHeight w:val="300"/>
        </w:trPr>
        <w:tc>
          <w:tcPr>
            <w:tcW w:w="2122" w:type="dxa"/>
            <w:shd w:val="clear" w:color="auto" w:fill="201547"/>
            <w:noWrap/>
            <w:hideMark/>
          </w:tcPr>
          <w:p w14:paraId="17378D04" w14:textId="794FC07F" w:rsidR="005353E5" w:rsidRPr="005353E5" w:rsidRDefault="005353E5" w:rsidP="005353E5">
            <w:pPr>
              <w:spacing w:after="0" w:line="240" w:lineRule="auto"/>
              <w:rPr>
                <w:rFonts w:cs="Arial"/>
                <w:b/>
                <w:bCs/>
                <w:color w:val="FFFFFF"/>
                <w:sz w:val="16"/>
                <w:szCs w:val="16"/>
                <w:lang w:eastAsia="en-AU"/>
              </w:rPr>
            </w:pPr>
            <w:r w:rsidRPr="005353E5">
              <w:rPr>
                <w:rFonts w:cs="Arial"/>
                <w:b/>
                <w:bCs/>
                <w:color w:val="FFFFFF"/>
                <w:sz w:val="16"/>
                <w:szCs w:val="16"/>
                <w:lang w:eastAsia="en-AU"/>
              </w:rPr>
              <w:t>Total</w:t>
            </w:r>
          </w:p>
        </w:tc>
        <w:tc>
          <w:tcPr>
            <w:tcW w:w="1263" w:type="dxa"/>
            <w:shd w:val="clear" w:color="auto" w:fill="201547"/>
            <w:noWrap/>
            <w:hideMark/>
          </w:tcPr>
          <w:p w14:paraId="49299823"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305,985</w:t>
            </w:r>
          </w:p>
        </w:tc>
        <w:tc>
          <w:tcPr>
            <w:tcW w:w="1264" w:type="dxa"/>
            <w:shd w:val="clear" w:color="auto" w:fill="201547"/>
            <w:noWrap/>
            <w:hideMark/>
          </w:tcPr>
          <w:p w14:paraId="5BBE4DB5"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40,456</w:t>
            </w:r>
          </w:p>
        </w:tc>
        <w:tc>
          <w:tcPr>
            <w:tcW w:w="1264" w:type="dxa"/>
            <w:shd w:val="clear" w:color="auto" w:fill="201547"/>
            <w:noWrap/>
            <w:hideMark/>
          </w:tcPr>
          <w:p w14:paraId="2EB7EE2C"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273</w:t>
            </w:r>
          </w:p>
        </w:tc>
        <w:tc>
          <w:tcPr>
            <w:tcW w:w="1264" w:type="dxa"/>
            <w:shd w:val="clear" w:color="auto" w:fill="201547"/>
            <w:noWrap/>
            <w:hideMark/>
          </w:tcPr>
          <w:p w14:paraId="6138EA85"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14,045</w:t>
            </w:r>
          </w:p>
        </w:tc>
        <w:tc>
          <w:tcPr>
            <w:tcW w:w="1264" w:type="dxa"/>
            <w:gridSpan w:val="2"/>
            <w:shd w:val="clear" w:color="auto" w:fill="201547"/>
            <w:noWrap/>
            <w:hideMark/>
          </w:tcPr>
          <w:p w14:paraId="5F89D6AB" w14:textId="77777777" w:rsidR="005353E5" w:rsidRPr="00581BAC" w:rsidRDefault="005353E5" w:rsidP="005353E5">
            <w:pPr>
              <w:spacing w:after="0" w:line="240" w:lineRule="auto"/>
              <w:jc w:val="right"/>
              <w:rPr>
                <w:rFonts w:cs="Arial"/>
                <w:color w:val="FFFFFF"/>
                <w:sz w:val="16"/>
                <w:szCs w:val="16"/>
                <w:lang w:eastAsia="en-AU"/>
              </w:rPr>
            </w:pPr>
            <w:r w:rsidRPr="00581BAC">
              <w:rPr>
                <w:rFonts w:cs="Arial"/>
                <w:color w:val="FFFFFF"/>
                <w:sz w:val="16"/>
                <w:szCs w:val="16"/>
                <w:lang w:eastAsia="en-AU"/>
              </w:rPr>
              <w:t>360,758</w:t>
            </w:r>
          </w:p>
        </w:tc>
        <w:tc>
          <w:tcPr>
            <w:tcW w:w="1263" w:type="dxa"/>
            <w:shd w:val="clear" w:color="auto" w:fill="201547"/>
            <w:noWrap/>
            <w:hideMark/>
          </w:tcPr>
          <w:p w14:paraId="45FD3C9B"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329,019</w:t>
            </w:r>
          </w:p>
        </w:tc>
        <w:tc>
          <w:tcPr>
            <w:tcW w:w="1264" w:type="dxa"/>
            <w:shd w:val="clear" w:color="auto" w:fill="201547"/>
            <w:noWrap/>
            <w:hideMark/>
          </w:tcPr>
          <w:p w14:paraId="1F0AE206"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41,357</w:t>
            </w:r>
          </w:p>
        </w:tc>
        <w:tc>
          <w:tcPr>
            <w:tcW w:w="1264" w:type="dxa"/>
            <w:shd w:val="clear" w:color="auto" w:fill="201547"/>
            <w:noWrap/>
            <w:hideMark/>
          </w:tcPr>
          <w:p w14:paraId="7F8DC03D"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279</w:t>
            </w:r>
          </w:p>
        </w:tc>
        <w:tc>
          <w:tcPr>
            <w:tcW w:w="1264" w:type="dxa"/>
            <w:shd w:val="clear" w:color="auto" w:fill="201547"/>
            <w:noWrap/>
            <w:hideMark/>
          </w:tcPr>
          <w:p w14:paraId="7C14EFF9" w14:textId="77777777" w:rsidR="005353E5" w:rsidRPr="005353E5" w:rsidRDefault="005353E5" w:rsidP="005353E5">
            <w:pPr>
              <w:spacing w:after="0" w:line="240" w:lineRule="auto"/>
              <w:jc w:val="right"/>
              <w:rPr>
                <w:rFonts w:cs="Arial"/>
                <w:b/>
                <w:bCs/>
                <w:color w:val="FFFFFF"/>
                <w:sz w:val="16"/>
                <w:szCs w:val="16"/>
                <w:lang w:eastAsia="en-AU"/>
              </w:rPr>
            </w:pPr>
            <w:r w:rsidRPr="005353E5">
              <w:rPr>
                <w:rFonts w:cs="Arial"/>
                <w:b/>
                <w:bCs/>
                <w:color w:val="FFFFFF"/>
                <w:sz w:val="16"/>
                <w:szCs w:val="16"/>
                <w:lang w:eastAsia="en-AU"/>
              </w:rPr>
              <w:t>14,003</w:t>
            </w:r>
          </w:p>
        </w:tc>
        <w:tc>
          <w:tcPr>
            <w:tcW w:w="1241" w:type="dxa"/>
            <w:shd w:val="clear" w:color="auto" w:fill="201547"/>
            <w:noWrap/>
            <w:hideMark/>
          </w:tcPr>
          <w:p w14:paraId="4A472190" w14:textId="77777777" w:rsidR="005353E5" w:rsidRPr="00581BAC" w:rsidRDefault="005353E5" w:rsidP="005353E5">
            <w:pPr>
              <w:spacing w:after="0" w:line="240" w:lineRule="auto"/>
              <w:jc w:val="right"/>
              <w:rPr>
                <w:rFonts w:cs="Arial"/>
                <w:color w:val="FFFFFF"/>
                <w:sz w:val="16"/>
                <w:szCs w:val="16"/>
                <w:lang w:eastAsia="en-AU"/>
              </w:rPr>
            </w:pPr>
            <w:r w:rsidRPr="00581BAC">
              <w:rPr>
                <w:rFonts w:cs="Arial"/>
                <w:color w:val="FFFFFF"/>
                <w:sz w:val="16"/>
                <w:szCs w:val="16"/>
                <w:lang w:eastAsia="en-AU"/>
              </w:rPr>
              <w:t>384,658</w:t>
            </w:r>
          </w:p>
        </w:tc>
      </w:tr>
    </w:tbl>
    <w:p w14:paraId="33472235" w14:textId="1752CCCD" w:rsidR="000B27B9" w:rsidRDefault="000B27B9" w:rsidP="00B92CD4">
      <w:pPr>
        <w:pStyle w:val="Body"/>
      </w:pPr>
    </w:p>
    <w:p w14:paraId="1A2EDBA2" w14:textId="77777777" w:rsidR="0061618C" w:rsidRDefault="0061618C" w:rsidP="00B92CD4">
      <w:pPr>
        <w:pStyle w:val="Body"/>
      </w:pPr>
    </w:p>
    <w:p w14:paraId="4AF808C5" w14:textId="51635036" w:rsidR="000B27B9" w:rsidRPr="00216EF2" w:rsidRDefault="000B27B9" w:rsidP="009375E0">
      <w:pPr>
        <w:pStyle w:val="Heading3"/>
        <w:spacing w:before="240"/>
      </w:pPr>
      <w:bookmarkStart w:id="1151" w:name="_Toc12780658"/>
      <w:bookmarkStart w:id="1152" w:name="_Toc14172299"/>
      <w:bookmarkStart w:id="1153" w:name="_Toc33703973"/>
      <w:bookmarkStart w:id="1154" w:name="_Toc55381161"/>
      <w:bookmarkStart w:id="1155" w:name="_Toc100263367"/>
      <w:bookmarkStart w:id="1156" w:name="_Toc127192015"/>
      <w:r w:rsidRPr="00216EF2">
        <w:lastRenderedPageBreak/>
        <w:t>Activity</w:t>
      </w:r>
      <w:r w:rsidR="00331D5D" w:rsidRPr="00216EF2">
        <w:t>–B</w:t>
      </w:r>
      <w:r w:rsidRPr="00216EF2">
        <w:t xml:space="preserve">ased </w:t>
      </w:r>
      <w:r w:rsidR="00331D5D" w:rsidRPr="00216EF2">
        <w:t>F</w:t>
      </w:r>
      <w:r w:rsidRPr="00216EF2">
        <w:t xml:space="preserve">unding: Health </w:t>
      </w:r>
      <w:r w:rsidR="00331D5D" w:rsidRPr="00216EF2">
        <w:t>S</w:t>
      </w:r>
      <w:r w:rsidRPr="00216EF2">
        <w:t xml:space="preserve">ervice </w:t>
      </w:r>
      <w:r w:rsidR="00331D5D" w:rsidRPr="00216EF2">
        <w:t>E</w:t>
      </w:r>
      <w:r w:rsidRPr="00216EF2">
        <w:t xml:space="preserve">xpenditure </w:t>
      </w:r>
      <w:r w:rsidR="00331D5D" w:rsidRPr="00216EF2">
        <w:t>B</w:t>
      </w:r>
      <w:r w:rsidRPr="00216EF2">
        <w:t xml:space="preserve">udgets </w:t>
      </w:r>
      <w:r w:rsidR="005D1FCB" w:rsidRPr="00216EF2">
        <w:t>2021</w:t>
      </w:r>
      <w:r w:rsidR="00464B7E" w:rsidRPr="00216EF2">
        <w:t>–</w:t>
      </w:r>
      <w:r w:rsidR="005D1FCB" w:rsidRPr="00216EF2">
        <w:t>22 and 2022</w:t>
      </w:r>
      <w:r w:rsidR="002F204E" w:rsidRPr="00216EF2">
        <w:t>–</w:t>
      </w:r>
      <w:r w:rsidR="005D1FCB" w:rsidRPr="00216EF2">
        <w:t>23</w:t>
      </w:r>
      <w:r w:rsidRPr="00216EF2">
        <w:t xml:space="preserve"> by </w:t>
      </w:r>
      <w:r w:rsidR="00331D5D" w:rsidRPr="00216EF2">
        <w:t>S</w:t>
      </w:r>
      <w:r w:rsidRPr="00216EF2">
        <w:t xml:space="preserve">ervice </w:t>
      </w:r>
      <w:r w:rsidR="00331D5D" w:rsidRPr="00216EF2">
        <w:t>C</w:t>
      </w:r>
      <w:r w:rsidRPr="00216EF2">
        <w:t>ategory</w:t>
      </w:r>
      <w:bookmarkEnd w:id="1151"/>
      <w:bookmarkEnd w:id="1152"/>
      <w:bookmarkEnd w:id="1153"/>
      <w:bookmarkEnd w:id="1154"/>
      <w:bookmarkEnd w:id="1155"/>
      <w:bookmarkEnd w:id="1156"/>
    </w:p>
    <w:p w14:paraId="28754C47" w14:textId="49E73342" w:rsidR="000B27B9" w:rsidRPr="00216EF2" w:rsidRDefault="000B27B9" w:rsidP="0064265C">
      <w:pPr>
        <w:pStyle w:val="Tablefigurenote9pt"/>
      </w:pPr>
      <w:r w:rsidRPr="00216EF2">
        <w:t>Notes:</w:t>
      </w:r>
    </w:p>
    <w:p w14:paraId="36FC0A0C" w14:textId="2191C899" w:rsidR="000B27B9" w:rsidRPr="00216EF2" w:rsidRDefault="000B27B9" w:rsidP="003C01AD">
      <w:pPr>
        <w:pStyle w:val="Tablenoteroman"/>
        <w:keepNext/>
        <w:numPr>
          <w:ilvl w:val="0"/>
          <w:numId w:val="43"/>
        </w:numPr>
        <w:spacing w:line="240" w:lineRule="auto"/>
        <w:rPr>
          <w:rFonts w:cs="Arial"/>
        </w:rPr>
      </w:pPr>
      <w:r w:rsidRPr="00216EF2">
        <w:rPr>
          <w:rFonts w:cs="Arial"/>
        </w:rPr>
        <w:t>This table shows (</w:t>
      </w:r>
      <w:r w:rsidR="007F4B26" w:rsidRPr="00216EF2">
        <w:rPr>
          <w:rFonts w:cs="Arial"/>
        </w:rPr>
        <w:t>S</w:t>
      </w:r>
      <w:r w:rsidRPr="00216EF2">
        <w:rPr>
          <w:rFonts w:cs="Arial"/>
        </w:rPr>
        <w:t xml:space="preserve">tate and Commonwealth) funding flowed through the National Health Funding Pool to </w:t>
      </w:r>
      <w:r w:rsidR="00080DD0" w:rsidRPr="00216EF2">
        <w:rPr>
          <w:rFonts w:cs="Arial"/>
        </w:rPr>
        <w:t>activity</w:t>
      </w:r>
      <w:r w:rsidRPr="00216EF2">
        <w:rPr>
          <w:rFonts w:cs="Arial"/>
        </w:rPr>
        <w:t xml:space="preserve"> funding.</w:t>
      </w:r>
    </w:p>
    <w:p w14:paraId="7E1A486B" w14:textId="77777777" w:rsidR="000B27B9" w:rsidRPr="00CC0DD6" w:rsidRDefault="000B27B9" w:rsidP="003C01AD">
      <w:pPr>
        <w:pStyle w:val="Tablenoteroman"/>
        <w:keepNext/>
        <w:numPr>
          <w:ilvl w:val="0"/>
          <w:numId w:val="43"/>
        </w:numPr>
        <w:spacing w:line="240" w:lineRule="auto"/>
        <w:rPr>
          <w:rFonts w:cs="Arial"/>
        </w:rPr>
      </w:pPr>
      <w:r w:rsidRPr="00CC0DD6">
        <w:rPr>
          <w:rFonts w:cs="Arial"/>
        </w:rPr>
        <w:t>This table does not include public hospital services provided by small rural health services or non-health service organisations.</w:t>
      </w:r>
    </w:p>
    <w:p w14:paraId="4529DC90" w14:textId="77777777" w:rsidR="007477FA" w:rsidRPr="007477FA" w:rsidRDefault="007477FA" w:rsidP="007477FA">
      <w:pPr>
        <w:pStyle w:val="ListParagraph"/>
        <w:numPr>
          <w:ilvl w:val="0"/>
          <w:numId w:val="43"/>
        </w:numPr>
        <w:rPr>
          <w:rFonts w:ascii="Arial" w:eastAsia="Times" w:hAnsi="Arial" w:cs="Arial"/>
          <w:sz w:val="18"/>
        </w:rPr>
      </w:pPr>
      <w:r w:rsidRPr="007477FA">
        <w:rPr>
          <w:rFonts w:ascii="Arial" w:eastAsia="Times" w:hAnsi="Arial" w:cs="Arial"/>
          <w:sz w:val="18"/>
        </w:rPr>
        <w:t>Grampians Health, activity relating to Edenhope is classified as ‘Small Rural Health service’ activity and is consolidated into Acute admitted activity.  This reflects the amalgamation of Edenhope with Grampians Health in 2021-22.</w:t>
      </w:r>
    </w:p>
    <w:p w14:paraId="2E7A1CD2" w14:textId="028720F0" w:rsidR="007477FA" w:rsidRPr="003A7413" w:rsidRDefault="003A7413" w:rsidP="003A7413">
      <w:pPr>
        <w:pStyle w:val="Tablenoteroman"/>
        <w:keepNext/>
        <w:numPr>
          <w:ilvl w:val="0"/>
          <w:numId w:val="43"/>
        </w:numPr>
        <w:spacing w:line="240" w:lineRule="auto"/>
        <w:rPr>
          <w:rFonts w:cs="Arial"/>
        </w:rPr>
      </w:pPr>
      <w:r w:rsidRPr="003A7413">
        <w:rPr>
          <w:rFonts w:cs="Arial"/>
        </w:rPr>
        <w:t>Activity related to ‘Other non-admitted services’ and ‘Non admitted Home Ventilation’ is consolidated with Acute Non-admitted Patients</w:t>
      </w:r>
      <w:r>
        <w:rPr>
          <w:rFonts w:cs="Arial"/>
        </w:rPr>
        <w:t>.</w:t>
      </w:r>
    </w:p>
    <w:p w14:paraId="67A521A9" w14:textId="77777777" w:rsidR="000B27B9" w:rsidRPr="00216EF2" w:rsidRDefault="000B27B9" w:rsidP="003C01AD">
      <w:pPr>
        <w:pStyle w:val="Tablenoteroman"/>
        <w:keepNext/>
        <w:numPr>
          <w:ilvl w:val="0"/>
          <w:numId w:val="43"/>
        </w:numPr>
        <w:spacing w:line="240" w:lineRule="auto"/>
        <w:rPr>
          <w:rFonts w:cs="Arial"/>
        </w:rPr>
      </w:pPr>
      <w:r w:rsidRPr="00216EF2">
        <w:rPr>
          <w:rFonts w:cs="Arial"/>
        </w:rPr>
        <w:t>Subtotals and totals may not add up due to rounding.</w:t>
      </w:r>
    </w:p>
    <w:p w14:paraId="45094D13" w14:textId="031843E9" w:rsidR="000B27B9" w:rsidRPr="001D69B6" w:rsidRDefault="000B27B9" w:rsidP="000E08EF">
      <w:pPr>
        <w:pStyle w:val="Tablecaption"/>
      </w:pPr>
      <w:bookmarkStart w:id="1157" w:name="_Ref485757837"/>
      <w:bookmarkStart w:id="1158" w:name="_Ref423037493"/>
      <w:bookmarkStart w:id="1159" w:name="_Toc12780562"/>
      <w:bookmarkStart w:id="1160" w:name="_Toc14194818"/>
      <w:bookmarkStart w:id="1161" w:name="_Toc33703999"/>
      <w:bookmarkStart w:id="1162" w:name="_Toc109894129"/>
      <w:bookmarkStart w:id="1163" w:name="_Toc119500910"/>
      <w:r w:rsidRPr="00216EF2">
        <w:t xml:space="preserve">Table </w:t>
      </w:r>
      <w:r>
        <w:fldChar w:fldCharType="begin"/>
      </w:r>
      <w:r>
        <w:instrText>STYLEREF 1 \s</w:instrText>
      </w:r>
      <w:r>
        <w:fldChar w:fldCharType="separate"/>
      </w:r>
      <w:r w:rsidR="006D0756" w:rsidRPr="00216EF2">
        <w:rPr>
          <w:noProof/>
        </w:rPr>
        <w:t>2</w:t>
      </w:r>
      <w:r>
        <w:fldChar w:fldCharType="end"/>
      </w:r>
      <w:r w:rsidR="00EC6300" w:rsidRPr="00216EF2">
        <w:t>.</w:t>
      </w:r>
      <w:r>
        <w:fldChar w:fldCharType="begin"/>
      </w:r>
      <w:r>
        <w:instrText>SEQ Table \* ARABIC \s 1</w:instrText>
      </w:r>
      <w:r>
        <w:fldChar w:fldCharType="separate"/>
      </w:r>
      <w:r w:rsidR="006D0756" w:rsidRPr="00216EF2">
        <w:rPr>
          <w:noProof/>
        </w:rPr>
        <w:t>3</w:t>
      </w:r>
      <w:r>
        <w:fldChar w:fldCharType="end"/>
      </w:r>
      <w:bookmarkEnd w:id="1157"/>
      <w:r w:rsidRPr="00216EF2">
        <w:t xml:space="preserve">: </w:t>
      </w:r>
      <w:bookmarkEnd w:id="1158"/>
      <w:r w:rsidRPr="00216EF2">
        <w:t xml:space="preserve">Activity-based funding: Health service expenditure budgets </w:t>
      </w:r>
      <w:r w:rsidR="005D1FCB" w:rsidRPr="00216EF2">
        <w:t>2021</w:t>
      </w:r>
      <w:r w:rsidR="003D518F" w:rsidRPr="00216EF2">
        <w:t>–</w:t>
      </w:r>
      <w:r w:rsidR="005D1FCB" w:rsidRPr="00216EF2">
        <w:t>22 and 2022</w:t>
      </w:r>
      <w:r w:rsidR="003D518F" w:rsidRPr="00216EF2">
        <w:t>–</w:t>
      </w:r>
      <w:r w:rsidR="005D1FCB" w:rsidRPr="00216EF2">
        <w:t xml:space="preserve">23 </w:t>
      </w:r>
      <w:r w:rsidRPr="00216EF2">
        <w:t>by service category</w:t>
      </w:r>
      <w:bookmarkEnd w:id="1159"/>
      <w:bookmarkEnd w:id="1160"/>
      <w:bookmarkEnd w:id="1161"/>
      <w:bookmarkEnd w:id="1162"/>
      <w:bookmarkEnd w:id="1163"/>
    </w:p>
    <w:p w14:paraId="2A84FE02" w14:textId="6F5C275A" w:rsidR="0077295B" w:rsidRDefault="0077295B" w:rsidP="0077295B">
      <w:pPr>
        <w:pStyle w:val="Body"/>
      </w:pPr>
      <w:bookmarkStart w:id="1164" w:name="_Toc12780659"/>
      <w:bookmarkStart w:id="1165" w:name="_Toc14172300"/>
      <w:bookmarkStart w:id="1166" w:name="_Toc33703974"/>
      <w:bookmarkStart w:id="1167" w:name="_Toc55381162"/>
      <w:bookmarkStart w:id="1168" w:name="_Toc100263368"/>
      <w:r>
        <w:t>Metropolitan and regional</w:t>
      </w:r>
    </w:p>
    <w:p w14:paraId="31A6287A" w14:textId="77777777" w:rsidR="00ED0B45" w:rsidRDefault="00ED0B45" w:rsidP="0077295B">
      <w:pPr>
        <w:pStyle w:val="Body"/>
      </w:pPr>
    </w:p>
    <w:tbl>
      <w:tblPr>
        <w:tblStyle w:val="TableGrid1"/>
        <w:tblW w:w="15192" w:type="dxa"/>
        <w:tblLook w:val="06A0" w:firstRow="1" w:lastRow="0" w:firstColumn="1" w:lastColumn="0" w:noHBand="1" w:noVBand="1"/>
      </w:tblPr>
      <w:tblGrid>
        <w:gridCol w:w="1271"/>
        <w:gridCol w:w="1074"/>
        <w:gridCol w:w="1193"/>
        <w:gridCol w:w="1012"/>
        <w:gridCol w:w="1033"/>
        <w:gridCol w:w="935"/>
        <w:gridCol w:w="936"/>
        <w:gridCol w:w="936"/>
        <w:gridCol w:w="936"/>
        <w:gridCol w:w="936"/>
        <w:gridCol w:w="936"/>
        <w:gridCol w:w="936"/>
        <w:gridCol w:w="1013"/>
        <w:gridCol w:w="995"/>
        <w:gridCol w:w="1050"/>
      </w:tblGrid>
      <w:tr w:rsidR="00ED0B45" w:rsidRPr="00ED0B45" w14:paraId="7AF4562F" w14:textId="77777777" w:rsidTr="006F5AB1">
        <w:trPr>
          <w:cnfStyle w:val="100000000000" w:firstRow="1" w:lastRow="0" w:firstColumn="0" w:lastColumn="0" w:oddVBand="0" w:evenVBand="0" w:oddHBand="0" w:evenHBand="0" w:firstRowFirstColumn="0" w:firstRowLastColumn="0" w:lastRowFirstColumn="0" w:lastRowLastColumn="0"/>
          <w:trHeight w:val="311"/>
          <w:tblHeader/>
        </w:trPr>
        <w:tc>
          <w:tcPr>
            <w:tcW w:w="1271" w:type="dxa"/>
            <w:vMerge w:val="restart"/>
            <w:hideMark/>
          </w:tcPr>
          <w:p w14:paraId="4B63145D" w14:textId="4F5D94D3" w:rsidR="00ED0B45" w:rsidRPr="00ED0B45" w:rsidRDefault="00ED0B45" w:rsidP="005D3E92">
            <w:pPr>
              <w:spacing w:after="0" w:line="240" w:lineRule="auto"/>
              <w:rPr>
                <w:rFonts w:cs="Arial"/>
                <w:b/>
                <w:bCs/>
                <w:color w:val="FFFFFF"/>
                <w:sz w:val="16"/>
                <w:szCs w:val="16"/>
                <w:lang w:eastAsia="en-AU"/>
              </w:rPr>
            </w:pPr>
            <w:r w:rsidRPr="00ED0B45">
              <w:rPr>
                <w:rFonts w:cs="Arial"/>
                <w:b/>
                <w:bCs/>
                <w:color w:val="FFFFFF"/>
                <w:sz w:val="16"/>
                <w:szCs w:val="16"/>
                <w:lang w:eastAsia="en-AU"/>
              </w:rPr>
              <w:t>Health Services</w:t>
            </w:r>
          </w:p>
        </w:tc>
        <w:tc>
          <w:tcPr>
            <w:tcW w:w="1074" w:type="dxa"/>
            <w:hideMark/>
          </w:tcPr>
          <w:p w14:paraId="33110E86" w14:textId="5D6AEF7A" w:rsidR="00ED0B45" w:rsidRPr="00ED0B45" w:rsidRDefault="00ED0B45" w:rsidP="00ED0B45">
            <w:pPr>
              <w:spacing w:after="0" w:line="240" w:lineRule="auto"/>
              <w:rPr>
                <w:rFonts w:cs="Arial"/>
                <w:b/>
                <w:bCs/>
                <w:color w:val="FFFFFF"/>
                <w:sz w:val="16"/>
                <w:szCs w:val="16"/>
                <w:lang w:eastAsia="en-AU"/>
              </w:rPr>
            </w:pPr>
            <w:r w:rsidRPr="00ED0B45">
              <w:rPr>
                <w:rFonts w:cs="Arial"/>
                <w:b/>
                <w:bCs/>
                <w:color w:val="FFFFFF"/>
                <w:sz w:val="16"/>
                <w:szCs w:val="16"/>
                <w:lang w:eastAsia="en-AU"/>
              </w:rPr>
              <w:t>2021</w:t>
            </w:r>
            <w:r w:rsidR="002F204E" w:rsidRPr="00216EF2">
              <w:t>–</w:t>
            </w:r>
            <w:r w:rsidRPr="00ED0B45">
              <w:rPr>
                <w:rFonts w:cs="Arial"/>
                <w:b/>
                <w:bCs/>
                <w:color w:val="FFFFFF"/>
                <w:sz w:val="16"/>
                <w:szCs w:val="16"/>
                <w:lang w:eastAsia="en-AU"/>
              </w:rPr>
              <w:t>2022</w:t>
            </w:r>
          </w:p>
        </w:tc>
        <w:tc>
          <w:tcPr>
            <w:tcW w:w="12847" w:type="dxa"/>
            <w:gridSpan w:val="13"/>
            <w:hideMark/>
          </w:tcPr>
          <w:p w14:paraId="3067033F" w14:textId="5B8FDAEB" w:rsidR="00ED0B45" w:rsidRPr="00ED0B45" w:rsidRDefault="00ED0B45" w:rsidP="00ED0B45">
            <w:pPr>
              <w:spacing w:after="0" w:line="240" w:lineRule="auto"/>
              <w:jc w:val="center"/>
              <w:rPr>
                <w:rFonts w:cs="Arial"/>
                <w:b/>
                <w:bCs/>
                <w:color w:val="FFFFFF"/>
                <w:sz w:val="16"/>
                <w:szCs w:val="16"/>
                <w:lang w:eastAsia="en-AU"/>
              </w:rPr>
            </w:pPr>
            <w:r w:rsidRPr="00ED0B45">
              <w:rPr>
                <w:rFonts w:cs="Arial"/>
                <w:b/>
                <w:bCs/>
                <w:color w:val="FFFFFF"/>
                <w:sz w:val="16"/>
                <w:szCs w:val="16"/>
                <w:lang w:eastAsia="en-AU"/>
              </w:rPr>
              <w:t>202</w:t>
            </w:r>
            <w:r w:rsidR="002F204E">
              <w:rPr>
                <w:rFonts w:cs="Arial"/>
                <w:b/>
                <w:bCs/>
                <w:color w:val="FFFFFF"/>
                <w:sz w:val="16"/>
                <w:szCs w:val="16"/>
                <w:lang w:eastAsia="en-AU"/>
              </w:rPr>
              <w:t>2</w:t>
            </w:r>
            <w:r w:rsidR="002F204E" w:rsidRPr="00216EF2">
              <w:t>–</w:t>
            </w:r>
            <w:r w:rsidRPr="00ED0B45">
              <w:rPr>
                <w:rFonts w:cs="Arial"/>
                <w:b/>
                <w:bCs/>
                <w:color w:val="FFFFFF"/>
                <w:sz w:val="16"/>
                <w:szCs w:val="16"/>
                <w:lang w:eastAsia="en-AU"/>
              </w:rPr>
              <w:t>2023</w:t>
            </w:r>
          </w:p>
        </w:tc>
      </w:tr>
      <w:tr w:rsidR="002C3D3F" w:rsidRPr="00ED0B45" w14:paraId="46D7A5C5" w14:textId="77777777" w:rsidTr="006F5AB1">
        <w:trPr>
          <w:trHeight w:val="311"/>
        </w:trPr>
        <w:tc>
          <w:tcPr>
            <w:tcW w:w="1271" w:type="dxa"/>
            <w:vMerge/>
            <w:shd w:val="clear" w:color="auto" w:fill="201547"/>
            <w:hideMark/>
          </w:tcPr>
          <w:p w14:paraId="0E2359BF" w14:textId="5ABB1BB0" w:rsidR="00ED0B45" w:rsidRPr="00ED0B45" w:rsidRDefault="00ED0B45" w:rsidP="00ED0B45">
            <w:pPr>
              <w:spacing w:after="0" w:line="240" w:lineRule="auto"/>
              <w:rPr>
                <w:rFonts w:cs="Arial"/>
                <w:b/>
                <w:bCs/>
                <w:color w:val="FFFFFF"/>
                <w:sz w:val="16"/>
                <w:szCs w:val="16"/>
                <w:lang w:eastAsia="en-AU"/>
              </w:rPr>
            </w:pPr>
          </w:p>
        </w:tc>
        <w:tc>
          <w:tcPr>
            <w:tcW w:w="1074" w:type="dxa"/>
            <w:vMerge w:val="restart"/>
            <w:shd w:val="clear" w:color="auto" w:fill="201547"/>
            <w:hideMark/>
          </w:tcPr>
          <w:p w14:paraId="7D36B6B2" w14:textId="77777777" w:rsidR="00ED0B45" w:rsidRPr="00ED0B45" w:rsidRDefault="00ED0B45" w:rsidP="00ED0B45">
            <w:pPr>
              <w:spacing w:after="0" w:line="240" w:lineRule="auto"/>
              <w:rPr>
                <w:rFonts w:cs="Arial"/>
                <w:b/>
                <w:bCs/>
                <w:color w:val="FFFFFF"/>
                <w:sz w:val="16"/>
                <w:szCs w:val="16"/>
                <w:lang w:eastAsia="en-AU"/>
              </w:rPr>
            </w:pPr>
            <w:r w:rsidRPr="00ED0B45">
              <w:rPr>
                <w:rFonts w:cs="Arial"/>
                <w:b/>
                <w:bCs/>
                <w:color w:val="FFFFFF"/>
                <w:sz w:val="16"/>
                <w:szCs w:val="16"/>
                <w:lang w:eastAsia="en-AU"/>
              </w:rPr>
              <w:t>Total</w:t>
            </w:r>
          </w:p>
        </w:tc>
        <w:tc>
          <w:tcPr>
            <w:tcW w:w="1193" w:type="dxa"/>
            <w:vMerge w:val="restart"/>
            <w:shd w:val="clear" w:color="auto" w:fill="201547"/>
            <w:hideMark/>
          </w:tcPr>
          <w:p w14:paraId="370BC15A"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Acute Admitted</w:t>
            </w:r>
          </w:p>
        </w:tc>
        <w:tc>
          <w:tcPr>
            <w:tcW w:w="1012" w:type="dxa"/>
            <w:vMerge w:val="restart"/>
            <w:shd w:val="clear" w:color="auto" w:fill="201547"/>
            <w:hideMark/>
          </w:tcPr>
          <w:p w14:paraId="590568BE"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Acute Non Admitted Patients</w:t>
            </w:r>
          </w:p>
        </w:tc>
        <w:tc>
          <w:tcPr>
            <w:tcW w:w="1033" w:type="dxa"/>
            <w:vMerge w:val="restart"/>
            <w:shd w:val="clear" w:color="auto" w:fill="201547"/>
            <w:hideMark/>
          </w:tcPr>
          <w:p w14:paraId="3F903311"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Emergency</w:t>
            </w:r>
          </w:p>
        </w:tc>
        <w:tc>
          <w:tcPr>
            <w:tcW w:w="935" w:type="dxa"/>
            <w:vMerge w:val="restart"/>
            <w:shd w:val="clear" w:color="auto" w:fill="201547"/>
            <w:hideMark/>
          </w:tcPr>
          <w:p w14:paraId="1A03D830" w14:textId="70BEF63F"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Sub-Acute</w:t>
            </w:r>
          </w:p>
        </w:tc>
        <w:tc>
          <w:tcPr>
            <w:tcW w:w="936" w:type="dxa"/>
            <w:vMerge w:val="restart"/>
            <w:shd w:val="clear" w:color="auto" w:fill="201547"/>
            <w:hideMark/>
          </w:tcPr>
          <w:p w14:paraId="20896814" w14:textId="58E9EF62"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Sub-Acute Non Admitted</w:t>
            </w:r>
          </w:p>
        </w:tc>
        <w:tc>
          <w:tcPr>
            <w:tcW w:w="936" w:type="dxa"/>
            <w:vMerge w:val="restart"/>
            <w:shd w:val="clear" w:color="auto" w:fill="201547"/>
            <w:hideMark/>
          </w:tcPr>
          <w:p w14:paraId="526A9B69"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Teaching, Training and Research</w:t>
            </w:r>
          </w:p>
        </w:tc>
        <w:tc>
          <w:tcPr>
            <w:tcW w:w="936" w:type="dxa"/>
            <w:vMerge w:val="restart"/>
            <w:shd w:val="clear" w:color="auto" w:fill="201547"/>
            <w:hideMark/>
          </w:tcPr>
          <w:p w14:paraId="5ED8E44F"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Mental Health Admitted</w:t>
            </w:r>
          </w:p>
        </w:tc>
        <w:tc>
          <w:tcPr>
            <w:tcW w:w="936" w:type="dxa"/>
            <w:vMerge w:val="restart"/>
            <w:shd w:val="clear" w:color="auto" w:fill="201547"/>
            <w:hideMark/>
          </w:tcPr>
          <w:p w14:paraId="41BB8A62"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Non-Admitted Mental Health</w:t>
            </w:r>
          </w:p>
        </w:tc>
        <w:tc>
          <w:tcPr>
            <w:tcW w:w="936" w:type="dxa"/>
            <w:vMerge w:val="restart"/>
            <w:shd w:val="clear" w:color="auto" w:fill="201547"/>
            <w:hideMark/>
          </w:tcPr>
          <w:p w14:paraId="52B8A9B7"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Non-Admitted CAMHS</w:t>
            </w:r>
          </w:p>
        </w:tc>
        <w:tc>
          <w:tcPr>
            <w:tcW w:w="936" w:type="dxa"/>
            <w:vMerge w:val="restart"/>
            <w:shd w:val="clear" w:color="auto" w:fill="201547"/>
            <w:hideMark/>
          </w:tcPr>
          <w:p w14:paraId="1153C2B3"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Other Public Hospital Programs</w:t>
            </w:r>
          </w:p>
        </w:tc>
        <w:tc>
          <w:tcPr>
            <w:tcW w:w="1013" w:type="dxa"/>
            <w:vMerge w:val="restart"/>
            <w:shd w:val="clear" w:color="auto" w:fill="201547"/>
            <w:hideMark/>
          </w:tcPr>
          <w:p w14:paraId="5561121C"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Out of Scope of Agreement</w:t>
            </w:r>
          </w:p>
        </w:tc>
        <w:tc>
          <w:tcPr>
            <w:tcW w:w="995" w:type="dxa"/>
            <w:vMerge w:val="restart"/>
            <w:shd w:val="clear" w:color="auto" w:fill="201547"/>
            <w:hideMark/>
          </w:tcPr>
          <w:p w14:paraId="0800A826" w14:textId="172DA62B" w:rsidR="00ED0B45" w:rsidRPr="00ED0B45" w:rsidRDefault="002C3D3F" w:rsidP="00ED0B45">
            <w:pPr>
              <w:spacing w:after="0" w:line="240" w:lineRule="auto"/>
              <w:jc w:val="right"/>
              <w:rPr>
                <w:rFonts w:cs="Arial"/>
                <w:b/>
                <w:bCs/>
                <w:color w:val="FFFFFF"/>
                <w:sz w:val="16"/>
                <w:szCs w:val="16"/>
                <w:lang w:eastAsia="en-AU"/>
              </w:rPr>
            </w:pPr>
            <w:r>
              <w:rPr>
                <w:rFonts w:cs="Arial"/>
                <w:b/>
                <w:bCs/>
                <w:color w:val="FFFFFF"/>
                <w:sz w:val="16"/>
                <w:szCs w:val="16"/>
                <w:lang w:eastAsia="en-AU"/>
              </w:rPr>
              <w:t>Specialised Drug Therapies</w:t>
            </w:r>
          </w:p>
        </w:tc>
        <w:tc>
          <w:tcPr>
            <w:tcW w:w="1050" w:type="dxa"/>
            <w:vMerge w:val="restart"/>
            <w:shd w:val="clear" w:color="auto" w:fill="201547"/>
            <w:hideMark/>
          </w:tcPr>
          <w:p w14:paraId="1C3F6378"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 xml:space="preserve"> Total</w:t>
            </w:r>
          </w:p>
        </w:tc>
      </w:tr>
      <w:tr w:rsidR="00ED0B45" w:rsidRPr="00ED0B45" w14:paraId="1CF883EB" w14:textId="77777777" w:rsidTr="006F5AB1">
        <w:trPr>
          <w:trHeight w:val="581"/>
        </w:trPr>
        <w:tc>
          <w:tcPr>
            <w:tcW w:w="1271" w:type="dxa"/>
            <w:vMerge/>
            <w:shd w:val="clear" w:color="auto" w:fill="201547"/>
            <w:hideMark/>
          </w:tcPr>
          <w:p w14:paraId="59FF52BA" w14:textId="77777777" w:rsidR="00ED0B45" w:rsidRPr="00ED0B45" w:rsidRDefault="00ED0B45" w:rsidP="00ED0B45">
            <w:pPr>
              <w:spacing w:after="0" w:line="240" w:lineRule="auto"/>
              <w:rPr>
                <w:rFonts w:cs="Arial"/>
                <w:b/>
                <w:bCs/>
                <w:color w:val="FFFFFF"/>
                <w:sz w:val="16"/>
                <w:szCs w:val="16"/>
                <w:lang w:eastAsia="en-AU"/>
              </w:rPr>
            </w:pPr>
          </w:p>
        </w:tc>
        <w:tc>
          <w:tcPr>
            <w:tcW w:w="1074" w:type="dxa"/>
            <w:vMerge/>
            <w:shd w:val="clear" w:color="auto" w:fill="201547"/>
            <w:hideMark/>
          </w:tcPr>
          <w:p w14:paraId="33159372" w14:textId="77777777" w:rsidR="00ED0B45" w:rsidRPr="00ED0B45" w:rsidRDefault="00ED0B45" w:rsidP="00ED0B45">
            <w:pPr>
              <w:spacing w:after="0" w:line="240" w:lineRule="auto"/>
              <w:rPr>
                <w:rFonts w:cs="Arial"/>
                <w:b/>
                <w:bCs/>
                <w:color w:val="FFFFFF"/>
                <w:sz w:val="16"/>
                <w:szCs w:val="16"/>
                <w:lang w:eastAsia="en-AU"/>
              </w:rPr>
            </w:pPr>
          </w:p>
        </w:tc>
        <w:tc>
          <w:tcPr>
            <w:tcW w:w="1193" w:type="dxa"/>
            <w:vMerge/>
            <w:shd w:val="clear" w:color="auto" w:fill="201547"/>
            <w:hideMark/>
          </w:tcPr>
          <w:p w14:paraId="5DC64924" w14:textId="77777777" w:rsidR="00ED0B45" w:rsidRPr="00ED0B45" w:rsidRDefault="00ED0B45" w:rsidP="00ED0B45">
            <w:pPr>
              <w:spacing w:after="0" w:line="240" w:lineRule="auto"/>
              <w:rPr>
                <w:rFonts w:cs="Arial"/>
                <w:b/>
                <w:bCs/>
                <w:color w:val="FFFFFF"/>
                <w:sz w:val="16"/>
                <w:szCs w:val="16"/>
                <w:lang w:eastAsia="en-AU"/>
              </w:rPr>
            </w:pPr>
          </w:p>
        </w:tc>
        <w:tc>
          <w:tcPr>
            <w:tcW w:w="1012" w:type="dxa"/>
            <w:vMerge/>
            <w:shd w:val="clear" w:color="auto" w:fill="201547"/>
            <w:hideMark/>
          </w:tcPr>
          <w:p w14:paraId="1AF0C3EB" w14:textId="77777777" w:rsidR="00ED0B45" w:rsidRPr="00ED0B45" w:rsidRDefault="00ED0B45" w:rsidP="00ED0B45">
            <w:pPr>
              <w:spacing w:after="0" w:line="240" w:lineRule="auto"/>
              <w:rPr>
                <w:rFonts w:cs="Arial"/>
                <w:b/>
                <w:bCs/>
                <w:color w:val="FFFFFF"/>
                <w:sz w:val="16"/>
                <w:szCs w:val="16"/>
                <w:lang w:eastAsia="en-AU"/>
              </w:rPr>
            </w:pPr>
          </w:p>
        </w:tc>
        <w:tc>
          <w:tcPr>
            <w:tcW w:w="1033" w:type="dxa"/>
            <w:vMerge/>
            <w:shd w:val="clear" w:color="auto" w:fill="201547"/>
            <w:hideMark/>
          </w:tcPr>
          <w:p w14:paraId="2198E00C" w14:textId="77777777" w:rsidR="00ED0B45" w:rsidRPr="00ED0B45" w:rsidRDefault="00ED0B45" w:rsidP="00ED0B45">
            <w:pPr>
              <w:spacing w:after="0" w:line="240" w:lineRule="auto"/>
              <w:rPr>
                <w:rFonts w:cs="Arial"/>
                <w:b/>
                <w:bCs/>
                <w:color w:val="FFFFFF"/>
                <w:sz w:val="16"/>
                <w:szCs w:val="16"/>
                <w:lang w:eastAsia="en-AU"/>
              </w:rPr>
            </w:pPr>
          </w:p>
        </w:tc>
        <w:tc>
          <w:tcPr>
            <w:tcW w:w="935" w:type="dxa"/>
            <w:vMerge/>
            <w:shd w:val="clear" w:color="auto" w:fill="201547"/>
            <w:hideMark/>
          </w:tcPr>
          <w:p w14:paraId="00D7DF64" w14:textId="77777777" w:rsidR="00ED0B45" w:rsidRPr="00ED0B45" w:rsidRDefault="00ED0B45" w:rsidP="00ED0B45">
            <w:pPr>
              <w:spacing w:after="0" w:line="240" w:lineRule="auto"/>
              <w:rPr>
                <w:rFonts w:cs="Arial"/>
                <w:b/>
                <w:bCs/>
                <w:color w:val="FFFFFF"/>
                <w:sz w:val="16"/>
                <w:szCs w:val="16"/>
                <w:lang w:eastAsia="en-AU"/>
              </w:rPr>
            </w:pPr>
          </w:p>
        </w:tc>
        <w:tc>
          <w:tcPr>
            <w:tcW w:w="936" w:type="dxa"/>
            <w:vMerge/>
            <w:shd w:val="clear" w:color="auto" w:fill="201547"/>
            <w:hideMark/>
          </w:tcPr>
          <w:p w14:paraId="74A1A730" w14:textId="77777777" w:rsidR="00ED0B45" w:rsidRPr="00ED0B45" w:rsidRDefault="00ED0B45" w:rsidP="00ED0B45">
            <w:pPr>
              <w:spacing w:after="0" w:line="240" w:lineRule="auto"/>
              <w:rPr>
                <w:rFonts w:cs="Arial"/>
                <w:b/>
                <w:bCs/>
                <w:color w:val="FFFFFF"/>
                <w:sz w:val="16"/>
                <w:szCs w:val="16"/>
                <w:lang w:eastAsia="en-AU"/>
              </w:rPr>
            </w:pPr>
          </w:p>
        </w:tc>
        <w:tc>
          <w:tcPr>
            <w:tcW w:w="936" w:type="dxa"/>
            <w:vMerge/>
            <w:shd w:val="clear" w:color="auto" w:fill="201547"/>
            <w:hideMark/>
          </w:tcPr>
          <w:p w14:paraId="7897CE8D" w14:textId="77777777" w:rsidR="00ED0B45" w:rsidRPr="00ED0B45" w:rsidRDefault="00ED0B45" w:rsidP="00ED0B45">
            <w:pPr>
              <w:spacing w:after="0" w:line="240" w:lineRule="auto"/>
              <w:rPr>
                <w:rFonts w:cs="Arial"/>
                <w:b/>
                <w:bCs/>
                <w:color w:val="FFFFFF"/>
                <w:sz w:val="16"/>
                <w:szCs w:val="16"/>
                <w:lang w:eastAsia="en-AU"/>
              </w:rPr>
            </w:pPr>
          </w:p>
        </w:tc>
        <w:tc>
          <w:tcPr>
            <w:tcW w:w="936" w:type="dxa"/>
            <w:vMerge/>
            <w:shd w:val="clear" w:color="auto" w:fill="201547"/>
            <w:hideMark/>
          </w:tcPr>
          <w:p w14:paraId="72DBF52D" w14:textId="77777777" w:rsidR="00ED0B45" w:rsidRPr="00ED0B45" w:rsidRDefault="00ED0B45" w:rsidP="00ED0B45">
            <w:pPr>
              <w:spacing w:after="0" w:line="240" w:lineRule="auto"/>
              <w:rPr>
                <w:rFonts w:cs="Arial"/>
                <w:b/>
                <w:bCs/>
                <w:color w:val="FFFFFF"/>
                <w:sz w:val="16"/>
                <w:szCs w:val="16"/>
                <w:lang w:eastAsia="en-AU"/>
              </w:rPr>
            </w:pPr>
          </w:p>
        </w:tc>
        <w:tc>
          <w:tcPr>
            <w:tcW w:w="936" w:type="dxa"/>
            <w:vMerge/>
            <w:shd w:val="clear" w:color="auto" w:fill="201547"/>
            <w:hideMark/>
          </w:tcPr>
          <w:p w14:paraId="7B59A639" w14:textId="77777777" w:rsidR="00ED0B45" w:rsidRPr="00ED0B45" w:rsidRDefault="00ED0B45" w:rsidP="00ED0B45">
            <w:pPr>
              <w:spacing w:after="0" w:line="240" w:lineRule="auto"/>
              <w:rPr>
                <w:rFonts w:cs="Arial"/>
                <w:b/>
                <w:bCs/>
                <w:color w:val="FFFFFF"/>
                <w:sz w:val="16"/>
                <w:szCs w:val="16"/>
                <w:lang w:eastAsia="en-AU"/>
              </w:rPr>
            </w:pPr>
          </w:p>
        </w:tc>
        <w:tc>
          <w:tcPr>
            <w:tcW w:w="936" w:type="dxa"/>
            <w:vMerge/>
            <w:shd w:val="clear" w:color="auto" w:fill="201547"/>
            <w:hideMark/>
          </w:tcPr>
          <w:p w14:paraId="394AC1AF" w14:textId="77777777" w:rsidR="00ED0B45" w:rsidRPr="00ED0B45" w:rsidRDefault="00ED0B45" w:rsidP="00ED0B45">
            <w:pPr>
              <w:spacing w:after="0" w:line="240" w:lineRule="auto"/>
              <w:rPr>
                <w:rFonts w:cs="Arial"/>
                <w:b/>
                <w:bCs/>
                <w:color w:val="FFFFFF"/>
                <w:sz w:val="16"/>
                <w:szCs w:val="16"/>
                <w:lang w:eastAsia="en-AU"/>
              </w:rPr>
            </w:pPr>
          </w:p>
        </w:tc>
        <w:tc>
          <w:tcPr>
            <w:tcW w:w="936" w:type="dxa"/>
            <w:vMerge/>
            <w:shd w:val="clear" w:color="auto" w:fill="201547"/>
            <w:hideMark/>
          </w:tcPr>
          <w:p w14:paraId="03F51C7C" w14:textId="77777777" w:rsidR="00ED0B45" w:rsidRPr="00ED0B45" w:rsidRDefault="00ED0B45" w:rsidP="00ED0B45">
            <w:pPr>
              <w:spacing w:after="0" w:line="240" w:lineRule="auto"/>
              <w:rPr>
                <w:rFonts w:cs="Arial"/>
                <w:b/>
                <w:bCs/>
                <w:color w:val="FFFFFF"/>
                <w:sz w:val="16"/>
                <w:szCs w:val="16"/>
                <w:lang w:eastAsia="en-AU"/>
              </w:rPr>
            </w:pPr>
          </w:p>
        </w:tc>
        <w:tc>
          <w:tcPr>
            <w:tcW w:w="1013" w:type="dxa"/>
            <w:vMerge/>
            <w:shd w:val="clear" w:color="auto" w:fill="201547"/>
            <w:hideMark/>
          </w:tcPr>
          <w:p w14:paraId="6D528694" w14:textId="77777777" w:rsidR="00ED0B45" w:rsidRPr="00ED0B45" w:rsidRDefault="00ED0B45" w:rsidP="00ED0B45">
            <w:pPr>
              <w:spacing w:after="0" w:line="240" w:lineRule="auto"/>
              <w:rPr>
                <w:rFonts w:cs="Arial"/>
                <w:b/>
                <w:bCs/>
                <w:color w:val="FFFFFF"/>
                <w:sz w:val="16"/>
                <w:szCs w:val="16"/>
                <w:lang w:eastAsia="en-AU"/>
              </w:rPr>
            </w:pPr>
          </w:p>
        </w:tc>
        <w:tc>
          <w:tcPr>
            <w:tcW w:w="995" w:type="dxa"/>
            <w:vMerge/>
            <w:shd w:val="clear" w:color="auto" w:fill="201547"/>
            <w:hideMark/>
          </w:tcPr>
          <w:p w14:paraId="1201CB30" w14:textId="77777777" w:rsidR="00ED0B45" w:rsidRPr="00ED0B45" w:rsidRDefault="00ED0B45" w:rsidP="00ED0B45">
            <w:pPr>
              <w:spacing w:after="0" w:line="240" w:lineRule="auto"/>
              <w:rPr>
                <w:rFonts w:cs="Arial"/>
                <w:b/>
                <w:bCs/>
                <w:color w:val="FFFFFF"/>
                <w:sz w:val="16"/>
                <w:szCs w:val="16"/>
                <w:lang w:eastAsia="en-AU"/>
              </w:rPr>
            </w:pPr>
          </w:p>
        </w:tc>
        <w:tc>
          <w:tcPr>
            <w:tcW w:w="1050" w:type="dxa"/>
            <w:vMerge/>
            <w:shd w:val="clear" w:color="auto" w:fill="201547"/>
            <w:hideMark/>
          </w:tcPr>
          <w:p w14:paraId="69DCA7CF" w14:textId="77777777" w:rsidR="00ED0B45" w:rsidRPr="00ED0B45" w:rsidRDefault="00ED0B45" w:rsidP="00ED0B45">
            <w:pPr>
              <w:spacing w:after="0" w:line="240" w:lineRule="auto"/>
              <w:rPr>
                <w:rFonts w:cs="Arial"/>
                <w:b/>
                <w:bCs/>
                <w:color w:val="FFFFFF"/>
                <w:sz w:val="16"/>
                <w:szCs w:val="16"/>
                <w:lang w:eastAsia="en-AU"/>
              </w:rPr>
            </w:pPr>
          </w:p>
        </w:tc>
      </w:tr>
      <w:tr w:rsidR="00ED0B45" w:rsidRPr="00ED0B45" w14:paraId="7CE3BD2B" w14:textId="77777777" w:rsidTr="006F5AB1">
        <w:trPr>
          <w:trHeight w:val="232"/>
        </w:trPr>
        <w:tc>
          <w:tcPr>
            <w:tcW w:w="1271" w:type="dxa"/>
            <w:vMerge/>
            <w:shd w:val="clear" w:color="auto" w:fill="201547"/>
            <w:hideMark/>
          </w:tcPr>
          <w:p w14:paraId="04E989B8" w14:textId="77777777" w:rsidR="00ED0B45" w:rsidRPr="00ED0B45" w:rsidRDefault="00ED0B45" w:rsidP="00ED0B45">
            <w:pPr>
              <w:spacing w:after="0" w:line="240" w:lineRule="auto"/>
              <w:rPr>
                <w:rFonts w:cs="Arial"/>
                <w:b/>
                <w:bCs/>
                <w:color w:val="FFFFFF"/>
                <w:sz w:val="16"/>
                <w:szCs w:val="16"/>
                <w:lang w:eastAsia="en-AU"/>
              </w:rPr>
            </w:pPr>
          </w:p>
        </w:tc>
        <w:tc>
          <w:tcPr>
            <w:tcW w:w="1074" w:type="dxa"/>
            <w:shd w:val="clear" w:color="auto" w:fill="201547"/>
            <w:hideMark/>
          </w:tcPr>
          <w:p w14:paraId="0E5505EE"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1193" w:type="dxa"/>
            <w:shd w:val="clear" w:color="auto" w:fill="201547"/>
            <w:hideMark/>
          </w:tcPr>
          <w:p w14:paraId="6ED123C5"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1012" w:type="dxa"/>
            <w:shd w:val="clear" w:color="auto" w:fill="201547"/>
            <w:hideMark/>
          </w:tcPr>
          <w:p w14:paraId="68563220"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1033" w:type="dxa"/>
            <w:shd w:val="clear" w:color="auto" w:fill="201547"/>
            <w:hideMark/>
          </w:tcPr>
          <w:p w14:paraId="4DCDF5AD"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35" w:type="dxa"/>
            <w:shd w:val="clear" w:color="auto" w:fill="201547"/>
            <w:hideMark/>
          </w:tcPr>
          <w:p w14:paraId="7156D7F2"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36" w:type="dxa"/>
            <w:shd w:val="clear" w:color="auto" w:fill="201547"/>
            <w:hideMark/>
          </w:tcPr>
          <w:p w14:paraId="2BA7408C"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36" w:type="dxa"/>
            <w:shd w:val="clear" w:color="auto" w:fill="201547"/>
            <w:hideMark/>
          </w:tcPr>
          <w:p w14:paraId="4A640869"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36" w:type="dxa"/>
            <w:shd w:val="clear" w:color="auto" w:fill="201547"/>
            <w:hideMark/>
          </w:tcPr>
          <w:p w14:paraId="7AA37DE8"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36" w:type="dxa"/>
            <w:shd w:val="clear" w:color="auto" w:fill="201547"/>
            <w:hideMark/>
          </w:tcPr>
          <w:p w14:paraId="6D221E58"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36" w:type="dxa"/>
            <w:shd w:val="clear" w:color="auto" w:fill="201547"/>
            <w:hideMark/>
          </w:tcPr>
          <w:p w14:paraId="50F319EB"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36" w:type="dxa"/>
            <w:shd w:val="clear" w:color="auto" w:fill="201547"/>
            <w:hideMark/>
          </w:tcPr>
          <w:p w14:paraId="19362144"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1013" w:type="dxa"/>
            <w:shd w:val="clear" w:color="auto" w:fill="201547"/>
            <w:hideMark/>
          </w:tcPr>
          <w:p w14:paraId="4CA6FFD3"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995" w:type="dxa"/>
            <w:shd w:val="clear" w:color="auto" w:fill="201547"/>
            <w:hideMark/>
          </w:tcPr>
          <w:p w14:paraId="3DB11E7D"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c>
          <w:tcPr>
            <w:tcW w:w="1050" w:type="dxa"/>
            <w:shd w:val="clear" w:color="auto" w:fill="201547"/>
            <w:hideMark/>
          </w:tcPr>
          <w:p w14:paraId="4EEB7D46"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$'000s</w:t>
            </w:r>
          </w:p>
        </w:tc>
      </w:tr>
      <w:tr w:rsidR="00ED0B45" w:rsidRPr="00ED0B45" w14:paraId="2ADC516B" w14:textId="77777777" w:rsidTr="006F5AB1">
        <w:trPr>
          <w:trHeight w:val="454"/>
        </w:trPr>
        <w:tc>
          <w:tcPr>
            <w:tcW w:w="1271" w:type="dxa"/>
            <w:hideMark/>
          </w:tcPr>
          <w:p w14:paraId="47DD1953"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Albury Wodonga Health</w:t>
            </w:r>
          </w:p>
        </w:tc>
        <w:tc>
          <w:tcPr>
            <w:tcW w:w="1074" w:type="dxa"/>
            <w:noWrap/>
            <w:hideMark/>
          </w:tcPr>
          <w:p w14:paraId="082164FD"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304,790</w:t>
            </w:r>
          </w:p>
        </w:tc>
        <w:tc>
          <w:tcPr>
            <w:tcW w:w="1193" w:type="dxa"/>
            <w:noWrap/>
            <w:hideMark/>
          </w:tcPr>
          <w:p w14:paraId="042BFD9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110,896</w:t>
            </w:r>
          </w:p>
        </w:tc>
        <w:tc>
          <w:tcPr>
            <w:tcW w:w="1012" w:type="dxa"/>
            <w:noWrap/>
            <w:hideMark/>
          </w:tcPr>
          <w:p w14:paraId="26ACBF8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12,745</w:t>
            </w:r>
          </w:p>
        </w:tc>
        <w:tc>
          <w:tcPr>
            <w:tcW w:w="1033" w:type="dxa"/>
            <w:noWrap/>
            <w:hideMark/>
          </w:tcPr>
          <w:p w14:paraId="4C3D96C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21,715</w:t>
            </w:r>
          </w:p>
        </w:tc>
        <w:tc>
          <w:tcPr>
            <w:tcW w:w="935" w:type="dxa"/>
            <w:noWrap/>
            <w:hideMark/>
          </w:tcPr>
          <w:p w14:paraId="71CE5B9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6,753</w:t>
            </w:r>
          </w:p>
        </w:tc>
        <w:tc>
          <w:tcPr>
            <w:tcW w:w="936" w:type="dxa"/>
            <w:noWrap/>
            <w:hideMark/>
          </w:tcPr>
          <w:p w14:paraId="149C56A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1,262</w:t>
            </w:r>
          </w:p>
        </w:tc>
        <w:tc>
          <w:tcPr>
            <w:tcW w:w="936" w:type="dxa"/>
            <w:noWrap/>
            <w:hideMark/>
          </w:tcPr>
          <w:p w14:paraId="4CB5BB8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3,045</w:t>
            </w:r>
          </w:p>
        </w:tc>
        <w:tc>
          <w:tcPr>
            <w:tcW w:w="936" w:type="dxa"/>
            <w:noWrap/>
            <w:hideMark/>
          </w:tcPr>
          <w:p w14:paraId="72E923D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8,298</w:t>
            </w:r>
          </w:p>
        </w:tc>
        <w:tc>
          <w:tcPr>
            <w:tcW w:w="936" w:type="dxa"/>
            <w:noWrap/>
            <w:hideMark/>
          </w:tcPr>
          <w:p w14:paraId="751075C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22,962</w:t>
            </w:r>
          </w:p>
        </w:tc>
        <w:tc>
          <w:tcPr>
            <w:tcW w:w="936" w:type="dxa"/>
            <w:noWrap/>
            <w:hideMark/>
          </w:tcPr>
          <w:p w14:paraId="13830D3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6,070</w:t>
            </w:r>
          </w:p>
        </w:tc>
        <w:tc>
          <w:tcPr>
            <w:tcW w:w="936" w:type="dxa"/>
            <w:noWrap/>
            <w:hideMark/>
          </w:tcPr>
          <w:p w14:paraId="259EBA3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5559C10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127,609</w:t>
            </w:r>
          </w:p>
        </w:tc>
        <w:tc>
          <w:tcPr>
            <w:tcW w:w="995" w:type="dxa"/>
            <w:noWrap/>
            <w:hideMark/>
          </w:tcPr>
          <w:p w14:paraId="6F4EA0C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367AC278"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321,354</w:t>
            </w:r>
          </w:p>
        </w:tc>
      </w:tr>
      <w:tr w:rsidR="00ED0B45" w:rsidRPr="00ED0B45" w14:paraId="100CF79A" w14:textId="77777777" w:rsidTr="006F5AB1">
        <w:trPr>
          <w:trHeight w:val="324"/>
        </w:trPr>
        <w:tc>
          <w:tcPr>
            <w:tcW w:w="1271" w:type="dxa"/>
            <w:hideMark/>
          </w:tcPr>
          <w:p w14:paraId="612C31E3"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Alfred Health</w:t>
            </w:r>
          </w:p>
        </w:tc>
        <w:tc>
          <w:tcPr>
            <w:tcW w:w="1074" w:type="dxa"/>
            <w:noWrap/>
            <w:hideMark/>
          </w:tcPr>
          <w:p w14:paraId="7782BE42"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1,052,508</w:t>
            </w:r>
          </w:p>
        </w:tc>
        <w:tc>
          <w:tcPr>
            <w:tcW w:w="1193" w:type="dxa"/>
            <w:noWrap/>
            <w:hideMark/>
          </w:tcPr>
          <w:p w14:paraId="6DC9E04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647,713</w:t>
            </w:r>
          </w:p>
        </w:tc>
        <w:tc>
          <w:tcPr>
            <w:tcW w:w="1012" w:type="dxa"/>
            <w:noWrap/>
            <w:hideMark/>
          </w:tcPr>
          <w:p w14:paraId="74AE498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80,658</w:t>
            </w:r>
          </w:p>
        </w:tc>
        <w:tc>
          <w:tcPr>
            <w:tcW w:w="1033" w:type="dxa"/>
            <w:noWrap/>
            <w:hideMark/>
          </w:tcPr>
          <w:p w14:paraId="5D47A75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78,154</w:t>
            </w:r>
          </w:p>
        </w:tc>
        <w:tc>
          <w:tcPr>
            <w:tcW w:w="935" w:type="dxa"/>
            <w:noWrap/>
            <w:hideMark/>
          </w:tcPr>
          <w:p w14:paraId="20ECAD92"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66,624</w:t>
            </w:r>
          </w:p>
        </w:tc>
        <w:tc>
          <w:tcPr>
            <w:tcW w:w="936" w:type="dxa"/>
            <w:noWrap/>
            <w:hideMark/>
          </w:tcPr>
          <w:p w14:paraId="32CB8D8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2,374</w:t>
            </w:r>
          </w:p>
        </w:tc>
        <w:tc>
          <w:tcPr>
            <w:tcW w:w="936" w:type="dxa"/>
            <w:noWrap/>
            <w:hideMark/>
          </w:tcPr>
          <w:p w14:paraId="46009B6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18,476</w:t>
            </w:r>
          </w:p>
        </w:tc>
        <w:tc>
          <w:tcPr>
            <w:tcW w:w="936" w:type="dxa"/>
            <w:noWrap/>
            <w:hideMark/>
          </w:tcPr>
          <w:p w14:paraId="20569CD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38,526</w:t>
            </w:r>
          </w:p>
        </w:tc>
        <w:tc>
          <w:tcPr>
            <w:tcW w:w="936" w:type="dxa"/>
            <w:noWrap/>
            <w:hideMark/>
          </w:tcPr>
          <w:p w14:paraId="35CB45C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49,640</w:t>
            </w:r>
          </w:p>
        </w:tc>
        <w:tc>
          <w:tcPr>
            <w:tcW w:w="936" w:type="dxa"/>
            <w:noWrap/>
            <w:hideMark/>
          </w:tcPr>
          <w:p w14:paraId="52400E0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16,037</w:t>
            </w:r>
          </w:p>
        </w:tc>
        <w:tc>
          <w:tcPr>
            <w:tcW w:w="936" w:type="dxa"/>
            <w:noWrap/>
            <w:hideMark/>
          </w:tcPr>
          <w:p w14:paraId="7E66E14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42,432</w:t>
            </w:r>
          </w:p>
        </w:tc>
        <w:tc>
          <w:tcPr>
            <w:tcW w:w="1013" w:type="dxa"/>
            <w:noWrap/>
            <w:hideMark/>
          </w:tcPr>
          <w:p w14:paraId="4BDC7C1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124,256</w:t>
            </w:r>
          </w:p>
        </w:tc>
        <w:tc>
          <w:tcPr>
            <w:tcW w:w="995" w:type="dxa"/>
            <w:noWrap/>
            <w:hideMark/>
          </w:tcPr>
          <w:p w14:paraId="6491536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1,300</w:t>
            </w:r>
          </w:p>
        </w:tc>
        <w:tc>
          <w:tcPr>
            <w:tcW w:w="1050" w:type="dxa"/>
            <w:noWrap/>
            <w:hideMark/>
          </w:tcPr>
          <w:p w14:paraId="3639501D"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1,166,188</w:t>
            </w:r>
          </w:p>
        </w:tc>
      </w:tr>
      <w:tr w:rsidR="00ED0B45" w:rsidRPr="00ED0B45" w14:paraId="55BFE7B2" w14:textId="77777777" w:rsidTr="006F5AB1">
        <w:trPr>
          <w:trHeight w:val="324"/>
        </w:trPr>
        <w:tc>
          <w:tcPr>
            <w:tcW w:w="1271" w:type="dxa"/>
            <w:hideMark/>
          </w:tcPr>
          <w:p w14:paraId="5C8395E7"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Austin Health</w:t>
            </w:r>
          </w:p>
        </w:tc>
        <w:tc>
          <w:tcPr>
            <w:tcW w:w="1074" w:type="dxa"/>
            <w:noWrap/>
            <w:hideMark/>
          </w:tcPr>
          <w:p w14:paraId="3F1A9948"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881,250</w:t>
            </w:r>
          </w:p>
        </w:tc>
        <w:tc>
          <w:tcPr>
            <w:tcW w:w="1193" w:type="dxa"/>
            <w:noWrap/>
            <w:hideMark/>
          </w:tcPr>
          <w:p w14:paraId="7A773B3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595,006</w:t>
            </w:r>
          </w:p>
        </w:tc>
        <w:tc>
          <w:tcPr>
            <w:tcW w:w="1012" w:type="dxa"/>
            <w:noWrap/>
            <w:hideMark/>
          </w:tcPr>
          <w:p w14:paraId="4B289C6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74,631</w:t>
            </w:r>
          </w:p>
        </w:tc>
        <w:tc>
          <w:tcPr>
            <w:tcW w:w="1033" w:type="dxa"/>
            <w:noWrap/>
            <w:hideMark/>
          </w:tcPr>
          <w:p w14:paraId="7005F8C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67,210</w:t>
            </w:r>
          </w:p>
        </w:tc>
        <w:tc>
          <w:tcPr>
            <w:tcW w:w="935" w:type="dxa"/>
            <w:noWrap/>
            <w:hideMark/>
          </w:tcPr>
          <w:p w14:paraId="3026F6A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57,325</w:t>
            </w:r>
          </w:p>
        </w:tc>
        <w:tc>
          <w:tcPr>
            <w:tcW w:w="936" w:type="dxa"/>
            <w:noWrap/>
            <w:hideMark/>
          </w:tcPr>
          <w:p w14:paraId="61D1AD1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967</w:t>
            </w:r>
          </w:p>
        </w:tc>
        <w:tc>
          <w:tcPr>
            <w:tcW w:w="936" w:type="dxa"/>
            <w:noWrap/>
            <w:hideMark/>
          </w:tcPr>
          <w:p w14:paraId="43EA940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17,765</w:t>
            </w:r>
          </w:p>
        </w:tc>
        <w:tc>
          <w:tcPr>
            <w:tcW w:w="936" w:type="dxa"/>
            <w:noWrap/>
            <w:hideMark/>
          </w:tcPr>
          <w:p w14:paraId="193D219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37,393</w:t>
            </w:r>
          </w:p>
        </w:tc>
        <w:tc>
          <w:tcPr>
            <w:tcW w:w="936" w:type="dxa"/>
            <w:noWrap/>
            <w:hideMark/>
          </w:tcPr>
          <w:p w14:paraId="593D6F6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30,020</w:t>
            </w:r>
          </w:p>
        </w:tc>
        <w:tc>
          <w:tcPr>
            <w:tcW w:w="936" w:type="dxa"/>
            <w:noWrap/>
            <w:hideMark/>
          </w:tcPr>
          <w:p w14:paraId="24E8617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17,539</w:t>
            </w:r>
          </w:p>
        </w:tc>
        <w:tc>
          <w:tcPr>
            <w:tcW w:w="936" w:type="dxa"/>
            <w:noWrap/>
            <w:hideMark/>
          </w:tcPr>
          <w:p w14:paraId="01F00D4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7139A6E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92,608</w:t>
            </w:r>
          </w:p>
        </w:tc>
        <w:tc>
          <w:tcPr>
            <w:tcW w:w="995" w:type="dxa"/>
            <w:noWrap/>
            <w:hideMark/>
          </w:tcPr>
          <w:p w14:paraId="4BC56E9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702FC8DA"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990,464</w:t>
            </w:r>
          </w:p>
        </w:tc>
      </w:tr>
      <w:tr w:rsidR="00ED0B45" w:rsidRPr="00ED0B45" w14:paraId="0C498D8E" w14:textId="77777777" w:rsidTr="006F5AB1">
        <w:trPr>
          <w:trHeight w:val="324"/>
        </w:trPr>
        <w:tc>
          <w:tcPr>
            <w:tcW w:w="1271" w:type="dxa"/>
            <w:hideMark/>
          </w:tcPr>
          <w:p w14:paraId="3E2878B2"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Barwon Health</w:t>
            </w:r>
          </w:p>
        </w:tc>
        <w:tc>
          <w:tcPr>
            <w:tcW w:w="1074" w:type="dxa"/>
            <w:noWrap/>
            <w:hideMark/>
          </w:tcPr>
          <w:p w14:paraId="31AB271F"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701,371</w:t>
            </w:r>
          </w:p>
        </w:tc>
        <w:tc>
          <w:tcPr>
            <w:tcW w:w="1193" w:type="dxa"/>
            <w:noWrap/>
            <w:hideMark/>
          </w:tcPr>
          <w:p w14:paraId="0E089DA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378,701</w:t>
            </w:r>
          </w:p>
        </w:tc>
        <w:tc>
          <w:tcPr>
            <w:tcW w:w="1012" w:type="dxa"/>
            <w:noWrap/>
            <w:hideMark/>
          </w:tcPr>
          <w:p w14:paraId="7B954E9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68,230</w:t>
            </w:r>
          </w:p>
        </w:tc>
        <w:tc>
          <w:tcPr>
            <w:tcW w:w="1033" w:type="dxa"/>
            <w:noWrap/>
            <w:hideMark/>
          </w:tcPr>
          <w:p w14:paraId="29F4A37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69,340</w:t>
            </w:r>
          </w:p>
        </w:tc>
        <w:tc>
          <w:tcPr>
            <w:tcW w:w="935" w:type="dxa"/>
            <w:noWrap/>
            <w:hideMark/>
          </w:tcPr>
          <w:p w14:paraId="292EDC8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32,939</w:t>
            </w:r>
          </w:p>
        </w:tc>
        <w:tc>
          <w:tcPr>
            <w:tcW w:w="936" w:type="dxa"/>
            <w:noWrap/>
            <w:hideMark/>
          </w:tcPr>
          <w:p w14:paraId="05CEDC8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4,536</w:t>
            </w:r>
          </w:p>
        </w:tc>
        <w:tc>
          <w:tcPr>
            <w:tcW w:w="936" w:type="dxa"/>
            <w:noWrap/>
            <w:hideMark/>
          </w:tcPr>
          <w:p w14:paraId="6BEF8E7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12,612</w:t>
            </w:r>
          </w:p>
        </w:tc>
        <w:tc>
          <w:tcPr>
            <w:tcW w:w="936" w:type="dxa"/>
            <w:noWrap/>
            <w:hideMark/>
          </w:tcPr>
          <w:p w14:paraId="603A7B5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30,357</w:t>
            </w:r>
          </w:p>
        </w:tc>
        <w:tc>
          <w:tcPr>
            <w:tcW w:w="936" w:type="dxa"/>
            <w:noWrap/>
            <w:hideMark/>
          </w:tcPr>
          <w:p w14:paraId="3E9ADDA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43,808</w:t>
            </w:r>
          </w:p>
        </w:tc>
        <w:tc>
          <w:tcPr>
            <w:tcW w:w="936" w:type="dxa"/>
            <w:noWrap/>
            <w:hideMark/>
          </w:tcPr>
          <w:p w14:paraId="5636EF3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8,617</w:t>
            </w:r>
          </w:p>
        </w:tc>
        <w:tc>
          <w:tcPr>
            <w:tcW w:w="936" w:type="dxa"/>
            <w:noWrap/>
            <w:hideMark/>
          </w:tcPr>
          <w:p w14:paraId="1484FC9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40,305</w:t>
            </w:r>
          </w:p>
        </w:tc>
        <w:tc>
          <w:tcPr>
            <w:tcW w:w="1013" w:type="dxa"/>
            <w:noWrap/>
            <w:hideMark/>
          </w:tcPr>
          <w:p w14:paraId="4CDBB36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67,418</w:t>
            </w:r>
          </w:p>
        </w:tc>
        <w:tc>
          <w:tcPr>
            <w:tcW w:w="995" w:type="dxa"/>
            <w:noWrap/>
            <w:hideMark/>
          </w:tcPr>
          <w:p w14:paraId="237E623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428BA69C"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756,863</w:t>
            </w:r>
          </w:p>
        </w:tc>
      </w:tr>
      <w:tr w:rsidR="00ED0B45" w:rsidRPr="00ED0B45" w14:paraId="69A82A84" w14:textId="77777777" w:rsidTr="006F5AB1">
        <w:trPr>
          <w:trHeight w:val="324"/>
        </w:trPr>
        <w:tc>
          <w:tcPr>
            <w:tcW w:w="1271" w:type="dxa"/>
            <w:hideMark/>
          </w:tcPr>
          <w:p w14:paraId="7CC84B23"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Bendigo Health</w:t>
            </w:r>
          </w:p>
        </w:tc>
        <w:tc>
          <w:tcPr>
            <w:tcW w:w="1074" w:type="dxa"/>
            <w:noWrap/>
            <w:hideMark/>
          </w:tcPr>
          <w:p w14:paraId="2AF78AA6"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405,674</w:t>
            </w:r>
          </w:p>
        </w:tc>
        <w:tc>
          <w:tcPr>
            <w:tcW w:w="1193" w:type="dxa"/>
            <w:noWrap/>
            <w:hideMark/>
          </w:tcPr>
          <w:p w14:paraId="758EC01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216,573</w:t>
            </w:r>
          </w:p>
        </w:tc>
        <w:tc>
          <w:tcPr>
            <w:tcW w:w="1012" w:type="dxa"/>
            <w:noWrap/>
            <w:hideMark/>
          </w:tcPr>
          <w:p w14:paraId="006D397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39,506</w:t>
            </w:r>
          </w:p>
        </w:tc>
        <w:tc>
          <w:tcPr>
            <w:tcW w:w="1033" w:type="dxa"/>
            <w:noWrap/>
            <w:hideMark/>
          </w:tcPr>
          <w:p w14:paraId="794303D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41,969</w:t>
            </w:r>
          </w:p>
        </w:tc>
        <w:tc>
          <w:tcPr>
            <w:tcW w:w="935" w:type="dxa"/>
            <w:noWrap/>
            <w:hideMark/>
          </w:tcPr>
          <w:p w14:paraId="1AF6447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28,314</w:t>
            </w:r>
          </w:p>
        </w:tc>
        <w:tc>
          <w:tcPr>
            <w:tcW w:w="936" w:type="dxa"/>
            <w:noWrap/>
            <w:hideMark/>
          </w:tcPr>
          <w:p w14:paraId="74AE537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4,307</w:t>
            </w:r>
          </w:p>
        </w:tc>
        <w:tc>
          <w:tcPr>
            <w:tcW w:w="936" w:type="dxa"/>
            <w:noWrap/>
            <w:hideMark/>
          </w:tcPr>
          <w:p w14:paraId="5EC3DC5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9,221</w:t>
            </w:r>
          </w:p>
        </w:tc>
        <w:tc>
          <w:tcPr>
            <w:tcW w:w="936" w:type="dxa"/>
            <w:noWrap/>
            <w:hideMark/>
          </w:tcPr>
          <w:p w14:paraId="1AE8916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24,936</w:t>
            </w:r>
          </w:p>
        </w:tc>
        <w:tc>
          <w:tcPr>
            <w:tcW w:w="936" w:type="dxa"/>
            <w:noWrap/>
            <w:hideMark/>
          </w:tcPr>
          <w:p w14:paraId="671F052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40,931</w:t>
            </w:r>
          </w:p>
        </w:tc>
        <w:tc>
          <w:tcPr>
            <w:tcW w:w="936" w:type="dxa"/>
            <w:noWrap/>
            <w:hideMark/>
          </w:tcPr>
          <w:p w14:paraId="2C1619E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10,070</w:t>
            </w:r>
          </w:p>
        </w:tc>
        <w:tc>
          <w:tcPr>
            <w:tcW w:w="936" w:type="dxa"/>
            <w:noWrap/>
            <w:hideMark/>
          </w:tcPr>
          <w:p w14:paraId="66ECF0E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2AE3F33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20,067</w:t>
            </w:r>
          </w:p>
        </w:tc>
        <w:tc>
          <w:tcPr>
            <w:tcW w:w="995" w:type="dxa"/>
            <w:noWrap/>
            <w:hideMark/>
          </w:tcPr>
          <w:p w14:paraId="05F7530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7C386A7C"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435,892</w:t>
            </w:r>
          </w:p>
        </w:tc>
      </w:tr>
      <w:tr w:rsidR="00ED0B45" w:rsidRPr="00ED0B45" w14:paraId="34CC944F" w14:textId="77777777" w:rsidTr="006F5AB1">
        <w:trPr>
          <w:trHeight w:val="454"/>
        </w:trPr>
        <w:tc>
          <w:tcPr>
            <w:tcW w:w="1271" w:type="dxa"/>
            <w:hideMark/>
          </w:tcPr>
          <w:p w14:paraId="7373F5B2"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Calvary Health Care Bethlehem Limited</w:t>
            </w:r>
          </w:p>
        </w:tc>
        <w:tc>
          <w:tcPr>
            <w:tcW w:w="1074" w:type="dxa"/>
            <w:noWrap/>
            <w:hideMark/>
          </w:tcPr>
          <w:p w14:paraId="42A5B582"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22,977</w:t>
            </w:r>
          </w:p>
        </w:tc>
        <w:tc>
          <w:tcPr>
            <w:tcW w:w="1193" w:type="dxa"/>
            <w:noWrap/>
            <w:hideMark/>
          </w:tcPr>
          <w:p w14:paraId="6A31223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2,055</w:t>
            </w:r>
          </w:p>
        </w:tc>
        <w:tc>
          <w:tcPr>
            <w:tcW w:w="1012" w:type="dxa"/>
            <w:noWrap/>
            <w:hideMark/>
          </w:tcPr>
          <w:p w14:paraId="79FA06E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5,510</w:t>
            </w:r>
          </w:p>
        </w:tc>
        <w:tc>
          <w:tcPr>
            <w:tcW w:w="1033" w:type="dxa"/>
            <w:noWrap/>
            <w:hideMark/>
          </w:tcPr>
          <w:p w14:paraId="07E76F8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5" w:type="dxa"/>
            <w:noWrap/>
            <w:hideMark/>
          </w:tcPr>
          <w:p w14:paraId="54ADB2D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8,085</w:t>
            </w:r>
          </w:p>
        </w:tc>
        <w:tc>
          <w:tcPr>
            <w:tcW w:w="936" w:type="dxa"/>
            <w:noWrap/>
            <w:hideMark/>
          </w:tcPr>
          <w:p w14:paraId="26B3533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6,975</w:t>
            </w:r>
          </w:p>
        </w:tc>
        <w:tc>
          <w:tcPr>
            <w:tcW w:w="936" w:type="dxa"/>
            <w:noWrap/>
            <w:hideMark/>
          </w:tcPr>
          <w:p w14:paraId="488C9F7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515</w:t>
            </w:r>
          </w:p>
        </w:tc>
        <w:tc>
          <w:tcPr>
            <w:tcW w:w="936" w:type="dxa"/>
            <w:noWrap/>
            <w:hideMark/>
          </w:tcPr>
          <w:p w14:paraId="55CEE92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7DD280B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0FA0AB4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21D7584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5D633A7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908</w:t>
            </w:r>
          </w:p>
        </w:tc>
        <w:tc>
          <w:tcPr>
            <w:tcW w:w="995" w:type="dxa"/>
            <w:noWrap/>
            <w:hideMark/>
          </w:tcPr>
          <w:p w14:paraId="42C6E5C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636A21D7"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24,048</w:t>
            </w:r>
          </w:p>
        </w:tc>
      </w:tr>
      <w:tr w:rsidR="00ED0B45" w:rsidRPr="00ED0B45" w14:paraId="5C628442" w14:textId="77777777" w:rsidTr="006F5AB1">
        <w:trPr>
          <w:trHeight w:val="324"/>
        </w:trPr>
        <w:tc>
          <w:tcPr>
            <w:tcW w:w="1271" w:type="dxa"/>
            <w:hideMark/>
          </w:tcPr>
          <w:p w14:paraId="2762675A"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Eastern Health</w:t>
            </w:r>
          </w:p>
        </w:tc>
        <w:tc>
          <w:tcPr>
            <w:tcW w:w="1074" w:type="dxa"/>
            <w:noWrap/>
            <w:hideMark/>
          </w:tcPr>
          <w:p w14:paraId="0523BA92"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1,044,862</w:t>
            </w:r>
          </w:p>
        </w:tc>
        <w:tc>
          <w:tcPr>
            <w:tcW w:w="1193" w:type="dxa"/>
            <w:noWrap/>
            <w:hideMark/>
          </w:tcPr>
          <w:p w14:paraId="46B9227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586,221</w:t>
            </w:r>
          </w:p>
        </w:tc>
        <w:tc>
          <w:tcPr>
            <w:tcW w:w="1012" w:type="dxa"/>
            <w:noWrap/>
            <w:hideMark/>
          </w:tcPr>
          <w:p w14:paraId="476C2E9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79,394</w:t>
            </w:r>
          </w:p>
        </w:tc>
        <w:tc>
          <w:tcPr>
            <w:tcW w:w="1033" w:type="dxa"/>
            <w:noWrap/>
            <w:hideMark/>
          </w:tcPr>
          <w:p w14:paraId="1C44E86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119,431</w:t>
            </w:r>
          </w:p>
        </w:tc>
        <w:tc>
          <w:tcPr>
            <w:tcW w:w="935" w:type="dxa"/>
            <w:noWrap/>
            <w:hideMark/>
          </w:tcPr>
          <w:p w14:paraId="1A95313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66,317</w:t>
            </w:r>
          </w:p>
        </w:tc>
        <w:tc>
          <w:tcPr>
            <w:tcW w:w="936" w:type="dxa"/>
            <w:noWrap/>
            <w:hideMark/>
          </w:tcPr>
          <w:p w14:paraId="688E6E8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3B33704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16,191</w:t>
            </w:r>
          </w:p>
        </w:tc>
        <w:tc>
          <w:tcPr>
            <w:tcW w:w="936" w:type="dxa"/>
            <w:noWrap/>
            <w:hideMark/>
          </w:tcPr>
          <w:p w14:paraId="3F6682C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51,738</w:t>
            </w:r>
          </w:p>
        </w:tc>
        <w:tc>
          <w:tcPr>
            <w:tcW w:w="936" w:type="dxa"/>
            <w:noWrap/>
            <w:hideMark/>
          </w:tcPr>
          <w:p w14:paraId="5AB4986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101,164</w:t>
            </w:r>
          </w:p>
        </w:tc>
        <w:tc>
          <w:tcPr>
            <w:tcW w:w="936" w:type="dxa"/>
            <w:noWrap/>
            <w:hideMark/>
          </w:tcPr>
          <w:p w14:paraId="5D46E45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19,728</w:t>
            </w:r>
          </w:p>
        </w:tc>
        <w:tc>
          <w:tcPr>
            <w:tcW w:w="936" w:type="dxa"/>
            <w:noWrap/>
            <w:hideMark/>
          </w:tcPr>
          <w:p w14:paraId="03B3617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13AE9CA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72,960</w:t>
            </w:r>
          </w:p>
        </w:tc>
        <w:tc>
          <w:tcPr>
            <w:tcW w:w="995" w:type="dxa"/>
            <w:noWrap/>
            <w:hideMark/>
          </w:tcPr>
          <w:p w14:paraId="2CBC494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4E54BCE7"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1,113,144</w:t>
            </w:r>
          </w:p>
        </w:tc>
      </w:tr>
      <w:tr w:rsidR="00ED0B45" w:rsidRPr="00ED0B45" w14:paraId="68B1EC55" w14:textId="77777777" w:rsidTr="006F5AB1">
        <w:trPr>
          <w:trHeight w:val="324"/>
        </w:trPr>
        <w:tc>
          <w:tcPr>
            <w:tcW w:w="1271" w:type="dxa"/>
            <w:hideMark/>
          </w:tcPr>
          <w:p w14:paraId="4A78B0D7"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Goulburn Valley Health</w:t>
            </w:r>
          </w:p>
        </w:tc>
        <w:tc>
          <w:tcPr>
            <w:tcW w:w="1074" w:type="dxa"/>
            <w:noWrap/>
            <w:hideMark/>
          </w:tcPr>
          <w:p w14:paraId="13251248"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289,588</w:t>
            </w:r>
          </w:p>
        </w:tc>
        <w:tc>
          <w:tcPr>
            <w:tcW w:w="1193" w:type="dxa"/>
            <w:noWrap/>
            <w:hideMark/>
          </w:tcPr>
          <w:p w14:paraId="103B166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174,932</w:t>
            </w:r>
          </w:p>
        </w:tc>
        <w:tc>
          <w:tcPr>
            <w:tcW w:w="1012" w:type="dxa"/>
            <w:noWrap/>
            <w:hideMark/>
          </w:tcPr>
          <w:p w14:paraId="45D6EA0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25,553</w:t>
            </w:r>
          </w:p>
        </w:tc>
        <w:tc>
          <w:tcPr>
            <w:tcW w:w="1033" w:type="dxa"/>
            <w:noWrap/>
            <w:hideMark/>
          </w:tcPr>
          <w:p w14:paraId="60DDA18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42,051</w:t>
            </w:r>
          </w:p>
        </w:tc>
        <w:tc>
          <w:tcPr>
            <w:tcW w:w="935" w:type="dxa"/>
            <w:noWrap/>
            <w:hideMark/>
          </w:tcPr>
          <w:p w14:paraId="318AA9B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16,040</w:t>
            </w:r>
          </w:p>
        </w:tc>
        <w:tc>
          <w:tcPr>
            <w:tcW w:w="936" w:type="dxa"/>
            <w:noWrap/>
            <w:hideMark/>
          </w:tcPr>
          <w:p w14:paraId="2F9D73A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466A7A8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5,353</w:t>
            </w:r>
          </w:p>
        </w:tc>
        <w:tc>
          <w:tcPr>
            <w:tcW w:w="936" w:type="dxa"/>
            <w:noWrap/>
            <w:hideMark/>
          </w:tcPr>
          <w:p w14:paraId="7DEC457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7,816</w:t>
            </w:r>
          </w:p>
        </w:tc>
        <w:tc>
          <w:tcPr>
            <w:tcW w:w="936" w:type="dxa"/>
            <w:noWrap/>
            <w:hideMark/>
          </w:tcPr>
          <w:p w14:paraId="6C32DD8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24,140</w:t>
            </w:r>
          </w:p>
        </w:tc>
        <w:tc>
          <w:tcPr>
            <w:tcW w:w="936" w:type="dxa"/>
            <w:noWrap/>
            <w:hideMark/>
          </w:tcPr>
          <w:p w14:paraId="766A178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6,049</w:t>
            </w:r>
          </w:p>
        </w:tc>
        <w:tc>
          <w:tcPr>
            <w:tcW w:w="936" w:type="dxa"/>
            <w:noWrap/>
            <w:hideMark/>
          </w:tcPr>
          <w:p w14:paraId="5F16786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7C14FA5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21,798</w:t>
            </w:r>
          </w:p>
        </w:tc>
        <w:tc>
          <w:tcPr>
            <w:tcW w:w="995" w:type="dxa"/>
            <w:noWrap/>
            <w:hideMark/>
          </w:tcPr>
          <w:p w14:paraId="4BD4413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28D750AC"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323,732</w:t>
            </w:r>
          </w:p>
        </w:tc>
      </w:tr>
      <w:tr w:rsidR="00ED0B45" w:rsidRPr="00ED0B45" w14:paraId="438A3850" w14:textId="77777777" w:rsidTr="006F5AB1">
        <w:trPr>
          <w:trHeight w:val="324"/>
        </w:trPr>
        <w:tc>
          <w:tcPr>
            <w:tcW w:w="1271" w:type="dxa"/>
            <w:hideMark/>
          </w:tcPr>
          <w:p w14:paraId="0CC47976"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Grampians Health</w:t>
            </w:r>
          </w:p>
        </w:tc>
        <w:tc>
          <w:tcPr>
            <w:tcW w:w="1074" w:type="dxa"/>
            <w:noWrap/>
            <w:hideMark/>
          </w:tcPr>
          <w:p w14:paraId="68744BA7"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514,301</w:t>
            </w:r>
          </w:p>
        </w:tc>
        <w:tc>
          <w:tcPr>
            <w:tcW w:w="1193" w:type="dxa"/>
            <w:noWrap/>
            <w:hideMark/>
          </w:tcPr>
          <w:p w14:paraId="508730D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275,744</w:t>
            </w:r>
          </w:p>
        </w:tc>
        <w:tc>
          <w:tcPr>
            <w:tcW w:w="1012" w:type="dxa"/>
            <w:noWrap/>
            <w:hideMark/>
          </w:tcPr>
          <w:p w14:paraId="6D68920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41,272</w:t>
            </w:r>
          </w:p>
        </w:tc>
        <w:tc>
          <w:tcPr>
            <w:tcW w:w="1033" w:type="dxa"/>
            <w:noWrap/>
            <w:hideMark/>
          </w:tcPr>
          <w:p w14:paraId="5FB6D0B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54,215</w:t>
            </w:r>
          </w:p>
        </w:tc>
        <w:tc>
          <w:tcPr>
            <w:tcW w:w="935" w:type="dxa"/>
            <w:noWrap/>
            <w:hideMark/>
          </w:tcPr>
          <w:p w14:paraId="0370C7F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28,338</w:t>
            </w:r>
          </w:p>
        </w:tc>
        <w:tc>
          <w:tcPr>
            <w:tcW w:w="936" w:type="dxa"/>
            <w:noWrap/>
            <w:hideMark/>
          </w:tcPr>
          <w:p w14:paraId="18B4AC12"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1,657</w:t>
            </w:r>
          </w:p>
        </w:tc>
        <w:tc>
          <w:tcPr>
            <w:tcW w:w="936" w:type="dxa"/>
            <w:noWrap/>
            <w:hideMark/>
          </w:tcPr>
          <w:p w14:paraId="6639F7B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11,816</w:t>
            </w:r>
          </w:p>
        </w:tc>
        <w:tc>
          <w:tcPr>
            <w:tcW w:w="936" w:type="dxa"/>
            <w:noWrap/>
            <w:hideMark/>
          </w:tcPr>
          <w:p w14:paraId="58E21F9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17,193</w:t>
            </w:r>
          </w:p>
        </w:tc>
        <w:tc>
          <w:tcPr>
            <w:tcW w:w="936" w:type="dxa"/>
            <w:noWrap/>
            <w:hideMark/>
          </w:tcPr>
          <w:p w14:paraId="75E3EA4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32,076</w:t>
            </w:r>
          </w:p>
        </w:tc>
        <w:tc>
          <w:tcPr>
            <w:tcW w:w="936" w:type="dxa"/>
            <w:noWrap/>
            <w:hideMark/>
          </w:tcPr>
          <w:p w14:paraId="43A0A07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7,971</w:t>
            </w:r>
          </w:p>
        </w:tc>
        <w:tc>
          <w:tcPr>
            <w:tcW w:w="936" w:type="dxa"/>
            <w:noWrap/>
            <w:hideMark/>
          </w:tcPr>
          <w:p w14:paraId="0439692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2982AD52"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65,911</w:t>
            </w:r>
          </w:p>
        </w:tc>
        <w:tc>
          <w:tcPr>
            <w:tcW w:w="995" w:type="dxa"/>
            <w:noWrap/>
            <w:hideMark/>
          </w:tcPr>
          <w:p w14:paraId="153FDB3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4DC977D7"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536,194</w:t>
            </w:r>
          </w:p>
        </w:tc>
      </w:tr>
      <w:tr w:rsidR="00ED0B45" w:rsidRPr="00ED0B45" w14:paraId="301DF758" w14:textId="77777777" w:rsidTr="006F5AB1">
        <w:trPr>
          <w:trHeight w:val="454"/>
        </w:trPr>
        <w:tc>
          <w:tcPr>
            <w:tcW w:w="1271" w:type="dxa"/>
            <w:hideMark/>
          </w:tcPr>
          <w:p w14:paraId="289F1E92"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lastRenderedPageBreak/>
              <w:t>Latrobe Regional Hospital</w:t>
            </w:r>
          </w:p>
        </w:tc>
        <w:tc>
          <w:tcPr>
            <w:tcW w:w="1074" w:type="dxa"/>
            <w:noWrap/>
            <w:hideMark/>
          </w:tcPr>
          <w:p w14:paraId="7B6481C8"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272,096</w:t>
            </w:r>
          </w:p>
        </w:tc>
        <w:tc>
          <w:tcPr>
            <w:tcW w:w="1193" w:type="dxa"/>
            <w:noWrap/>
            <w:hideMark/>
          </w:tcPr>
          <w:p w14:paraId="59D3BF1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131,718</w:t>
            </w:r>
          </w:p>
        </w:tc>
        <w:tc>
          <w:tcPr>
            <w:tcW w:w="1012" w:type="dxa"/>
            <w:noWrap/>
            <w:hideMark/>
          </w:tcPr>
          <w:p w14:paraId="2B5651F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17,785</w:t>
            </w:r>
          </w:p>
        </w:tc>
        <w:tc>
          <w:tcPr>
            <w:tcW w:w="1033" w:type="dxa"/>
            <w:noWrap/>
            <w:hideMark/>
          </w:tcPr>
          <w:p w14:paraId="299403B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33,853</w:t>
            </w:r>
          </w:p>
        </w:tc>
        <w:tc>
          <w:tcPr>
            <w:tcW w:w="935" w:type="dxa"/>
            <w:noWrap/>
            <w:hideMark/>
          </w:tcPr>
          <w:p w14:paraId="2E5F752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15,451</w:t>
            </w:r>
          </w:p>
        </w:tc>
        <w:tc>
          <w:tcPr>
            <w:tcW w:w="936" w:type="dxa"/>
            <w:noWrap/>
            <w:hideMark/>
          </w:tcPr>
          <w:p w14:paraId="1F1DFB5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731</w:t>
            </w:r>
          </w:p>
        </w:tc>
        <w:tc>
          <w:tcPr>
            <w:tcW w:w="936" w:type="dxa"/>
            <w:noWrap/>
            <w:hideMark/>
          </w:tcPr>
          <w:p w14:paraId="5C3FE57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5,127</w:t>
            </w:r>
          </w:p>
        </w:tc>
        <w:tc>
          <w:tcPr>
            <w:tcW w:w="936" w:type="dxa"/>
            <w:noWrap/>
            <w:hideMark/>
          </w:tcPr>
          <w:p w14:paraId="1A53BEA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17,655</w:t>
            </w:r>
          </w:p>
        </w:tc>
        <w:tc>
          <w:tcPr>
            <w:tcW w:w="936" w:type="dxa"/>
            <w:noWrap/>
            <w:hideMark/>
          </w:tcPr>
          <w:p w14:paraId="19C703F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37,008</w:t>
            </w:r>
          </w:p>
        </w:tc>
        <w:tc>
          <w:tcPr>
            <w:tcW w:w="936" w:type="dxa"/>
            <w:noWrap/>
            <w:hideMark/>
          </w:tcPr>
          <w:p w14:paraId="02F0AE2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9,433</w:t>
            </w:r>
          </w:p>
        </w:tc>
        <w:tc>
          <w:tcPr>
            <w:tcW w:w="936" w:type="dxa"/>
            <w:noWrap/>
            <w:hideMark/>
          </w:tcPr>
          <w:p w14:paraId="6656765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1E07F0A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10,507</w:t>
            </w:r>
          </w:p>
        </w:tc>
        <w:tc>
          <w:tcPr>
            <w:tcW w:w="995" w:type="dxa"/>
            <w:noWrap/>
            <w:hideMark/>
          </w:tcPr>
          <w:p w14:paraId="31A92FB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42980D31"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279,269</w:t>
            </w:r>
          </w:p>
        </w:tc>
      </w:tr>
      <w:tr w:rsidR="00ED0B45" w:rsidRPr="00ED0B45" w14:paraId="2AC161D7" w14:textId="77777777" w:rsidTr="006F5AB1">
        <w:trPr>
          <w:trHeight w:val="324"/>
        </w:trPr>
        <w:tc>
          <w:tcPr>
            <w:tcW w:w="1271" w:type="dxa"/>
            <w:hideMark/>
          </w:tcPr>
          <w:p w14:paraId="08A6BC32"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Melbourne Health</w:t>
            </w:r>
          </w:p>
        </w:tc>
        <w:tc>
          <w:tcPr>
            <w:tcW w:w="1074" w:type="dxa"/>
            <w:noWrap/>
            <w:hideMark/>
          </w:tcPr>
          <w:p w14:paraId="7F8E79BD"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1,133,404</w:t>
            </w:r>
          </w:p>
        </w:tc>
        <w:tc>
          <w:tcPr>
            <w:tcW w:w="1193" w:type="dxa"/>
            <w:noWrap/>
            <w:hideMark/>
          </w:tcPr>
          <w:p w14:paraId="17E154F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575,004</w:t>
            </w:r>
          </w:p>
        </w:tc>
        <w:tc>
          <w:tcPr>
            <w:tcW w:w="1012" w:type="dxa"/>
            <w:noWrap/>
            <w:hideMark/>
          </w:tcPr>
          <w:p w14:paraId="3A85C47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89,549</w:t>
            </w:r>
          </w:p>
        </w:tc>
        <w:tc>
          <w:tcPr>
            <w:tcW w:w="1033" w:type="dxa"/>
            <w:noWrap/>
            <w:hideMark/>
          </w:tcPr>
          <w:p w14:paraId="38CF450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66,442</w:t>
            </w:r>
          </w:p>
        </w:tc>
        <w:tc>
          <w:tcPr>
            <w:tcW w:w="935" w:type="dxa"/>
            <w:noWrap/>
            <w:hideMark/>
          </w:tcPr>
          <w:p w14:paraId="0296F23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49,639</w:t>
            </w:r>
          </w:p>
        </w:tc>
        <w:tc>
          <w:tcPr>
            <w:tcW w:w="936" w:type="dxa"/>
            <w:noWrap/>
            <w:hideMark/>
          </w:tcPr>
          <w:p w14:paraId="73D5BF1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2,211</w:t>
            </w:r>
          </w:p>
        </w:tc>
        <w:tc>
          <w:tcPr>
            <w:tcW w:w="936" w:type="dxa"/>
            <w:noWrap/>
            <w:hideMark/>
          </w:tcPr>
          <w:p w14:paraId="6A1133F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23,653</w:t>
            </w:r>
          </w:p>
        </w:tc>
        <w:tc>
          <w:tcPr>
            <w:tcW w:w="936" w:type="dxa"/>
            <w:noWrap/>
            <w:hideMark/>
          </w:tcPr>
          <w:p w14:paraId="310394A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121,209</w:t>
            </w:r>
          </w:p>
        </w:tc>
        <w:tc>
          <w:tcPr>
            <w:tcW w:w="936" w:type="dxa"/>
            <w:noWrap/>
            <w:hideMark/>
          </w:tcPr>
          <w:p w14:paraId="716B73A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181,828</w:t>
            </w:r>
          </w:p>
        </w:tc>
        <w:tc>
          <w:tcPr>
            <w:tcW w:w="936" w:type="dxa"/>
            <w:noWrap/>
            <w:hideMark/>
          </w:tcPr>
          <w:p w14:paraId="4241DB5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21,909</w:t>
            </w:r>
          </w:p>
        </w:tc>
        <w:tc>
          <w:tcPr>
            <w:tcW w:w="936" w:type="dxa"/>
            <w:noWrap/>
            <w:hideMark/>
          </w:tcPr>
          <w:p w14:paraId="738764B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2C2F22A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98,201</w:t>
            </w:r>
          </w:p>
        </w:tc>
        <w:tc>
          <w:tcPr>
            <w:tcW w:w="995" w:type="dxa"/>
            <w:noWrap/>
            <w:hideMark/>
          </w:tcPr>
          <w:p w14:paraId="27517C2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7C146D9B"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1,229,643</w:t>
            </w:r>
          </w:p>
        </w:tc>
      </w:tr>
      <w:tr w:rsidR="00ED0B45" w:rsidRPr="00ED0B45" w14:paraId="6465B10A" w14:textId="77777777" w:rsidTr="006F5AB1">
        <w:trPr>
          <w:trHeight w:val="454"/>
        </w:trPr>
        <w:tc>
          <w:tcPr>
            <w:tcW w:w="1271" w:type="dxa"/>
            <w:hideMark/>
          </w:tcPr>
          <w:p w14:paraId="57D337F1"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Mercy Hospitals Victoria Limited</w:t>
            </w:r>
          </w:p>
        </w:tc>
        <w:tc>
          <w:tcPr>
            <w:tcW w:w="1074" w:type="dxa"/>
            <w:noWrap/>
            <w:hideMark/>
          </w:tcPr>
          <w:p w14:paraId="5D15F34A"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457,383</w:t>
            </w:r>
          </w:p>
        </w:tc>
        <w:tc>
          <w:tcPr>
            <w:tcW w:w="1193" w:type="dxa"/>
            <w:noWrap/>
            <w:hideMark/>
          </w:tcPr>
          <w:p w14:paraId="2E23367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285,728</w:t>
            </w:r>
          </w:p>
        </w:tc>
        <w:tc>
          <w:tcPr>
            <w:tcW w:w="1012" w:type="dxa"/>
            <w:noWrap/>
            <w:hideMark/>
          </w:tcPr>
          <w:p w14:paraId="17ECA81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41,893</w:t>
            </w:r>
          </w:p>
        </w:tc>
        <w:tc>
          <w:tcPr>
            <w:tcW w:w="1033" w:type="dxa"/>
            <w:noWrap/>
            <w:hideMark/>
          </w:tcPr>
          <w:p w14:paraId="6CF8D9F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42,006</w:t>
            </w:r>
          </w:p>
        </w:tc>
        <w:tc>
          <w:tcPr>
            <w:tcW w:w="935" w:type="dxa"/>
            <w:noWrap/>
            <w:hideMark/>
          </w:tcPr>
          <w:p w14:paraId="21CF86C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9,514</w:t>
            </w:r>
          </w:p>
        </w:tc>
        <w:tc>
          <w:tcPr>
            <w:tcW w:w="936" w:type="dxa"/>
            <w:noWrap/>
            <w:hideMark/>
          </w:tcPr>
          <w:p w14:paraId="3171EE8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7AD8D5B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5,260</w:t>
            </w:r>
          </w:p>
        </w:tc>
        <w:tc>
          <w:tcPr>
            <w:tcW w:w="936" w:type="dxa"/>
            <w:noWrap/>
            <w:hideMark/>
          </w:tcPr>
          <w:p w14:paraId="6B8C709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30,528</w:t>
            </w:r>
          </w:p>
        </w:tc>
        <w:tc>
          <w:tcPr>
            <w:tcW w:w="936" w:type="dxa"/>
            <w:noWrap/>
            <w:hideMark/>
          </w:tcPr>
          <w:p w14:paraId="05C7AB2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44,822</w:t>
            </w:r>
          </w:p>
        </w:tc>
        <w:tc>
          <w:tcPr>
            <w:tcW w:w="936" w:type="dxa"/>
            <w:noWrap/>
            <w:hideMark/>
          </w:tcPr>
          <w:p w14:paraId="57FE5C8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1,594</w:t>
            </w:r>
          </w:p>
        </w:tc>
        <w:tc>
          <w:tcPr>
            <w:tcW w:w="936" w:type="dxa"/>
            <w:noWrap/>
            <w:hideMark/>
          </w:tcPr>
          <w:p w14:paraId="54305A9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5E1051D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19,730</w:t>
            </w:r>
          </w:p>
        </w:tc>
        <w:tc>
          <w:tcPr>
            <w:tcW w:w="995" w:type="dxa"/>
            <w:noWrap/>
            <w:hideMark/>
          </w:tcPr>
          <w:p w14:paraId="33213A3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1CC23867"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481,074</w:t>
            </w:r>
          </w:p>
        </w:tc>
      </w:tr>
      <w:tr w:rsidR="00ED0B45" w:rsidRPr="00ED0B45" w14:paraId="72BBFCE0" w14:textId="77777777" w:rsidTr="006F5AB1">
        <w:trPr>
          <w:trHeight w:val="324"/>
        </w:trPr>
        <w:tc>
          <w:tcPr>
            <w:tcW w:w="1271" w:type="dxa"/>
            <w:hideMark/>
          </w:tcPr>
          <w:p w14:paraId="2C45AF64"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Monash Health</w:t>
            </w:r>
          </w:p>
        </w:tc>
        <w:tc>
          <w:tcPr>
            <w:tcW w:w="1074" w:type="dxa"/>
            <w:noWrap/>
            <w:hideMark/>
          </w:tcPr>
          <w:p w14:paraId="0866523E"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1,880,397</w:t>
            </w:r>
          </w:p>
        </w:tc>
        <w:tc>
          <w:tcPr>
            <w:tcW w:w="1193" w:type="dxa"/>
            <w:noWrap/>
            <w:hideMark/>
          </w:tcPr>
          <w:p w14:paraId="586DCFD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1,186,960</w:t>
            </w:r>
          </w:p>
        </w:tc>
        <w:tc>
          <w:tcPr>
            <w:tcW w:w="1012" w:type="dxa"/>
            <w:noWrap/>
            <w:hideMark/>
          </w:tcPr>
          <w:p w14:paraId="07CC4C1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150,891</w:t>
            </w:r>
          </w:p>
        </w:tc>
        <w:tc>
          <w:tcPr>
            <w:tcW w:w="1033" w:type="dxa"/>
            <w:noWrap/>
            <w:hideMark/>
          </w:tcPr>
          <w:p w14:paraId="4390036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163,787</w:t>
            </w:r>
          </w:p>
        </w:tc>
        <w:tc>
          <w:tcPr>
            <w:tcW w:w="935" w:type="dxa"/>
            <w:noWrap/>
            <w:hideMark/>
          </w:tcPr>
          <w:p w14:paraId="06DF08E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80,306</w:t>
            </w:r>
          </w:p>
        </w:tc>
        <w:tc>
          <w:tcPr>
            <w:tcW w:w="936" w:type="dxa"/>
            <w:noWrap/>
            <w:hideMark/>
          </w:tcPr>
          <w:p w14:paraId="3564EC7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1,019</w:t>
            </w:r>
          </w:p>
        </w:tc>
        <w:tc>
          <w:tcPr>
            <w:tcW w:w="936" w:type="dxa"/>
            <w:noWrap/>
            <w:hideMark/>
          </w:tcPr>
          <w:p w14:paraId="7BCF8E2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31,904</w:t>
            </w:r>
          </w:p>
        </w:tc>
        <w:tc>
          <w:tcPr>
            <w:tcW w:w="936" w:type="dxa"/>
            <w:noWrap/>
            <w:hideMark/>
          </w:tcPr>
          <w:p w14:paraId="648E607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93,458</w:t>
            </w:r>
          </w:p>
        </w:tc>
        <w:tc>
          <w:tcPr>
            <w:tcW w:w="936" w:type="dxa"/>
            <w:noWrap/>
            <w:hideMark/>
          </w:tcPr>
          <w:p w14:paraId="4517827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131,822</w:t>
            </w:r>
          </w:p>
        </w:tc>
        <w:tc>
          <w:tcPr>
            <w:tcW w:w="936" w:type="dxa"/>
            <w:noWrap/>
            <w:hideMark/>
          </w:tcPr>
          <w:p w14:paraId="31F58CF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24,716</w:t>
            </w:r>
          </w:p>
        </w:tc>
        <w:tc>
          <w:tcPr>
            <w:tcW w:w="936" w:type="dxa"/>
            <w:noWrap/>
            <w:hideMark/>
          </w:tcPr>
          <w:p w14:paraId="342CAE6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69,230</w:t>
            </w:r>
          </w:p>
        </w:tc>
        <w:tc>
          <w:tcPr>
            <w:tcW w:w="1013" w:type="dxa"/>
            <w:noWrap/>
            <w:hideMark/>
          </w:tcPr>
          <w:p w14:paraId="312A74E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103,703</w:t>
            </w:r>
          </w:p>
        </w:tc>
        <w:tc>
          <w:tcPr>
            <w:tcW w:w="995" w:type="dxa"/>
            <w:noWrap/>
            <w:hideMark/>
          </w:tcPr>
          <w:p w14:paraId="44D3046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6E5CB862"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2,037,797</w:t>
            </w:r>
          </w:p>
        </w:tc>
      </w:tr>
      <w:tr w:rsidR="00ED0B45" w:rsidRPr="00ED0B45" w14:paraId="41788CFF" w14:textId="77777777" w:rsidTr="006F5AB1">
        <w:trPr>
          <w:trHeight w:val="324"/>
        </w:trPr>
        <w:tc>
          <w:tcPr>
            <w:tcW w:w="1271" w:type="dxa"/>
            <w:hideMark/>
          </w:tcPr>
          <w:p w14:paraId="30E100A8"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Northern Health</w:t>
            </w:r>
          </w:p>
        </w:tc>
        <w:tc>
          <w:tcPr>
            <w:tcW w:w="1074" w:type="dxa"/>
            <w:noWrap/>
            <w:hideMark/>
          </w:tcPr>
          <w:p w14:paraId="42E2FA6F"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613,420</w:t>
            </w:r>
          </w:p>
        </w:tc>
        <w:tc>
          <w:tcPr>
            <w:tcW w:w="1193" w:type="dxa"/>
            <w:noWrap/>
            <w:hideMark/>
          </w:tcPr>
          <w:p w14:paraId="18AE402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395,303</w:t>
            </w:r>
          </w:p>
        </w:tc>
        <w:tc>
          <w:tcPr>
            <w:tcW w:w="1012" w:type="dxa"/>
            <w:noWrap/>
            <w:hideMark/>
          </w:tcPr>
          <w:p w14:paraId="6FDFEB1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67,186</w:t>
            </w:r>
          </w:p>
        </w:tc>
        <w:tc>
          <w:tcPr>
            <w:tcW w:w="1033" w:type="dxa"/>
            <w:noWrap/>
            <w:hideMark/>
          </w:tcPr>
          <w:p w14:paraId="7C4B944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82,745</w:t>
            </w:r>
          </w:p>
        </w:tc>
        <w:tc>
          <w:tcPr>
            <w:tcW w:w="935" w:type="dxa"/>
            <w:noWrap/>
            <w:hideMark/>
          </w:tcPr>
          <w:p w14:paraId="7A84FCA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42,632</w:t>
            </w:r>
          </w:p>
        </w:tc>
        <w:tc>
          <w:tcPr>
            <w:tcW w:w="936" w:type="dxa"/>
            <w:noWrap/>
            <w:hideMark/>
          </w:tcPr>
          <w:p w14:paraId="5ADD72C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7C89FE1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9,853</w:t>
            </w:r>
          </w:p>
        </w:tc>
        <w:tc>
          <w:tcPr>
            <w:tcW w:w="936" w:type="dxa"/>
            <w:noWrap/>
            <w:hideMark/>
          </w:tcPr>
          <w:p w14:paraId="54E657A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3,801</w:t>
            </w:r>
          </w:p>
        </w:tc>
        <w:tc>
          <w:tcPr>
            <w:tcW w:w="936" w:type="dxa"/>
            <w:noWrap/>
            <w:hideMark/>
          </w:tcPr>
          <w:p w14:paraId="23BCA53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918</w:t>
            </w:r>
          </w:p>
        </w:tc>
        <w:tc>
          <w:tcPr>
            <w:tcW w:w="936" w:type="dxa"/>
            <w:noWrap/>
            <w:hideMark/>
          </w:tcPr>
          <w:p w14:paraId="171AEDC6"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7F2080A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29,146</w:t>
            </w:r>
          </w:p>
        </w:tc>
        <w:tc>
          <w:tcPr>
            <w:tcW w:w="1013" w:type="dxa"/>
            <w:noWrap/>
            <w:hideMark/>
          </w:tcPr>
          <w:p w14:paraId="1CF4313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45,034</w:t>
            </w:r>
          </w:p>
        </w:tc>
        <w:tc>
          <w:tcPr>
            <w:tcW w:w="995" w:type="dxa"/>
            <w:noWrap/>
            <w:hideMark/>
          </w:tcPr>
          <w:p w14:paraId="5F115E8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38634BF0"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676,619</w:t>
            </w:r>
          </w:p>
        </w:tc>
      </w:tr>
      <w:tr w:rsidR="00ED0B45" w:rsidRPr="00ED0B45" w14:paraId="2E78697B" w14:textId="77777777" w:rsidTr="006F5AB1">
        <w:trPr>
          <w:trHeight w:val="324"/>
        </w:trPr>
        <w:tc>
          <w:tcPr>
            <w:tcW w:w="1271" w:type="dxa"/>
            <w:hideMark/>
          </w:tcPr>
          <w:p w14:paraId="48C5DB64"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Peninsula Health</w:t>
            </w:r>
          </w:p>
        </w:tc>
        <w:tc>
          <w:tcPr>
            <w:tcW w:w="1074" w:type="dxa"/>
            <w:noWrap/>
            <w:hideMark/>
          </w:tcPr>
          <w:p w14:paraId="697E737A"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622,189</w:t>
            </w:r>
          </w:p>
        </w:tc>
        <w:tc>
          <w:tcPr>
            <w:tcW w:w="1193" w:type="dxa"/>
            <w:noWrap/>
            <w:hideMark/>
          </w:tcPr>
          <w:p w14:paraId="3320FB9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375,117</w:t>
            </w:r>
          </w:p>
        </w:tc>
        <w:tc>
          <w:tcPr>
            <w:tcW w:w="1012" w:type="dxa"/>
            <w:noWrap/>
            <w:hideMark/>
          </w:tcPr>
          <w:p w14:paraId="1360BBC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37,992</w:t>
            </w:r>
          </w:p>
        </w:tc>
        <w:tc>
          <w:tcPr>
            <w:tcW w:w="1033" w:type="dxa"/>
            <w:noWrap/>
            <w:hideMark/>
          </w:tcPr>
          <w:p w14:paraId="010FA42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78,278</w:t>
            </w:r>
          </w:p>
        </w:tc>
        <w:tc>
          <w:tcPr>
            <w:tcW w:w="935" w:type="dxa"/>
            <w:noWrap/>
            <w:hideMark/>
          </w:tcPr>
          <w:p w14:paraId="5019E34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52,107</w:t>
            </w:r>
          </w:p>
        </w:tc>
        <w:tc>
          <w:tcPr>
            <w:tcW w:w="936" w:type="dxa"/>
            <w:noWrap/>
            <w:hideMark/>
          </w:tcPr>
          <w:p w14:paraId="0C311CF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208</w:t>
            </w:r>
          </w:p>
        </w:tc>
        <w:tc>
          <w:tcPr>
            <w:tcW w:w="936" w:type="dxa"/>
            <w:noWrap/>
            <w:hideMark/>
          </w:tcPr>
          <w:p w14:paraId="5330426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8,516</w:t>
            </w:r>
          </w:p>
        </w:tc>
        <w:tc>
          <w:tcPr>
            <w:tcW w:w="936" w:type="dxa"/>
            <w:noWrap/>
            <w:hideMark/>
          </w:tcPr>
          <w:p w14:paraId="7D708F7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17,697</w:t>
            </w:r>
          </w:p>
        </w:tc>
        <w:tc>
          <w:tcPr>
            <w:tcW w:w="936" w:type="dxa"/>
            <w:noWrap/>
            <w:hideMark/>
          </w:tcPr>
          <w:p w14:paraId="623C691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46,100</w:t>
            </w:r>
          </w:p>
        </w:tc>
        <w:tc>
          <w:tcPr>
            <w:tcW w:w="936" w:type="dxa"/>
            <w:noWrap/>
            <w:hideMark/>
          </w:tcPr>
          <w:p w14:paraId="4299C09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3,142</w:t>
            </w:r>
          </w:p>
        </w:tc>
        <w:tc>
          <w:tcPr>
            <w:tcW w:w="936" w:type="dxa"/>
            <w:noWrap/>
            <w:hideMark/>
          </w:tcPr>
          <w:p w14:paraId="1F7D99F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3088C5B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66,057</w:t>
            </w:r>
          </w:p>
        </w:tc>
        <w:tc>
          <w:tcPr>
            <w:tcW w:w="995" w:type="dxa"/>
            <w:noWrap/>
            <w:hideMark/>
          </w:tcPr>
          <w:p w14:paraId="0A16CD2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27C96E25"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685,214</w:t>
            </w:r>
          </w:p>
        </w:tc>
      </w:tr>
      <w:tr w:rsidR="00ED0B45" w:rsidRPr="00ED0B45" w14:paraId="01011B96" w14:textId="77777777" w:rsidTr="006F5AB1">
        <w:trPr>
          <w:trHeight w:val="454"/>
        </w:trPr>
        <w:tc>
          <w:tcPr>
            <w:tcW w:w="1271" w:type="dxa"/>
            <w:hideMark/>
          </w:tcPr>
          <w:p w14:paraId="5C735864"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Peter MacCallum Cancer Institute</w:t>
            </w:r>
          </w:p>
        </w:tc>
        <w:tc>
          <w:tcPr>
            <w:tcW w:w="1074" w:type="dxa"/>
            <w:noWrap/>
            <w:hideMark/>
          </w:tcPr>
          <w:p w14:paraId="5012E3D2"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295,163</w:t>
            </w:r>
          </w:p>
        </w:tc>
        <w:tc>
          <w:tcPr>
            <w:tcW w:w="1193" w:type="dxa"/>
            <w:noWrap/>
            <w:hideMark/>
          </w:tcPr>
          <w:p w14:paraId="7FBAD3E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145,902</w:t>
            </w:r>
          </w:p>
        </w:tc>
        <w:tc>
          <w:tcPr>
            <w:tcW w:w="1012" w:type="dxa"/>
            <w:noWrap/>
            <w:hideMark/>
          </w:tcPr>
          <w:p w14:paraId="3D60B60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29,510</w:t>
            </w:r>
          </w:p>
        </w:tc>
        <w:tc>
          <w:tcPr>
            <w:tcW w:w="1033" w:type="dxa"/>
            <w:noWrap/>
            <w:hideMark/>
          </w:tcPr>
          <w:p w14:paraId="4234653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5" w:type="dxa"/>
            <w:noWrap/>
            <w:hideMark/>
          </w:tcPr>
          <w:p w14:paraId="6F1ACE2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4,595</w:t>
            </w:r>
          </w:p>
        </w:tc>
        <w:tc>
          <w:tcPr>
            <w:tcW w:w="936" w:type="dxa"/>
            <w:noWrap/>
            <w:hideMark/>
          </w:tcPr>
          <w:p w14:paraId="7264C28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1E88A79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2,831</w:t>
            </w:r>
          </w:p>
        </w:tc>
        <w:tc>
          <w:tcPr>
            <w:tcW w:w="936" w:type="dxa"/>
            <w:noWrap/>
            <w:hideMark/>
          </w:tcPr>
          <w:p w14:paraId="7B912164"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09BAF09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63AD977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1598A7A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1C65132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74,569</w:t>
            </w:r>
          </w:p>
        </w:tc>
        <w:tc>
          <w:tcPr>
            <w:tcW w:w="995" w:type="dxa"/>
            <w:noWrap/>
            <w:hideMark/>
          </w:tcPr>
          <w:p w14:paraId="6C9BA1D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47,105</w:t>
            </w:r>
          </w:p>
        </w:tc>
        <w:tc>
          <w:tcPr>
            <w:tcW w:w="1050" w:type="dxa"/>
            <w:noWrap/>
            <w:hideMark/>
          </w:tcPr>
          <w:p w14:paraId="299BBE0C"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304,513</w:t>
            </w:r>
          </w:p>
        </w:tc>
      </w:tr>
      <w:tr w:rsidR="00ED0B45" w:rsidRPr="00ED0B45" w14:paraId="03469611" w14:textId="77777777" w:rsidTr="006F5AB1">
        <w:trPr>
          <w:trHeight w:val="454"/>
        </w:trPr>
        <w:tc>
          <w:tcPr>
            <w:tcW w:w="1271" w:type="dxa"/>
            <w:hideMark/>
          </w:tcPr>
          <w:p w14:paraId="228C0AE8"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Royal Victorian Eye &amp; Ear Hospital</w:t>
            </w:r>
          </w:p>
        </w:tc>
        <w:tc>
          <w:tcPr>
            <w:tcW w:w="1074" w:type="dxa"/>
            <w:noWrap/>
            <w:hideMark/>
          </w:tcPr>
          <w:p w14:paraId="718B2FB6"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108,778</w:t>
            </w:r>
          </w:p>
        </w:tc>
        <w:tc>
          <w:tcPr>
            <w:tcW w:w="1193" w:type="dxa"/>
            <w:noWrap/>
            <w:hideMark/>
          </w:tcPr>
          <w:p w14:paraId="03B23EC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75,561</w:t>
            </w:r>
          </w:p>
        </w:tc>
        <w:tc>
          <w:tcPr>
            <w:tcW w:w="1012" w:type="dxa"/>
            <w:noWrap/>
            <w:hideMark/>
          </w:tcPr>
          <w:p w14:paraId="681E6E6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27,531</w:t>
            </w:r>
          </w:p>
        </w:tc>
        <w:tc>
          <w:tcPr>
            <w:tcW w:w="1033" w:type="dxa"/>
            <w:noWrap/>
            <w:hideMark/>
          </w:tcPr>
          <w:p w14:paraId="727EE5D2"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8,175</w:t>
            </w:r>
          </w:p>
        </w:tc>
        <w:tc>
          <w:tcPr>
            <w:tcW w:w="935" w:type="dxa"/>
            <w:noWrap/>
            <w:hideMark/>
          </w:tcPr>
          <w:p w14:paraId="0943992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372</w:t>
            </w:r>
          </w:p>
        </w:tc>
        <w:tc>
          <w:tcPr>
            <w:tcW w:w="936" w:type="dxa"/>
            <w:noWrap/>
            <w:hideMark/>
          </w:tcPr>
          <w:p w14:paraId="015774B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13255A8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1,855</w:t>
            </w:r>
          </w:p>
        </w:tc>
        <w:tc>
          <w:tcPr>
            <w:tcW w:w="936" w:type="dxa"/>
            <w:noWrap/>
            <w:hideMark/>
          </w:tcPr>
          <w:p w14:paraId="1B0E18C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06D855D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3461809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1B8E150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34C88CC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1,694</w:t>
            </w:r>
          </w:p>
        </w:tc>
        <w:tc>
          <w:tcPr>
            <w:tcW w:w="995" w:type="dxa"/>
            <w:noWrap/>
            <w:hideMark/>
          </w:tcPr>
          <w:p w14:paraId="0CCDCCC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876</w:t>
            </w:r>
          </w:p>
        </w:tc>
        <w:tc>
          <w:tcPr>
            <w:tcW w:w="1050" w:type="dxa"/>
            <w:noWrap/>
            <w:hideMark/>
          </w:tcPr>
          <w:p w14:paraId="4E36CB7F"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116,064</w:t>
            </w:r>
          </w:p>
        </w:tc>
      </w:tr>
      <w:tr w:rsidR="00ED0B45" w:rsidRPr="00ED0B45" w14:paraId="00141054" w14:textId="77777777" w:rsidTr="006F5AB1">
        <w:trPr>
          <w:trHeight w:val="454"/>
        </w:trPr>
        <w:tc>
          <w:tcPr>
            <w:tcW w:w="1271" w:type="dxa"/>
            <w:hideMark/>
          </w:tcPr>
          <w:p w14:paraId="45F7BA34"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St Vincent's Hospital Melbourne Limited</w:t>
            </w:r>
          </w:p>
        </w:tc>
        <w:tc>
          <w:tcPr>
            <w:tcW w:w="1074" w:type="dxa"/>
            <w:noWrap/>
            <w:hideMark/>
          </w:tcPr>
          <w:p w14:paraId="4BAF474A"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642,068</w:t>
            </w:r>
          </w:p>
        </w:tc>
        <w:tc>
          <w:tcPr>
            <w:tcW w:w="1193" w:type="dxa"/>
            <w:noWrap/>
            <w:hideMark/>
          </w:tcPr>
          <w:p w14:paraId="1E4ED00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365,759</w:t>
            </w:r>
          </w:p>
        </w:tc>
        <w:tc>
          <w:tcPr>
            <w:tcW w:w="1012" w:type="dxa"/>
            <w:noWrap/>
            <w:hideMark/>
          </w:tcPr>
          <w:p w14:paraId="508F76D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58,270</w:t>
            </w:r>
          </w:p>
        </w:tc>
        <w:tc>
          <w:tcPr>
            <w:tcW w:w="1033" w:type="dxa"/>
            <w:noWrap/>
            <w:hideMark/>
          </w:tcPr>
          <w:p w14:paraId="2ACE9E8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53,115</w:t>
            </w:r>
          </w:p>
        </w:tc>
        <w:tc>
          <w:tcPr>
            <w:tcW w:w="935" w:type="dxa"/>
            <w:noWrap/>
            <w:hideMark/>
          </w:tcPr>
          <w:p w14:paraId="53A3552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42,722</w:t>
            </w:r>
          </w:p>
        </w:tc>
        <w:tc>
          <w:tcPr>
            <w:tcW w:w="936" w:type="dxa"/>
            <w:noWrap/>
            <w:hideMark/>
          </w:tcPr>
          <w:p w14:paraId="3C06FCB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938</w:t>
            </w:r>
          </w:p>
        </w:tc>
        <w:tc>
          <w:tcPr>
            <w:tcW w:w="936" w:type="dxa"/>
            <w:noWrap/>
            <w:hideMark/>
          </w:tcPr>
          <w:p w14:paraId="731A6EE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18,248</w:t>
            </w:r>
          </w:p>
        </w:tc>
        <w:tc>
          <w:tcPr>
            <w:tcW w:w="936" w:type="dxa"/>
            <w:noWrap/>
            <w:hideMark/>
          </w:tcPr>
          <w:p w14:paraId="581E172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26,113</w:t>
            </w:r>
          </w:p>
        </w:tc>
        <w:tc>
          <w:tcPr>
            <w:tcW w:w="936" w:type="dxa"/>
            <w:noWrap/>
            <w:hideMark/>
          </w:tcPr>
          <w:p w14:paraId="156BB8B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51,259</w:t>
            </w:r>
          </w:p>
        </w:tc>
        <w:tc>
          <w:tcPr>
            <w:tcW w:w="936" w:type="dxa"/>
            <w:noWrap/>
            <w:hideMark/>
          </w:tcPr>
          <w:p w14:paraId="609B2EF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2,726</w:t>
            </w:r>
          </w:p>
        </w:tc>
        <w:tc>
          <w:tcPr>
            <w:tcW w:w="936" w:type="dxa"/>
            <w:noWrap/>
            <w:hideMark/>
          </w:tcPr>
          <w:p w14:paraId="3C664AD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3B521D6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54,779</w:t>
            </w:r>
          </w:p>
        </w:tc>
        <w:tc>
          <w:tcPr>
            <w:tcW w:w="995" w:type="dxa"/>
            <w:noWrap/>
            <w:hideMark/>
          </w:tcPr>
          <w:p w14:paraId="583DF51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5BEF7D6B"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673,928</w:t>
            </w:r>
          </w:p>
        </w:tc>
      </w:tr>
      <w:tr w:rsidR="00ED0B45" w:rsidRPr="00ED0B45" w14:paraId="51D03AD0" w14:textId="77777777" w:rsidTr="006F5AB1">
        <w:trPr>
          <w:trHeight w:val="454"/>
        </w:trPr>
        <w:tc>
          <w:tcPr>
            <w:tcW w:w="1271" w:type="dxa"/>
            <w:hideMark/>
          </w:tcPr>
          <w:p w14:paraId="1CC30B4F"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The Royal Children's Hospital</w:t>
            </w:r>
          </w:p>
        </w:tc>
        <w:tc>
          <w:tcPr>
            <w:tcW w:w="1074" w:type="dxa"/>
            <w:noWrap/>
            <w:hideMark/>
          </w:tcPr>
          <w:p w14:paraId="0195904C"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574,796</w:t>
            </w:r>
          </w:p>
        </w:tc>
        <w:tc>
          <w:tcPr>
            <w:tcW w:w="1193" w:type="dxa"/>
            <w:noWrap/>
            <w:hideMark/>
          </w:tcPr>
          <w:p w14:paraId="61CD765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392,294</w:t>
            </w:r>
          </w:p>
        </w:tc>
        <w:tc>
          <w:tcPr>
            <w:tcW w:w="1012" w:type="dxa"/>
            <w:noWrap/>
            <w:hideMark/>
          </w:tcPr>
          <w:p w14:paraId="2242EE4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62,400</w:t>
            </w:r>
          </w:p>
        </w:tc>
        <w:tc>
          <w:tcPr>
            <w:tcW w:w="1033" w:type="dxa"/>
            <w:noWrap/>
            <w:hideMark/>
          </w:tcPr>
          <w:p w14:paraId="7CBC284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53,886</w:t>
            </w:r>
          </w:p>
        </w:tc>
        <w:tc>
          <w:tcPr>
            <w:tcW w:w="935" w:type="dxa"/>
            <w:noWrap/>
            <w:hideMark/>
          </w:tcPr>
          <w:p w14:paraId="5963249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11,333</w:t>
            </w:r>
          </w:p>
        </w:tc>
        <w:tc>
          <w:tcPr>
            <w:tcW w:w="936" w:type="dxa"/>
            <w:noWrap/>
            <w:hideMark/>
          </w:tcPr>
          <w:p w14:paraId="4B803A4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10,345</w:t>
            </w:r>
          </w:p>
        </w:tc>
        <w:tc>
          <w:tcPr>
            <w:tcW w:w="936" w:type="dxa"/>
            <w:noWrap/>
            <w:hideMark/>
          </w:tcPr>
          <w:p w14:paraId="1148AC2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9,816</w:t>
            </w:r>
          </w:p>
        </w:tc>
        <w:tc>
          <w:tcPr>
            <w:tcW w:w="936" w:type="dxa"/>
            <w:noWrap/>
            <w:hideMark/>
          </w:tcPr>
          <w:p w14:paraId="2C023A4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5,608</w:t>
            </w:r>
          </w:p>
        </w:tc>
        <w:tc>
          <w:tcPr>
            <w:tcW w:w="936" w:type="dxa"/>
            <w:noWrap/>
            <w:hideMark/>
          </w:tcPr>
          <w:p w14:paraId="6C81856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4,645</w:t>
            </w:r>
          </w:p>
        </w:tc>
        <w:tc>
          <w:tcPr>
            <w:tcW w:w="936" w:type="dxa"/>
            <w:noWrap/>
            <w:hideMark/>
          </w:tcPr>
          <w:p w14:paraId="3FE7F70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18,167</w:t>
            </w:r>
          </w:p>
        </w:tc>
        <w:tc>
          <w:tcPr>
            <w:tcW w:w="936" w:type="dxa"/>
            <w:noWrap/>
            <w:hideMark/>
          </w:tcPr>
          <w:p w14:paraId="40FC479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2954593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17,835</w:t>
            </w:r>
          </w:p>
        </w:tc>
        <w:tc>
          <w:tcPr>
            <w:tcW w:w="995" w:type="dxa"/>
            <w:noWrap/>
            <w:hideMark/>
          </w:tcPr>
          <w:p w14:paraId="23EF13C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8,416</w:t>
            </w:r>
          </w:p>
        </w:tc>
        <w:tc>
          <w:tcPr>
            <w:tcW w:w="1050" w:type="dxa"/>
            <w:noWrap/>
            <w:hideMark/>
          </w:tcPr>
          <w:p w14:paraId="25D79F9A"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594,745</w:t>
            </w:r>
          </w:p>
        </w:tc>
      </w:tr>
      <w:tr w:rsidR="00ED0B45" w:rsidRPr="00ED0B45" w14:paraId="2647A574" w14:textId="77777777" w:rsidTr="006F5AB1">
        <w:trPr>
          <w:trHeight w:val="454"/>
        </w:trPr>
        <w:tc>
          <w:tcPr>
            <w:tcW w:w="1271" w:type="dxa"/>
            <w:hideMark/>
          </w:tcPr>
          <w:p w14:paraId="3C6D31C7"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The Royal Women's Hospital</w:t>
            </w:r>
          </w:p>
        </w:tc>
        <w:tc>
          <w:tcPr>
            <w:tcW w:w="1074" w:type="dxa"/>
            <w:noWrap/>
            <w:hideMark/>
          </w:tcPr>
          <w:p w14:paraId="441B6E91"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236,477</w:t>
            </w:r>
          </w:p>
        </w:tc>
        <w:tc>
          <w:tcPr>
            <w:tcW w:w="1193" w:type="dxa"/>
            <w:noWrap/>
            <w:hideMark/>
          </w:tcPr>
          <w:p w14:paraId="6B6D9142"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189,791</w:t>
            </w:r>
          </w:p>
        </w:tc>
        <w:tc>
          <w:tcPr>
            <w:tcW w:w="1012" w:type="dxa"/>
            <w:noWrap/>
            <w:hideMark/>
          </w:tcPr>
          <w:p w14:paraId="656A6FF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41,900</w:t>
            </w:r>
          </w:p>
        </w:tc>
        <w:tc>
          <w:tcPr>
            <w:tcW w:w="1033" w:type="dxa"/>
            <w:noWrap/>
            <w:hideMark/>
          </w:tcPr>
          <w:p w14:paraId="3F56FCA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6,828</w:t>
            </w:r>
          </w:p>
        </w:tc>
        <w:tc>
          <w:tcPr>
            <w:tcW w:w="935" w:type="dxa"/>
            <w:noWrap/>
            <w:hideMark/>
          </w:tcPr>
          <w:p w14:paraId="0728426E"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1,463</w:t>
            </w:r>
          </w:p>
        </w:tc>
        <w:tc>
          <w:tcPr>
            <w:tcW w:w="936" w:type="dxa"/>
            <w:noWrap/>
            <w:hideMark/>
          </w:tcPr>
          <w:p w14:paraId="2E8937AD"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6129A6C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4,353</w:t>
            </w:r>
          </w:p>
        </w:tc>
        <w:tc>
          <w:tcPr>
            <w:tcW w:w="936" w:type="dxa"/>
            <w:noWrap/>
            <w:hideMark/>
          </w:tcPr>
          <w:p w14:paraId="15F05D0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484</w:t>
            </w:r>
          </w:p>
        </w:tc>
        <w:tc>
          <w:tcPr>
            <w:tcW w:w="936" w:type="dxa"/>
            <w:noWrap/>
            <w:hideMark/>
          </w:tcPr>
          <w:p w14:paraId="412E1150"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312</w:t>
            </w:r>
          </w:p>
        </w:tc>
        <w:tc>
          <w:tcPr>
            <w:tcW w:w="936" w:type="dxa"/>
            <w:noWrap/>
            <w:hideMark/>
          </w:tcPr>
          <w:p w14:paraId="1F5B0B3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02CB39E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13" w:type="dxa"/>
            <w:noWrap/>
            <w:hideMark/>
          </w:tcPr>
          <w:p w14:paraId="4979B18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416</w:t>
            </w:r>
          </w:p>
        </w:tc>
        <w:tc>
          <w:tcPr>
            <w:tcW w:w="995" w:type="dxa"/>
            <w:noWrap/>
            <w:hideMark/>
          </w:tcPr>
          <w:p w14:paraId="5C9C7AFC"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7A26F873"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245,547</w:t>
            </w:r>
          </w:p>
        </w:tc>
      </w:tr>
      <w:tr w:rsidR="00ED0B45" w:rsidRPr="00ED0B45" w14:paraId="3EE84F5E" w14:textId="77777777" w:rsidTr="006F5AB1">
        <w:trPr>
          <w:trHeight w:val="324"/>
        </w:trPr>
        <w:tc>
          <w:tcPr>
            <w:tcW w:w="1271" w:type="dxa"/>
            <w:hideMark/>
          </w:tcPr>
          <w:p w14:paraId="25A308F1" w14:textId="77777777" w:rsidR="00ED0B45" w:rsidRPr="00ED0B45" w:rsidRDefault="00ED0B45" w:rsidP="00ED0B45">
            <w:pPr>
              <w:spacing w:after="0" w:line="240" w:lineRule="auto"/>
              <w:rPr>
                <w:rFonts w:cs="Arial"/>
                <w:color w:val="000000"/>
                <w:sz w:val="16"/>
                <w:szCs w:val="16"/>
                <w:lang w:eastAsia="en-AU"/>
              </w:rPr>
            </w:pPr>
            <w:r w:rsidRPr="00ED0B45">
              <w:rPr>
                <w:rFonts w:cs="Arial"/>
                <w:color w:val="000000"/>
                <w:sz w:val="16"/>
                <w:szCs w:val="16"/>
                <w:lang w:eastAsia="en-AU"/>
              </w:rPr>
              <w:t>Western Health</w:t>
            </w:r>
          </w:p>
        </w:tc>
        <w:tc>
          <w:tcPr>
            <w:tcW w:w="1074" w:type="dxa"/>
            <w:noWrap/>
            <w:hideMark/>
          </w:tcPr>
          <w:p w14:paraId="7A9AC90F"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963,509</w:t>
            </w:r>
          </w:p>
        </w:tc>
        <w:tc>
          <w:tcPr>
            <w:tcW w:w="1193" w:type="dxa"/>
            <w:noWrap/>
            <w:hideMark/>
          </w:tcPr>
          <w:p w14:paraId="1F20378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649,989</w:t>
            </w:r>
          </w:p>
        </w:tc>
        <w:tc>
          <w:tcPr>
            <w:tcW w:w="1012" w:type="dxa"/>
            <w:noWrap/>
            <w:hideMark/>
          </w:tcPr>
          <w:p w14:paraId="31FF82F9"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92,673</w:t>
            </w:r>
          </w:p>
        </w:tc>
        <w:tc>
          <w:tcPr>
            <w:tcW w:w="1033" w:type="dxa"/>
            <w:noWrap/>
            <w:hideMark/>
          </w:tcPr>
          <w:p w14:paraId="32505C2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124,308</w:t>
            </w:r>
          </w:p>
        </w:tc>
        <w:tc>
          <w:tcPr>
            <w:tcW w:w="935" w:type="dxa"/>
            <w:noWrap/>
            <w:hideMark/>
          </w:tcPr>
          <w:p w14:paraId="4FEB3761"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47,070</w:t>
            </w:r>
          </w:p>
        </w:tc>
        <w:tc>
          <w:tcPr>
            <w:tcW w:w="936" w:type="dxa"/>
            <w:noWrap/>
            <w:hideMark/>
          </w:tcPr>
          <w:p w14:paraId="0DB85278"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610</w:t>
            </w:r>
          </w:p>
        </w:tc>
        <w:tc>
          <w:tcPr>
            <w:tcW w:w="936" w:type="dxa"/>
            <w:noWrap/>
            <w:hideMark/>
          </w:tcPr>
          <w:p w14:paraId="73406AFB"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13,467</w:t>
            </w:r>
          </w:p>
        </w:tc>
        <w:tc>
          <w:tcPr>
            <w:tcW w:w="936" w:type="dxa"/>
            <w:noWrap/>
            <w:hideMark/>
          </w:tcPr>
          <w:p w14:paraId="0955118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1,937</w:t>
            </w:r>
          </w:p>
        </w:tc>
        <w:tc>
          <w:tcPr>
            <w:tcW w:w="936" w:type="dxa"/>
            <w:noWrap/>
            <w:hideMark/>
          </w:tcPr>
          <w:p w14:paraId="1F8E22B7"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14,664</w:t>
            </w:r>
          </w:p>
        </w:tc>
        <w:tc>
          <w:tcPr>
            <w:tcW w:w="936" w:type="dxa"/>
            <w:noWrap/>
            <w:hideMark/>
          </w:tcPr>
          <w:p w14:paraId="2AD68293"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936" w:type="dxa"/>
            <w:noWrap/>
            <w:hideMark/>
          </w:tcPr>
          <w:p w14:paraId="025C0ECF"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48,870</w:t>
            </w:r>
          </w:p>
        </w:tc>
        <w:tc>
          <w:tcPr>
            <w:tcW w:w="1013" w:type="dxa"/>
            <w:noWrap/>
            <w:hideMark/>
          </w:tcPr>
          <w:p w14:paraId="20B0C0AA"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60,878</w:t>
            </w:r>
          </w:p>
        </w:tc>
        <w:tc>
          <w:tcPr>
            <w:tcW w:w="995" w:type="dxa"/>
            <w:noWrap/>
            <w:hideMark/>
          </w:tcPr>
          <w:p w14:paraId="37DC0CB5" w14:textId="77777777" w:rsidR="00ED0B45" w:rsidRPr="00ED0B45" w:rsidRDefault="00ED0B45" w:rsidP="00ED0B45">
            <w:pPr>
              <w:spacing w:after="0" w:line="240" w:lineRule="auto"/>
              <w:jc w:val="right"/>
              <w:rPr>
                <w:rFonts w:cs="Arial"/>
                <w:color w:val="000000"/>
                <w:sz w:val="16"/>
                <w:szCs w:val="16"/>
                <w:lang w:eastAsia="en-AU"/>
              </w:rPr>
            </w:pPr>
            <w:r w:rsidRPr="00ED0B45">
              <w:rPr>
                <w:rFonts w:cs="Arial"/>
                <w:color w:val="000000"/>
                <w:sz w:val="16"/>
                <w:szCs w:val="16"/>
                <w:lang w:eastAsia="en-AU"/>
              </w:rPr>
              <w:t>0</w:t>
            </w:r>
          </w:p>
        </w:tc>
        <w:tc>
          <w:tcPr>
            <w:tcW w:w="1050" w:type="dxa"/>
            <w:noWrap/>
            <w:hideMark/>
          </w:tcPr>
          <w:p w14:paraId="0FE04928" w14:textId="77777777" w:rsidR="00ED0B45" w:rsidRPr="00ED0B45" w:rsidRDefault="00ED0B45" w:rsidP="00ED0B45">
            <w:pPr>
              <w:spacing w:after="0" w:line="240" w:lineRule="auto"/>
              <w:jc w:val="right"/>
              <w:rPr>
                <w:rFonts w:cs="Arial"/>
                <w:b/>
                <w:bCs/>
                <w:color w:val="000000"/>
                <w:sz w:val="16"/>
                <w:szCs w:val="16"/>
                <w:lang w:eastAsia="en-AU"/>
              </w:rPr>
            </w:pPr>
            <w:r w:rsidRPr="00ED0B45">
              <w:rPr>
                <w:rFonts w:cs="Arial"/>
                <w:b/>
                <w:bCs/>
                <w:color w:val="000000"/>
                <w:sz w:val="16"/>
                <w:szCs w:val="16"/>
                <w:lang w:eastAsia="en-AU"/>
              </w:rPr>
              <w:t>1,054,468</w:t>
            </w:r>
          </w:p>
        </w:tc>
      </w:tr>
      <w:tr w:rsidR="00ED0B45" w:rsidRPr="00ED0B45" w14:paraId="15074A1F" w14:textId="77777777" w:rsidTr="006F5AB1">
        <w:trPr>
          <w:trHeight w:val="311"/>
        </w:trPr>
        <w:tc>
          <w:tcPr>
            <w:tcW w:w="1271" w:type="dxa"/>
            <w:shd w:val="clear" w:color="auto" w:fill="201547"/>
            <w:hideMark/>
          </w:tcPr>
          <w:p w14:paraId="7139A5E8" w14:textId="77777777" w:rsidR="00ED0B45" w:rsidRPr="00ED0B45" w:rsidRDefault="00ED0B45" w:rsidP="00ED0B45">
            <w:pPr>
              <w:spacing w:after="0" w:line="240" w:lineRule="auto"/>
              <w:rPr>
                <w:rFonts w:cs="Arial"/>
                <w:b/>
                <w:bCs/>
                <w:color w:val="FFFFFF"/>
                <w:sz w:val="16"/>
                <w:szCs w:val="16"/>
                <w:lang w:eastAsia="en-AU"/>
              </w:rPr>
            </w:pPr>
            <w:r w:rsidRPr="00ED0B45">
              <w:rPr>
                <w:rFonts w:cs="Arial"/>
                <w:b/>
                <w:bCs/>
                <w:color w:val="FFFFFF"/>
                <w:sz w:val="16"/>
                <w:szCs w:val="16"/>
                <w:lang w:eastAsia="en-AU"/>
              </w:rPr>
              <w:t>Total</w:t>
            </w:r>
          </w:p>
        </w:tc>
        <w:tc>
          <w:tcPr>
            <w:tcW w:w="1074" w:type="dxa"/>
            <w:shd w:val="clear" w:color="auto" w:fill="201547"/>
            <w:noWrap/>
            <w:hideMark/>
          </w:tcPr>
          <w:p w14:paraId="4B9EB08A"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13,017,000</w:t>
            </w:r>
          </w:p>
        </w:tc>
        <w:tc>
          <w:tcPr>
            <w:tcW w:w="1193" w:type="dxa"/>
            <w:shd w:val="clear" w:color="auto" w:fill="201547"/>
            <w:noWrap/>
            <w:hideMark/>
          </w:tcPr>
          <w:p w14:paraId="21E77055"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7,756,965</w:t>
            </w:r>
          </w:p>
        </w:tc>
        <w:tc>
          <w:tcPr>
            <w:tcW w:w="1012" w:type="dxa"/>
            <w:shd w:val="clear" w:color="auto" w:fill="201547"/>
            <w:noWrap/>
            <w:hideMark/>
          </w:tcPr>
          <w:p w14:paraId="46CD2A52"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1,145,080</w:t>
            </w:r>
          </w:p>
        </w:tc>
        <w:tc>
          <w:tcPr>
            <w:tcW w:w="1033" w:type="dxa"/>
            <w:shd w:val="clear" w:color="auto" w:fill="201547"/>
            <w:noWrap/>
            <w:hideMark/>
          </w:tcPr>
          <w:p w14:paraId="47DD6388"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1,207,508</w:t>
            </w:r>
          </w:p>
        </w:tc>
        <w:tc>
          <w:tcPr>
            <w:tcW w:w="935" w:type="dxa"/>
            <w:shd w:val="clear" w:color="auto" w:fill="201547"/>
            <w:noWrap/>
            <w:hideMark/>
          </w:tcPr>
          <w:p w14:paraId="134026C9"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667,939</w:t>
            </w:r>
          </w:p>
        </w:tc>
        <w:tc>
          <w:tcPr>
            <w:tcW w:w="936" w:type="dxa"/>
            <w:shd w:val="clear" w:color="auto" w:fill="201547"/>
            <w:noWrap/>
            <w:hideMark/>
          </w:tcPr>
          <w:p w14:paraId="1F1CA059"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38,141</w:t>
            </w:r>
          </w:p>
        </w:tc>
        <w:tc>
          <w:tcPr>
            <w:tcW w:w="936" w:type="dxa"/>
            <w:shd w:val="clear" w:color="auto" w:fill="201547"/>
            <w:noWrap/>
            <w:hideMark/>
          </w:tcPr>
          <w:p w14:paraId="28403A12"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229,875</w:t>
            </w:r>
          </w:p>
        </w:tc>
        <w:tc>
          <w:tcPr>
            <w:tcW w:w="936" w:type="dxa"/>
            <w:shd w:val="clear" w:color="auto" w:fill="201547"/>
            <w:noWrap/>
            <w:hideMark/>
          </w:tcPr>
          <w:p w14:paraId="43007FCF"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534,747</w:t>
            </w:r>
          </w:p>
        </w:tc>
        <w:tc>
          <w:tcPr>
            <w:tcW w:w="936" w:type="dxa"/>
            <w:shd w:val="clear" w:color="auto" w:fill="201547"/>
            <w:noWrap/>
            <w:hideMark/>
          </w:tcPr>
          <w:p w14:paraId="0533F5AE"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858,118</w:t>
            </w:r>
          </w:p>
        </w:tc>
        <w:tc>
          <w:tcPr>
            <w:tcW w:w="936" w:type="dxa"/>
            <w:shd w:val="clear" w:color="auto" w:fill="201547"/>
            <w:noWrap/>
            <w:hideMark/>
          </w:tcPr>
          <w:p w14:paraId="3564C0A5"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173,768</w:t>
            </w:r>
          </w:p>
        </w:tc>
        <w:tc>
          <w:tcPr>
            <w:tcW w:w="936" w:type="dxa"/>
            <w:shd w:val="clear" w:color="auto" w:fill="201547"/>
            <w:noWrap/>
            <w:hideMark/>
          </w:tcPr>
          <w:p w14:paraId="753F48C3"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229,983</w:t>
            </w:r>
          </w:p>
        </w:tc>
        <w:tc>
          <w:tcPr>
            <w:tcW w:w="1013" w:type="dxa"/>
            <w:shd w:val="clear" w:color="auto" w:fill="201547"/>
            <w:noWrap/>
            <w:hideMark/>
          </w:tcPr>
          <w:p w14:paraId="17D76457"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1,146,940</w:t>
            </w:r>
          </w:p>
        </w:tc>
        <w:tc>
          <w:tcPr>
            <w:tcW w:w="995" w:type="dxa"/>
            <w:shd w:val="clear" w:color="auto" w:fill="201547"/>
            <w:noWrap/>
            <w:hideMark/>
          </w:tcPr>
          <w:p w14:paraId="3D312F0E"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57,697</w:t>
            </w:r>
          </w:p>
        </w:tc>
        <w:tc>
          <w:tcPr>
            <w:tcW w:w="1050" w:type="dxa"/>
            <w:shd w:val="clear" w:color="auto" w:fill="201547"/>
            <w:noWrap/>
            <w:hideMark/>
          </w:tcPr>
          <w:p w14:paraId="22E6F093" w14:textId="77777777" w:rsidR="00ED0B45" w:rsidRPr="00ED0B45" w:rsidRDefault="00ED0B45" w:rsidP="00ED0B45">
            <w:pPr>
              <w:spacing w:after="0" w:line="240" w:lineRule="auto"/>
              <w:jc w:val="right"/>
              <w:rPr>
                <w:rFonts w:cs="Arial"/>
                <w:b/>
                <w:bCs/>
                <w:color w:val="FFFFFF"/>
                <w:sz w:val="16"/>
                <w:szCs w:val="16"/>
                <w:lang w:eastAsia="en-AU"/>
              </w:rPr>
            </w:pPr>
            <w:r w:rsidRPr="00ED0B45">
              <w:rPr>
                <w:rFonts w:cs="Arial"/>
                <w:b/>
                <w:bCs/>
                <w:color w:val="FFFFFF"/>
                <w:sz w:val="16"/>
                <w:szCs w:val="16"/>
                <w:lang w:eastAsia="en-AU"/>
              </w:rPr>
              <w:t>14,046,762</w:t>
            </w:r>
          </w:p>
        </w:tc>
      </w:tr>
    </w:tbl>
    <w:p w14:paraId="1D9E3B2D" w14:textId="77777777" w:rsidR="007C2C46" w:rsidRPr="00FE0097" w:rsidRDefault="007C2C46" w:rsidP="0077295B">
      <w:pPr>
        <w:pStyle w:val="Body"/>
        <w:rPr>
          <w:sz w:val="15"/>
          <w:szCs w:val="15"/>
        </w:rPr>
      </w:pPr>
    </w:p>
    <w:p w14:paraId="2DE7678D" w14:textId="77777777" w:rsidR="00DC6818" w:rsidRDefault="00DC6818" w:rsidP="0077295B">
      <w:pPr>
        <w:pStyle w:val="Bodyaftertablefigure"/>
        <w:keepNext/>
        <w:keepLines/>
        <w:spacing w:line="240" w:lineRule="auto"/>
      </w:pPr>
    </w:p>
    <w:p w14:paraId="6942A2D7" w14:textId="24D581F5" w:rsidR="0077295B" w:rsidRDefault="0077295B" w:rsidP="0077295B">
      <w:pPr>
        <w:pStyle w:val="Bodyaftertablefigure"/>
        <w:keepNext/>
        <w:keepLines/>
        <w:spacing w:line="240" w:lineRule="auto"/>
      </w:pPr>
      <w:r>
        <w:t>Subregional and local</w:t>
      </w:r>
    </w:p>
    <w:tbl>
      <w:tblPr>
        <w:tblStyle w:val="TableGrid1"/>
        <w:tblW w:w="15159" w:type="dxa"/>
        <w:tblLook w:val="06A0" w:firstRow="1" w:lastRow="0" w:firstColumn="1" w:lastColumn="0" w:noHBand="1" w:noVBand="1"/>
      </w:tblPr>
      <w:tblGrid>
        <w:gridCol w:w="1413"/>
        <w:gridCol w:w="992"/>
        <w:gridCol w:w="1246"/>
        <w:gridCol w:w="993"/>
        <w:gridCol w:w="993"/>
        <w:gridCol w:w="918"/>
        <w:gridCol w:w="918"/>
        <w:gridCol w:w="918"/>
        <w:gridCol w:w="918"/>
        <w:gridCol w:w="918"/>
        <w:gridCol w:w="918"/>
        <w:gridCol w:w="918"/>
        <w:gridCol w:w="993"/>
        <w:gridCol w:w="995"/>
        <w:gridCol w:w="1108"/>
      </w:tblGrid>
      <w:tr w:rsidR="002E268D" w:rsidRPr="002E268D" w14:paraId="1BDC7AA6" w14:textId="77777777" w:rsidTr="00CA562B">
        <w:trPr>
          <w:cnfStyle w:val="100000000000" w:firstRow="1" w:lastRow="0" w:firstColumn="0" w:lastColumn="0" w:oddVBand="0" w:evenVBand="0" w:oddHBand="0" w:evenHBand="0" w:firstRowFirstColumn="0" w:firstRowLastColumn="0" w:lastRowFirstColumn="0" w:lastRowLastColumn="0"/>
          <w:trHeight w:val="301"/>
          <w:tblHeader/>
        </w:trPr>
        <w:tc>
          <w:tcPr>
            <w:tcW w:w="1413" w:type="dxa"/>
            <w:vMerge w:val="restart"/>
            <w:hideMark/>
          </w:tcPr>
          <w:p w14:paraId="7B47984C" w14:textId="77777777" w:rsidR="002E268D" w:rsidRPr="002E268D" w:rsidRDefault="002E268D" w:rsidP="002E268D">
            <w:pPr>
              <w:spacing w:after="0" w:line="240" w:lineRule="auto"/>
              <w:rPr>
                <w:rFonts w:cs="Arial"/>
                <w:b/>
                <w:bCs/>
                <w:color w:val="FFFFFF"/>
                <w:sz w:val="16"/>
                <w:szCs w:val="16"/>
                <w:lang w:eastAsia="en-AU"/>
              </w:rPr>
            </w:pPr>
            <w:r w:rsidRPr="002E268D">
              <w:rPr>
                <w:rFonts w:cs="Arial"/>
                <w:b/>
                <w:bCs/>
                <w:color w:val="FFFFFF"/>
                <w:sz w:val="16"/>
                <w:szCs w:val="16"/>
                <w:lang w:eastAsia="en-AU"/>
              </w:rPr>
              <w:t>Health Services</w:t>
            </w:r>
          </w:p>
        </w:tc>
        <w:tc>
          <w:tcPr>
            <w:tcW w:w="992" w:type="dxa"/>
            <w:hideMark/>
          </w:tcPr>
          <w:p w14:paraId="04AA93E0" w14:textId="40BD7E62" w:rsidR="002E268D" w:rsidRPr="002E268D" w:rsidRDefault="002E268D" w:rsidP="002E268D">
            <w:pPr>
              <w:spacing w:after="0" w:line="240" w:lineRule="auto"/>
              <w:jc w:val="center"/>
              <w:rPr>
                <w:rFonts w:cs="Arial"/>
                <w:b/>
                <w:bCs/>
                <w:color w:val="FFFFFF"/>
                <w:sz w:val="16"/>
                <w:szCs w:val="16"/>
                <w:lang w:eastAsia="en-AU"/>
              </w:rPr>
            </w:pPr>
            <w:r w:rsidRPr="002E268D">
              <w:rPr>
                <w:rFonts w:cs="Arial"/>
                <w:b/>
                <w:bCs/>
                <w:color w:val="FFFFFF"/>
                <w:sz w:val="16"/>
                <w:szCs w:val="16"/>
                <w:lang w:eastAsia="en-AU"/>
              </w:rPr>
              <w:t>2021</w:t>
            </w:r>
            <w:r w:rsidR="002F204E" w:rsidRPr="005353E5">
              <w:rPr>
                <w:rFonts w:cs="Arial"/>
                <w:b/>
                <w:bCs/>
                <w:color w:val="FFFFFF"/>
                <w:sz w:val="16"/>
                <w:szCs w:val="16"/>
                <w:lang w:eastAsia="en-AU"/>
              </w:rPr>
              <w:t>–</w:t>
            </w:r>
            <w:r w:rsidRPr="002E268D">
              <w:rPr>
                <w:rFonts w:cs="Arial"/>
                <w:b/>
                <w:bCs/>
                <w:color w:val="FFFFFF"/>
                <w:sz w:val="16"/>
                <w:szCs w:val="16"/>
                <w:lang w:eastAsia="en-AU"/>
              </w:rPr>
              <w:t>2022</w:t>
            </w:r>
          </w:p>
        </w:tc>
        <w:tc>
          <w:tcPr>
            <w:tcW w:w="12754" w:type="dxa"/>
            <w:gridSpan w:val="13"/>
            <w:hideMark/>
          </w:tcPr>
          <w:p w14:paraId="1EF79A05" w14:textId="471A3588" w:rsidR="002E268D" w:rsidRPr="002E268D" w:rsidRDefault="002E268D" w:rsidP="002E268D">
            <w:pPr>
              <w:spacing w:after="0" w:line="240" w:lineRule="auto"/>
              <w:jc w:val="center"/>
              <w:rPr>
                <w:rFonts w:cs="Arial"/>
                <w:b/>
                <w:bCs/>
                <w:color w:val="FFFFFF"/>
                <w:sz w:val="16"/>
                <w:szCs w:val="16"/>
                <w:lang w:eastAsia="en-AU"/>
              </w:rPr>
            </w:pPr>
            <w:r w:rsidRPr="002E268D">
              <w:rPr>
                <w:rFonts w:cs="Arial"/>
                <w:b/>
                <w:bCs/>
                <w:color w:val="FFFFFF"/>
                <w:sz w:val="16"/>
                <w:szCs w:val="16"/>
                <w:lang w:eastAsia="en-AU"/>
              </w:rPr>
              <w:t>2022</w:t>
            </w:r>
            <w:r w:rsidR="002F204E" w:rsidRPr="005353E5">
              <w:rPr>
                <w:rFonts w:cs="Arial"/>
                <w:b/>
                <w:bCs/>
                <w:color w:val="FFFFFF"/>
                <w:sz w:val="16"/>
                <w:szCs w:val="16"/>
                <w:lang w:eastAsia="en-AU"/>
              </w:rPr>
              <w:t>–</w:t>
            </w:r>
            <w:r w:rsidRPr="002E268D">
              <w:rPr>
                <w:rFonts w:cs="Arial"/>
                <w:b/>
                <w:bCs/>
                <w:color w:val="FFFFFF"/>
                <w:sz w:val="16"/>
                <w:szCs w:val="16"/>
                <w:lang w:eastAsia="en-AU"/>
              </w:rPr>
              <w:t>2023</w:t>
            </w:r>
          </w:p>
        </w:tc>
      </w:tr>
      <w:tr w:rsidR="002E268D" w:rsidRPr="002E268D" w14:paraId="183E3902" w14:textId="77777777" w:rsidTr="002E268D">
        <w:trPr>
          <w:trHeight w:val="665"/>
        </w:trPr>
        <w:tc>
          <w:tcPr>
            <w:tcW w:w="1413" w:type="dxa"/>
            <w:vMerge/>
            <w:shd w:val="clear" w:color="auto" w:fill="201547"/>
            <w:hideMark/>
          </w:tcPr>
          <w:p w14:paraId="7459FB0F" w14:textId="77777777" w:rsidR="002E268D" w:rsidRPr="002E268D" w:rsidRDefault="002E268D" w:rsidP="002E268D">
            <w:pPr>
              <w:spacing w:after="0" w:line="240" w:lineRule="auto"/>
              <w:rPr>
                <w:rFonts w:cs="Arial"/>
                <w:b/>
                <w:bCs/>
                <w:color w:val="FFFFFF"/>
                <w:sz w:val="16"/>
                <w:szCs w:val="16"/>
                <w:lang w:eastAsia="en-AU"/>
              </w:rPr>
            </w:pPr>
          </w:p>
        </w:tc>
        <w:tc>
          <w:tcPr>
            <w:tcW w:w="992" w:type="dxa"/>
            <w:vMerge w:val="restart"/>
            <w:shd w:val="clear" w:color="auto" w:fill="201547"/>
            <w:hideMark/>
          </w:tcPr>
          <w:p w14:paraId="3B01569A"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Total</w:t>
            </w:r>
          </w:p>
        </w:tc>
        <w:tc>
          <w:tcPr>
            <w:tcW w:w="1246" w:type="dxa"/>
            <w:vMerge w:val="restart"/>
            <w:shd w:val="clear" w:color="auto" w:fill="201547"/>
            <w:hideMark/>
          </w:tcPr>
          <w:p w14:paraId="3D641801"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Acute Admitted</w:t>
            </w:r>
          </w:p>
        </w:tc>
        <w:tc>
          <w:tcPr>
            <w:tcW w:w="993" w:type="dxa"/>
            <w:vMerge w:val="restart"/>
            <w:shd w:val="clear" w:color="auto" w:fill="201547"/>
            <w:hideMark/>
          </w:tcPr>
          <w:p w14:paraId="43F9B1D5"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Acute Non Admitted Patients</w:t>
            </w:r>
          </w:p>
        </w:tc>
        <w:tc>
          <w:tcPr>
            <w:tcW w:w="993" w:type="dxa"/>
            <w:vMerge w:val="restart"/>
            <w:shd w:val="clear" w:color="auto" w:fill="201547"/>
            <w:hideMark/>
          </w:tcPr>
          <w:p w14:paraId="5D281F8E"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Emergency</w:t>
            </w:r>
          </w:p>
        </w:tc>
        <w:tc>
          <w:tcPr>
            <w:tcW w:w="918" w:type="dxa"/>
            <w:vMerge w:val="restart"/>
            <w:shd w:val="clear" w:color="auto" w:fill="201547"/>
            <w:hideMark/>
          </w:tcPr>
          <w:p w14:paraId="674F68FE" w14:textId="5105A891"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Sub-Acute</w:t>
            </w:r>
          </w:p>
        </w:tc>
        <w:tc>
          <w:tcPr>
            <w:tcW w:w="918" w:type="dxa"/>
            <w:vMerge w:val="restart"/>
            <w:shd w:val="clear" w:color="auto" w:fill="201547"/>
            <w:hideMark/>
          </w:tcPr>
          <w:p w14:paraId="6C7BD361" w14:textId="041508A8"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Sub-Acute Non Admitted</w:t>
            </w:r>
          </w:p>
        </w:tc>
        <w:tc>
          <w:tcPr>
            <w:tcW w:w="918" w:type="dxa"/>
            <w:vMerge w:val="restart"/>
            <w:shd w:val="clear" w:color="auto" w:fill="201547"/>
            <w:hideMark/>
          </w:tcPr>
          <w:p w14:paraId="65691AC9"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Teaching, Training and Research</w:t>
            </w:r>
          </w:p>
        </w:tc>
        <w:tc>
          <w:tcPr>
            <w:tcW w:w="918" w:type="dxa"/>
            <w:shd w:val="clear" w:color="auto" w:fill="201547"/>
            <w:hideMark/>
          </w:tcPr>
          <w:p w14:paraId="0C357640"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Mental Health Admitted</w:t>
            </w:r>
          </w:p>
        </w:tc>
        <w:tc>
          <w:tcPr>
            <w:tcW w:w="918" w:type="dxa"/>
            <w:vMerge w:val="restart"/>
            <w:shd w:val="clear" w:color="auto" w:fill="201547"/>
            <w:hideMark/>
          </w:tcPr>
          <w:p w14:paraId="7A0637EF"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Non-Admitted Mental Health</w:t>
            </w:r>
          </w:p>
        </w:tc>
        <w:tc>
          <w:tcPr>
            <w:tcW w:w="918" w:type="dxa"/>
            <w:vMerge w:val="restart"/>
            <w:shd w:val="clear" w:color="auto" w:fill="201547"/>
            <w:hideMark/>
          </w:tcPr>
          <w:p w14:paraId="5B9CBEFD"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Non-Admitted CAMHS</w:t>
            </w:r>
          </w:p>
        </w:tc>
        <w:tc>
          <w:tcPr>
            <w:tcW w:w="918" w:type="dxa"/>
            <w:vMerge w:val="restart"/>
            <w:shd w:val="clear" w:color="auto" w:fill="201547"/>
            <w:hideMark/>
          </w:tcPr>
          <w:p w14:paraId="2757D0CB"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Other Public Hospital Programs</w:t>
            </w:r>
          </w:p>
        </w:tc>
        <w:tc>
          <w:tcPr>
            <w:tcW w:w="993" w:type="dxa"/>
            <w:vMerge w:val="restart"/>
            <w:shd w:val="clear" w:color="auto" w:fill="201547"/>
            <w:hideMark/>
          </w:tcPr>
          <w:p w14:paraId="6EF1D043"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Out of Scope of Agreement</w:t>
            </w:r>
          </w:p>
        </w:tc>
        <w:tc>
          <w:tcPr>
            <w:tcW w:w="995" w:type="dxa"/>
            <w:vMerge w:val="restart"/>
            <w:shd w:val="clear" w:color="auto" w:fill="201547"/>
            <w:hideMark/>
          </w:tcPr>
          <w:p w14:paraId="4DCF9658" w14:textId="217E2A20"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w:t>
            </w:r>
            <w:r>
              <w:rPr>
                <w:rFonts w:cs="Arial"/>
                <w:b/>
                <w:bCs/>
                <w:color w:val="FFFFFF"/>
                <w:sz w:val="16"/>
                <w:szCs w:val="16"/>
                <w:lang w:eastAsia="en-AU"/>
              </w:rPr>
              <w:t>Specialised Drug Therapies</w:t>
            </w:r>
          </w:p>
        </w:tc>
        <w:tc>
          <w:tcPr>
            <w:tcW w:w="1108" w:type="dxa"/>
            <w:vMerge w:val="restart"/>
            <w:shd w:val="clear" w:color="auto" w:fill="201547"/>
            <w:hideMark/>
          </w:tcPr>
          <w:p w14:paraId="2FC79F7D"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 xml:space="preserve"> Total</w:t>
            </w:r>
          </w:p>
        </w:tc>
      </w:tr>
      <w:tr w:rsidR="002E268D" w:rsidRPr="002E268D" w14:paraId="0819CA70" w14:textId="77777777" w:rsidTr="002E268D">
        <w:trPr>
          <w:trHeight w:val="301"/>
        </w:trPr>
        <w:tc>
          <w:tcPr>
            <w:tcW w:w="1413" w:type="dxa"/>
            <w:vMerge/>
            <w:shd w:val="clear" w:color="auto" w:fill="201547"/>
            <w:hideMark/>
          </w:tcPr>
          <w:p w14:paraId="261DB6DA" w14:textId="77777777" w:rsidR="002E268D" w:rsidRPr="002E268D" w:rsidRDefault="002E268D" w:rsidP="002E268D">
            <w:pPr>
              <w:spacing w:after="0" w:line="240" w:lineRule="auto"/>
              <w:rPr>
                <w:rFonts w:cs="Arial"/>
                <w:b/>
                <w:bCs/>
                <w:color w:val="FFFFFF"/>
                <w:sz w:val="16"/>
                <w:szCs w:val="16"/>
                <w:lang w:eastAsia="en-AU"/>
              </w:rPr>
            </w:pPr>
          </w:p>
        </w:tc>
        <w:tc>
          <w:tcPr>
            <w:tcW w:w="992" w:type="dxa"/>
            <w:vMerge/>
            <w:shd w:val="clear" w:color="auto" w:fill="201547"/>
            <w:hideMark/>
          </w:tcPr>
          <w:p w14:paraId="5CFC9AB7" w14:textId="77777777" w:rsidR="002E268D" w:rsidRPr="002E268D" w:rsidRDefault="002E268D" w:rsidP="002E268D">
            <w:pPr>
              <w:spacing w:after="0" w:line="240" w:lineRule="auto"/>
              <w:jc w:val="right"/>
              <w:rPr>
                <w:rFonts w:cs="Arial"/>
                <w:b/>
                <w:bCs/>
                <w:color w:val="FFFFFF"/>
                <w:sz w:val="16"/>
                <w:szCs w:val="16"/>
                <w:lang w:eastAsia="en-AU"/>
              </w:rPr>
            </w:pPr>
          </w:p>
        </w:tc>
        <w:tc>
          <w:tcPr>
            <w:tcW w:w="1246" w:type="dxa"/>
            <w:vMerge/>
            <w:shd w:val="clear" w:color="auto" w:fill="201547"/>
            <w:hideMark/>
          </w:tcPr>
          <w:p w14:paraId="61C8504B" w14:textId="77777777" w:rsidR="002E268D" w:rsidRPr="002E268D" w:rsidRDefault="002E268D" w:rsidP="002E268D">
            <w:pPr>
              <w:spacing w:after="0" w:line="240" w:lineRule="auto"/>
              <w:jc w:val="right"/>
              <w:rPr>
                <w:rFonts w:cs="Arial"/>
                <w:b/>
                <w:bCs/>
                <w:color w:val="FFFFFF"/>
                <w:sz w:val="16"/>
                <w:szCs w:val="16"/>
                <w:lang w:eastAsia="en-AU"/>
              </w:rPr>
            </w:pPr>
          </w:p>
        </w:tc>
        <w:tc>
          <w:tcPr>
            <w:tcW w:w="993" w:type="dxa"/>
            <w:vMerge/>
            <w:shd w:val="clear" w:color="auto" w:fill="201547"/>
            <w:hideMark/>
          </w:tcPr>
          <w:p w14:paraId="5CBD4A13" w14:textId="77777777" w:rsidR="002E268D" w:rsidRPr="002E268D" w:rsidRDefault="002E268D" w:rsidP="002E268D">
            <w:pPr>
              <w:spacing w:after="0" w:line="240" w:lineRule="auto"/>
              <w:jc w:val="right"/>
              <w:rPr>
                <w:rFonts w:cs="Arial"/>
                <w:b/>
                <w:bCs/>
                <w:color w:val="FFFFFF"/>
                <w:sz w:val="16"/>
                <w:szCs w:val="16"/>
                <w:lang w:eastAsia="en-AU"/>
              </w:rPr>
            </w:pPr>
          </w:p>
        </w:tc>
        <w:tc>
          <w:tcPr>
            <w:tcW w:w="993" w:type="dxa"/>
            <w:vMerge/>
            <w:shd w:val="clear" w:color="auto" w:fill="201547"/>
            <w:hideMark/>
          </w:tcPr>
          <w:p w14:paraId="64CFAC44" w14:textId="77777777" w:rsidR="002E268D" w:rsidRPr="002E268D" w:rsidRDefault="002E268D" w:rsidP="002E268D">
            <w:pPr>
              <w:spacing w:after="0" w:line="240" w:lineRule="auto"/>
              <w:jc w:val="right"/>
              <w:rPr>
                <w:rFonts w:cs="Arial"/>
                <w:b/>
                <w:bCs/>
                <w:color w:val="FFFFFF"/>
                <w:sz w:val="16"/>
                <w:szCs w:val="16"/>
                <w:lang w:eastAsia="en-AU"/>
              </w:rPr>
            </w:pPr>
          </w:p>
        </w:tc>
        <w:tc>
          <w:tcPr>
            <w:tcW w:w="918" w:type="dxa"/>
            <w:vMerge/>
            <w:shd w:val="clear" w:color="auto" w:fill="201547"/>
            <w:hideMark/>
          </w:tcPr>
          <w:p w14:paraId="0E10A617" w14:textId="77777777" w:rsidR="002E268D" w:rsidRPr="002E268D" w:rsidRDefault="002E268D" w:rsidP="002E268D">
            <w:pPr>
              <w:spacing w:after="0" w:line="240" w:lineRule="auto"/>
              <w:jc w:val="right"/>
              <w:rPr>
                <w:rFonts w:cs="Arial"/>
                <w:b/>
                <w:bCs/>
                <w:color w:val="FFFFFF"/>
                <w:sz w:val="16"/>
                <w:szCs w:val="16"/>
                <w:lang w:eastAsia="en-AU"/>
              </w:rPr>
            </w:pPr>
          </w:p>
        </w:tc>
        <w:tc>
          <w:tcPr>
            <w:tcW w:w="918" w:type="dxa"/>
            <w:vMerge/>
            <w:shd w:val="clear" w:color="auto" w:fill="201547"/>
            <w:hideMark/>
          </w:tcPr>
          <w:p w14:paraId="2FC07DB9" w14:textId="77777777" w:rsidR="002E268D" w:rsidRPr="002E268D" w:rsidRDefault="002E268D" w:rsidP="002E268D">
            <w:pPr>
              <w:spacing w:after="0" w:line="240" w:lineRule="auto"/>
              <w:jc w:val="right"/>
              <w:rPr>
                <w:rFonts w:cs="Arial"/>
                <w:b/>
                <w:bCs/>
                <w:color w:val="FFFFFF"/>
                <w:sz w:val="16"/>
                <w:szCs w:val="16"/>
                <w:lang w:eastAsia="en-AU"/>
              </w:rPr>
            </w:pPr>
          </w:p>
        </w:tc>
        <w:tc>
          <w:tcPr>
            <w:tcW w:w="918" w:type="dxa"/>
            <w:vMerge/>
            <w:shd w:val="clear" w:color="auto" w:fill="201547"/>
            <w:hideMark/>
          </w:tcPr>
          <w:p w14:paraId="06A3F2FC" w14:textId="77777777" w:rsidR="002E268D" w:rsidRPr="002E268D" w:rsidRDefault="002E268D" w:rsidP="002E268D">
            <w:pPr>
              <w:spacing w:after="0" w:line="240" w:lineRule="auto"/>
              <w:jc w:val="right"/>
              <w:rPr>
                <w:rFonts w:cs="Arial"/>
                <w:b/>
                <w:bCs/>
                <w:color w:val="FFFFFF"/>
                <w:sz w:val="16"/>
                <w:szCs w:val="16"/>
                <w:lang w:eastAsia="en-AU"/>
              </w:rPr>
            </w:pPr>
          </w:p>
        </w:tc>
        <w:tc>
          <w:tcPr>
            <w:tcW w:w="918" w:type="dxa"/>
            <w:shd w:val="clear" w:color="auto" w:fill="201547"/>
            <w:hideMark/>
          </w:tcPr>
          <w:p w14:paraId="5AAD59AE" w14:textId="77777777" w:rsidR="002E268D" w:rsidRPr="002E268D" w:rsidRDefault="002E268D" w:rsidP="002E268D">
            <w:pPr>
              <w:spacing w:after="0" w:line="240" w:lineRule="auto"/>
              <w:jc w:val="right"/>
              <w:rPr>
                <w:rFonts w:ascii="Calibri" w:hAnsi="Calibri" w:cs="Calibri"/>
                <w:color w:val="000000"/>
                <w:sz w:val="22"/>
                <w:lang w:eastAsia="en-AU"/>
              </w:rPr>
            </w:pPr>
            <w:r w:rsidRPr="002E268D">
              <w:rPr>
                <w:rFonts w:ascii="Calibri" w:hAnsi="Calibri" w:cs="Calibri"/>
                <w:color w:val="000000"/>
                <w:sz w:val="22"/>
                <w:lang w:eastAsia="en-AU"/>
              </w:rPr>
              <w:t> </w:t>
            </w:r>
          </w:p>
        </w:tc>
        <w:tc>
          <w:tcPr>
            <w:tcW w:w="918" w:type="dxa"/>
            <w:vMerge/>
            <w:shd w:val="clear" w:color="auto" w:fill="201547"/>
            <w:hideMark/>
          </w:tcPr>
          <w:p w14:paraId="47564186" w14:textId="77777777" w:rsidR="002E268D" w:rsidRPr="002E268D" w:rsidRDefault="002E268D" w:rsidP="002E268D">
            <w:pPr>
              <w:spacing w:after="0" w:line="240" w:lineRule="auto"/>
              <w:jc w:val="right"/>
              <w:rPr>
                <w:rFonts w:cs="Arial"/>
                <w:b/>
                <w:bCs/>
                <w:color w:val="FFFFFF"/>
                <w:sz w:val="16"/>
                <w:szCs w:val="16"/>
                <w:lang w:eastAsia="en-AU"/>
              </w:rPr>
            </w:pPr>
          </w:p>
        </w:tc>
        <w:tc>
          <w:tcPr>
            <w:tcW w:w="918" w:type="dxa"/>
            <w:vMerge/>
            <w:shd w:val="clear" w:color="auto" w:fill="201547"/>
            <w:hideMark/>
          </w:tcPr>
          <w:p w14:paraId="531C9F4D" w14:textId="77777777" w:rsidR="002E268D" w:rsidRPr="002E268D" w:rsidRDefault="002E268D" w:rsidP="002E268D">
            <w:pPr>
              <w:spacing w:after="0" w:line="240" w:lineRule="auto"/>
              <w:jc w:val="right"/>
              <w:rPr>
                <w:rFonts w:cs="Arial"/>
                <w:b/>
                <w:bCs/>
                <w:color w:val="FFFFFF"/>
                <w:sz w:val="16"/>
                <w:szCs w:val="16"/>
                <w:lang w:eastAsia="en-AU"/>
              </w:rPr>
            </w:pPr>
          </w:p>
        </w:tc>
        <w:tc>
          <w:tcPr>
            <w:tcW w:w="918" w:type="dxa"/>
            <w:vMerge/>
            <w:shd w:val="clear" w:color="auto" w:fill="201547"/>
            <w:hideMark/>
          </w:tcPr>
          <w:p w14:paraId="0C181CDA" w14:textId="77777777" w:rsidR="002E268D" w:rsidRPr="002E268D" w:rsidRDefault="002E268D" w:rsidP="002E268D">
            <w:pPr>
              <w:spacing w:after="0" w:line="240" w:lineRule="auto"/>
              <w:jc w:val="right"/>
              <w:rPr>
                <w:rFonts w:cs="Arial"/>
                <w:b/>
                <w:bCs/>
                <w:color w:val="FFFFFF"/>
                <w:sz w:val="16"/>
                <w:szCs w:val="16"/>
                <w:lang w:eastAsia="en-AU"/>
              </w:rPr>
            </w:pPr>
          </w:p>
        </w:tc>
        <w:tc>
          <w:tcPr>
            <w:tcW w:w="993" w:type="dxa"/>
            <w:vMerge/>
            <w:shd w:val="clear" w:color="auto" w:fill="201547"/>
            <w:hideMark/>
          </w:tcPr>
          <w:p w14:paraId="14177C70" w14:textId="77777777" w:rsidR="002E268D" w:rsidRPr="002E268D" w:rsidRDefault="002E268D" w:rsidP="002E268D">
            <w:pPr>
              <w:spacing w:after="0" w:line="240" w:lineRule="auto"/>
              <w:jc w:val="right"/>
              <w:rPr>
                <w:rFonts w:cs="Arial"/>
                <w:b/>
                <w:bCs/>
                <w:color w:val="FFFFFF"/>
                <w:sz w:val="16"/>
                <w:szCs w:val="16"/>
                <w:lang w:eastAsia="en-AU"/>
              </w:rPr>
            </w:pPr>
          </w:p>
        </w:tc>
        <w:tc>
          <w:tcPr>
            <w:tcW w:w="995" w:type="dxa"/>
            <w:vMerge/>
            <w:shd w:val="clear" w:color="auto" w:fill="201547"/>
            <w:hideMark/>
          </w:tcPr>
          <w:p w14:paraId="640D92BA" w14:textId="77777777" w:rsidR="002E268D" w:rsidRPr="002E268D" w:rsidRDefault="002E268D" w:rsidP="002E268D">
            <w:pPr>
              <w:spacing w:after="0" w:line="240" w:lineRule="auto"/>
              <w:jc w:val="right"/>
              <w:rPr>
                <w:rFonts w:cs="Arial"/>
                <w:b/>
                <w:bCs/>
                <w:color w:val="FFFFFF"/>
                <w:sz w:val="16"/>
                <w:szCs w:val="16"/>
                <w:lang w:eastAsia="en-AU"/>
              </w:rPr>
            </w:pPr>
          </w:p>
        </w:tc>
        <w:tc>
          <w:tcPr>
            <w:tcW w:w="1108" w:type="dxa"/>
            <w:vMerge/>
            <w:shd w:val="clear" w:color="auto" w:fill="201547"/>
            <w:hideMark/>
          </w:tcPr>
          <w:p w14:paraId="77C2D2B1" w14:textId="77777777" w:rsidR="002E268D" w:rsidRPr="002E268D" w:rsidRDefault="002E268D" w:rsidP="002E268D">
            <w:pPr>
              <w:spacing w:after="0" w:line="240" w:lineRule="auto"/>
              <w:jc w:val="right"/>
              <w:rPr>
                <w:rFonts w:cs="Arial"/>
                <w:b/>
                <w:bCs/>
                <w:color w:val="FFFFFF"/>
                <w:sz w:val="16"/>
                <w:szCs w:val="16"/>
                <w:lang w:eastAsia="en-AU"/>
              </w:rPr>
            </w:pPr>
          </w:p>
        </w:tc>
      </w:tr>
      <w:tr w:rsidR="002E268D" w:rsidRPr="002E268D" w14:paraId="2E551F5F" w14:textId="77777777" w:rsidTr="002E268D">
        <w:trPr>
          <w:trHeight w:val="301"/>
        </w:trPr>
        <w:tc>
          <w:tcPr>
            <w:tcW w:w="1413" w:type="dxa"/>
            <w:vMerge/>
            <w:shd w:val="clear" w:color="auto" w:fill="201547"/>
            <w:hideMark/>
          </w:tcPr>
          <w:p w14:paraId="6077E129" w14:textId="77777777" w:rsidR="002E268D" w:rsidRPr="002E268D" w:rsidRDefault="002E268D" w:rsidP="002E268D">
            <w:pPr>
              <w:spacing w:after="0" w:line="240" w:lineRule="auto"/>
              <w:rPr>
                <w:rFonts w:cs="Arial"/>
                <w:b/>
                <w:bCs/>
                <w:color w:val="FFFFFF"/>
                <w:sz w:val="16"/>
                <w:szCs w:val="16"/>
                <w:lang w:eastAsia="en-AU"/>
              </w:rPr>
            </w:pPr>
          </w:p>
        </w:tc>
        <w:tc>
          <w:tcPr>
            <w:tcW w:w="992" w:type="dxa"/>
            <w:shd w:val="clear" w:color="auto" w:fill="201547"/>
            <w:hideMark/>
          </w:tcPr>
          <w:p w14:paraId="7205BDC1"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1246" w:type="dxa"/>
            <w:shd w:val="clear" w:color="auto" w:fill="201547"/>
            <w:hideMark/>
          </w:tcPr>
          <w:p w14:paraId="614D897A"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93" w:type="dxa"/>
            <w:shd w:val="clear" w:color="auto" w:fill="201547"/>
            <w:hideMark/>
          </w:tcPr>
          <w:p w14:paraId="769FEA9A"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93" w:type="dxa"/>
            <w:shd w:val="clear" w:color="auto" w:fill="201547"/>
            <w:hideMark/>
          </w:tcPr>
          <w:p w14:paraId="6FF81B9D"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18" w:type="dxa"/>
            <w:shd w:val="clear" w:color="auto" w:fill="201547"/>
            <w:hideMark/>
          </w:tcPr>
          <w:p w14:paraId="1C48580A"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18" w:type="dxa"/>
            <w:shd w:val="clear" w:color="auto" w:fill="201547"/>
            <w:hideMark/>
          </w:tcPr>
          <w:p w14:paraId="1E6630CE"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18" w:type="dxa"/>
            <w:shd w:val="clear" w:color="auto" w:fill="201547"/>
            <w:hideMark/>
          </w:tcPr>
          <w:p w14:paraId="516B1904"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18" w:type="dxa"/>
            <w:shd w:val="clear" w:color="auto" w:fill="201547"/>
            <w:hideMark/>
          </w:tcPr>
          <w:p w14:paraId="14AB818D"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18" w:type="dxa"/>
            <w:shd w:val="clear" w:color="auto" w:fill="201547"/>
            <w:hideMark/>
          </w:tcPr>
          <w:p w14:paraId="1295C28F"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18" w:type="dxa"/>
            <w:shd w:val="clear" w:color="auto" w:fill="201547"/>
            <w:hideMark/>
          </w:tcPr>
          <w:p w14:paraId="1655B49B"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18" w:type="dxa"/>
            <w:shd w:val="clear" w:color="auto" w:fill="201547"/>
            <w:hideMark/>
          </w:tcPr>
          <w:p w14:paraId="70FE4AD0"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93" w:type="dxa"/>
            <w:shd w:val="clear" w:color="auto" w:fill="201547"/>
            <w:hideMark/>
          </w:tcPr>
          <w:p w14:paraId="668909B7"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995" w:type="dxa"/>
            <w:shd w:val="clear" w:color="auto" w:fill="201547"/>
            <w:hideMark/>
          </w:tcPr>
          <w:p w14:paraId="3246B0EF"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c>
          <w:tcPr>
            <w:tcW w:w="1108" w:type="dxa"/>
            <w:shd w:val="clear" w:color="auto" w:fill="201547"/>
            <w:hideMark/>
          </w:tcPr>
          <w:p w14:paraId="5CFE998A"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$'000s</w:t>
            </w:r>
          </w:p>
        </w:tc>
      </w:tr>
      <w:tr w:rsidR="002E268D" w:rsidRPr="002E268D" w14:paraId="7728C3C2" w14:textId="77777777" w:rsidTr="002E268D">
        <w:trPr>
          <w:trHeight w:val="439"/>
        </w:trPr>
        <w:tc>
          <w:tcPr>
            <w:tcW w:w="1413" w:type="dxa"/>
            <w:hideMark/>
          </w:tcPr>
          <w:p w14:paraId="12A149FE"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Bairnsdale Regional Health Service</w:t>
            </w:r>
          </w:p>
        </w:tc>
        <w:tc>
          <w:tcPr>
            <w:tcW w:w="992" w:type="dxa"/>
            <w:noWrap/>
            <w:hideMark/>
          </w:tcPr>
          <w:p w14:paraId="50A05DE1"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75,883</w:t>
            </w:r>
          </w:p>
        </w:tc>
        <w:tc>
          <w:tcPr>
            <w:tcW w:w="1246" w:type="dxa"/>
            <w:noWrap/>
            <w:hideMark/>
          </w:tcPr>
          <w:p w14:paraId="333E5AF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50,606</w:t>
            </w:r>
          </w:p>
        </w:tc>
        <w:tc>
          <w:tcPr>
            <w:tcW w:w="993" w:type="dxa"/>
            <w:noWrap/>
            <w:hideMark/>
          </w:tcPr>
          <w:p w14:paraId="7A3410C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8,769</w:t>
            </w:r>
          </w:p>
        </w:tc>
        <w:tc>
          <w:tcPr>
            <w:tcW w:w="993" w:type="dxa"/>
            <w:noWrap/>
            <w:hideMark/>
          </w:tcPr>
          <w:p w14:paraId="3A75008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16,186</w:t>
            </w:r>
          </w:p>
        </w:tc>
        <w:tc>
          <w:tcPr>
            <w:tcW w:w="918" w:type="dxa"/>
            <w:noWrap/>
            <w:hideMark/>
          </w:tcPr>
          <w:p w14:paraId="35A231A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5,022</w:t>
            </w:r>
          </w:p>
        </w:tc>
        <w:tc>
          <w:tcPr>
            <w:tcW w:w="918" w:type="dxa"/>
            <w:noWrap/>
            <w:hideMark/>
          </w:tcPr>
          <w:p w14:paraId="2A57C21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545</w:t>
            </w:r>
          </w:p>
        </w:tc>
        <w:tc>
          <w:tcPr>
            <w:tcW w:w="918" w:type="dxa"/>
            <w:noWrap/>
            <w:hideMark/>
          </w:tcPr>
          <w:p w14:paraId="03BEA25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2,577</w:t>
            </w:r>
          </w:p>
        </w:tc>
        <w:tc>
          <w:tcPr>
            <w:tcW w:w="918" w:type="dxa"/>
            <w:noWrap/>
            <w:hideMark/>
          </w:tcPr>
          <w:p w14:paraId="436681E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4E9156E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810</w:t>
            </w:r>
          </w:p>
        </w:tc>
        <w:tc>
          <w:tcPr>
            <w:tcW w:w="918" w:type="dxa"/>
            <w:noWrap/>
            <w:hideMark/>
          </w:tcPr>
          <w:p w14:paraId="38BF9E4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A28EDA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7F31046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4,032</w:t>
            </w:r>
          </w:p>
        </w:tc>
        <w:tc>
          <w:tcPr>
            <w:tcW w:w="995" w:type="dxa"/>
            <w:noWrap/>
            <w:hideMark/>
          </w:tcPr>
          <w:p w14:paraId="168348E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45916DA9"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88,548</w:t>
            </w:r>
          </w:p>
        </w:tc>
      </w:tr>
      <w:tr w:rsidR="002E268D" w:rsidRPr="002E268D" w14:paraId="6268BD67" w14:textId="77777777" w:rsidTr="002E268D">
        <w:trPr>
          <w:trHeight w:val="313"/>
        </w:trPr>
        <w:tc>
          <w:tcPr>
            <w:tcW w:w="1413" w:type="dxa"/>
            <w:hideMark/>
          </w:tcPr>
          <w:p w14:paraId="71EAE1BC"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Bass Coast Health</w:t>
            </w:r>
          </w:p>
        </w:tc>
        <w:tc>
          <w:tcPr>
            <w:tcW w:w="992" w:type="dxa"/>
            <w:noWrap/>
            <w:hideMark/>
          </w:tcPr>
          <w:p w14:paraId="5AE2D7AA"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76,834</w:t>
            </w:r>
          </w:p>
        </w:tc>
        <w:tc>
          <w:tcPr>
            <w:tcW w:w="1246" w:type="dxa"/>
            <w:noWrap/>
            <w:hideMark/>
          </w:tcPr>
          <w:p w14:paraId="4B78840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46,114</w:t>
            </w:r>
          </w:p>
        </w:tc>
        <w:tc>
          <w:tcPr>
            <w:tcW w:w="993" w:type="dxa"/>
            <w:noWrap/>
            <w:hideMark/>
          </w:tcPr>
          <w:p w14:paraId="696DD04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8,054</w:t>
            </w:r>
          </w:p>
        </w:tc>
        <w:tc>
          <w:tcPr>
            <w:tcW w:w="993" w:type="dxa"/>
            <w:noWrap/>
            <w:hideMark/>
          </w:tcPr>
          <w:p w14:paraId="34DBA4B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13,573</w:t>
            </w:r>
          </w:p>
        </w:tc>
        <w:tc>
          <w:tcPr>
            <w:tcW w:w="918" w:type="dxa"/>
            <w:noWrap/>
            <w:hideMark/>
          </w:tcPr>
          <w:p w14:paraId="694B869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6,356</w:t>
            </w:r>
          </w:p>
        </w:tc>
        <w:tc>
          <w:tcPr>
            <w:tcW w:w="918" w:type="dxa"/>
            <w:noWrap/>
            <w:hideMark/>
          </w:tcPr>
          <w:p w14:paraId="1176C42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813</w:t>
            </w:r>
          </w:p>
        </w:tc>
        <w:tc>
          <w:tcPr>
            <w:tcW w:w="918" w:type="dxa"/>
            <w:noWrap/>
            <w:hideMark/>
          </w:tcPr>
          <w:p w14:paraId="144F73E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1,433</w:t>
            </w:r>
          </w:p>
        </w:tc>
        <w:tc>
          <w:tcPr>
            <w:tcW w:w="918" w:type="dxa"/>
            <w:noWrap/>
            <w:hideMark/>
          </w:tcPr>
          <w:p w14:paraId="471DD15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DF5A6F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341324D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D789D5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7739525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10,961</w:t>
            </w:r>
          </w:p>
        </w:tc>
        <w:tc>
          <w:tcPr>
            <w:tcW w:w="995" w:type="dxa"/>
            <w:noWrap/>
            <w:hideMark/>
          </w:tcPr>
          <w:p w14:paraId="6D18F33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7136E7D5"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87,305</w:t>
            </w:r>
          </w:p>
        </w:tc>
      </w:tr>
      <w:tr w:rsidR="002E268D" w:rsidRPr="002E268D" w14:paraId="6C5CE952" w14:textId="77777777" w:rsidTr="002E268D">
        <w:trPr>
          <w:trHeight w:val="313"/>
        </w:trPr>
        <w:tc>
          <w:tcPr>
            <w:tcW w:w="1413" w:type="dxa"/>
            <w:hideMark/>
          </w:tcPr>
          <w:p w14:paraId="67370F54"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Benalla Health</w:t>
            </w:r>
          </w:p>
        </w:tc>
        <w:tc>
          <w:tcPr>
            <w:tcW w:w="992" w:type="dxa"/>
            <w:noWrap/>
            <w:hideMark/>
          </w:tcPr>
          <w:p w14:paraId="4653ED78"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24,300</w:t>
            </w:r>
          </w:p>
        </w:tc>
        <w:tc>
          <w:tcPr>
            <w:tcW w:w="1246" w:type="dxa"/>
            <w:noWrap/>
            <w:hideMark/>
          </w:tcPr>
          <w:p w14:paraId="1CC9FA4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16,215</w:t>
            </w:r>
          </w:p>
        </w:tc>
        <w:tc>
          <w:tcPr>
            <w:tcW w:w="993" w:type="dxa"/>
            <w:noWrap/>
            <w:hideMark/>
          </w:tcPr>
          <w:p w14:paraId="0B93159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2,336</w:t>
            </w:r>
          </w:p>
        </w:tc>
        <w:tc>
          <w:tcPr>
            <w:tcW w:w="993" w:type="dxa"/>
            <w:noWrap/>
            <w:hideMark/>
          </w:tcPr>
          <w:p w14:paraId="24AF0FC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1,637</w:t>
            </w:r>
          </w:p>
        </w:tc>
        <w:tc>
          <w:tcPr>
            <w:tcW w:w="918" w:type="dxa"/>
            <w:noWrap/>
            <w:hideMark/>
          </w:tcPr>
          <w:p w14:paraId="6AFC1BC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579</w:t>
            </w:r>
          </w:p>
        </w:tc>
        <w:tc>
          <w:tcPr>
            <w:tcW w:w="918" w:type="dxa"/>
            <w:noWrap/>
            <w:hideMark/>
          </w:tcPr>
          <w:p w14:paraId="64C38C9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773</w:t>
            </w:r>
          </w:p>
        </w:tc>
        <w:tc>
          <w:tcPr>
            <w:tcW w:w="918" w:type="dxa"/>
            <w:noWrap/>
            <w:hideMark/>
          </w:tcPr>
          <w:p w14:paraId="3CF6810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359</w:t>
            </w:r>
          </w:p>
        </w:tc>
        <w:tc>
          <w:tcPr>
            <w:tcW w:w="918" w:type="dxa"/>
            <w:noWrap/>
            <w:hideMark/>
          </w:tcPr>
          <w:p w14:paraId="57C1F95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4788214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4C70847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397B35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3DC8A53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3,070</w:t>
            </w:r>
          </w:p>
        </w:tc>
        <w:tc>
          <w:tcPr>
            <w:tcW w:w="995" w:type="dxa"/>
            <w:noWrap/>
            <w:hideMark/>
          </w:tcPr>
          <w:p w14:paraId="557806A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78A4FBCD"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24,968</w:t>
            </w:r>
          </w:p>
        </w:tc>
      </w:tr>
      <w:tr w:rsidR="002E268D" w:rsidRPr="002E268D" w14:paraId="4853C414" w14:textId="77777777" w:rsidTr="002E268D">
        <w:trPr>
          <w:trHeight w:val="439"/>
        </w:trPr>
        <w:tc>
          <w:tcPr>
            <w:tcW w:w="1413" w:type="dxa"/>
            <w:hideMark/>
          </w:tcPr>
          <w:p w14:paraId="436FE6C0"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Central Gippsland Health Service</w:t>
            </w:r>
          </w:p>
        </w:tc>
        <w:tc>
          <w:tcPr>
            <w:tcW w:w="992" w:type="dxa"/>
            <w:noWrap/>
            <w:hideMark/>
          </w:tcPr>
          <w:p w14:paraId="36F4263F"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75,480</w:t>
            </w:r>
          </w:p>
        </w:tc>
        <w:tc>
          <w:tcPr>
            <w:tcW w:w="1246" w:type="dxa"/>
            <w:noWrap/>
            <w:hideMark/>
          </w:tcPr>
          <w:p w14:paraId="4F6C183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43,708</w:t>
            </w:r>
          </w:p>
        </w:tc>
        <w:tc>
          <w:tcPr>
            <w:tcW w:w="993" w:type="dxa"/>
            <w:noWrap/>
            <w:hideMark/>
          </w:tcPr>
          <w:p w14:paraId="00E94A2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9,480</w:t>
            </w:r>
          </w:p>
        </w:tc>
        <w:tc>
          <w:tcPr>
            <w:tcW w:w="993" w:type="dxa"/>
            <w:noWrap/>
            <w:hideMark/>
          </w:tcPr>
          <w:p w14:paraId="10CE63A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12,124</w:t>
            </w:r>
          </w:p>
        </w:tc>
        <w:tc>
          <w:tcPr>
            <w:tcW w:w="918" w:type="dxa"/>
            <w:noWrap/>
            <w:hideMark/>
          </w:tcPr>
          <w:p w14:paraId="58D2D5D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3,540</w:t>
            </w:r>
          </w:p>
        </w:tc>
        <w:tc>
          <w:tcPr>
            <w:tcW w:w="918" w:type="dxa"/>
            <w:noWrap/>
            <w:hideMark/>
          </w:tcPr>
          <w:p w14:paraId="2B617C7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803</w:t>
            </w:r>
          </w:p>
        </w:tc>
        <w:tc>
          <w:tcPr>
            <w:tcW w:w="918" w:type="dxa"/>
            <w:noWrap/>
            <w:hideMark/>
          </w:tcPr>
          <w:p w14:paraId="55F0D8F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1,559</w:t>
            </w:r>
          </w:p>
        </w:tc>
        <w:tc>
          <w:tcPr>
            <w:tcW w:w="918" w:type="dxa"/>
            <w:noWrap/>
            <w:hideMark/>
          </w:tcPr>
          <w:p w14:paraId="13C05F9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620C26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586</w:t>
            </w:r>
          </w:p>
        </w:tc>
        <w:tc>
          <w:tcPr>
            <w:tcW w:w="918" w:type="dxa"/>
            <w:noWrap/>
            <w:hideMark/>
          </w:tcPr>
          <w:p w14:paraId="41CDF3D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510F2A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4638A45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6,659</w:t>
            </w:r>
          </w:p>
        </w:tc>
        <w:tc>
          <w:tcPr>
            <w:tcW w:w="995" w:type="dxa"/>
            <w:noWrap/>
            <w:hideMark/>
          </w:tcPr>
          <w:p w14:paraId="06056AA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18D89834"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78,458</w:t>
            </w:r>
          </w:p>
        </w:tc>
      </w:tr>
      <w:tr w:rsidR="002E268D" w:rsidRPr="002E268D" w14:paraId="25AFBF16" w14:textId="77777777" w:rsidTr="002E268D">
        <w:trPr>
          <w:trHeight w:val="313"/>
        </w:trPr>
        <w:tc>
          <w:tcPr>
            <w:tcW w:w="1413" w:type="dxa"/>
            <w:hideMark/>
          </w:tcPr>
          <w:p w14:paraId="50960E27"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Colac Area Health</w:t>
            </w:r>
          </w:p>
        </w:tc>
        <w:tc>
          <w:tcPr>
            <w:tcW w:w="992" w:type="dxa"/>
            <w:noWrap/>
            <w:hideMark/>
          </w:tcPr>
          <w:p w14:paraId="27A9D4AC"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36,473</w:t>
            </w:r>
          </w:p>
        </w:tc>
        <w:tc>
          <w:tcPr>
            <w:tcW w:w="1246" w:type="dxa"/>
            <w:noWrap/>
            <w:hideMark/>
          </w:tcPr>
          <w:p w14:paraId="3950908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24,117</w:t>
            </w:r>
          </w:p>
        </w:tc>
        <w:tc>
          <w:tcPr>
            <w:tcW w:w="993" w:type="dxa"/>
            <w:noWrap/>
            <w:hideMark/>
          </w:tcPr>
          <w:p w14:paraId="62C5F7F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3,216</w:t>
            </w:r>
          </w:p>
        </w:tc>
        <w:tc>
          <w:tcPr>
            <w:tcW w:w="993" w:type="dxa"/>
            <w:noWrap/>
            <w:hideMark/>
          </w:tcPr>
          <w:p w14:paraId="5FC6A5E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5,312</w:t>
            </w:r>
          </w:p>
        </w:tc>
        <w:tc>
          <w:tcPr>
            <w:tcW w:w="918" w:type="dxa"/>
            <w:noWrap/>
            <w:hideMark/>
          </w:tcPr>
          <w:p w14:paraId="62D793B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759</w:t>
            </w:r>
          </w:p>
        </w:tc>
        <w:tc>
          <w:tcPr>
            <w:tcW w:w="918" w:type="dxa"/>
            <w:noWrap/>
            <w:hideMark/>
          </w:tcPr>
          <w:p w14:paraId="0349C20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408</w:t>
            </w:r>
          </w:p>
        </w:tc>
        <w:tc>
          <w:tcPr>
            <w:tcW w:w="918" w:type="dxa"/>
            <w:noWrap/>
            <w:hideMark/>
          </w:tcPr>
          <w:p w14:paraId="3FA60A8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422</w:t>
            </w:r>
          </w:p>
        </w:tc>
        <w:tc>
          <w:tcPr>
            <w:tcW w:w="918" w:type="dxa"/>
            <w:noWrap/>
            <w:hideMark/>
          </w:tcPr>
          <w:p w14:paraId="5FEF5B9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7C99088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5E8A24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8A6F84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588F9E3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4,231</w:t>
            </w:r>
          </w:p>
        </w:tc>
        <w:tc>
          <w:tcPr>
            <w:tcW w:w="995" w:type="dxa"/>
            <w:noWrap/>
            <w:hideMark/>
          </w:tcPr>
          <w:p w14:paraId="18B6CAA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3789347F"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38,466</w:t>
            </w:r>
          </w:p>
        </w:tc>
      </w:tr>
      <w:tr w:rsidR="002E268D" w:rsidRPr="002E268D" w14:paraId="2B358A9D" w14:textId="77777777" w:rsidTr="002E268D">
        <w:trPr>
          <w:trHeight w:val="313"/>
        </w:trPr>
        <w:tc>
          <w:tcPr>
            <w:tcW w:w="1413" w:type="dxa"/>
            <w:hideMark/>
          </w:tcPr>
          <w:p w14:paraId="62426563"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Dhelkaya Health</w:t>
            </w:r>
          </w:p>
        </w:tc>
        <w:tc>
          <w:tcPr>
            <w:tcW w:w="992" w:type="dxa"/>
            <w:noWrap/>
            <w:hideMark/>
          </w:tcPr>
          <w:p w14:paraId="28388239"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39,591</w:t>
            </w:r>
          </w:p>
        </w:tc>
        <w:tc>
          <w:tcPr>
            <w:tcW w:w="1246" w:type="dxa"/>
            <w:noWrap/>
            <w:hideMark/>
          </w:tcPr>
          <w:p w14:paraId="1AE896D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22,154</w:t>
            </w:r>
          </w:p>
        </w:tc>
        <w:tc>
          <w:tcPr>
            <w:tcW w:w="993" w:type="dxa"/>
            <w:noWrap/>
            <w:hideMark/>
          </w:tcPr>
          <w:p w14:paraId="67EF1FD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4,427</w:t>
            </w:r>
          </w:p>
        </w:tc>
        <w:tc>
          <w:tcPr>
            <w:tcW w:w="993" w:type="dxa"/>
            <w:noWrap/>
            <w:hideMark/>
          </w:tcPr>
          <w:p w14:paraId="5BA5CA0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1,581</w:t>
            </w:r>
          </w:p>
        </w:tc>
        <w:tc>
          <w:tcPr>
            <w:tcW w:w="918" w:type="dxa"/>
            <w:noWrap/>
            <w:hideMark/>
          </w:tcPr>
          <w:p w14:paraId="02456F7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4,090</w:t>
            </w:r>
          </w:p>
        </w:tc>
        <w:tc>
          <w:tcPr>
            <w:tcW w:w="918" w:type="dxa"/>
            <w:noWrap/>
            <w:hideMark/>
          </w:tcPr>
          <w:p w14:paraId="3CD16BF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535</w:t>
            </w:r>
          </w:p>
        </w:tc>
        <w:tc>
          <w:tcPr>
            <w:tcW w:w="918" w:type="dxa"/>
            <w:noWrap/>
            <w:hideMark/>
          </w:tcPr>
          <w:p w14:paraId="4928A14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409</w:t>
            </w:r>
          </w:p>
        </w:tc>
        <w:tc>
          <w:tcPr>
            <w:tcW w:w="918" w:type="dxa"/>
            <w:noWrap/>
            <w:hideMark/>
          </w:tcPr>
          <w:p w14:paraId="36BF0B0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A16481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3D921B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BEFC85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18E4ACE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7,706</w:t>
            </w:r>
          </w:p>
        </w:tc>
        <w:tc>
          <w:tcPr>
            <w:tcW w:w="995" w:type="dxa"/>
            <w:noWrap/>
            <w:hideMark/>
          </w:tcPr>
          <w:p w14:paraId="17CA263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4127B41D"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40,903</w:t>
            </w:r>
          </w:p>
        </w:tc>
      </w:tr>
      <w:tr w:rsidR="002E268D" w:rsidRPr="002E268D" w14:paraId="2E99553E" w14:textId="77777777" w:rsidTr="002E268D">
        <w:trPr>
          <w:trHeight w:val="439"/>
        </w:trPr>
        <w:tc>
          <w:tcPr>
            <w:tcW w:w="1413" w:type="dxa"/>
            <w:hideMark/>
          </w:tcPr>
          <w:p w14:paraId="401366DA"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East Grampians Health Serv</w:t>
            </w:r>
          </w:p>
        </w:tc>
        <w:tc>
          <w:tcPr>
            <w:tcW w:w="992" w:type="dxa"/>
            <w:noWrap/>
            <w:hideMark/>
          </w:tcPr>
          <w:p w14:paraId="435D8D6A"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28,407</w:t>
            </w:r>
          </w:p>
        </w:tc>
        <w:tc>
          <w:tcPr>
            <w:tcW w:w="1246" w:type="dxa"/>
            <w:noWrap/>
            <w:hideMark/>
          </w:tcPr>
          <w:p w14:paraId="7706FBA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21,916</w:t>
            </w:r>
          </w:p>
        </w:tc>
        <w:tc>
          <w:tcPr>
            <w:tcW w:w="993" w:type="dxa"/>
            <w:noWrap/>
            <w:hideMark/>
          </w:tcPr>
          <w:p w14:paraId="61F09E2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2,019</w:t>
            </w:r>
          </w:p>
        </w:tc>
        <w:tc>
          <w:tcPr>
            <w:tcW w:w="993" w:type="dxa"/>
            <w:noWrap/>
            <w:hideMark/>
          </w:tcPr>
          <w:p w14:paraId="66EFA3B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1,095</w:t>
            </w:r>
          </w:p>
        </w:tc>
        <w:tc>
          <w:tcPr>
            <w:tcW w:w="918" w:type="dxa"/>
            <w:noWrap/>
            <w:hideMark/>
          </w:tcPr>
          <w:p w14:paraId="12689F1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1,262</w:t>
            </w:r>
          </w:p>
        </w:tc>
        <w:tc>
          <w:tcPr>
            <w:tcW w:w="918" w:type="dxa"/>
            <w:noWrap/>
            <w:hideMark/>
          </w:tcPr>
          <w:p w14:paraId="52ACEA2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706</w:t>
            </w:r>
          </w:p>
        </w:tc>
        <w:tc>
          <w:tcPr>
            <w:tcW w:w="918" w:type="dxa"/>
            <w:noWrap/>
            <w:hideMark/>
          </w:tcPr>
          <w:p w14:paraId="4E9F08F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1,523</w:t>
            </w:r>
          </w:p>
        </w:tc>
        <w:tc>
          <w:tcPr>
            <w:tcW w:w="918" w:type="dxa"/>
            <w:noWrap/>
            <w:hideMark/>
          </w:tcPr>
          <w:p w14:paraId="462709A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62AA080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300410B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7026AE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22CC677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3,240</w:t>
            </w:r>
          </w:p>
        </w:tc>
        <w:tc>
          <w:tcPr>
            <w:tcW w:w="995" w:type="dxa"/>
            <w:noWrap/>
            <w:hideMark/>
          </w:tcPr>
          <w:p w14:paraId="16A99BD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03CB7021"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31,761</w:t>
            </w:r>
          </w:p>
        </w:tc>
      </w:tr>
      <w:tr w:rsidR="002E268D" w:rsidRPr="002E268D" w14:paraId="2413C4AB" w14:textId="77777777" w:rsidTr="002E268D">
        <w:trPr>
          <w:trHeight w:val="439"/>
        </w:trPr>
        <w:tc>
          <w:tcPr>
            <w:tcW w:w="1413" w:type="dxa"/>
            <w:hideMark/>
          </w:tcPr>
          <w:p w14:paraId="4B67E84A"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Echuca Regional Health</w:t>
            </w:r>
          </w:p>
        </w:tc>
        <w:tc>
          <w:tcPr>
            <w:tcW w:w="992" w:type="dxa"/>
            <w:noWrap/>
            <w:hideMark/>
          </w:tcPr>
          <w:p w14:paraId="6C4744A2"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76,478</w:t>
            </w:r>
          </w:p>
        </w:tc>
        <w:tc>
          <w:tcPr>
            <w:tcW w:w="1246" w:type="dxa"/>
            <w:noWrap/>
            <w:hideMark/>
          </w:tcPr>
          <w:p w14:paraId="0520EE5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47,963</w:t>
            </w:r>
          </w:p>
        </w:tc>
        <w:tc>
          <w:tcPr>
            <w:tcW w:w="993" w:type="dxa"/>
            <w:noWrap/>
            <w:hideMark/>
          </w:tcPr>
          <w:p w14:paraId="5B636FD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8,296</w:t>
            </w:r>
          </w:p>
        </w:tc>
        <w:tc>
          <w:tcPr>
            <w:tcW w:w="993" w:type="dxa"/>
            <w:noWrap/>
            <w:hideMark/>
          </w:tcPr>
          <w:p w14:paraId="10C58F5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13,398</w:t>
            </w:r>
          </w:p>
        </w:tc>
        <w:tc>
          <w:tcPr>
            <w:tcW w:w="918" w:type="dxa"/>
            <w:noWrap/>
            <w:hideMark/>
          </w:tcPr>
          <w:p w14:paraId="06183A4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4,997</w:t>
            </w:r>
          </w:p>
        </w:tc>
        <w:tc>
          <w:tcPr>
            <w:tcW w:w="918" w:type="dxa"/>
            <w:noWrap/>
            <w:hideMark/>
          </w:tcPr>
          <w:p w14:paraId="6A81329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914</w:t>
            </w:r>
          </w:p>
        </w:tc>
        <w:tc>
          <w:tcPr>
            <w:tcW w:w="918" w:type="dxa"/>
            <w:noWrap/>
            <w:hideMark/>
          </w:tcPr>
          <w:p w14:paraId="797F123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2,460</w:t>
            </w:r>
          </w:p>
        </w:tc>
        <w:tc>
          <w:tcPr>
            <w:tcW w:w="918" w:type="dxa"/>
            <w:noWrap/>
            <w:hideMark/>
          </w:tcPr>
          <w:p w14:paraId="1AEB954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ACA02C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2D98B8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3ECA577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738B3F0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5,959</w:t>
            </w:r>
          </w:p>
        </w:tc>
        <w:tc>
          <w:tcPr>
            <w:tcW w:w="995" w:type="dxa"/>
            <w:noWrap/>
            <w:hideMark/>
          </w:tcPr>
          <w:p w14:paraId="3FFD1F7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6CAC2BA8"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83,986</w:t>
            </w:r>
          </w:p>
        </w:tc>
      </w:tr>
      <w:tr w:rsidR="002E268D" w:rsidRPr="002E268D" w14:paraId="22478B44" w14:textId="77777777" w:rsidTr="002E268D">
        <w:trPr>
          <w:trHeight w:val="439"/>
        </w:trPr>
        <w:tc>
          <w:tcPr>
            <w:tcW w:w="1413" w:type="dxa"/>
            <w:hideMark/>
          </w:tcPr>
          <w:p w14:paraId="256C98AF"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Gippsland Southern Health Service</w:t>
            </w:r>
          </w:p>
        </w:tc>
        <w:tc>
          <w:tcPr>
            <w:tcW w:w="992" w:type="dxa"/>
            <w:noWrap/>
            <w:hideMark/>
          </w:tcPr>
          <w:p w14:paraId="522A2CC4"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26,839</w:t>
            </w:r>
          </w:p>
        </w:tc>
        <w:tc>
          <w:tcPr>
            <w:tcW w:w="1246" w:type="dxa"/>
            <w:noWrap/>
            <w:hideMark/>
          </w:tcPr>
          <w:p w14:paraId="3704481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17,630</w:t>
            </w:r>
          </w:p>
        </w:tc>
        <w:tc>
          <w:tcPr>
            <w:tcW w:w="993" w:type="dxa"/>
            <w:noWrap/>
            <w:hideMark/>
          </w:tcPr>
          <w:p w14:paraId="3A4DD7D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2,220</w:t>
            </w:r>
          </w:p>
        </w:tc>
        <w:tc>
          <w:tcPr>
            <w:tcW w:w="993" w:type="dxa"/>
            <w:noWrap/>
            <w:hideMark/>
          </w:tcPr>
          <w:p w14:paraId="575D61B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2,185</w:t>
            </w:r>
          </w:p>
        </w:tc>
        <w:tc>
          <w:tcPr>
            <w:tcW w:w="918" w:type="dxa"/>
            <w:noWrap/>
            <w:hideMark/>
          </w:tcPr>
          <w:p w14:paraId="347B705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1,028</w:t>
            </w:r>
          </w:p>
        </w:tc>
        <w:tc>
          <w:tcPr>
            <w:tcW w:w="918" w:type="dxa"/>
            <w:noWrap/>
            <w:hideMark/>
          </w:tcPr>
          <w:p w14:paraId="7E90B96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642</w:t>
            </w:r>
          </w:p>
        </w:tc>
        <w:tc>
          <w:tcPr>
            <w:tcW w:w="918" w:type="dxa"/>
            <w:noWrap/>
            <w:hideMark/>
          </w:tcPr>
          <w:p w14:paraId="1125866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252</w:t>
            </w:r>
          </w:p>
        </w:tc>
        <w:tc>
          <w:tcPr>
            <w:tcW w:w="918" w:type="dxa"/>
            <w:noWrap/>
            <w:hideMark/>
          </w:tcPr>
          <w:p w14:paraId="67A2CD8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6BB47EC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216</w:t>
            </w:r>
          </w:p>
        </w:tc>
        <w:tc>
          <w:tcPr>
            <w:tcW w:w="918" w:type="dxa"/>
            <w:noWrap/>
            <w:hideMark/>
          </w:tcPr>
          <w:p w14:paraId="067068F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178A3E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2C33ACC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4,111</w:t>
            </w:r>
          </w:p>
        </w:tc>
        <w:tc>
          <w:tcPr>
            <w:tcW w:w="995" w:type="dxa"/>
            <w:noWrap/>
            <w:hideMark/>
          </w:tcPr>
          <w:p w14:paraId="5578376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7FF2D7A3"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28,284</w:t>
            </w:r>
          </w:p>
        </w:tc>
      </w:tr>
      <w:tr w:rsidR="002E268D" w:rsidRPr="002E268D" w14:paraId="7ECA5ADC" w14:textId="77777777" w:rsidTr="002E268D">
        <w:trPr>
          <w:trHeight w:val="439"/>
        </w:trPr>
        <w:tc>
          <w:tcPr>
            <w:tcW w:w="1413" w:type="dxa"/>
            <w:hideMark/>
          </w:tcPr>
          <w:p w14:paraId="2DB67DB4"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Kyabram District Health Services</w:t>
            </w:r>
          </w:p>
        </w:tc>
        <w:tc>
          <w:tcPr>
            <w:tcW w:w="992" w:type="dxa"/>
            <w:noWrap/>
            <w:hideMark/>
          </w:tcPr>
          <w:p w14:paraId="4D013F9A"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20,276</w:t>
            </w:r>
          </w:p>
        </w:tc>
        <w:tc>
          <w:tcPr>
            <w:tcW w:w="1246" w:type="dxa"/>
            <w:noWrap/>
            <w:hideMark/>
          </w:tcPr>
          <w:p w14:paraId="43F1CF4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14,077</w:t>
            </w:r>
          </w:p>
        </w:tc>
        <w:tc>
          <w:tcPr>
            <w:tcW w:w="993" w:type="dxa"/>
            <w:noWrap/>
            <w:hideMark/>
          </w:tcPr>
          <w:p w14:paraId="2EAA034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1,336</w:t>
            </w:r>
          </w:p>
        </w:tc>
        <w:tc>
          <w:tcPr>
            <w:tcW w:w="993" w:type="dxa"/>
            <w:noWrap/>
            <w:hideMark/>
          </w:tcPr>
          <w:p w14:paraId="4B4C99E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1,304</w:t>
            </w:r>
          </w:p>
        </w:tc>
        <w:tc>
          <w:tcPr>
            <w:tcW w:w="918" w:type="dxa"/>
            <w:noWrap/>
            <w:hideMark/>
          </w:tcPr>
          <w:p w14:paraId="54B8137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589</w:t>
            </w:r>
          </w:p>
        </w:tc>
        <w:tc>
          <w:tcPr>
            <w:tcW w:w="918" w:type="dxa"/>
            <w:noWrap/>
            <w:hideMark/>
          </w:tcPr>
          <w:p w14:paraId="34CFCE6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32EA0F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154</w:t>
            </w:r>
          </w:p>
        </w:tc>
        <w:tc>
          <w:tcPr>
            <w:tcW w:w="918" w:type="dxa"/>
            <w:noWrap/>
            <w:hideMark/>
          </w:tcPr>
          <w:p w14:paraId="4EE1B8C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447AD26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36E7B6E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725FA54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5A55C42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3,111</w:t>
            </w:r>
          </w:p>
        </w:tc>
        <w:tc>
          <w:tcPr>
            <w:tcW w:w="995" w:type="dxa"/>
            <w:noWrap/>
            <w:hideMark/>
          </w:tcPr>
          <w:p w14:paraId="2753012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365F3D95"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20,570</w:t>
            </w:r>
          </w:p>
        </w:tc>
      </w:tr>
      <w:tr w:rsidR="002E268D" w:rsidRPr="002E268D" w14:paraId="587DB3D5" w14:textId="77777777" w:rsidTr="002E268D">
        <w:trPr>
          <w:trHeight w:val="439"/>
        </w:trPr>
        <w:tc>
          <w:tcPr>
            <w:tcW w:w="1413" w:type="dxa"/>
            <w:hideMark/>
          </w:tcPr>
          <w:p w14:paraId="340CB30B"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Maryborough District Health Service</w:t>
            </w:r>
          </w:p>
        </w:tc>
        <w:tc>
          <w:tcPr>
            <w:tcW w:w="992" w:type="dxa"/>
            <w:noWrap/>
            <w:hideMark/>
          </w:tcPr>
          <w:p w14:paraId="663D700E"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27,803</w:t>
            </w:r>
          </w:p>
        </w:tc>
        <w:tc>
          <w:tcPr>
            <w:tcW w:w="1246" w:type="dxa"/>
            <w:noWrap/>
            <w:hideMark/>
          </w:tcPr>
          <w:p w14:paraId="5E00B8B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18,589</w:t>
            </w:r>
          </w:p>
        </w:tc>
        <w:tc>
          <w:tcPr>
            <w:tcW w:w="993" w:type="dxa"/>
            <w:noWrap/>
            <w:hideMark/>
          </w:tcPr>
          <w:p w14:paraId="5CBBAA2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2,399</w:t>
            </w:r>
          </w:p>
        </w:tc>
        <w:tc>
          <w:tcPr>
            <w:tcW w:w="993" w:type="dxa"/>
            <w:noWrap/>
            <w:hideMark/>
          </w:tcPr>
          <w:p w14:paraId="267AD02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2,637</w:t>
            </w:r>
          </w:p>
        </w:tc>
        <w:tc>
          <w:tcPr>
            <w:tcW w:w="918" w:type="dxa"/>
            <w:noWrap/>
            <w:hideMark/>
          </w:tcPr>
          <w:p w14:paraId="508FBD3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175</w:t>
            </w:r>
          </w:p>
        </w:tc>
        <w:tc>
          <w:tcPr>
            <w:tcW w:w="918" w:type="dxa"/>
            <w:noWrap/>
            <w:hideMark/>
          </w:tcPr>
          <w:p w14:paraId="355B7D9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337</w:t>
            </w:r>
          </w:p>
        </w:tc>
        <w:tc>
          <w:tcPr>
            <w:tcW w:w="918" w:type="dxa"/>
            <w:noWrap/>
            <w:hideMark/>
          </w:tcPr>
          <w:p w14:paraId="11ECE43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560</w:t>
            </w:r>
          </w:p>
        </w:tc>
        <w:tc>
          <w:tcPr>
            <w:tcW w:w="918" w:type="dxa"/>
            <w:noWrap/>
            <w:hideMark/>
          </w:tcPr>
          <w:p w14:paraId="47FAEE5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00963E7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EE76AA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EF308B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3CA34D5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4,057</w:t>
            </w:r>
          </w:p>
        </w:tc>
        <w:tc>
          <w:tcPr>
            <w:tcW w:w="995" w:type="dxa"/>
            <w:noWrap/>
            <w:hideMark/>
          </w:tcPr>
          <w:p w14:paraId="5FDA921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5F22E37A"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28,753</w:t>
            </w:r>
          </w:p>
        </w:tc>
      </w:tr>
      <w:tr w:rsidR="002E268D" w:rsidRPr="002E268D" w14:paraId="008BC671" w14:textId="77777777" w:rsidTr="002E268D">
        <w:trPr>
          <w:trHeight w:val="439"/>
        </w:trPr>
        <w:tc>
          <w:tcPr>
            <w:tcW w:w="1413" w:type="dxa"/>
            <w:hideMark/>
          </w:tcPr>
          <w:p w14:paraId="6968DD86"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Mildura Base Public Hospital</w:t>
            </w:r>
          </w:p>
        </w:tc>
        <w:tc>
          <w:tcPr>
            <w:tcW w:w="992" w:type="dxa"/>
            <w:noWrap/>
            <w:hideMark/>
          </w:tcPr>
          <w:p w14:paraId="77075423"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146,398</w:t>
            </w:r>
          </w:p>
        </w:tc>
        <w:tc>
          <w:tcPr>
            <w:tcW w:w="1246" w:type="dxa"/>
            <w:noWrap/>
            <w:hideMark/>
          </w:tcPr>
          <w:p w14:paraId="6F33C99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85,213</w:t>
            </w:r>
          </w:p>
        </w:tc>
        <w:tc>
          <w:tcPr>
            <w:tcW w:w="993" w:type="dxa"/>
            <w:noWrap/>
            <w:hideMark/>
          </w:tcPr>
          <w:p w14:paraId="30C9578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8,219</w:t>
            </w:r>
          </w:p>
        </w:tc>
        <w:tc>
          <w:tcPr>
            <w:tcW w:w="993" w:type="dxa"/>
            <w:noWrap/>
            <w:hideMark/>
          </w:tcPr>
          <w:p w14:paraId="372FE6B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19,362</w:t>
            </w:r>
          </w:p>
        </w:tc>
        <w:tc>
          <w:tcPr>
            <w:tcW w:w="918" w:type="dxa"/>
            <w:noWrap/>
            <w:hideMark/>
          </w:tcPr>
          <w:p w14:paraId="43B3641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4,729</w:t>
            </w:r>
          </w:p>
        </w:tc>
        <w:tc>
          <w:tcPr>
            <w:tcW w:w="918" w:type="dxa"/>
            <w:noWrap/>
            <w:hideMark/>
          </w:tcPr>
          <w:p w14:paraId="5414474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8FF8F7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3,299</w:t>
            </w:r>
          </w:p>
        </w:tc>
        <w:tc>
          <w:tcPr>
            <w:tcW w:w="918" w:type="dxa"/>
            <w:noWrap/>
            <w:hideMark/>
          </w:tcPr>
          <w:p w14:paraId="6F2EA64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4,984</w:t>
            </w:r>
          </w:p>
        </w:tc>
        <w:tc>
          <w:tcPr>
            <w:tcW w:w="918" w:type="dxa"/>
            <w:noWrap/>
            <w:hideMark/>
          </w:tcPr>
          <w:p w14:paraId="6BAF10B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13,747</w:t>
            </w:r>
          </w:p>
        </w:tc>
        <w:tc>
          <w:tcPr>
            <w:tcW w:w="918" w:type="dxa"/>
            <w:noWrap/>
            <w:hideMark/>
          </w:tcPr>
          <w:p w14:paraId="3622468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3,061</w:t>
            </w:r>
          </w:p>
        </w:tc>
        <w:tc>
          <w:tcPr>
            <w:tcW w:w="918" w:type="dxa"/>
            <w:noWrap/>
            <w:hideMark/>
          </w:tcPr>
          <w:p w14:paraId="5BF88C7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6931D93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13,516</w:t>
            </w:r>
          </w:p>
        </w:tc>
        <w:tc>
          <w:tcPr>
            <w:tcW w:w="995" w:type="dxa"/>
            <w:noWrap/>
            <w:hideMark/>
          </w:tcPr>
          <w:p w14:paraId="38671C5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66B673F7"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156,131</w:t>
            </w:r>
          </w:p>
        </w:tc>
      </w:tr>
      <w:tr w:rsidR="002E268D" w:rsidRPr="002E268D" w14:paraId="2A0252F8" w14:textId="77777777" w:rsidTr="002E268D">
        <w:trPr>
          <w:trHeight w:val="439"/>
        </w:trPr>
        <w:tc>
          <w:tcPr>
            <w:tcW w:w="1413" w:type="dxa"/>
            <w:hideMark/>
          </w:tcPr>
          <w:p w14:paraId="0D488C42"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Northeast Health Wangaratta</w:t>
            </w:r>
          </w:p>
        </w:tc>
        <w:tc>
          <w:tcPr>
            <w:tcW w:w="992" w:type="dxa"/>
            <w:noWrap/>
            <w:hideMark/>
          </w:tcPr>
          <w:p w14:paraId="33398417"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146,887</w:t>
            </w:r>
          </w:p>
        </w:tc>
        <w:tc>
          <w:tcPr>
            <w:tcW w:w="1246" w:type="dxa"/>
            <w:noWrap/>
            <w:hideMark/>
          </w:tcPr>
          <w:p w14:paraId="408D299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104,149</w:t>
            </w:r>
          </w:p>
        </w:tc>
        <w:tc>
          <w:tcPr>
            <w:tcW w:w="993" w:type="dxa"/>
            <w:noWrap/>
            <w:hideMark/>
          </w:tcPr>
          <w:p w14:paraId="0281E6D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11,547</w:t>
            </w:r>
          </w:p>
        </w:tc>
        <w:tc>
          <w:tcPr>
            <w:tcW w:w="993" w:type="dxa"/>
            <w:noWrap/>
            <w:hideMark/>
          </w:tcPr>
          <w:p w14:paraId="4C81282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25,488</w:t>
            </w:r>
          </w:p>
        </w:tc>
        <w:tc>
          <w:tcPr>
            <w:tcW w:w="918" w:type="dxa"/>
            <w:noWrap/>
            <w:hideMark/>
          </w:tcPr>
          <w:p w14:paraId="11ED876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7,006</w:t>
            </w:r>
          </w:p>
        </w:tc>
        <w:tc>
          <w:tcPr>
            <w:tcW w:w="918" w:type="dxa"/>
            <w:noWrap/>
            <w:hideMark/>
          </w:tcPr>
          <w:p w14:paraId="606F7BB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1,136</w:t>
            </w:r>
          </w:p>
        </w:tc>
        <w:tc>
          <w:tcPr>
            <w:tcW w:w="918" w:type="dxa"/>
            <w:noWrap/>
            <w:hideMark/>
          </w:tcPr>
          <w:p w14:paraId="2FE9EF67"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2,616</w:t>
            </w:r>
          </w:p>
        </w:tc>
        <w:tc>
          <w:tcPr>
            <w:tcW w:w="918" w:type="dxa"/>
            <w:noWrap/>
            <w:hideMark/>
          </w:tcPr>
          <w:p w14:paraId="3C9206A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14</w:t>
            </w:r>
          </w:p>
        </w:tc>
        <w:tc>
          <w:tcPr>
            <w:tcW w:w="918" w:type="dxa"/>
            <w:noWrap/>
            <w:hideMark/>
          </w:tcPr>
          <w:p w14:paraId="491706E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154</w:t>
            </w:r>
          </w:p>
        </w:tc>
        <w:tc>
          <w:tcPr>
            <w:tcW w:w="918" w:type="dxa"/>
            <w:noWrap/>
            <w:hideMark/>
          </w:tcPr>
          <w:p w14:paraId="1370563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7A71E7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4149A44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7,333</w:t>
            </w:r>
          </w:p>
        </w:tc>
        <w:tc>
          <w:tcPr>
            <w:tcW w:w="995" w:type="dxa"/>
            <w:noWrap/>
            <w:hideMark/>
          </w:tcPr>
          <w:p w14:paraId="4131510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1BFF3E36"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159,444</w:t>
            </w:r>
          </w:p>
        </w:tc>
      </w:tr>
      <w:tr w:rsidR="002E268D" w:rsidRPr="002E268D" w14:paraId="36FADCD6" w14:textId="77777777" w:rsidTr="002E268D">
        <w:trPr>
          <w:trHeight w:val="313"/>
        </w:trPr>
        <w:tc>
          <w:tcPr>
            <w:tcW w:w="1413" w:type="dxa"/>
            <w:hideMark/>
          </w:tcPr>
          <w:p w14:paraId="3635B429"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Portland District Health</w:t>
            </w:r>
          </w:p>
        </w:tc>
        <w:tc>
          <w:tcPr>
            <w:tcW w:w="992" w:type="dxa"/>
            <w:noWrap/>
            <w:hideMark/>
          </w:tcPr>
          <w:p w14:paraId="454D47FC"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33,494</w:t>
            </w:r>
          </w:p>
        </w:tc>
        <w:tc>
          <w:tcPr>
            <w:tcW w:w="1246" w:type="dxa"/>
            <w:noWrap/>
            <w:hideMark/>
          </w:tcPr>
          <w:p w14:paraId="40CF662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21,528</w:t>
            </w:r>
          </w:p>
        </w:tc>
        <w:tc>
          <w:tcPr>
            <w:tcW w:w="993" w:type="dxa"/>
            <w:noWrap/>
            <w:hideMark/>
          </w:tcPr>
          <w:p w14:paraId="6F8E338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3,027</w:t>
            </w:r>
          </w:p>
        </w:tc>
        <w:tc>
          <w:tcPr>
            <w:tcW w:w="993" w:type="dxa"/>
            <w:noWrap/>
            <w:hideMark/>
          </w:tcPr>
          <w:p w14:paraId="3D5B30E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5,194</w:t>
            </w:r>
          </w:p>
        </w:tc>
        <w:tc>
          <w:tcPr>
            <w:tcW w:w="918" w:type="dxa"/>
            <w:noWrap/>
            <w:hideMark/>
          </w:tcPr>
          <w:p w14:paraId="6E6F378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1,083</w:t>
            </w:r>
          </w:p>
        </w:tc>
        <w:tc>
          <w:tcPr>
            <w:tcW w:w="918" w:type="dxa"/>
            <w:noWrap/>
            <w:hideMark/>
          </w:tcPr>
          <w:p w14:paraId="3BB1FF5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339</w:t>
            </w:r>
          </w:p>
        </w:tc>
        <w:tc>
          <w:tcPr>
            <w:tcW w:w="918" w:type="dxa"/>
            <w:noWrap/>
            <w:hideMark/>
          </w:tcPr>
          <w:p w14:paraId="369CDF8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322</w:t>
            </w:r>
          </w:p>
        </w:tc>
        <w:tc>
          <w:tcPr>
            <w:tcW w:w="918" w:type="dxa"/>
            <w:noWrap/>
            <w:hideMark/>
          </w:tcPr>
          <w:p w14:paraId="3B37353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001B1F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6C15E81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F748DA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556AD91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4,326</w:t>
            </w:r>
          </w:p>
        </w:tc>
        <w:tc>
          <w:tcPr>
            <w:tcW w:w="995" w:type="dxa"/>
            <w:noWrap/>
            <w:hideMark/>
          </w:tcPr>
          <w:p w14:paraId="7F16511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1632D3FA"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35,820</w:t>
            </w:r>
          </w:p>
        </w:tc>
      </w:tr>
      <w:tr w:rsidR="002E268D" w:rsidRPr="002E268D" w14:paraId="3FB4A57F" w14:textId="77777777" w:rsidTr="002E268D">
        <w:trPr>
          <w:trHeight w:val="313"/>
        </w:trPr>
        <w:tc>
          <w:tcPr>
            <w:tcW w:w="1413" w:type="dxa"/>
            <w:hideMark/>
          </w:tcPr>
          <w:p w14:paraId="50F6CE5D"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South West Healthcare</w:t>
            </w:r>
          </w:p>
        </w:tc>
        <w:tc>
          <w:tcPr>
            <w:tcW w:w="992" w:type="dxa"/>
            <w:noWrap/>
            <w:hideMark/>
          </w:tcPr>
          <w:p w14:paraId="2757B0B6"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186,397</w:t>
            </w:r>
          </w:p>
        </w:tc>
        <w:tc>
          <w:tcPr>
            <w:tcW w:w="1246" w:type="dxa"/>
            <w:noWrap/>
            <w:hideMark/>
          </w:tcPr>
          <w:p w14:paraId="6A22F14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94,810</w:t>
            </w:r>
          </w:p>
        </w:tc>
        <w:tc>
          <w:tcPr>
            <w:tcW w:w="993" w:type="dxa"/>
            <w:noWrap/>
            <w:hideMark/>
          </w:tcPr>
          <w:p w14:paraId="5990509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14,556</w:t>
            </w:r>
          </w:p>
        </w:tc>
        <w:tc>
          <w:tcPr>
            <w:tcW w:w="993" w:type="dxa"/>
            <w:noWrap/>
            <w:hideMark/>
          </w:tcPr>
          <w:p w14:paraId="106FC7F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25,246</w:t>
            </w:r>
          </w:p>
        </w:tc>
        <w:tc>
          <w:tcPr>
            <w:tcW w:w="918" w:type="dxa"/>
            <w:noWrap/>
            <w:hideMark/>
          </w:tcPr>
          <w:p w14:paraId="2B56D07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11,797</w:t>
            </w:r>
          </w:p>
        </w:tc>
        <w:tc>
          <w:tcPr>
            <w:tcW w:w="918" w:type="dxa"/>
            <w:noWrap/>
            <w:hideMark/>
          </w:tcPr>
          <w:p w14:paraId="3C87D2C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1,267</w:t>
            </w:r>
          </w:p>
        </w:tc>
        <w:tc>
          <w:tcPr>
            <w:tcW w:w="918" w:type="dxa"/>
            <w:noWrap/>
            <w:hideMark/>
          </w:tcPr>
          <w:p w14:paraId="41AEC21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4,229</w:t>
            </w:r>
          </w:p>
        </w:tc>
        <w:tc>
          <w:tcPr>
            <w:tcW w:w="918" w:type="dxa"/>
            <w:noWrap/>
            <w:hideMark/>
          </w:tcPr>
          <w:p w14:paraId="6858A7F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7,245</w:t>
            </w:r>
          </w:p>
        </w:tc>
        <w:tc>
          <w:tcPr>
            <w:tcW w:w="918" w:type="dxa"/>
            <w:noWrap/>
            <w:hideMark/>
          </w:tcPr>
          <w:p w14:paraId="2C31D1F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18,423</w:t>
            </w:r>
          </w:p>
        </w:tc>
        <w:tc>
          <w:tcPr>
            <w:tcW w:w="918" w:type="dxa"/>
            <w:noWrap/>
            <w:hideMark/>
          </w:tcPr>
          <w:p w14:paraId="0E50623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4,014</w:t>
            </w:r>
          </w:p>
        </w:tc>
        <w:tc>
          <w:tcPr>
            <w:tcW w:w="918" w:type="dxa"/>
            <w:noWrap/>
            <w:hideMark/>
          </w:tcPr>
          <w:p w14:paraId="3CD3E8D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289931D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13,169</w:t>
            </w:r>
          </w:p>
        </w:tc>
        <w:tc>
          <w:tcPr>
            <w:tcW w:w="995" w:type="dxa"/>
            <w:noWrap/>
            <w:hideMark/>
          </w:tcPr>
          <w:p w14:paraId="1818D60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0BD684E3"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194,755</w:t>
            </w:r>
          </w:p>
        </w:tc>
      </w:tr>
      <w:tr w:rsidR="002E268D" w:rsidRPr="002E268D" w14:paraId="278B4E0B" w14:textId="77777777" w:rsidTr="002E268D">
        <w:trPr>
          <w:trHeight w:val="439"/>
        </w:trPr>
        <w:tc>
          <w:tcPr>
            <w:tcW w:w="1413" w:type="dxa"/>
            <w:hideMark/>
          </w:tcPr>
          <w:p w14:paraId="103DD959"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lastRenderedPageBreak/>
              <w:t>Swan Hill District Health</w:t>
            </w:r>
          </w:p>
        </w:tc>
        <w:tc>
          <w:tcPr>
            <w:tcW w:w="992" w:type="dxa"/>
            <w:noWrap/>
            <w:hideMark/>
          </w:tcPr>
          <w:p w14:paraId="2FC7E780"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52,301</w:t>
            </w:r>
          </w:p>
        </w:tc>
        <w:tc>
          <w:tcPr>
            <w:tcW w:w="1246" w:type="dxa"/>
            <w:noWrap/>
            <w:hideMark/>
          </w:tcPr>
          <w:p w14:paraId="2308EDD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28,160</w:t>
            </w:r>
          </w:p>
        </w:tc>
        <w:tc>
          <w:tcPr>
            <w:tcW w:w="993" w:type="dxa"/>
            <w:noWrap/>
            <w:hideMark/>
          </w:tcPr>
          <w:p w14:paraId="289A4BB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5,999</w:t>
            </w:r>
          </w:p>
        </w:tc>
        <w:tc>
          <w:tcPr>
            <w:tcW w:w="993" w:type="dxa"/>
            <w:noWrap/>
            <w:hideMark/>
          </w:tcPr>
          <w:p w14:paraId="4257A52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10,361</w:t>
            </w:r>
          </w:p>
        </w:tc>
        <w:tc>
          <w:tcPr>
            <w:tcW w:w="918" w:type="dxa"/>
            <w:noWrap/>
            <w:hideMark/>
          </w:tcPr>
          <w:p w14:paraId="3768158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2,751</w:t>
            </w:r>
          </w:p>
        </w:tc>
        <w:tc>
          <w:tcPr>
            <w:tcW w:w="918" w:type="dxa"/>
            <w:noWrap/>
            <w:hideMark/>
          </w:tcPr>
          <w:p w14:paraId="2F0D8FCA"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926</w:t>
            </w:r>
          </w:p>
        </w:tc>
        <w:tc>
          <w:tcPr>
            <w:tcW w:w="918" w:type="dxa"/>
            <w:noWrap/>
            <w:hideMark/>
          </w:tcPr>
          <w:p w14:paraId="36520C61"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686</w:t>
            </w:r>
          </w:p>
        </w:tc>
        <w:tc>
          <w:tcPr>
            <w:tcW w:w="918" w:type="dxa"/>
            <w:noWrap/>
            <w:hideMark/>
          </w:tcPr>
          <w:p w14:paraId="04B1B07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FCBAD2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33BEAEE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35487F74"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394E4D13"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6,572</w:t>
            </w:r>
          </w:p>
        </w:tc>
        <w:tc>
          <w:tcPr>
            <w:tcW w:w="995" w:type="dxa"/>
            <w:noWrap/>
            <w:hideMark/>
          </w:tcPr>
          <w:p w14:paraId="0BEF93C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01049315"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55,454</w:t>
            </w:r>
          </w:p>
        </w:tc>
      </w:tr>
      <w:tr w:rsidR="002E268D" w:rsidRPr="002E268D" w14:paraId="3E2864D5" w14:textId="77777777" w:rsidTr="002E268D">
        <w:trPr>
          <w:trHeight w:val="439"/>
        </w:trPr>
        <w:tc>
          <w:tcPr>
            <w:tcW w:w="1413" w:type="dxa"/>
            <w:hideMark/>
          </w:tcPr>
          <w:p w14:paraId="263DC56E"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West Gippsland Healthcare Group</w:t>
            </w:r>
          </w:p>
        </w:tc>
        <w:tc>
          <w:tcPr>
            <w:tcW w:w="992" w:type="dxa"/>
            <w:noWrap/>
            <w:hideMark/>
          </w:tcPr>
          <w:p w14:paraId="2ACBCC3D"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101,228</w:t>
            </w:r>
          </w:p>
        </w:tc>
        <w:tc>
          <w:tcPr>
            <w:tcW w:w="1246" w:type="dxa"/>
            <w:noWrap/>
            <w:hideMark/>
          </w:tcPr>
          <w:p w14:paraId="676715F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69,838</w:t>
            </w:r>
          </w:p>
        </w:tc>
        <w:tc>
          <w:tcPr>
            <w:tcW w:w="993" w:type="dxa"/>
            <w:noWrap/>
            <w:hideMark/>
          </w:tcPr>
          <w:p w14:paraId="78C37A96"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7,894</w:t>
            </w:r>
          </w:p>
        </w:tc>
        <w:tc>
          <w:tcPr>
            <w:tcW w:w="993" w:type="dxa"/>
            <w:noWrap/>
            <w:hideMark/>
          </w:tcPr>
          <w:p w14:paraId="7E42D5C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15,148</w:t>
            </w:r>
          </w:p>
        </w:tc>
        <w:tc>
          <w:tcPr>
            <w:tcW w:w="918" w:type="dxa"/>
            <w:noWrap/>
            <w:hideMark/>
          </w:tcPr>
          <w:p w14:paraId="650F6AA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2,492</w:t>
            </w:r>
          </w:p>
        </w:tc>
        <w:tc>
          <w:tcPr>
            <w:tcW w:w="918" w:type="dxa"/>
            <w:noWrap/>
            <w:hideMark/>
          </w:tcPr>
          <w:p w14:paraId="1B7CBB7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936</w:t>
            </w:r>
          </w:p>
        </w:tc>
        <w:tc>
          <w:tcPr>
            <w:tcW w:w="918" w:type="dxa"/>
            <w:noWrap/>
            <w:hideMark/>
          </w:tcPr>
          <w:p w14:paraId="1B31137C"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2,160</w:t>
            </w:r>
          </w:p>
        </w:tc>
        <w:tc>
          <w:tcPr>
            <w:tcW w:w="918" w:type="dxa"/>
            <w:noWrap/>
            <w:hideMark/>
          </w:tcPr>
          <w:p w14:paraId="44C53F8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5E241DA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2A934FB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7064E49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69A30E0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6,615</w:t>
            </w:r>
          </w:p>
        </w:tc>
        <w:tc>
          <w:tcPr>
            <w:tcW w:w="995" w:type="dxa"/>
            <w:noWrap/>
            <w:hideMark/>
          </w:tcPr>
          <w:p w14:paraId="2F5F4A1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75AB0D41"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105,084</w:t>
            </w:r>
          </w:p>
        </w:tc>
      </w:tr>
      <w:tr w:rsidR="002E268D" w:rsidRPr="002E268D" w14:paraId="1712CA65" w14:textId="77777777" w:rsidTr="002E268D">
        <w:trPr>
          <w:trHeight w:val="439"/>
        </w:trPr>
        <w:tc>
          <w:tcPr>
            <w:tcW w:w="1413" w:type="dxa"/>
            <w:hideMark/>
          </w:tcPr>
          <w:p w14:paraId="2EB120B6" w14:textId="77777777" w:rsidR="002E268D" w:rsidRPr="002E268D" w:rsidRDefault="002E268D" w:rsidP="002E268D">
            <w:pPr>
              <w:spacing w:after="0" w:line="240" w:lineRule="auto"/>
              <w:rPr>
                <w:rFonts w:cs="Arial"/>
                <w:color w:val="000000"/>
                <w:sz w:val="16"/>
                <w:szCs w:val="16"/>
                <w:lang w:eastAsia="en-AU"/>
              </w:rPr>
            </w:pPr>
            <w:r w:rsidRPr="002E268D">
              <w:rPr>
                <w:rFonts w:cs="Arial"/>
                <w:color w:val="000000"/>
                <w:sz w:val="16"/>
                <w:szCs w:val="16"/>
                <w:lang w:eastAsia="en-AU"/>
              </w:rPr>
              <w:t>Western District Health Service</w:t>
            </w:r>
          </w:p>
        </w:tc>
        <w:tc>
          <w:tcPr>
            <w:tcW w:w="992" w:type="dxa"/>
            <w:noWrap/>
            <w:hideMark/>
          </w:tcPr>
          <w:p w14:paraId="5C40BE15"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59,894</w:t>
            </w:r>
          </w:p>
        </w:tc>
        <w:tc>
          <w:tcPr>
            <w:tcW w:w="1246" w:type="dxa"/>
            <w:noWrap/>
            <w:hideMark/>
          </w:tcPr>
          <w:p w14:paraId="3AC90EE9"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36,020</w:t>
            </w:r>
          </w:p>
        </w:tc>
        <w:tc>
          <w:tcPr>
            <w:tcW w:w="993" w:type="dxa"/>
            <w:noWrap/>
            <w:hideMark/>
          </w:tcPr>
          <w:p w14:paraId="4E4DCDF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5,625</w:t>
            </w:r>
          </w:p>
        </w:tc>
        <w:tc>
          <w:tcPr>
            <w:tcW w:w="993" w:type="dxa"/>
            <w:noWrap/>
            <w:hideMark/>
          </w:tcPr>
          <w:p w14:paraId="19E38E52"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8,041</w:t>
            </w:r>
          </w:p>
        </w:tc>
        <w:tc>
          <w:tcPr>
            <w:tcW w:w="918" w:type="dxa"/>
            <w:noWrap/>
            <w:hideMark/>
          </w:tcPr>
          <w:p w14:paraId="49D7907E"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2,283</w:t>
            </w:r>
          </w:p>
        </w:tc>
        <w:tc>
          <w:tcPr>
            <w:tcW w:w="918" w:type="dxa"/>
            <w:noWrap/>
            <w:hideMark/>
          </w:tcPr>
          <w:p w14:paraId="6DCF0E28"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432</w:t>
            </w:r>
          </w:p>
        </w:tc>
        <w:tc>
          <w:tcPr>
            <w:tcW w:w="918" w:type="dxa"/>
            <w:noWrap/>
            <w:hideMark/>
          </w:tcPr>
          <w:p w14:paraId="3B5F134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767</w:t>
            </w:r>
          </w:p>
        </w:tc>
        <w:tc>
          <w:tcPr>
            <w:tcW w:w="918" w:type="dxa"/>
            <w:noWrap/>
            <w:hideMark/>
          </w:tcPr>
          <w:p w14:paraId="4974A46D"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1AD4C490"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119</w:t>
            </w:r>
          </w:p>
        </w:tc>
        <w:tc>
          <w:tcPr>
            <w:tcW w:w="918" w:type="dxa"/>
            <w:noWrap/>
            <w:hideMark/>
          </w:tcPr>
          <w:p w14:paraId="6F858F6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18" w:type="dxa"/>
            <w:noWrap/>
            <w:hideMark/>
          </w:tcPr>
          <w:p w14:paraId="71DBE42B"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993" w:type="dxa"/>
            <w:noWrap/>
            <w:hideMark/>
          </w:tcPr>
          <w:p w14:paraId="1BCD3FD5"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10,846</w:t>
            </w:r>
          </w:p>
        </w:tc>
        <w:tc>
          <w:tcPr>
            <w:tcW w:w="995" w:type="dxa"/>
            <w:noWrap/>
            <w:hideMark/>
          </w:tcPr>
          <w:p w14:paraId="2C168BBF" w14:textId="77777777" w:rsidR="002E268D" w:rsidRPr="002E268D" w:rsidRDefault="002E268D" w:rsidP="002E268D">
            <w:pPr>
              <w:spacing w:after="0" w:line="240" w:lineRule="auto"/>
              <w:jc w:val="right"/>
              <w:rPr>
                <w:rFonts w:cs="Arial"/>
                <w:color w:val="000000"/>
                <w:sz w:val="16"/>
                <w:szCs w:val="16"/>
                <w:lang w:eastAsia="en-AU"/>
              </w:rPr>
            </w:pPr>
            <w:r w:rsidRPr="002E268D">
              <w:rPr>
                <w:rFonts w:cs="Arial"/>
                <w:color w:val="000000"/>
                <w:sz w:val="16"/>
                <w:szCs w:val="16"/>
                <w:lang w:eastAsia="en-AU"/>
              </w:rPr>
              <w:t>0</w:t>
            </w:r>
          </w:p>
        </w:tc>
        <w:tc>
          <w:tcPr>
            <w:tcW w:w="1108" w:type="dxa"/>
            <w:noWrap/>
            <w:hideMark/>
          </w:tcPr>
          <w:p w14:paraId="77FBEF28" w14:textId="77777777" w:rsidR="002E268D" w:rsidRPr="002E268D" w:rsidRDefault="002E268D" w:rsidP="002E268D">
            <w:pPr>
              <w:spacing w:after="0" w:line="240" w:lineRule="auto"/>
              <w:jc w:val="right"/>
              <w:rPr>
                <w:rFonts w:cs="Arial"/>
                <w:b/>
                <w:bCs/>
                <w:color w:val="000000"/>
                <w:sz w:val="16"/>
                <w:szCs w:val="16"/>
                <w:lang w:eastAsia="en-AU"/>
              </w:rPr>
            </w:pPr>
            <w:r w:rsidRPr="002E268D">
              <w:rPr>
                <w:rFonts w:cs="Arial"/>
                <w:b/>
                <w:bCs/>
                <w:color w:val="000000"/>
                <w:sz w:val="16"/>
                <w:szCs w:val="16"/>
                <w:lang w:eastAsia="en-AU"/>
              </w:rPr>
              <w:t>64,133</w:t>
            </w:r>
          </w:p>
        </w:tc>
      </w:tr>
      <w:tr w:rsidR="002E268D" w:rsidRPr="002E268D" w14:paraId="7F80AA36" w14:textId="77777777" w:rsidTr="002E268D">
        <w:trPr>
          <w:trHeight w:val="301"/>
        </w:trPr>
        <w:tc>
          <w:tcPr>
            <w:tcW w:w="1413" w:type="dxa"/>
            <w:shd w:val="clear" w:color="auto" w:fill="201547"/>
            <w:hideMark/>
          </w:tcPr>
          <w:p w14:paraId="46EB37B8" w14:textId="77777777" w:rsidR="002E268D" w:rsidRPr="002E268D" w:rsidRDefault="002E268D" w:rsidP="002E268D">
            <w:pPr>
              <w:spacing w:after="0" w:line="240" w:lineRule="auto"/>
              <w:rPr>
                <w:rFonts w:cs="Arial"/>
                <w:b/>
                <w:bCs/>
                <w:color w:val="FFFFFF"/>
                <w:sz w:val="16"/>
                <w:szCs w:val="16"/>
                <w:lang w:eastAsia="en-AU"/>
              </w:rPr>
            </w:pPr>
            <w:r w:rsidRPr="002E268D">
              <w:rPr>
                <w:rFonts w:cs="Arial"/>
                <w:b/>
                <w:bCs/>
                <w:color w:val="FFFFFF"/>
                <w:sz w:val="16"/>
                <w:szCs w:val="16"/>
                <w:lang w:eastAsia="en-AU"/>
              </w:rPr>
              <w:t>Total</w:t>
            </w:r>
          </w:p>
        </w:tc>
        <w:tc>
          <w:tcPr>
            <w:tcW w:w="992" w:type="dxa"/>
            <w:shd w:val="clear" w:color="auto" w:fill="201547"/>
            <w:hideMark/>
          </w:tcPr>
          <w:p w14:paraId="48C55C12"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1,234,962</w:t>
            </w:r>
          </w:p>
        </w:tc>
        <w:tc>
          <w:tcPr>
            <w:tcW w:w="1246" w:type="dxa"/>
            <w:shd w:val="clear" w:color="auto" w:fill="201547"/>
            <w:hideMark/>
          </w:tcPr>
          <w:p w14:paraId="5669EA4A"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762,807</w:t>
            </w:r>
          </w:p>
        </w:tc>
        <w:tc>
          <w:tcPr>
            <w:tcW w:w="993" w:type="dxa"/>
            <w:shd w:val="clear" w:color="auto" w:fill="201547"/>
            <w:hideMark/>
          </w:tcPr>
          <w:p w14:paraId="384E0B39"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109,419</w:t>
            </w:r>
          </w:p>
        </w:tc>
        <w:tc>
          <w:tcPr>
            <w:tcW w:w="993" w:type="dxa"/>
            <w:shd w:val="clear" w:color="auto" w:fill="201547"/>
            <w:hideMark/>
          </w:tcPr>
          <w:p w14:paraId="25116A97"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179,873</w:t>
            </w:r>
          </w:p>
        </w:tc>
        <w:tc>
          <w:tcPr>
            <w:tcW w:w="918" w:type="dxa"/>
            <w:shd w:val="clear" w:color="auto" w:fill="201547"/>
            <w:hideMark/>
          </w:tcPr>
          <w:p w14:paraId="2832F760"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60,538</w:t>
            </w:r>
          </w:p>
        </w:tc>
        <w:tc>
          <w:tcPr>
            <w:tcW w:w="918" w:type="dxa"/>
            <w:shd w:val="clear" w:color="auto" w:fill="201547"/>
            <w:hideMark/>
          </w:tcPr>
          <w:p w14:paraId="4648F385"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11,512</w:t>
            </w:r>
          </w:p>
        </w:tc>
        <w:tc>
          <w:tcPr>
            <w:tcW w:w="918" w:type="dxa"/>
            <w:shd w:val="clear" w:color="auto" w:fill="201547"/>
            <w:hideMark/>
          </w:tcPr>
          <w:p w14:paraId="77B30064"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25,787</w:t>
            </w:r>
          </w:p>
        </w:tc>
        <w:tc>
          <w:tcPr>
            <w:tcW w:w="918" w:type="dxa"/>
            <w:shd w:val="clear" w:color="auto" w:fill="201547"/>
            <w:hideMark/>
          </w:tcPr>
          <w:p w14:paraId="2922FCAF"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12,242</w:t>
            </w:r>
          </w:p>
        </w:tc>
        <w:tc>
          <w:tcPr>
            <w:tcW w:w="918" w:type="dxa"/>
            <w:shd w:val="clear" w:color="auto" w:fill="201547"/>
            <w:hideMark/>
          </w:tcPr>
          <w:p w14:paraId="3E447EE5"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34,055</w:t>
            </w:r>
          </w:p>
        </w:tc>
        <w:tc>
          <w:tcPr>
            <w:tcW w:w="918" w:type="dxa"/>
            <w:shd w:val="clear" w:color="auto" w:fill="201547"/>
            <w:hideMark/>
          </w:tcPr>
          <w:p w14:paraId="64C4EF4E"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7,075</w:t>
            </w:r>
          </w:p>
        </w:tc>
        <w:tc>
          <w:tcPr>
            <w:tcW w:w="918" w:type="dxa"/>
            <w:shd w:val="clear" w:color="auto" w:fill="201547"/>
            <w:hideMark/>
          </w:tcPr>
          <w:p w14:paraId="721D748D"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w:t>
            </w:r>
          </w:p>
        </w:tc>
        <w:tc>
          <w:tcPr>
            <w:tcW w:w="993" w:type="dxa"/>
            <w:shd w:val="clear" w:color="auto" w:fill="201547"/>
            <w:hideMark/>
          </w:tcPr>
          <w:p w14:paraId="6F0D30AB"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119,515</w:t>
            </w:r>
          </w:p>
        </w:tc>
        <w:tc>
          <w:tcPr>
            <w:tcW w:w="995" w:type="dxa"/>
            <w:shd w:val="clear" w:color="auto" w:fill="201547"/>
            <w:hideMark/>
          </w:tcPr>
          <w:p w14:paraId="6810FC3E"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0</w:t>
            </w:r>
          </w:p>
        </w:tc>
        <w:tc>
          <w:tcPr>
            <w:tcW w:w="1108" w:type="dxa"/>
            <w:shd w:val="clear" w:color="auto" w:fill="201547"/>
            <w:hideMark/>
          </w:tcPr>
          <w:p w14:paraId="6EA9B48E" w14:textId="77777777" w:rsidR="002E268D" w:rsidRPr="002E268D" w:rsidRDefault="002E268D" w:rsidP="002E268D">
            <w:pPr>
              <w:spacing w:after="0" w:line="240" w:lineRule="auto"/>
              <w:jc w:val="right"/>
              <w:rPr>
                <w:rFonts w:cs="Arial"/>
                <w:b/>
                <w:bCs/>
                <w:color w:val="FFFFFF"/>
                <w:sz w:val="16"/>
                <w:szCs w:val="16"/>
                <w:lang w:eastAsia="en-AU"/>
              </w:rPr>
            </w:pPr>
            <w:r w:rsidRPr="002E268D">
              <w:rPr>
                <w:rFonts w:cs="Arial"/>
                <w:b/>
                <w:bCs/>
                <w:color w:val="FFFFFF"/>
                <w:sz w:val="16"/>
                <w:szCs w:val="16"/>
                <w:lang w:eastAsia="en-AU"/>
              </w:rPr>
              <w:t>1,322,823</w:t>
            </w:r>
          </w:p>
        </w:tc>
      </w:tr>
    </w:tbl>
    <w:p w14:paraId="27F3EC84" w14:textId="1B261DC5" w:rsidR="0077295B" w:rsidRDefault="0077295B" w:rsidP="0077295B">
      <w:pPr>
        <w:pStyle w:val="Bodyaftertablefigure"/>
      </w:pPr>
      <w:r>
        <w:t>Combined total</w:t>
      </w:r>
    </w:p>
    <w:tbl>
      <w:tblPr>
        <w:tblStyle w:val="TableGrid1"/>
        <w:tblW w:w="15120" w:type="dxa"/>
        <w:tblLook w:val="06A0" w:firstRow="1" w:lastRow="0" w:firstColumn="1" w:lastColumn="0" w:noHBand="1" w:noVBand="1"/>
      </w:tblPr>
      <w:tblGrid>
        <w:gridCol w:w="1480"/>
        <w:gridCol w:w="1114"/>
        <w:gridCol w:w="1001"/>
        <w:gridCol w:w="1001"/>
        <w:gridCol w:w="1002"/>
        <w:gridCol w:w="924"/>
        <w:gridCol w:w="925"/>
        <w:gridCol w:w="926"/>
        <w:gridCol w:w="925"/>
        <w:gridCol w:w="925"/>
        <w:gridCol w:w="925"/>
        <w:gridCol w:w="926"/>
        <w:gridCol w:w="1002"/>
        <w:gridCol w:w="924"/>
        <w:gridCol w:w="1114"/>
        <w:gridCol w:w="6"/>
      </w:tblGrid>
      <w:tr w:rsidR="00854D90" w:rsidRPr="00287A58" w14:paraId="647FB61C" w14:textId="77777777" w:rsidTr="00854D90">
        <w:trPr>
          <w:cnfStyle w:val="100000000000" w:firstRow="1" w:lastRow="0" w:firstColumn="0" w:lastColumn="0" w:oddVBand="0" w:evenVBand="0" w:oddHBand="0" w:evenHBand="0" w:firstRowFirstColumn="0" w:firstRowLastColumn="0" w:lastRowFirstColumn="0" w:lastRowLastColumn="0"/>
          <w:trHeight w:val="297"/>
        </w:trPr>
        <w:tc>
          <w:tcPr>
            <w:tcW w:w="1480" w:type="dxa"/>
            <w:vMerge w:val="restart"/>
            <w:hideMark/>
          </w:tcPr>
          <w:p w14:paraId="4A617573"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Health Services</w:t>
            </w:r>
          </w:p>
        </w:tc>
        <w:tc>
          <w:tcPr>
            <w:tcW w:w="1114" w:type="dxa"/>
            <w:hideMark/>
          </w:tcPr>
          <w:p w14:paraId="17E39053" w14:textId="1F73ADF9" w:rsidR="00854D90" w:rsidRPr="00287A58" w:rsidRDefault="00854D90" w:rsidP="00287A58">
            <w:pPr>
              <w:spacing w:after="0" w:line="240" w:lineRule="auto"/>
              <w:jc w:val="center"/>
              <w:rPr>
                <w:rFonts w:cs="Arial"/>
                <w:b/>
                <w:bCs/>
                <w:color w:val="FFFFFF"/>
                <w:sz w:val="16"/>
                <w:szCs w:val="16"/>
                <w:lang w:eastAsia="en-AU"/>
              </w:rPr>
            </w:pPr>
            <w:r w:rsidRPr="00287A58">
              <w:rPr>
                <w:rFonts w:cs="Arial"/>
                <w:b/>
                <w:bCs/>
                <w:color w:val="FFFFFF"/>
                <w:sz w:val="16"/>
                <w:szCs w:val="16"/>
                <w:lang w:eastAsia="en-AU"/>
              </w:rPr>
              <w:t>2021</w:t>
            </w:r>
            <w:r w:rsidR="002F204E" w:rsidRPr="005353E5">
              <w:rPr>
                <w:rFonts w:cs="Arial"/>
                <w:b/>
                <w:bCs/>
                <w:color w:val="FFFFFF"/>
                <w:sz w:val="16"/>
                <w:szCs w:val="16"/>
                <w:lang w:eastAsia="en-AU"/>
              </w:rPr>
              <w:t>–</w:t>
            </w:r>
            <w:r w:rsidRPr="00287A58">
              <w:rPr>
                <w:rFonts w:cs="Arial"/>
                <w:b/>
                <w:bCs/>
                <w:color w:val="FFFFFF"/>
                <w:sz w:val="16"/>
                <w:szCs w:val="16"/>
                <w:lang w:eastAsia="en-AU"/>
              </w:rPr>
              <w:t>2022</w:t>
            </w:r>
          </w:p>
        </w:tc>
        <w:tc>
          <w:tcPr>
            <w:tcW w:w="12526" w:type="dxa"/>
            <w:gridSpan w:val="14"/>
            <w:hideMark/>
          </w:tcPr>
          <w:p w14:paraId="102487F0" w14:textId="13E0D3EE" w:rsidR="00854D90" w:rsidRPr="00287A58" w:rsidRDefault="00854D90" w:rsidP="00287A58">
            <w:pPr>
              <w:spacing w:after="0" w:line="240" w:lineRule="auto"/>
              <w:jc w:val="center"/>
              <w:rPr>
                <w:rFonts w:cs="Arial"/>
                <w:b/>
                <w:bCs/>
                <w:color w:val="FFFFFF"/>
                <w:sz w:val="16"/>
                <w:szCs w:val="16"/>
                <w:lang w:eastAsia="en-AU"/>
              </w:rPr>
            </w:pPr>
            <w:r w:rsidRPr="00287A58">
              <w:rPr>
                <w:rFonts w:cs="Arial"/>
                <w:b/>
                <w:bCs/>
                <w:color w:val="FFFFFF"/>
                <w:sz w:val="16"/>
                <w:szCs w:val="16"/>
                <w:lang w:eastAsia="en-AU"/>
              </w:rPr>
              <w:t>2022</w:t>
            </w:r>
            <w:r w:rsidR="002F204E" w:rsidRPr="005353E5">
              <w:rPr>
                <w:rFonts w:cs="Arial"/>
                <w:b/>
                <w:bCs/>
                <w:color w:val="FFFFFF"/>
                <w:sz w:val="16"/>
                <w:szCs w:val="16"/>
                <w:lang w:eastAsia="en-AU"/>
              </w:rPr>
              <w:t>–</w:t>
            </w:r>
            <w:r w:rsidRPr="00287A58">
              <w:rPr>
                <w:rFonts w:cs="Arial"/>
                <w:b/>
                <w:bCs/>
                <w:color w:val="FFFFFF"/>
                <w:sz w:val="16"/>
                <w:szCs w:val="16"/>
                <w:lang w:eastAsia="en-AU"/>
              </w:rPr>
              <w:t>2023</w:t>
            </w:r>
          </w:p>
        </w:tc>
      </w:tr>
      <w:tr w:rsidR="00854D90" w:rsidRPr="00287A58" w14:paraId="1FAE13CD" w14:textId="77777777" w:rsidTr="00854D90">
        <w:trPr>
          <w:gridAfter w:val="1"/>
          <w:wAfter w:w="6" w:type="dxa"/>
          <w:trHeight w:val="297"/>
        </w:trPr>
        <w:tc>
          <w:tcPr>
            <w:tcW w:w="1480" w:type="dxa"/>
            <w:vMerge/>
            <w:hideMark/>
          </w:tcPr>
          <w:p w14:paraId="127A4BA8" w14:textId="77777777" w:rsidR="00854D90" w:rsidRPr="00287A58" w:rsidRDefault="00854D90" w:rsidP="00287A58">
            <w:pPr>
              <w:spacing w:after="0" w:line="240" w:lineRule="auto"/>
              <w:rPr>
                <w:rFonts w:cs="Arial"/>
                <w:b/>
                <w:bCs/>
                <w:color w:val="FFFFFF"/>
                <w:sz w:val="16"/>
                <w:szCs w:val="16"/>
                <w:lang w:eastAsia="en-AU"/>
              </w:rPr>
            </w:pPr>
          </w:p>
        </w:tc>
        <w:tc>
          <w:tcPr>
            <w:tcW w:w="1114" w:type="dxa"/>
            <w:vMerge w:val="restart"/>
            <w:shd w:val="clear" w:color="auto" w:fill="201547"/>
            <w:hideMark/>
          </w:tcPr>
          <w:p w14:paraId="78B52CB1"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Total</w:t>
            </w:r>
          </w:p>
        </w:tc>
        <w:tc>
          <w:tcPr>
            <w:tcW w:w="1001" w:type="dxa"/>
            <w:vMerge w:val="restart"/>
            <w:shd w:val="clear" w:color="auto" w:fill="201547"/>
            <w:hideMark/>
          </w:tcPr>
          <w:p w14:paraId="59807923"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Acute Admitted</w:t>
            </w:r>
          </w:p>
        </w:tc>
        <w:tc>
          <w:tcPr>
            <w:tcW w:w="1001" w:type="dxa"/>
            <w:vMerge w:val="restart"/>
            <w:shd w:val="clear" w:color="auto" w:fill="201547"/>
            <w:hideMark/>
          </w:tcPr>
          <w:p w14:paraId="30B410DA"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Acute Non Admitted Patients</w:t>
            </w:r>
          </w:p>
        </w:tc>
        <w:tc>
          <w:tcPr>
            <w:tcW w:w="1002" w:type="dxa"/>
            <w:vMerge w:val="restart"/>
            <w:shd w:val="clear" w:color="auto" w:fill="201547"/>
            <w:hideMark/>
          </w:tcPr>
          <w:p w14:paraId="06F74C92"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Emergency</w:t>
            </w:r>
          </w:p>
        </w:tc>
        <w:tc>
          <w:tcPr>
            <w:tcW w:w="924" w:type="dxa"/>
            <w:vMerge w:val="restart"/>
            <w:shd w:val="clear" w:color="auto" w:fill="201547"/>
            <w:hideMark/>
          </w:tcPr>
          <w:p w14:paraId="58413A8E" w14:textId="364E5E3B"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Sub-Acute</w:t>
            </w:r>
          </w:p>
        </w:tc>
        <w:tc>
          <w:tcPr>
            <w:tcW w:w="925" w:type="dxa"/>
            <w:vMerge w:val="restart"/>
            <w:shd w:val="clear" w:color="auto" w:fill="201547"/>
            <w:hideMark/>
          </w:tcPr>
          <w:p w14:paraId="5970384B" w14:textId="2FF1D215"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Sub-Acute Non Admitted</w:t>
            </w:r>
          </w:p>
        </w:tc>
        <w:tc>
          <w:tcPr>
            <w:tcW w:w="926" w:type="dxa"/>
            <w:vMerge w:val="restart"/>
            <w:shd w:val="clear" w:color="auto" w:fill="201547"/>
            <w:hideMark/>
          </w:tcPr>
          <w:p w14:paraId="412C85DD"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Teaching, Training and Research</w:t>
            </w:r>
          </w:p>
        </w:tc>
        <w:tc>
          <w:tcPr>
            <w:tcW w:w="925" w:type="dxa"/>
            <w:vMerge w:val="restart"/>
            <w:shd w:val="clear" w:color="auto" w:fill="201547"/>
            <w:hideMark/>
          </w:tcPr>
          <w:p w14:paraId="64184959"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Mental Health Admitted</w:t>
            </w:r>
          </w:p>
        </w:tc>
        <w:tc>
          <w:tcPr>
            <w:tcW w:w="925" w:type="dxa"/>
            <w:vMerge w:val="restart"/>
            <w:shd w:val="clear" w:color="auto" w:fill="201547"/>
            <w:hideMark/>
          </w:tcPr>
          <w:p w14:paraId="12C2C1E9"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Non-Admitted Mental Health</w:t>
            </w:r>
          </w:p>
        </w:tc>
        <w:tc>
          <w:tcPr>
            <w:tcW w:w="925" w:type="dxa"/>
            <w:vMerge w:val="restart"/>
            <w:shd w:val="clear" w:color="auto" w:fill="201547"/>
            <w:hideMark/>
          </w:tcPr>
          <w:p w14:paraId="5495D4AB"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Non-Admitted CAMHS</w:t>
            </w:r>
          </w:p>
        </w:tc>
        <w:tc>
          <w:tcPr>
            <w:tcW w:w="926" w:type="dxa"/>
            <w:vMerge w:val="restart"/>
            <w:shd w:val="clear" w:color="auto" w:fill="201547"/>
            <w:hideMark/>
          </w:tcPr>
          <w:p w14:paraId="130C99D6"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Other Public Hospital Programs</w:t>
            </w:r>
          </w:p>
        </w:tc>
        <w:tc>
          <w:tcPr>
            <w:tcW w:w="1002" w:type="dxa"/>
            <w:vMerge w:val="restart"/>
            <w:shd w:val="clear" w:color="auto" w:fill="201547"/>
            <w:hideMark/>
          </w:tcPr>
          <w:p w14:paraId="657667EE"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Out of Scope of Agreement</w:t>
            </w:r>
          </w:p>
        </w:tc>
        <w:tc>
          <w:tcPr>
            <w:tcW w:w="924" w:type="dxa"/>
            <w:vMerge w:val="restart"/>
            <w:shd w:val="clear" w:color="auto" w:fill="201547"/>
            <w:hideMark/>
          </w:tcPr>
          <w:p w14:paraId="0A7DF05A"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CAR T</w:t>
            </w:r>
          </w:p>
        </w:tc>
        <w:tc>
          <w:tcPr>
            <w:tcW w:w="1114" w:type="dxa"/>
            <w:vMerge w:val="restart"/>
            <w:shd w:val="clear" w:color="auto" w:fill="201547"/>
            <w:hideMark/>
          </w:tcPr>
          <w:p w14:paraId="1C7A6CD6" w14:textId="77777777" w:rsidR="00854D90" w:rsidRPr="00287A58" w:rsidRDefault="00854D90" w:rsidP="00287A58">
            <w:pPr>
              <w:spacing w:after="0" w:line="240" w:lineRule="auto"/>
              <w:rPr>
                <w:rFonts w:cs="Arial"/>
                <w:b/>
                <w:bCs/>
                <w:color w:val="FFFFFF"/>
                <w:sz w:val="16"/>
                <w:szCs w:val="16"/>
                <w:lang w:eastAsia="en-AU"/>
              </w:rPr>
            </w:pPr>
            <w:r w:rsidRPr="00287A58">
              <w:rPr>
                <w:rFonts w:cs="Arial"/>
                <w:b/>
                <w:bCs/>
                <w:color w:val="FFFFFF"/>
                <w:sz w:val="16"/>
                <w:szCs w:val="16"/>
                <w:lang w:eastAsia="en-AU"/>
              </w:rPr>
              <w:t xml:space="preserve"> Total</w:t>
            </w:r>
          </w:p>
        </w:tc>
      </w:tr>
      <w:tr w:rsidR="00854D90" w:rsidRPr="00287A58" w14:paraId="39EACFBB" w14:textId="77777777" w:rsidTr="00854D90">
        <w:trPr>
          <w:gridAfter w:val="1"/>
          <w:wAfter w:w="6" w:type="dxa"/>
          <w:trHeight w:val="667"/>
        </w:trPr>
        <w:tc>
          <w:tcPr>
            <w:tcW w:w="1480" w:type="dxa"/>
            <w:vMerge/>
            <w:hideMark/>
          </w:tcPr>
          <w:p w14:paraId="743A72F1" w14:textId="77777777" w:rsidR="00854D90" w:rsidRPr="00287A58" w:rsidRDefault="00854D90" w:rsidP="00287A58">
            <w:pPr>
              <w:spacing w:after="0" w:line="240" w:lineRule="auto"/>
              <w:rPr>
                <w:rFonts w:cs="Arial"/>
                <w:b/>
                <w:bCs/>
                <w:color w:val="FFFFFF"/>
                <w:sz w:val="16"/>
                <w:szCs w:val="16"/>
                <w:lang w:eastAsia="en-AU"/>
              </w:rPr>
            </w:pPr>
          </w:p>
        </w:tc>
        <w:tc>
          <w:tcPr>
            <w:tcW w:w="1114" w:type="dxa"/>
            <w:vMerge/>
            <w:shd w:val="clear" w:color="auto" w:fill="201547"/>
            <w:hideMark/>
          </w:tcPr>
          <w:p w14:paraId="01586EBB" w14:textId="77777777" w:rsidR="00854D90" w:rsidRPr="00287A58" w:rsidRDefault="00854D90" w:rsidP="00287A58">
            <w:pPr>
              <w:spacing w:after="0" w:line="240" w:lineRule="auto"/>
              <w:rPr>
                <w:rFonts w:cs="Arial"/>
                <w:b/>
                <w:bCs/>
                <w:color w:val="FFFFFF"/>
                <w:sz w:val="16"/>
                <w:szCs w:val="16"/>
                <w:lang w:eastAsia="en-AU"/>
              </w:rPr>
            </w:pPr>
          </w:p>
        </w:tc>
        <w:tc>
          <w:tcPr>
            <w:tcW w:w="1001" w:type="dxa"/>
            <w:vMerge/>
            <w:shd w:val="clear" w:color="auto" w:fill="201547"/>
            <w:hideMark/>
          </w:tcPr>
          <w:p w14:paraId="389CB40E" w14:textId="77777777" w:rsidR="00854D90" w:rsidRPr="00287A58" w:rsidRDefault="00854D90" w:rsidP="00287A58">
            <w:pPr>
              <w:spacing w:after="0" w:line="240" w:lineRule="auto"/>
              <w:rPr>
                <w:rFonts w:cs="Arial"/>
                <w:b/>
                <w:bCs/>
                <w:color w:val="FFFFFF"/>
                <w:sz w:val="16"/>
                <w:szCs w:val="16"/>
                <w:lang w:eastAsia="en-AU"/>
              </w:rPr>
            </w:pPr>
          </w:p>
        </w:tc>
        <w:tc>
          <w:tcPr>
            <w:tcW w:w="1001" w:type="dxa"/>
            <w:vMerge/>
            <w:shd w:val="clear" w:color="auto" w:fill="201547"/>
            <w:hideMark/>
          </w:tcPr>
          <w:p w14:paraId="6EB458CC" w14:textId="77777777" w:rsidR="00854D90" w:rsidRPr="00287A58" w:rsidRDefault="00854D90" w:rsidP="00287A58">
            <w:pPr>
              <w:spacing w:after="0" w:line="240" w:lineRule="auto"/>
              <w:rPr>
                <w:rFonts w:cs="Arial"/>
                <w:b/>
                <w:bCs/>
                <w:color w:val="FFFFFF"/>
                <w:sz w:val="16"/>
                <w:szCs w:val="16"/>
                <w:lang w:eastAsia="en-AU"/>
              </w:rPr>
            </w:pPr>
          </w:p>
        </w:tc>
        <w:tc>
          <w:tcPr>
            <w:tcW w:w="1002" w:type="dxa"/>
            <w:vMerge/>
            <w:shd w:val="clear" w:color="auto" w:fill="201547"/>
            <w:hideMark/>
          </w:tcPr>
          <w:p w14:paraId="17BF7C01" w14:textId="77777777" w:rsidR="00854D90" w:rsidRPr="00287A58" w:rsidRDefault="00854D90" w:rsidP="00287A58">
            <w:pPr>
              <w:spacing w:after="0" w:line="240" w:lineRule="auto"/>
              <w:rPr>
                <w:rFonts w:cs="Arial"/>
                <w:b/>
                <w:bCs/>
                <w:color w:val="FFFFFF"/>
                <w:sz w:val="16"/>
                <w:szCs w:val="16"/>
                <w:lang w:eastAsia="en-AU"/>
              </w:rPr>
            </w:pPr>
          </w:p>
        </w:tc>
        <w:tc>
          <w:tcPr>
            <w:tcW w:w="924" w:type="dxa"/>
            <w:vMerge/>
            <w:shd w:val="clear" w:color="auto" w:fill="201547"/>
            <w:hideMark/>
          </w:tcPr>
          <w:p w14:paraId="2804E970" w14:textId="77777777" w:rsidR="00854D90" w:rsidRPr="00287A58" w:rsidRDefault="00854D90" w:rsidP="00287A58">
            <w:pPr>
              <w:spacing w:after="0" w:line="240" w:lineRule="auto"/>
              <w:rPr>
                <w:rFonts w:cs="Arial"/>
                <w:b/>
                <w:bCs/>
                <w:color w:val="FFFFFF"/>
                <w:sz w:val="16"/>
                <w:szCs w:val="16"/>
                <w:lang w:eastAsia="en-AU"/>
              </w:rPr>
            </w:pPr>
          </w:p>
        </w:tc>
        <w:tc>
          <w:tcPr>
            <w:tcW w:w="925" w:type="dxa"/>
            <w:vMerge/>
            <w:shd w:val="clear" w:color="auto" w:fill="201547"/>
            <w:hideMark/>
          </w:tcPr>
          <w:p w14:paraId="5F7C3491" w14:textId="77777777" w:rsidR="00854D90" w:rsidRPr="00287A58" w:rsidRDefault="00854D90" w:rsidP="00287A58">
            <w:pPr>
              <w:spacing w:after="0" w:line="240" w:lineRule="auto"/>
              <w:rPr>
                <w:rFonts w:cs="Arial"/>
                <w:b/>
                <w:bCs/>
                <w:color w:val="FFFFFF"/>
                <w:sz w:val="16"/>
                <w:szCs w:val="16"/>
                <w:lang w:eastAsia="en-AU"/>
              </w:rPr>
            </w:pPr>
          </w:p>
        </w:tc>
        <w:tc>
          <w:tcPr>
            <w:tcW w:w="926" w:type="dxa"/>
            <w:vMerge/>
            <w:shd w:val="clear" w:color="auto" w:fill="201547"/>
            <w:hideMark/>
          </w:tcPr>
          <w:p w14:paraId="3AF9986F" w14:textId="77777777" w:rsidR="00854D90" w:rsidRPr="00287A58" w:rsidRDefault="00854D90" w:rsidP="00287A58">
            <w:pPr>
              <w:spacing w:after="0" w:line="240" w:lineRule="auto"/>
              <w:rPr>
                <w:rFonts w:cs="Arial"/>
                <w:b/>
                <w:bCs/>
                <w:color w:val="FFFFFF"/>
                <w:sz w:val="16"/>
                <w:szCs w:val="16"/>
                <w:lang w:eastAsia="en-AU"/>
              </w:rPr>
            </w:pPr>
          </w:p>
        </w:tc>
        <w:tc>
          <w:tcPr>
            <w:tcW w:w="925" w:type="dxa"/>
            <w:vMerge/>
            <w:shd w:val="clear" w:color="auto" w:fill="201547"/>
            <w:hideMark/>
          </w:tcPr>
          <w:p w14:paraId="1459BA89" w14:textId="77777777" w:rsidR="00854D90" w:rsidRPr="00287A58" w:rsidRDefault="00854D90" w:rsidP="00287A58">
            <w:pPr>
              <w:spacing w:after="0" w:line="240" w:lineRule="auto"/>
              <w:rPr>
                <w:rFonts w:cs="Arial"/>
                <w:b/>
                <w:bCs/>
                <w:color w:val="FFFFFF"/>
                <w:sz w:val="16"/>
                <w:szCs w:val="16"/>
                <w:lang w:eastAsia="en-AU"/>
              </w:rPr>
            </w:pPr>
          </w:p>
        </w:tc>
        <w:tc>
          <w:tcPr>
            <w:tcW w:w="925" w:type="dxa"/>
            <w:vMerge/>
            <w:shd w:val="clear" w:color="auto" w:fill="201547"/>
            <w:hideMark/>
          </w:tcPr>
          <w:p w14:paraId="5155D5F0" w14:textId="77777777" w:rsidR="00854D90" w:rsidRPr="00287A58" w:rsidRDefault="00854D90" w:rsidP="00287A58">
            <w:pPr>
              <w:spacing w:after="0" w:line="240" w:lineRule="auto"/>
              <w:rPr>
                <w:rFonts w:cs="Arial"/>
                <w:b/>
                <w:bCs/>
                <w:color w:val="FFFFFF"/>
                <w:sz w:val="16"/>
                <w:szCs w:val="16"/>
                <w:lang w:eastAsia="en-AU"/>
              </w:rPr>
            </w:pPr>
          </w:p>
        </w:tc>
        <w:tc>
          <w:tcPr>
            <w:tcW w:w="925" w:type="dxa"/>
            <w:vMerge/>
            <w:shd w:val="clear" w:color="auto" w:fill="201547"/>
            <w:hideMark/>
          </w:tcPr>
          <w:p w14:paraId="64FD2C8E" w14:textId="77777777" w:rsidR="00854D90" w:rsidRPr="00287A58" w:rsidRDefault="00854D90" w:rsidP="00287A58">
            <w:pPr>
              <w:spacing w:after="0" w:line="240" w:lineRule="auto"/>
              <w:rPr>
                <w:rFonts w:cs="Arial"/>
                <w:b/>
                <w:bCs/>
                <w:color w:val="FFFFFF"/>
                <w:sz w:val="16"/>
                <w:szCs w:val="16"/>
                <w:lang w:eastAsia="en-AU"/>
              </w:rPr>
            </w:pPr>
          </w:p>
        </w:tc>
        <w:tc>
          <w:tcPr>
            <w:tcW w:w="926" w:type="dxa"/>
            <w:vMerge/>
            <w:shd w:val="clear" w:color="auto" w:fill="201547"/>
            <w:hideMark/>
          </w:tcPr>
          <w:p w14:paraId="5FA331A7" w14:textId="77777777" w:rsidR="00854D90" w:rsidRPr="00287A58" w:rsidRDefault="00854D90" w:rsidP="00287A58">
            <w:pPr>
              <w:spacing w:after="0" w:line="240" w:lineRule="auto"/>
              <w:rPr>
                <w:rFonts w:cs="Arial"/>
                <w:b/>
                <w:bCs/>
                <w:color w:val="FFFFFF"/>
                <w:sz w:val="16"/>
                <w:szCs w:val="16"/>
                <w:lang w:eastAsia="en-AU"/>
              </w:rPr>
            </w:pPr>
          </w:p>
        </w:tc>
        <w:tc>
          <w:tcPr>
            <w:tcW w:w="1002" w:type="dxa"/>
            <w:vMerge/>
            <w:shd w:val="clear" w:color="auto" w:fill="201547"/>
            <w:hideMark/>
          </w:tcPr>
          <w:p w14:paraId="12B4CD5B" w14:textId="77777777" w:rsidR="00854D90" w:rsidRPr="00287A58" w:rsidRDefault="00854D90" w:rsidP="00287A58">
            <w:pPr>
              <w:spacing w:after="0" w:line="240" w:lineRule="auto"/>
              <w:rPr>
                <w:rFonts w:cs="Arial"/>
                <w:b/>
                <w:bCs/>
                <w:color w:val="FFFFFF"/>
                <w:sz w:val="16"/>
                <w:szCs w:val="16"/>
                <w:lang w:eastAsia="en-AU"/>
              </w:rPr>
            </w:pPr>
          </w:p>
        </w:tc>
        <w:tc>
          <w:tcPr>
            <w:tcW w:w="924" w:type="dxa"/>
            <w:vMerge/>
            <w:shd w:val="clear" w:color="auto" w:fill="201547"/>
            <w:hideMark/>
          </w:tcPr>
          <w:p w14:paraId="3D36CEEF" w14:textId="77777777" w:rsidR="00854D90" w:rsidRPr="00287A58" w:rsidRDefault="00854D90" w:rsidP="00287A58">
            <w:pPr>
              <w:spacing w:after="0" w:line="240" w:lineRule="auto"/>
              <w:rPr>
                <w:rFonts w:cs="Arial"/>
                <w:b/>
                <w:bCs/>
                <w:color w:val="FFFFFF"/>
                <w:sz w:val="16"/>
                <w:szCs w:val="16"/>
                <w:lang w:eastAsia="en-AU"/>
              </w:rPr>
            </w:pPr>
          </w:p>
        </w:tc>
        <w:tc>
          <w:tcPr>
            <w:tcW w:w="1114" w:type="dxa"/>
            <w:vMerge/>
            <w:shd w:val="clear" w:color="auto" w:fill="201547"/>
            <w:hideMark/>
          </w:tcPr>
          <w:p w14:paraId="7AAD8D79" w14:textId="77777777" w:rsidR="00854D90" w:rsidRPr="00287A58" w:rsidRDefault="00854D90" w:rsidP="00287A58">
            <w:pPr>
              <w:spacing w:after="0" w:line="240" w:lineRule="auto"/>
              <w:rPr>
                <w:rFonts w:cs="Arial"/>
                <w:b/>
                <w:bCs/>
                <w:color w:val="FFFFFF"/>
                <w:sz w:val="16"/>
                <w:szCs w:val="16"/>
                <w:lang w:eastAsia="en-AU"/>
              </w:rPr>
            </w:pPr>
          </w:p>
        </w:tc>
      </w:tr>
      <w:tr w:rsidR="00854D90" w:rsidRPr="00287A58" w14:paraId="38B77D8F" w14:textId="77777777" w:rsidTr="00854D90">
        <w:trPr>
          <w:gridAfter w:val="1"/>
          <w:wAfter w:w="6" w:type="dxa"/>
          <w:trHeight w:val="421"/>
        </w:trPr>
        <w:tc>
          <w:tcPr>
            <w:tcW w:w="1480" w:type="dxa"/>
            <w:vMerge/>
            <w:hideMark/>
          </w:tcPr>
          <w:p w14:paraId="0030018B" w14:textId="77777777" w:rsidR="00854D90" w:rsidRPr="00287A58" w:rsidRDefault="00854D90" w:rsidP="00287A58">
            <w:pPr>
              <w:spacing w:after="0" w:line="240" w:lineRule="auto"/>
              <w:rPr>
                <w:rFonts w:cs="Arial"/>
                <w:b/>
                <w:bCs/>
                <w:color w:val="FFFFFF"/>
                <w:sz w:val="16"/>
                <w:szCs w:val="16"/>
                <w:lang w:eastAsia="en-AU"/>
              </w:rPr>
            </w:pPr>
          </w:p>
        </w:tc>
        <w:tc>
          <w:tcPr>
            <w:tcW w:w="1114" w:type="dxa"/>
            <w:shd w:val="clear" w:color="auto" w:fill="201547"/>
            <w:hideMark/>
          </w:tcPr>
          <w:p w14:paraId="4CB7E559"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1001" w:type="dxa"/>
            <w:shd w:val="clear" w:color="auto" w:fill="201547"/>
            <w:hideMark/>
          </w:tcPr>
          <w:p w14:paraId="45E6557C"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1001" w:type="dxa"/>
            <w:shd w:val="clear" w:color="auto" w:fill="201547"/>
            <w:hideMark/>
          </w:tcPr>
          <w:p w14:paraId="306A4938"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1002" w:type="dxa"/>
            <w:shd w:val="clear" w:color="auto" w:fill="201547"/>
            <w:hideMark/>
          </w:tcPr>
          <w:p w14:paraId="7887B4A5"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4" w:type="dxa"/>
            <w:shd w:val="clear" w:color="auto" w:fill="201547"/>
            <w:hideMark/>
          </w:tcPr>
          <w:p w14:paraId="092A0CD7"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5" w:type="dxa"/>
            <w:shd w:val="clear" w:color="auto" w:fill="201547"/>
            <w:hideMark/>
          </w:tcPr>
          <w:p w14:paraId="2D3B40FD"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6" w:type="dxa"/>
            <w:shd w:val="clear" w:color="auto" w:fill="201547"/>
            <w:hideMark/>
          </w:tcPr>
          <w:p w14:paraId="5538FC2E"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5" w:type="dxa"/>
            <w:shd w:val="clear" w:color="auto" w:fill="201547"/>
            <w:hideMark/>
          </w:tcPr>
          <w:p w14:paraId="062F5B7D"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5" w:type="dxa"/>
            <w:shd w:val="clear" w:color="auto" w:fill="201547"/>
            <w:hideMark/>
          </w:tcPr>
          <w:p w14:paraId="61D577AA"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5" w:type="dxa"/>
            <w:shd w:val="clear" w:color="auto" w:fill="201547"/>
            <w:hideMark/>
          </w:tcPr>
          <w:p w14:paraId="555CA9DF"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6" w:type="dxa"/>
            <w:shd w:val="clear" w:color="auto" w:fill="201547"/>
            <w:hideMark/>
          </w:tcPr>
          <w:p w14:paraId="5EEDA62D"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1002" w:type="dxa"/>
            <w:shd w:val="clear" w:color="auto" w:fill="201547"/>
            <w:hideMark/>
          </w:tcPr>
          <w:p w14:paraId="5E0D0834"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924" w:type="dxa"/>
            <w:shd w:val="clear" w:color="auto" w:fill="201547"/>
            <w:hideMark/>
          </w:tcPr>
          <w:p w14:paraId="35009665"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c>
          <w:tcPr>
            <w:tcW w:w="1114" w:type="dxa"/>
            <w:shd w:val="clear" w:color="auto" w:fill="201547"/>
            <w:hideMark/>
          </w:tcPr>
          <w:p w14:paraId="729682EB" w14:textId="77777777" w:rsidR="00854D90" w:rsidRPr="00287A58" w:rsidRDefault="00854D90" w:rsidP="00287A58">
            <w:pPr>
              <w:spacing w:after="0" w:line="240" w:lineRule="auto"/>
              <w:jc w:val="right"/>
              <w:rPr>
                <w:rFonts w:cs="Arial"/>
                <w:b/>
                <w:bCs/>
                <w:color w:val="FFFFFF"/>
                <w:sz w:val="16"/>
                <w:szCs w:val="16"/>
                <w:lang w:eastAsia="en-AU"/>
              </w:rPr>
            </w:pPr>
            <w:r w:rsidRPr="00287A58">
              <w:rPr>
                <w:rFonts w:cs="Arial"/>
                <w:b/>
                <w:bCs/>
                <w:color w:val="FFFFFF"/>
                <w:sz w:val="16"/>
                <w:szCs w:val="16"/>
                <w:lang w:eastAsia="en-AU"/>
              </w:rPr>
              <w:t>$'000s</w:t>
            </w:r>
          </w:p>
        </w:tc>
      </w:tr>
      <w:tr w:rsidR="00854D90" w:rsidRPr="00287A58" w14:paraId="6EC0B59A" w14:textId="77777777" w:rsidTr="00854D90">
        <w:trPr>
          <w:gridAfter w:val="1"/>
          <w:wAfter w:w="6" w:type="dxa"/>
          <w:trHeight w:val="310"/>
        </w:trPr>
        <w:tc>
          <w:tcPr>
            <w:tcW w:w="1480" w:type="dxa"/>
            <w:hideMark/>
          </w:tcPr>
          <w:p w14:paraId="7258B6B4" w14:textId="77777777" w:rsidR="00854D90" w:rsidRPr="00287A58" w:rsidRDefault="00854D90" w:rsidP="00287A58">
            <w:pPr>
              <w:spacing w:after="0" w:line="240" w:lineRule="auto"/>
              <w:rPr>
                <w:rFonts w:cs="Arial"/>
                <w:b/>
                <w:bCs/>
                <w:color w:val="000000"/>
                <w:sz w:val="16"/>
                <w:szCs w:val="16"/>
                <w:lang w:eastAsia="en-AU"/>
              </w:rPr>
            </w:pPr>
            <w:r w:rsidRPr="00287A58">
              <w:rPr>
                <w:rFonts w:cs="Arial"/>
                <w:b/>
                <w:bCs/>
                <w:color w:val="000000"/>
                <w:sz w:val="16"/>
                <w:szCs w:val="16"/>
                <w:lang w:eastAsia="en-AU"/>
              </w:rPr>
              <w:t>Total</w:t>
            </w:r>
          </w:p>
        </w:tc>
        <w:tc>
          <w:tcPr>
            <w:tcW w:w="1114" w:type="dxa"/>
            <w:noWrap/>
            <w:hideMark/>
          </w:tcPr>
          <w:p w14:paraId="50661CD6"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14,251,962</w:t>
            </w:r>
          </w:p>
        </w:tc>
        <w:tc>
          <w:tcPr>
            <w:tcW w:w="1001" w:type="dxa"/>
            <w:noWrap/>
            <w:hideMark/>
          </w:tcPr>
          <w:p w14:paraId="786D2AE9"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8,519,772</w:t>
            </w:r>
          </w:p>
        </w:tc>
        <w:tc>
          <w:tcPr>
            <w:tcW w:w="1001" w:type="dxa"/>
            <w:noWrap/>
            <w:hideMark/>
          </w:tcPr>
          <w:p w14:paraId="0F141F70"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1,254,498</w:t>
            </w:r>
          </w:p>
        </w:tc>
        <w:tc>
          <w:tcPr>
            <w:tcW w:w="1002" w:type="dxa"/>
            <w:noWrap/>
            <w:hideMark/>
          </w:tcPr>
          <w:p w14:paraId="1206C9A8"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1,387,381</w:t>
            </w:r>
          </w:p>
        </w:tc>
        <w:tc>
          <w:tcPr>
            <w:tcW w:w="924" w:type="dxa"/>
            <w:noWrap/>
            <w:hideMark/>
          </w:tcPr>
          <w:p w14:paraId="2972EDD3"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728,477</w:t>
            </w:r>
          </w:p>
        </w:tc>
        <w:tc>
          <w:tcPr>
            <w:tcW w:w="925" w:type="dxa"/>
            <w:noWrap/>
            <w:hideMark/>
          </w:tcPr>
          <w:p w14:paraId="391A8F8B"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49,653</w:t>
            </w:r>
          </w:p>
        </w:tc>
        <w:tc>
          <w:tcPr>
            <w:tcW w:w="926" w:type="dxa"/>
            <w:noWrap/>
            <w:hideMark/>
          </w:tcPr>
          <w:p w14:paraId="4B01A3CF"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255,662</w:t>
            </w:r>
          </w:p>
        </w:tc>
        <w:tc>
          <w:tcPr>
            <w:tcW w:w="925" w:type="dxa"/>
            <w:noWrap/>
            <w:hideMark/>
          </w:tcPr>
          <w:p w14:paraId="18F60DA6"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546,990</w:t>
            </w:r>
          </w:p>
        </w:tc>
        <w:tc>
          <w:tcPr>
            <w:tcW w:w="925" w:type="dxa"/>
            <w:noWrap/>
            <w:hideMark/>
          </w:tcPr>
          <w:p w14:paraId="32765DCA"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892,173</w:t>
            </w:r>
          </w:p>
        </w:tc>
        <w:tc>
          <w:tcPr>
            <w:tcW w:w="925" w:type="dxa"/>
            <w:noWrap/>
            <w:hideMark/>
          </w:tcPr>
          <w:p w14:paraId="01F8E8FA"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180,843</w:t>
            </w:r>
          </w:p>
        </w:tc>
        <w:tc>
          <w:tcPr>
            <w:tcW w:w="926" w:type="dxa"/>
            <w:noWrap/>
            <w:hideMark/>
          </w:tcPr>
          <w:p w14:paraId="450E6316"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229,983</w:t>
            </w:r>
          </w:p>
        </w:tc>
        <w:tc>
          <w:tcPr>
            <w:tcW w:w="1002" w:type="dxa"/>
            <w:noWrap/>
            <w:hideMark/>
          </w:tcPr>
          <w:p w14:paraId="53FC1989"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1,266,456</w:t>
            </w:r>
          </w:p>
        </w:tc>
        <w:tc>
          <w:tcPr>
            <w:tcW w:w="924" w:type="dxa"/>
            <w:noWrap/>
            <w:hideMark/>
          </w:tcPr>
          <w:p w14:paraId="096C85BF"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57,697</w:t>
            </w:r>
          </w:p>
        </w:tc>
        <w:tc>
          <w:tcPr>
            <w:tcW w:w="1114" w:type="dxa"/>
            <w:noWrap/>
            <w:hideMark/>
          </w:tcPr>
          <w:p w14:paraId="2353B639" w14:textId="77777777" w:rsidR="00854D90" w:rsidRPr="00287A58" w:rsidRDefault="00854D90" w:rsidP="00287A58">
            <w:pPr>
              <w:spacing w:after="0" w:line="240" w:lineRule="auto"/>
              <w:jc w:val="right"/>
              <w:rPr>
                <w:rFonts w:cs="Arial"/>
                <w:b/>
                <w:bCs/>
                <w:color w:val="000000"/>
                <w:sz w:val="16"/>
                <w:szCs w:val="16"/>
                <w:lang w:eastAsia="en-AU"/>
              </w:rPr>
            </w:pPr>
            <w:r w:rsidRPr="00287A58">
              <w:rPr>
                <w:rFonts w:cs="Arial"/>
                <w:b/>
                <w:bCs/>
                <w:color w:val="000000"/>
                <w:sz w:val="16"/>
                <w:szCs w:val="16"/>
                <w:lang w:eastAsia="en-AU"/>
              </w:rPr>
              <w:t>15,369,585</w:t>
            </w:r>
          </w:p>
        </w:tc>
      </w:tr>
    </w:tbl>
    <w:p w14:paraId="6B358066" w14:textId="77777777" w:rsidR="002E268D" w:rsidRPr="002E268D" w:rsidRDefault="002E268D" w:rsidP="002E268D">
      <w:pPr>
        <w:pStyle w:val="Body"/>
      </w:pPr>
    </w:p>
    <w:p w14:paraId="358EAC54" w14:textId="76BC9853" w:rsidR="000B27B9" w:rsidRPr="005827F1" w:rsidRDefault="000B27B9" w:rsidP="004E7DFB">
      <w:pPr>
        <w:pStyle w:val="Heading3"/>
        <w:spacing w:before="240"/>
      </w:pPr>
      <w:bookmarkStart w:id="1169" w:name="_Toc127192016"/>
      <w:r>
        <w:t xml:space="preserve">Mental </w:t>
      </w:r>
      <w:r w:rsidR="00331D5D">
        <w:t>H</w:t>
      </w:r>
      <w:r>
        <w:t xml:space="preserve">ealth </w:t>
      </w:r>
      <w:r w:rsidR="00331D5D">
        <w:t>E</w:t>
      </w:r>
      <w:r>
        <w:t xml:space="preserve">xpenditure </w:t>
      </w:r>
      <w:r w:rsidR="00331D5D">
        <w:t>b</w:t>
      </w:r>
      <w:r>
        <w:t xml:space="preserve">udgets </w:t>
      </w:r>
      <w:r w:rsidR="005D1FCB" w:rsidRPr="00FE0F24">
        <w:t>2021</w:t>
      </w:r>
      <w:r w:rsidR="003D518F" w:rsidRPr="00FE0F24">
        <w:t>–</w:t>
      </w:r>
      <w:r w:rsidR="005D1FCB" w:rsidRPr="00FE0F24">
        <w:t>22 and</w:t>
      </w:r>
      <w:r w:rsidR="005D1FCB" w:rsidRPr="00052989">
        <w:t xml:space="preserve"> </w:t>
      </w:r>
      <w:r w:rsidR="005D1FCB" w:rsidRPr="00FE0F24">
        <w:t>2022</w:t>
      </w:r>
      <w:r w:rsidR="003D518F" w:rsidRPr="00FE0F24">
        <w:t>–</w:t>
      </w:r>
      <w:r w:rsidR="005D1FCB" w:rsidRPr="00FE0F24">
        <w:t>23</w:t>
      </w:r>
      <w:r>
        <w:t xml:space="preserve"> by </w:t>
      </w:r>
      <w:r w:rsidR="00331D5D">
        <w:t>S</w:t>
      </w:r>
      <w:r>
        <w:t xml:space="preserve">ervice </w:t>
      </w:r>
      <w:r w:rsidR="00331D5D">
        <w:t>T</w:t>
      </w:r>
      <w:r>
        <w:t>ype</w:t>
      </w:r>
      <w:bookmarkEnd w:id="1164"/>
      <w:bookmarkEnd w:id="1165"/>
      <w:bookmarkEnd w:id="1166"/>
      <w:bookmarkEnd w:id="1167"/>
      <w:bookmarkEnd w:id="1168"/>
      <w:bookmarkEnd w:id="1169"/>
    </w:p>
    <w:p w14:paraId="3D75EF0D" w14:textId="77777777" w:rsidR="000B27B9" w:rsidRDefault="000B27B9" w:rsidP="0064265C">
      <w:pPr>
        <w:pStyle w:val="Tablefigurenote9pt"/>
      </w:pPr>
      <w:r w:rsidRPr="00A62258">
        <w:t>Note</w:t>
      </w:r>
      <w:r>
        <w:t>s</w:t>
      </w:r>
      <w:r w:rsidRPr="00A62258">
        <w:t>:</w:t>
      </w:r>
    </w:p>
    <w:p w14:paraId="47B63363" w14:textId="77777777" w:rsidR="000B27B9" w:rsidRDefault="000B27B9" w:rsidP="003C01AD">
      <w:pPr>
        <w:pStyle w:val="Tablenoteroman"/>
        <w:numPr>
          <w:ilvl w:val="0"/>
          <w:numId w:val="5"/>
        </w:numPr>
        <w:rPr>
          <w:lang w:eastAsia="en-AU"/>
        </w:rPr>
      </w:pPr>
      <w:r>
        <w:rPr>
          <w:lang w:eastAsia="en-AU"/>
        </w:rPr>
        <w:t>Subtotals and totals may not add up due to rounding.</w:t>
      </w:r>
    </w:p>
    <w:p w14:paraId="33DE38C1" w14:textId="5F93D426" w:rsidR="000B27B9" w:rsidRDefault="000B27B9" w:rsidP="000E08EF">
      <w:pPr>
        <w:pStyle w:val="Tablecaption"/>
      </w:pPr>
      <w:bookmarkStart w:id="1170" w:name="_Ref452894778"/>
      <w:bookmarkStart w:id="1171" w:name="_Ref423037518"/>
      <w:bookmarkStart w:id="1172" w:name="_Toc12780563"/>
      <w:bookmarkStart w:id="1173" w:name="_Toc14194819"/>
      <w:bookmarkStart w:id="1174" w:name="_Toc33704000"/>
      <w:bookmarkStart w:id="1175" w:name="_Toc109894130"/>
      <w:bookmarkStart w:id="1176" w:name="_Toc119500911"/>
      <w:r>
        <w:t xml:space="preserve">Table </w:t>
      </w:r>
      <w:r>
        <w:fldChar w:fldCharType="begin"/>
      </w:r>
      <w:r>
        <w:instrText>STYLEREF 1 \s</w:instrText>
      </w:r>
      <w:r>
        <w:fldChar w:fldCharType="separate"/>
      </w:r>
      <w:r w:rsidR="006D0756">
        <w:rPr>
          <w:noProof/>
        </w:rPr>
        <w:t>2</w:t>
      </w:r>
      <w:r>
        <w:fldChar w:fldCharType="end"/>
      </w:r>
      <w:r w:rsidR="00EC6300">
        <w:t>.</w:t>
      </w:r>
      <w:r>
        <w:fldChar w:fldCharType="begin"/>
      </w:r>
      <w:r>
        <w:instrText>SEQ Table \* ARABIC \s 1</w:instrText>
      </w:r>
      <w:r>
        <w:fldChar w:fldCharType="separate"/>
      </w:r>
      <w:r w:rsidR="006D0756">
        <w:rPr>
          <w:noProof/>
        </w:rPr>
        <w:t>4</w:t>
      </w:r>
      <w:r>
        <w:fldChar w:fldCharType="end"/>
      </w:r>
      <w:bookmarkEnd w:id="1170"/>
      <w:r>
        <w:t xml:space="preserve">: Mental health </w:t>
      </w:r>
      <w:r w:rsidRPr="00B06738">
        <w:t xml:space="preserve">expenditure budgets </w:t>
      </w:r>
      <w:r w:rsidR="005D1FCB" w:rsidRPr="00B06738">
        <w:t xml:space="preserve">2021-22 and 2022-23 </w:t>
      </w:r>
      <w:r w:rsidRPr="00B06738">
        <w:t>by service type</w:t>
      </w:r>
      <w:bookmarkEnd w:id="1171"/>
      <w:bookmarkEnd w:id="1172"/>
      <w:bookmarkEnd w:id="1173"/>
      <w:bookmarkEnd w:id="1174"/>
      <w:bookmarkEnd w:id="1175"/>
      <w:bookmarkEnd w:id="1176"/>
    </w:p>
    <w:p w14:paraId="20B25F1E" w14:textId="410BD4F2" w:rsidR="00B06738" w:rsidRDefault="00B06738" w:rsidP="00C7344B">
      <w:pPr>
        <w:pStyle w:val="Bodyaftertablefigure"/>
        <w:spacing w:line="240" w:lineRule="auto"/>
      </w:pPr>
      <w:bookmarkStart w:id="1177" w:name="_Toc12780660"/>
      <w:bookmarkStart w:id="1178" w:name="_Toc14172301"/>
      <w:bookmarkStart w:id="1179" w:name="_Toc33703975"/>
      <w:bookmarkStart w:id="1180" w:name="_Toc55381163"/>
      <w:bookmarkStart w:id="1181" w:name="_Toc100263369"/>
      <w:r>
        <w:t>Metropolitan</w:t>
      </w:r>
      <w:r w:rsidR="00CD0974">
        <w:t xml:space="preserve"> and regional </w:t>
      </w:r>
    </w:p>
    <w:tbl>
      <w:tblPr>
        <w:tblStyle w:val="TableGrid1"/>
        <w:tblW w:w="15020" w:type="dxa"/>
        <w:tblLayout w:type="fixed"/>
        <w:tblLook w:val="04A0" w:firstRow="1" w:lastRow="0" w:firstColumn="1" w:lastColumn="0" w:noHBand="0" w:noVBand="1"/>
      </w:tblPr>
      <w:tblGrid>
        <w:gridCol w:w="1900"/>
        <w:gridCol w:w="1457"/>
        <w:gridCol w:w="40"/>
        <w:gridCol w:w="1417"/>
        <w:gridCol w:w="1457"/>
        <w:gridCol w:w="1457"/>
        <w:gridCol w:w="1458"/>
        <w:gridCol w:w="1457"/>
        <w:gridCol w:w="1457"/>
        <w:gridCol w:w="1457"/>
        <w:gridCol w:w="1463"/>
      </w:tblGrid>
      <w:tr w:rsidR="00DA5C94" w:rsidRPr="00CD0974" w14:paraId="1DE3216C" w14:textId="77777777" w:rsidTr="006059A9">
        <w:trPr>
          <w:cnfStyle w:val="100000000000" w:firstRow="1" w:lastRow="0" w:firstColumn="0" w:lastColumn="0" w:oddVBand="0" w:evenVBand="0" w:oddHBand="0" w:evenHBand="0" w:firstRowFirstColumn="0" w:firstRowLastColumn="0" w:lastRowFirstColumn="0" w:lastRowLastColumn="0"/>
          <w:trHeight w:val="284"/>
          <w:tblHeader/>
        </w:trPr>
        <w:tc>
          <w:tcPr>
            <w:tcW w:w="1900" w:type="dxa"/>
            <w:vMerge w:val="restart"/>
            <w:hideMark/>
          </w:tcPr>
          <w:p w14:paraId="1E803802" w14:textId="77777777" w:rsidR="00CD0974" w:rsidRPr="00CD0974" w:rsidRDefault="00CD0974" w:rsidP="00CD0974">
            <w:pPr>
              <w:spacing w:after="0" w:line="240" w:lineRule="auto"/>
              <w:rPr>
                <w:rFonts w:cs="Arial"/>
                <w:b/>
                <w:bCs/>
                <w:color w:val="FFFFFF"/>
                <w:sz w:val="16"/>
                <w:szCs w:val="16"/>
                <w:lang w:eastAsia="en-AU"/>
              </w:rPr>
            </w:pPr>
            <w:r w:rsidRPr="00CD0974">
              <w:rPr>
                <w:rFonts w:cs="Arial"/>
                <w:b/>
                <w:bCs/>
                <w:color w:val="FFFFFF"/>
                <w:sz w:val="16"/>
                <w:szCs w:val="16"/>
                <w:lang w:eastAsia="en-AU"/>
              </w:rPr>
              <w:lastRenderedPageBreak/>
              <w:t>Health Services</w:t>
            </w:r>
          </w:p>
        </w:tc>
        <w:tc>
          <w:tcPr>
            <w:tcW w:w="1497" w:type="dxa"/>
            <w:gridSpan w:val="2"/>
            <w:hideMark/>
          </w:tcPr>
          <w:p w14:paraId="37F155A8" w14:textId="30140832" w:rsidR="00CD0974" w:rsidRPr="00CD0974" w:rsidRDefault="00CD0974" w:rsidP="00DF2CC4">
            <w:pPr>
              <w:spacing w:after="0" w:line="240" w:lineRule="auto"/>
              <w:jc w:val="center"/>
              <w:rPr>
                <w:rFonts w:cs="Arial"/>
                <w:b/>
                <w:bCs/>
                <w:color w:val="FFFFFF"/>
                <w:sz w:val="16"/>
                <w:szCs w:val="16"/>
                <w:lang w:eastAsia="en-AU"/>
              </w:rPr>
            </w:pPr>
            <w:r w:rsidRPr="00CD0974">
              <w:rPr>
                <w:rFonts w:cs="Arial"/>
                <w:b/>
                <w:bCs/>
                <w:color w:val="FFFFFF"/>
                <w:sz w:val="16"/>
                <w:szCs w:val="16"/>
                <w:lang w:eastAsia="en-AU"/>
              </w:rPr>
              <w:t>2021</w:t>
            </w:r>
            <w:r w:rsidR="002F204E" w:rsidRPr="005353E5">
              <w:rPr>
                <w:rFonts w:cs="Arial"/>
                <w:b/>
                <w:bCs/>
                <w:color w:val="FFFFFF"/>
                <w:sz w:val="16"/>
                <w:szCs w:val="16"/>
                <w:lang w:eastAsia="en-AU"/>
              </w:rPr>
              <w:t>–</w:t>
            </w:r>
            <w:r w:rsidRPr="00CD0974">
              <w:rPr>
                <w:rFonts w:cs="Arial"/>
                <w:b/>
                <w:bCs/>
                <w:color w:val="FFFFFF"/>
                <w:sz w:val="16"/>
                <w:szCs w:val="16"/>
                <w:lang w:eastAsia="en-AU"/>
              </w:rPr>
              <w:t>2022</w:t>
            </w:r>
          </w:p>
        </w:tc>
        <w:tc>
          <w:tcPr>
            <w:tcW w:w="11623" w:type="dxa"/>
            <w:gridSpan w:val="8"/>
            <w:hideMark/>
          </w:tcPr>
          <w:p w14:paraId="406FD8F6" w14:textId="64242E39" w:rsidR="00CD0974" w:rsidRPr="00CD0974" w:rsidRDefault="00CD0974" w:rsidP="00CD0974">
            <w:pPr>
              <w:spacing w:after="0" w:line="240" w:lineRule="auto"/>
              <w:jc w:val="center"/>
              <w:rPr>
                <w:rFonts w:cs="Arial"/>
                <w:b/>
                <w:bCs/>
                <w:color w:val="FFFFFF"/>
                <w:sz w:val="16"/>
                <w:szCs w:val="16"/>
                <w:lang w:eastAsia="en-AU"/>
              </w:rPr>
            </w:pPr>
            <w:r w:rsidRPr="00CD0974">
              <w:rPr>
                <w:rFonts w:cs="Arial"/>
                <w:b/>
                <w:bCs/>
                <w:color w:val="FFFFFF"/>
                <w:sz w:val="16"/>
                <w:szCs w:val="16"/>
                <w:lang w:eastAsia="en-AU"/>
              </w:rPr>
              <w:t>2022</w:t>
            </w:r>
            <w:r w:rsidR="002F204E" w:rsidRPr="005353E5">
              <w:rPr>
                <w:rFonts w:cs="Arial"/>
                <w:b/>
                <w:bCs/>
                <w:color w:val="FFFFFF"/>
                <w:sz w:val="16"/>
                <w:szCs w:val="16"/>
                <w:lang w:eastAsia="en-AU"/>
              </w:rPr>
              <w:t>–</w:t>
            </w:r>
            <w:r w:rsidRPr="00CD0974">
              <w:rPr>
                <w:rFonts w:cs="Arial"/>
                <w:b/>
                <w:bCs/>
                <w:color w:val="FFFFFF"/>
                <w:sz w:val="16"/>
                <w:szCs w:val="16"/>
                <w:lang w:eastAsia="en-AU"/>
              </w:rPr>
              <w:t>202</w:t>
            </w:r>
            <w:r w:rsidR="002F204E">
              <w:rPr>
                <w:rFonts w:cs="Arial"/>
                <w:b/>
                <w:bCs/>
                <w:color w:val="FFFFFF"/>
                <w:sz w:val="16"/>
                <w:szCs w:val="16"/>
                <w:lang w:eastAsia="en-AU"/>
              </w:rPr>
              <w:t>3</w:t>
            </w:r>
          </w:p>
        </w:tc>
      </w:tr>
      <w:tr w:rsidR="00DA5C94" w:rsidRPr="00CD0974" w14:paraId="191F4CE2" w14:textId="77777777" w:rsidTr="006059A9">
        <w:trPr>
          <w:trHeight w:val="284"/>
        </w:trPr>
        <w:tc>
          <w:tcPr>
            <w:tcW w:w="1900" w:type="dxa"/>
            <w:vMerge/>
            <w:hideMark/>
          </w:tcPr>
          <w:p w14:paraId="2D85EDB9" w14:textId="77777777" w:rsidR="00CD0974" w:rsidRPr="00CD0974" w:rsidRDefault="00CD0974" w:rsidP="00CD0974">
            <w:pPr>
              <w:spacing w:after="0" w:line="240" w:lineRule="auto"/>
              <w:rPr>
                <w:rFonts w:cs="Arial"/>
                <w:b/>
                <w:bCs/>
                <w:color w:val="FFFFFF"/>
                <w:sz w:val="16"/>
                <w:szCs w:val="16"/>
                <w:lang w:eastAsia="en-AU"/>
              </w:rPr>
            </w:pPr>
          </w:p>
        </w:tc>
        <w:tc>
          <w:tcPr>
            <w:tcW w:w="1457" w:type="dxa"/>
            <w:shd w:val="clear" w:color="auto" w:fill="201547"/>
            <w:hideMark/>
          </w:tcPr>
          <w:p w14:paraId="05FDA29C"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 xml:space="preserve"> Total</w:t>
            </w:r>
          </w:p>
        </w:tc>
        <w:tc>
          <w:tcPr>
            <w:tcW w:w="1457" w:type="dxa"/>
            <w:gridSpan w:val="2"/>
            <w:shd w:val="clear" w:color="auto" w:fill="201547"/>
            <w:hideMark/>
          </w:tcPr>
          <w:p w14:paraId="6E53EA53"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 xml:space="preserve"> Acute</w:t>
            </w:r>
          </w:p>
        </w:tc>
        <w:tc>
          <w:tcPr>
            <w:tcW w:w="1457" w:type="dxa"/>
            <w:shd w:val="clear" w:color="auto" w:fill="201547"/>
            <w:hideMark/>
          </w:tcPr>
          <w:p w14:paraId="24516013"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 xml:space="preserve"> Non Acute</w:t>
            </w:r>
          </w:p>
        </w:tc>
        <w:tc>
          <w:tcPr>
            <w:tcW w:w="1457" w:type="dxa"/>
            <w:shd w:val="clear" w:color="auto" w:fill="201547"/>
            <w:hideMark/>
          </w:tcPr>
          <w:p w14:paraId="60DF7E5C"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Ambulatory</w:t>
            </w:r>
          </w:p>
        </w:tc>
        <w:tc>
          <w:tcPr>
            <w:tcW w:w="1458" w:type="dxa"/>
            <w:shd w:val="clear" w:color="auto" w:fill="201547"/>
            <w:hideMark/>
          </w:tcPr>
          <w:p w14:paraId="78FF77DE"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Psychosocial Rehabilitation &amp; Support</w:t>
            </w:r>
          </w:p>
        </w:tc>
        <w:tc>
          <w:tcPr>
            <w:tcW w:w="1457" w:type="dxa"/>
            <w:shd w:val="clear" w:color="auto" w:fill="201547"/>
            <w:hideMark/>
          </w:tcPr>
          <w:p w14:paraId="7BA687CA"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Residential</w:t>
            </w:r>
          </w:p>
        </w:tc>
        <w:tc>
          <w:tcPr>
            <w:tcW w:w="1457" w:type="dxa"/>
            <w:shd w:val="clear" w:color="auto" w:fill="201547"/>
            <w:hideMark/>
          </w:tcPr>
          <w:p w14:paraId="3EB4523C"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Service System Capacity</w:t>
            </w:r>
          </w:p>
        </w:tc>
        <w:tc>
          <w:tcPr>
            <w:tcW w:w="1457" w:type="dxa"/>
            <w:shd w:val="clear" w:color="auto" w:fill="201547"/>
            <w:hideMark/>
          </w:tcPr>
          <w:p w14:paraId="26C39965" w14:textId="1E28A22D" w:rsidR="00CD0974" w:rsidRPr="00CD0974" w:rsidRDefault="00B24F8E"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Sub-Acute</w:t>
            </w:r>
          </w:p>
        </w:tc>
        <w:tc>
          <w:tcPr>
            <w:tcW w:w="1463" w:type="dxa"/>
            <w:shd w:val="clear" w:color="auto" w:fill="201547"/>
            <w:hideMark/>
          </w:tcPr>
          <w:p w14:paraId="38E08A1D"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Total</w:t>
            </w:r>
          </w:p>
        </w:tc>
      </w:tr>
      <w:tr w:rsidR="00DA5C94" w:rsidRPr="00CD0974" w14:paraId="23326180" w14:textId="77777777" w:rsidTr="006059A9">
        <w:trPr>
          <w:trHeight w:val="284"/>
        </w:trPr>
        <w:tc>
          <w:tcPr>
            <w:tcW w:w="1900" w:type="dxa"/>
            <w:vMerge/>
            <w:hideMark/>
          </w:tcPr>
          <w:p w14:paraId="60D5457A" w14:textId="77777777" w:rsidR="00CD0974" w:rsidRPr="00CD0974" w:rsidRDefault="00CD0974" w:rsidP="00CD0974">
            <w:pPr>
              <w:spacing w:after="0" w:line="240" w:lineRule="auto"/>
              <w:rPr>
                <w:rFonts w:cs="Arial"/>
                <w:b/>
                <w:bCs/>
                <w:color w:val="FFFFFF"/>
                <w:sz w:val="16"/>
                <w:szCs w:val="16"/>
                <w:lang w:eastAsia="en-AU"/>
              </w:rPr>
            </w:pPr>
          </w:p>
        </w:tc>
        <w:tc>
          <w:tcPr>
            <w:tcW w:w="1457" w:type="dxa"/>
            <w:shd w:val="clear" w:color="auto" w:fill="201547"/>
            <w:hideMark/>
          </w:tcPr>
          <w:p w14:paraId="70D74F2E"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7" w:type="dxa"/>
            <w:gridSpan w:val="2"/>
            <w:shd w:val="clear" w:color="auto" w:fill="201547"/>
            <w:hideMark/>
          </w:tcPr>
          <w:p w14:paraId="0F058D34"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7" w:type="dxa"/>
            <w:shd w:val="clear" w:color="auto" w:fill="201547"/>
            <w:hideMark/>
          </w:tcPr>
          <w:p w14:paraId="6306B02C"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7" w:type="dxa"/>
            <w:shd w:val="clear" w:color="auto" w:fill="201547"/>
            <w:hideMark/>
          </w:tcPr>
          <w:p w14:paraId="12A16F3D"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shd w:val="clear" w:color="auto" w:fill="201547"/>
            <w:hideMark/>
          </w:tcPr>
          <w:p w14:paraId="5635362C"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7" w:type="dxa"/>
            <w:shd w:val="clear" w:color="auto" w:fill="201547"/>
            <w:hideMark/>
          </w:tcPr>
          <w:p w14:paraId="526C2CF8"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7" w:type="dxa"/>
            <w:shd w:val="clear" w:color="auto" w:fill="201547"/>
            <w:hideMark/>
          </w:tcPr>
          <w:p w14:paraId="1B061105"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7" w:type="dxa"/>
            <w:shd w:val="clear" w:color="auto" w:fill="201547"/>
            <w:hideMark/>
          </w:tcPr>
          <w:p w14:paraId="52C7A802"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63" w:type="dxa"/>
            <w:shd w:val="clear" w:color="auto" w:fill="201547"/>
            <w:hideMark/>
          </w:tcPr>
          <w:p w14:paraId="50854199"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r>
      <w:tr w:rsidR="00DA5C94" w:rsidRPr="00CD0974" w14:paraId="62477796" w14:textId="77777777" w:rsidTr="006059A9">
        <w:trPr>
          <w:trHeight w:val="284"/>
        </w:trPr>
        <w:tc>
          <w:tcPr>
            <w:tcW w:w="1900" w:type="dxa"/>
            <w:hideMark/>
          </w:tcPr>
          <w:p w14:paraId="5ED339F3"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Albury Wodonga Health</w:t>
            </w:r>
          </w:p>
        </w:tc>
        <w:tc>
          <w:tcPr>
            <w:tcW w:w="1457" w:type="dxa"/>
            <w:noWrap/>
            <w:hideMark/>
          </w:tcPr>
          <w:p w14:paraId="6862FFEF"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39,308</w:t>
            </w:r>
          </w:p>
        </w:tc>
        <w:tc>
          <w:tcPr>
            <w:tcW w:w="1457" w:type="dxa"/>
            <w:gridSpan w:val="2"/>
            <w:noWrap/>
            <w:hideMark/>
          </w:tcPr>
          <w:p w14:paraId="390159CD"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7,900</w:t>
            </w:r>
          </w:p>
        </w:tc>
        <w:tc>
          <w:tcPr>
            <w:tcW w:w="1457" w:type="dxa"/>
            <w:noWrap/>
            <w:hideMark/>
          </w:tcPr>
          <w:p w14:paraId="03DEEF7C"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1A960BA4"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22,074</w:t>
            </w:r>
          </w:p>
        </w:tc>
        <w:tc>
          <w:tcPr>
            <w:tcW w:w="1458" w:type="dxa"/>
            <w:noWrap/>
            <w:hideMark/>
          </w:tcPr>
          <w:p w14:paraId="094950C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1,184</w:t>
            </w:r>
          </w:p>
        </w:tc>
        <w:tc>
          <w:tcPr>
            <w:tcW w:w="1457" w:type="dxa"/>
            <w:noWrap/>
            <w:hideMark/>
          </w:tcPr>
          <w:p w14:paraId="5CAC664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1,520</w:t>
            </w:r>
          </w:p>
        </w:tc>
        <w:tc>
          <w:tcPr>
            <w:tcW w:w="1457" w:type="dxa"/>
            <w:noWrap/>
            <w:hideMark/>
          </w:tcPr>
          <w:p w14:paraId="5CDC0A3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2,093</w:t>
            </w:r>
          </w:p>
        </w:tc>
        <w:tc>
          <w:tcPr>
            <w:tcW w:w="1457" w:type="dxa"/>
            <w:noWrap/>
            <w:hideMark/>
          </w:tcPr>
          <w:p w14:paraId="008156E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6,242</w:t>
            </w:r>
          </w:p>
        </w:tc>
        <w:tc>
          <w:tcPr>
            <w:tcW w:w="1463" w:type="dxa"/>
            <w:noWrap/>
            <w:hideMark/>
          </w:tcPr>
          <w:p w14:paraId="7CEE6FE4"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41,012</w:t>
            </w:r>
          </w:p>
        </w:tc>
      </w:tr>
      <w:tr w:rsidR="00DA5C94" w:rsidRPr="00CD0974" w14:paraId="3091E219" w14:textId="77777777" w:rsidTr="006059A9">
        <w:trPr>
          <w:trHeight w:val="284"/>
        </w:trPr>
        <w:tc>
          <w:tcPr>
            <w:tcW w:w="1900" w:type="dxa"/>
            <w:hideMark/>
          </w:tcPr>
          <w:p w14:paraId="6AC3A150"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Alfred Health</w:t>
            </w:r>
          </w:p>
        </w:tc>
        <w:tc>
          <w:tcPr>
            <w:tcW w:w="1457" w:type="dxa"/>
            <w:noWrap/>
            <w:hideMark/>
          </w:tcPr>
          <w:p w14:paraId="6E106283"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98,035</w:t>
            </w:r>
          </w:p>
        </w:tc>
        <w:tc>
          <w:tcPr>
            <w:tcW w:w="1457" w:type="dxa"/>
            <w:gridSpan w:val="2"/>
            <w:noWrap/>
            <w:hideMark/>
          </w:tcPr>
          <w:p w14:paraId="05A01D6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37,061</w:t>
            </w:r>
          </w:p>
        </w:tc>
        <w:tc>
          <w:tcPr>
            <w:tcW w:w="1457" w:type="dxa"/>
            <w:noWrap/>
            <w:hideMark/>
          </w:tcPr>
          <w:p w14:paraId="6A93A0F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3C944E8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60,009</w:t>
            </w:r>
          </w:p>
        </w:tc>
        <w:tc>
          <w:tcPr>
            <w:tcW w:w="1458" w:type="dxa"/>
            <w:noWrap/>
            <w:hideMark/>
          </w:tcPr>
          <w:p w14:paraId="2095362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2,185</w:t>
            </w:r>
          </w:p>
        </w:tc>
        <w:tc>
          <w:tcPr>
            <w:tcW w:w="1457" w:type="dxa"/>
            <w:noWrap/>
            <w:hideMark/>
          </w:tcPr>
          <w:p w14:paraId="174A8CD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22091F4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6,013</w:t>
            </w:r>
          </w:p>
        </w:tc>
        <w:tc>
          <w:tcPr>
            <w:tcW w:w="1457" w:type="dxa"/>
            <w:noWrap/>
            <w:hideMark/>
          </w:tcPr>
          <w:p w14:paraId="53025344"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6,524</w:t>
            </w:r>
          </w:p>
        </w:tc>
        <w:tc>
          <w:tcPr>
            <w:tcW w:w="1463" w:type="dxa"/>
            <w:noWrap/>
            <w:hideMark/>
          </w:tcPr>
          <w:p w14:paraId="1B413B6F"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111,792</w:t>
            </w:r>
          </w:p>
        </w:tc>
      </w:tr>
      <w:tr w:rsidR="00DA5C94" w:rsidRPr="00CD0974" w14:paraId="181FAEFA" w14:textId="77777777" w:rsidTr="006059A9">
        <w:trPr>
          <w:trHeight w:val="284"/>
        </w:trPr>
        <w:tc>
          <w:tcPr>
            <w:tcW w:w="1900" w:type="dxa"/>
            <w:hideMark/>
          </w:tcPr>
          <w:p w14:paraId="679BAB93"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Austin Health</w:t>
            </w:r>
          </w:p>
        </w:tc>
        <w:tc>
          <w:tcPr>
            <w:tcW w:w="1457" w:type="dxa"/>
            <w:noWrap/>
            <w:hideMark/>
          </w:tcPr>
          <w:p w14:paraId="5A122614"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91,908</w:t>
            </w:r>
          </w:p>
        </w:tc>
        <w:tc>
          <w:tcPr>
            <w:tcW w:w="1457" w:type="dxa"/>
            <w:gridSpan w:val="2"/>
            <w:noWrap/>
            <w:hideMark/>
          </w:tcPr>
          <w:p w14:paraId="054BBAE4"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36,126</w:t>
            </w:r>
          </w:p>
        </w:tc>
        <w:tc>
          <w:tcPr>
            <w:tcW w:w="1457" w:type="dxa"/>
            <w:noWrap/>
            <w:hideMark/>
          </w:tcPr>
          <w:p w14:paraId="454D665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5,583</w:t>
            </w:r>
          </w:p>
        </w:tc>
        <w:tc>
          <w:tcPr>
            <w:tcW w:w="1457" w:type="dxa"/>
            <w:noWrap/>
            <w:hideMark/>
          </w:tcPr>
          <w:p w14:paraId="455BE335"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40,254</w:t>
            </w:r>
          </w:p>
        </w:tc>
        <w:tc>
          <w:tcPr>
            <w:tcW w:w="1458" w:type="dxa"/>
            <w:noWrap/>
            <w:hideMark/>
          </w:tcPr>
          <w:p w14:paraId="71284CA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1,250</w:t>
            </w:r>
          </w:p>
        </w:tc>
        <w:tc>
          <w:tcPr>
            <w:tcW w:w="1457" w:type="dxa"/>
            <w:noWrap/>
            <w:hideMark/>
          </w:tcPr>
          <w:p w14:paraId="3211B22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BEC7C6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6,896</w:t>
            </w:r>
          </w:p>
        </w:tc>
        <w:tc>
          <w:tcPr>
            <w:tcW w:w="1457" w:type="dxa"/>
            <w:noWrap/>
            <w:hideMark/>
          </w:tcPr>
          <w:p w14:paraId="6A6C528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8,116</w:t>
            </w:r>
          </w:p>
        </w:tc>
        <w:tc>
          <w:tcPr>
            <w:tcW w:w="1463" w:type="dxa"/>
            <w:noWrap/>
            <w:hideMark/>
          </w:tcPr>
          <w:p w14:paraId="58A6F55C"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98,225</w:t>
            </w:r>
          </w:p>
        </w:tc>
      </w:tr>
      <w:tr w:rsidR="00DA5C94" w:rsidRPr="00CD0974" w14:paraId="23548668" w14:textId="77777777" w:rsidTr="006059A9">
        <w:trPr>
          <w:trHeight w:val="284"/>
        </w:trPr>
        <w:tc>
          <w:tcPr>
            <w:tcW w:w="1900" w:type="dxa"/>
            <w:hideMark/>
          </w:tcPr>
          <w:p w14:paraId="12887D85"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Barwon Health</w:t>
            </w:r>
          </w:p>
        </w:tc>
        <w:tc>
          <w:tcPr>
            <w:tcW w:w="1457" w:type="dxa"/>
            <w:noWrap/>
            <w:hideMark/>
          </w:tcPr>
          <w:p w14:paraId="194422D9"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75,226</w:t>
            </w:r>
          </w:p>
        </w:tc>
        <w:tc>
          <w:tcPr>
            <w:tcW w:w="1457" w:type="dxa"/>
            <w:gridSpan w:val="2"/>
            <w:noWrap/>
            <w:hideMark/>
          </w:tcPr>
          <w:p w14:paraId="65F995E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28,934</w:t>
            </w:r>
          </w:p>
        </w:tc>
        <w:tc>
          <w:tcPr>
            <w:tcW w:w="1457" w:type="dxa"/>
            <w:noWrap/>
            <w:hideMark/>
          </w:tcPr>
          <w:p w14:paraId="32F8AC2A"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670</w:t>
            </w:r>
          </w:p>
        </w:tc>
        <w:tc>
          <w:tcPr>
            <w:tcW w:w="1457" w:type="dxa"/>
            <w:noWrap/>
            <w:hideMark/>
          </w:tcPr>
          <w:p w14:paraId="08F19AA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45,773</w:t>
            </w:r>
          </w:p>
        </w:tc>
        <w:tc>
          <w:tcPr>
            <w:tcW w:w="1458" w:type="dxa"/>
            <w:noWrap/>
            <w:hideMark/>
          </w:tcPr>
          <w:p w14:paraId="37C6D8E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1,408</w:t>
            </w:r>
          </w:p>
        </w:tc>
        <w:tc>
          <w:tcPr>
            <w:tcW w:w="1457" w:type="dxa"/>
            <w:noWrap/>
            <w:hideMark/>
          </w:tcPr>
          <w:p w14:paraId="627AEBE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1,779</w:t>
            </w:r>
          </w:p>
        </w:tc>
        <w:tc>
          <w:tcPr>
            <w:tcW w:w="1457" w:type="dxa"/>
            <w:noWrap/>
            <w:hideMark/>
          </w:tcPr>
          <w:p w14:paraId="20B8F7A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5,991</w:t>
            </w:r>
          </w:p>
        </w:tc>
        <w:tc>
          <w:tcPr>
            <w:tcW w:w="1457" w:type="dxa"/>
            <w:noWrap/>
            <w:hideMark/>
          </w:tcPr>
          <w:p w14:paraId="7301895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4,284</w:t>
            </w:r>
          </w:p>
        </w:tc>
        <w:tc>
          <w:tcPr>
            <w:tcW w:w="1463" w:type="dxa"/>
            <w:noWrap/>
            <w:hideMark/>
          </w:tcPr>
          <w:p w14:paraId="1CFFFB33"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88,838</w:t>
            </w:r>
          </w:p>
        </w:tc>
      </w:tr>
      <w:tr w:rsidR="00DA5C94" w:rsidRPr="00CD0974" w14:paraId="0E69B4C2" w14:textId="77777777" w:rsidTr="006059A9">
        <w:trPr>
          <w:trHeight w:val="284"/>
        </w:trPr>
        <w:tc>
          <w:tcPr>
            <w:tcW w:w="1900" w:type="dxa"/>
            <w:hideMark/>
          </w:tcPr>
          <w:p w14:paraId="7CB50411"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Bendigo Health</w:t>
            </w:r>
          </w:p>
        </w:tc>
        <w:tc>
          <w:tcPr>
            <w:tcW w:w="1457" w:type="dxa"/>
            <w:noWrap/>
            <w:hideMark/>
          </w:tcPr>
          <w:p w14:paraId="4769FA89"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76,778</w:t>
            </w:r>
          </w:p>
        </w:tc>
        <w:tc>
          <w:tcPr>
            <w:tcW w:w="1457" w:type="dxa"/>
            <w:gridSpan w:val="2"/>
            <w:noWrap/>
            <w:hideMark/>
          </w:tcPr>
          <w:p w14:paraId="47BD251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19,760</w:t>
            </w:r>
          </w:p>
        </w:tc>
        <w:tc>
          <w:tcPr>
            <w:tcW w:w="1457" w:type="dxa"/>
            <w:noWrap/>
            <w:hideMark/>
          </w:tcPr>
          <w:p w14:paraId="3E44126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4,466</w:t>
            </w:r>
          </w:p>
        </w:tc>
        <w:tc>
          <w:tcPr>
            <w:tcW w:w="1457" w:type="dxa"/>
            <w:noWrap/>
            <w:hideMark/>
          </w:tcPr>
          <w:p w14:paraId="5483FF9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41,298</w:t>
            </w:r>
          </w:p>
        </w:tc>
        <w:tc>
          <w:tcPr>
            <w:tcW w:w="1458" w:type="dxa"/>
            <w:noWrap/>
            <w:hideMark/>
          </w:tcPr>
          <w:p w14:paraId="66F0564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1,648</w:t>
            </w:r>
          </w:p>
        </w:tc>
        <w:tc>
          <w:tcPr>
            <w:tcW w:w="1457" w:type="dxa"/>
            <w:noWrap/>
            <w:hideMark/>
          </w:tcPr>
          <w:p w14:paraId="2D2BFF7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1,371</w:t>
            </w:r>
          </w:p>
        </w:tc>
        <w:tc>
          <w:tcPr>
            <w:tcW w:w="1457" w:type="dxa"/>
            <w:noWrap/>
            <w:hideMark/>
          </w:tcPr>
          <w:p w14:paraId="0BF49895"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5,939</w:t>
            </w:r>
          </w:p>
        </w:tc>
        <w:tc>
          <w:tcPr>
            <w:tcW w:w="1457" w:type="dxa"/>
            <w:noWrap/>
            <w:hideMark/>
          </w:tcPr>
          <w:p w14:paraId="418E3484"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6,300</w:t>
            </w:r>
          </w:p>
        </w:tc>
        <w:tc>
          <w:tcPr>
            <w:tcW w:w="1463" w:type="dxa"/>
            <w:noWrap/>
            <w:hideMark/>
          </w:tcPr>
          <w:p w14:paraId="07818220"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80,782</w:t>
            </w:r>
          </w:p>
        </w:tc>
      </w:tr>
      <w:tr w:rsidR="00DA5C94" w:rsidRPr="00CD0974" w14:paraId="5E679630" w14:textId="77777777" w:rsidTr="006059A9">
        <w:trPr>
          <w:trHeight w:val="284"/>
        </w:trPr>
        <w:tc>
          <w:tcPr>
            <w:tcW w:w="1900" w:type="dxa"/>
            <w:hideMark/>
          </w:tcPr>
          <w:p w14:paraId="0848339F"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Calvary Health Care Bethlehem Limited</w:t>
            </w:r>
          </w:p>
        </w:tc>
        <w:tc>
          <w:tcPr>
            <w:tcW w:w="1457" w:type="dxa"/>
            <w:noWrap/>
            <w:hideMark/>
          </w:tcPr>
          <w:p w14:paraId="54F116A1"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0</w:t>
            </w:r>
          </w:p>
        </w:tc>
        <w:tc>
          <w:tcPr>
            <w:tcW w:w="1457" w:type="dxa"/>
            <w:gridSpan w:val="2"/>
            <w:noWrap/>
            <w:hideMark/>
          </w:tcPr>
          <w:p w14:paraId="3FFDFD5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0DED178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5BAC418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8" w:type="dxa"/>
            <w:noWrap/>
            <w:hideMark/>
          </w:tcPr>
          <w:p w14:paraId="7A59B2D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5E2E34F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2DB40DA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F7C928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63" w:type="dxa"/>
            <w:noWrap/>
            <w:hideMark/>
          </w:tcPr>
          <w:p w14:paraId="190E8DEE"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0</w:t>
            </w:r>
          </w:p>
        </w:tc>
      </w:tr>
      <w:tr w:rsidR="00DA5C94" w:rsidRPr="00CD0974" w14:paraId="745CA686" w14:textId="77777777" w:rsidTr="006059A9">
        <w:trPr>
          <w:trHeight w:val="284"/>
        </w:trPr>
        <w:tc>
          <w:tcPr>
            <w:tcW w:w="1900" w:type="dxa"/>
            <w:hideMark/>
          </w:tcPr>
          <w:p w14:paraId="46F98827"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Eastern Health</w:t>
            </w:r>
          </w:p>
        </w:tc>
        <w:tc>
          <w:tcPr>
            <w:tcW w:w="1457" w:type="dxa"/>
            <w:noWrap/>
            <w:hideMark/>
          </w:tcPr>
          <w:p w14:paraId="6DE91C67"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173,753</w:t>
            </w:r>
          </w:p>
        </w:tc>
        <w:tc>
          <w:tcPr>
            <w:tcW w:w="1457" w:type="dxa"/>
            <w:gridSpan w:val="2"/>
            <w:noWrap/>
            <w:hideMark/>
          </w:tcPr>
          <w:p w14:paraId="22F38C4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50,420</w:t>
            </w:r>
          </w:p>
        </w:tc>
        <w:tc>
          <w:tcPr>
            <w:tcW w:w="1457" w:type="dxa"/>
            <w:noWrap/>
            <w:hideMark/>
          </w:tcPr>
          <w:p w14:paraId="7458AF1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094213D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101,628</w:t>
            </w:r>
          </w:p>
        </w:tc>
        <w:tc>
          <w:tcPr>
            <w:tcW w:w="1458" w:type="dxa"/>
            <w:noWrap/>
            <w:hideMark/>
          </w:tcPr>
          <w:p w14:paraId="4701181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3,435</w:t>
            </w:r>
          </w:p>
        </w:tc>
        <w:tc>
          <w:tcPr>
            <w:tcW w:w="1457" w:type="dxa"/>
            <w:noWrap/>
            <w:hideMark/>
          </w:tcPr>
          <w:p w14:paraId="10053E0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2,706</w:t>
            </w:r>
          </w:p>
        </w:tc>
        <w:tc>
          <w:tcPr>
            <w:tcW w:w="1457" w:type="dxa"/>
            <w:noWrap/>
            <w:hideMark/>
          </w:tcPr>
          <w:p w14:paraId="3428B9E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8,742</w:t>
            </w:r>
          </w:p>
        </w:tc>
        <w:tc>
          <w:tcPr>
            <w:tcW w:w="1457" w:type="dxa"/>
            <w:noWrap/>
            <w:hideMark/>
          </w:tcPr>
          <w:p w14:paraId="1970B155"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11,635</w:t>
            </w:r>
          </w:p>
        </w:tc>
        <w:tc>
          <w:tcPr>
            <w:tcW w:w="1463" w:type="dxa"/>
            <w:noWrap/>
            <w:hideMark/>
          </w:tcPr>
          <w:p w14:paraId="134FB843"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178,566</w:t>
            </w:r>
          </w:p>
        </w:tc>
      </w:tr>
      <w:tr w:rsidR="00DA5C94" w:rsidRPr="00CD0974" w14:paraId="60CD4FC8" w14:textId="77777777" w:rsidTr="006059A9">
        <w:trPr>
          <w:trHeight w:val="284"/>
        </w:trPr>
        <w:tc>
          <w:tcPr>
            <w:tcW w:w="1900" w:type="dxa"/>
            <w:hideMark/>
          </w:tcPr>
          <w:p w14:paraId="216D47C3"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Goulburn Valley Health</w:t>
            </w:r>
          </w:p>
        </w:tc>
        <w:tc>
          <w:tcPr>
            <w:tcW w:w="1457" w:type="dxa"/>
            <w:noWrap/>
            <w:hideMark/>
          </w:tcPr>
          <w:p w14:paraId="7866B8A9"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39,401</w:t>
            </w:r>
          </w:p>
        </w:tc>
        <w:tc>
          <w:tcPr>
            <w:tcW w:w="1457" w:type="dxa"/>
            <w:gridSpan w:val="2"/>
            <w:noWrap/>
            <w:hideMark/>
          </w:tcPr>
          <w:p w14:paraId="17C72DC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7,402</w:t>
            </w:r>
          </w:p>
        </w:tc>
        <w:tc>
          <w:tcPr>
            <w:tcW w:w="1457" w:type="dxa"/>
            <w:noWrap/>
            <w:hideMark/>
          </w:tcPr>
          <w:p w14:paraId="4F33BA8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0E86BBD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24,624</w:t>
            </w:r>
          </w:p>
        </w:tc>
        <w:tc>
          <w:tcPr>
            <w:tcW w:w="1458" w:type="dxa"/>
            <w:noWrap/>
            <w:hideMark/>
          </w:tcPr>
          <w:p w14:paraId="61E0B37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1,175</w:t>
            </w:r>
          </w:p>
        </w:tc>
        <w:tc>
          <w:tcPr>
            <w:tcW w:w="1457" w:type="dxa"/>
            <w:noWrap/>
            <w:hideMark/>
          </w:tcPr>
          <w:p w14:paraId="0451DB5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790</w:t>
            </w:r>
          </w:p>
        </w:tc>
        <w:tc>
          <w:tcPr>
            <w:tcW w:w="1457" w:type="dxa"/>
            <w:noWrap/>
            <w:hideMark/>
          </w:tcPr>
          <w:p w14:paraId="535741E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2,673</w:t>
            </w:r>
          </w:p>
        </w:tc>
        <w:tc>
          <w:tcPr>
            <w:tcW w:w="1457" w:type="dxa"/>
            <w:noWrap/>
            <w:hideMark/>
          </w:tcPr>
          <w:p w14:paraId="55895EAA"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3,570</w:t>
            </w:r>
          </w:p>
        </w:tc>
        <w:tc>
          <w:tcPr>
            <w:tcW w:w="1463" w:type="dxa"/>
            <w:noWrap/>
            <w:hideMark/>
          </w:tcPr>
          <w:p w14:paraId="12018EBB"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40,234</w:t>
            </w:r>
          </w:p>
        </w:tc>
      </w:tr>
      <w:tr w:rsidR="00DA5C94" w:rsidRPr="00CD0974" w14:paraId="426B5F1D" w14:textId="77777777" w:rsidTr="006059A9">
        <w:trPr>
          <w:trHeight w:val="284"/>
        </w:trPr>
        <w:tc>
          <w:tcPr>
            <w:tcW w:w="1900" w:type="dxa"/>
            <w:hideMark/>
          </w:tcPr>
          <w:p w14:paraId="3F7AA02C"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Grampians Health</w:t>
            </w:r>
          </w:p>
        </w:tc>
        <w:tc>
          <w:tcPr>
            <w:tcW w:w="1457" w:type="dxa"/>
            <w:noWrap/>
            <w:hideMark/>
          </w:tcPr>
          <w:p w14:paraId="5E5F7CC4"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61,059</w:t>
            </w:r>
          </w:p>
        </w:tc>
        <w:tc>
          <w:tcPr>
            <w:tcW w:w="1457" w:type="dxa"/>
            <w:gridSpan w:val="2"/>
            <w:noWrap/>
            <w:hideMark/>
          </w:tcPr>
          <w:p w14:paraId="104261A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13,990</w:t>
            </w:r>
          </w:p>
        </w:tc>
        <w:tc>
          <w:tcPr>
            <w:tcW w:w="1457" w:type="dxa"/>
            <w:noWrap/>
            <w:hideMark/>
          </w:tcPr>
          <w:p w14:paraId="5DA99744"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2,680</w:t>
            </w:r>
          </w:p>
        </w:tc>
        <w:tc>
          <w:tcPr>
            <w:tcW w:w="1457" w:type="dxa"/>
            <w:noWrap/>
            <w:hideMark/>
          </w:tcPr>
          <w:p w14:paraId="4E1CE3BE"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35,346</w:t>
            </w:r>
          </w:p>
        </w:tc>
        <w:tc>
          <w:tcPr>
            <w:tcW w:w="1458" w:type="dxa"/>
            <w:noWrap/>
            <w:hideMark/>
          </w:tcPr>
          <w:p w14:paraId="4559DA4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1,468</w:t>
            </w:r>
          </w:p>
        </w:tc>
        <w:tc>
          <w:tcPr>
            <w:tcW w:w="1457" w:type="dxa"/>
            <w:noWrap/>
            <w:hideMark/>
          </w:tcPr>
          <w:p w14:paraId="231778A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1,047</w:t>
            </w:r>
          </w:p>
        </w:tc>
        <w:tc>
          <w:tcPr>
            <w:tcW w:w="1457" w:type="dxa"/>
            <w:noWrap/>
            <w:hideMark/>
          </w:tcPr>
          <w:p w14:paraId="567BCA7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3,604</w:t>
            </w:r>
          </w:p>
        </w:tc>
        <w:tc>
          <w:tcPr>
            <w:tcW w:w="1457" w:type="dxa"/>
            <w:noWrap/>
            <w:hideMark/>
          </w:tcPr>
          <w:p w14:paraId="6612715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3,777</w:t>
            </w:r>
          </w:p>
        </w:tc>
        <w:tc>
          <w:tcPr>
            <w:tcW w:w="1463" w:type="dxa"/>
            <w:noWrap/>
            <w:hideMark/>
          </w:tcPr>
          <w:p w14:paraId="6C9244EE"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61,913</w:t>
            </w:r>
          </w:p>
        </w:tc>
      </w:tr>
      <w:tr w:rsidR="00DA5C94" w:rsidRPr="00CD0974" w14:paraId="3DB440D5" w14:textId="77777777" w:rsidTr="006059A9">
        <w:trPr>
          <w:trHeight w:val="284"/>
        </w:trPr>
        <w:tc>
          <w:tcPr>
            <w:tcW w:w="1900" w:type="dxa"/>
            <w:hideMark/>
          </w:tcPr>
          <w:p w14:paraId="2C2CB0BB"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Latrobe Regional Hospital</w:t>
            </w:r>
          </w:p>
        </w:tc>
        <w:tc>
          <w:tcPr>
            <w:tcW w:w="1457" w:type="dxa"/>
            <w:noWrap/>
            <w:hideMark/>
          </w:tcPr>
          <w:p w14:paraId="4984BD91"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66,301</w:t>
            </w:r>
          </w:p>
        </w:tc>
        <w:tc>
          <w:tcPr>
            <w:tcW w:w="1457" w:type="dxa"/>
            <w:gridSpan w:val="2"/>
            <w:noWrap/>
            <w:hideMark/>
          </w:tcPr>
          <w:p w14:paraId="0469300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15,647</w:t>
            </w:r>
          </w:p>
        </w:tc>
        <w:tc>
          <w:tcPr>
            <w:tcW w:w="1457" w:type="dxa"/>
            <w:noWrap/>
            <w:hideMark/>
          </w:tcPr>
          <w:p w14:paraId="526459E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1,340</w:t>
            </w:r>
          </w:p>
        </w:tc>
        <w:tc>
          <w:tcPr>
            <w:tcW w:w="1457" w:type="dxa"/>
            <w:noWrap/>
            <w:hideMark/>
          </w:tcPr>
          <w:p w14:paraId="6ED9D93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42,115</w:t>
            </w:r>
          </w:p>
        </w:tc>
        <w:tc>
          <w:tcPr>
            <w:tcW w:w="1458" w:type="dxa"/>
            <w:noWrap/>
            <w:hideMark/>
          </w:tcPr>
          <w:p w14:paraId="366E2AAE"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1,297</w:t>
            </w:r>
          </w:p>
        </w:tc>
        <w:tc>
          <w:tcPr>
            <w:tcW w:w="1457" w:type="dxa"/>
            <w:noWrap/>
            <w:hideMark/>
          </w:tcPr>
          <w:p w14:paraId="3B68350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395</w:t>
            </w:r>
          </w:p>
        </w:tc>
        <w:tc>
          <w:tcPr>
            <w:tcW w:w="1457" w:type="dxa"/>
            <w:noWrap/>
            <w:hideMark/>
          </w:tcPr>
          <w:p w14:paraId="27C7CD0D"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3,325</w:t>
            </w:r>
          </w:p>
        </w:tc>
        <w:tc>
          <w:tcPr>
            <w:tcW w:w="1457" w:type="dxa"/>
            <w:noWrap/>
            <w:hideMark/>
          </w:tcPr>
          <w:p w14:paraId="37122E5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4,187</w:t>
            </w:r>
          </w:p>
        </w:tc>
        <w:tc>
          <w:tcPr>
            <w:tcW w:w="1463" w:type="dxa"/>
            <w:noWrap/>
            <w:hideMark/>
          </w:tcPr>
          <w:p w14:paraId="4F885F13"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68,306</w:t>
            </w:r>
          </w:p>
        </w:tc>
      </w:tr>
      <w:tr w:rsidR="00DA5C94" w:rsidRPr="00CD0974" w14:paraId="51B243A9" w14:textId="77777777" w:rsidTr="006059A9">
        <w:trPr>
          <w:trHeight w:val="284"/>
        </w:trPr>
        <w:tc>
          <w:tcPr>
            <w:tcW w:w="1900" w:type="dxa"/>
            <w:hideMark/>
          </w:tcPr>
          <w:p w14:paraId="4727F88E"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Melbourne Health</w:t>
            </w:r>
          </w:p>
        </w:tc>
        <w:tc>
          <w:tcPr>
            <w:tcW w:w="1457" w:type="dxa"/>
            <w:noWrap/>
            <w:hideMark/>
          </w:tcPr>
          <w:p w14:paraId="63773CDF"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325,832</w:t>
            </w:r>
          </w:p>
        </w:tc>
        <w:tc>
          <w:tcPr>
            <w:tcW w:w="1457" w:type="dxa"/>
            <w:gridSpan w:val="2"/>
            <w:noWrap/>
            <w:hideMark/>
          </w:tcPr>
          <w:p w14:paraId="7067165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110,876</w:t>
            </w:r>
          </w:p>
        </w:tc>
        <w:tc>
          <w:tcPr>
            <w:tcW w:w="1457" w:type="dxa"/>
            <w:noWrap/>
            <w:hideMark/>
          </w:tcPr>
          <w:p w14:paraId="3DD0236D"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5,806</w:t>
            </w:r>
          </w:p>
        </w:tc>
        <w:tc>
          <w:tcPr>
            <w:tcW w:w="1457" w:type="dxa"/>
            <w:noWrap/>
            <w:hideMark/>
          </w:tcPr>
          <w:p w14:paraId="74EBEC2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176,759</w:t>
            </w:r>
          </w:p>
        </w:tc>
        <w:tc>
          <w:tcPr>
            <w:tcW w:w="1458" w:type="dxa"/>
            <w:noWrap/>
            <w:hideMark/>
          </w:tcPr>
          <w:p w14:paraId="19CE9E8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2,547</w:t>
            </w:r>
          </w:p>
        </w:tc>
        <w:tc>
          <w:tcPr>
            <w:tcW w:w="1457" w:type="dxa"/>
            <w:noWrap/>
            <w:hideMark/>
          </w:tcPr>
          <w:p w14:paraId="26A49AA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2,845</w:t>
            </w:r>
          </w:p>
        </w:tc>
        <w:tc>
          <w:tcPr>
            <w:tcW w:w="1457" w:type="dxa"/>
            <w:noWrap/>
            <w:hideMark/>
          </w:tcPr>
          <w:p w14:paraId="13CDCAF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20,667</w:t>
            </w:r>
          </w:p>
        </w:tc>
        <w:tc>
          <w:tcPr>
            <w:tcW w:w="1457" w:type="dxa"/>
            <w:noWrap/>
            <w:hideMark/>
          </w:tcPr>
          <w:p w14:paraId="58EF43F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27,633</w:t>
            </w:r>
          </w:p>
        </w:tc>
        <w:tc>
          <w:tcPr>
            <w:tcW w:w="1463" w:type="dxa"/>
            <w:noWrap/>
            <w:hideMark/>
          </w:tcPr>
          <w:p w14:paraId="6E0F07FC"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347,132</w:t>
            </w:r>
          </w:p>
        </w:tc>
      </w:tr>
      <w:tr w:rsidR="00DA5C94" w:rsidRPr="00CD0974" w14:paraId="662E0E0E" w14:textId="77777777" w:rsidTr="006059A9">
        <w:trPr>
          <w:trHeight w:val="284"/>
        </w:trPr>
        <w:tc>
          <w:tcPr>
            <w:tcW w:w="1900" w:type="dxa"/>
            <w:hideMark/>
          </w:tcPr>
          <w:p w14:paraId="3EDA80A3"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Mercy Hospitals Victoria Limited</w:t>
            </w:r>
          </w:p>
        </w:tc>
        <w:tc>
          <w:tcPr>
            <w:tcW w:w="1457" w:type="dxa"/>
            <w:noWrap/>
            <w:hideMark/>
          </w:tcPr>
          <w:p w14:paraId="5F85C9AD"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80,280</w:t>
            </w:r>
          </w:p>
        </w:tc>
        <w:tc>
          <w:tcPr>
            <w:tcW w:w="1457" w:type="dxa"/>
            <w:gridSpan w:val="2"/>
            <w:noWrap/>
            <w:hideMark/>
          </w:tcPr>
          <w:p w14:paraId="2A96D13C"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29,278</w:t>
            </w:r>
          </w:p>
        </w:tc>
        <w:tc>
          <w:tcPr>
            <w:tcW w:w="1457" w:type="dxa"/>
            <w:noWrap/>
            <w:hideMark/>
          </w:tcPr>
          <w:p w14:paraId="76E5A70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34605F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40,483</w:t>
            </w:r>
          </w:p>
        </w:tc>
        <w:tc>
          <w:tcPr>
            <w:tcW w:w="1458" w:type="dxa"/>
            <w:noWrap/>
            <w:hideMark/>
          </w:tcPr>
          <w:p w14:paraId="105FE51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1,456</w:t>
            </w:r>
          </w:p>
        </w:tc>
        <w:tc>
          <w:tcPr>
            <w:tcW w:w="1457" w:type="dxa"/>
            <w:noWrap/>
            <w:hideMark/>
          </w:tcPr>
          <w:p w14:paraId="49E58A9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060187EA"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6,009</w:t>
            </w:r>
          </w:p>
        </w:tc>
        <w:tc>
          <w:tcPr>
            <w:tcW w:w="1457" w:type="dxa"/>
            <w:noWrap/>
            <w:hideMark/>
          </w:tcPr>
          <w:p w14:paraId="03C7C81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6,524</w:t>
            </w:r>
          </w:p>
        </w:tc>
        <w:tc>
          <w:tcPr>
            <w:tcW w:w="1463" w:type="dxa"/>
            <w:noWrap/>
            <w:hideMark/>
          </w:tcPr>
          <w:p w14:paraId="22530686"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83,750</w:t>
            </w:r>
          </w:p>
        </w:tc>
      </w:tr>
      <w:tr w:rsidR="00DA5C94" w:rsidRPr="00CD0974" w14:paraId="7A76C71E" w14:textId="77777777" w:rsidTr="006059A9">
        <w:trPr>
          <w:trHeight w:val="284"/>
        </w:trPr>
        <w:tc>
          <w:tcPr>
            <w:tcW w:w="1900" w:type="dxa"/>
            <w:hideMark/>
          </w:tcPr>
          <w:p w14:paraId="0FDE24F4"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Monash Health</w:t>
            </w:r>
          </w:p>
        </w:tc>
        <w:tc>
          <w:tcPr>
            <w:tcW w:w="1457" w:type="dxa"/>
            <w:noWrap/>
            <w:hideMark/>
          </w:tcPr>
          <w:p w14:paraId="583C4D67"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252,103</w:t>
            </w:r>
          </w:p>
        </w:tc>
        <w:tc>
          <w:tcPr>
            <w:tcW w:w="1457" w:type="dxa"/>
            <w:gridSpan w:val="2"/>
            <w:noWrap/>
            <w:hideMark/>
          </w:tcPr>
          <w:p w14:paraId="1C723B1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78,551</w:t>
            </w:r>
          </w:p>
        </w:tc>
        <w:tc>
          <w:tcPr>
            <w:tcW w:w="1457" w:type="dxa"/>
            <w:noWrap/>
            <w:hideMark/>
          </w:tcPr>
          <w:p w14:paraId="6550BC1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11,158</w:t>
            </w:r>
          </w:p>
        </w:tc>
        <w:tc>
          <w:tcPr>
            <w:tcW w:w="1457" w:type="dxa"/>
            <w:noWrap/>
            <w:hideMark/>
          </w:tcPr>
          <w:p w14:paraId="654B973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131,454</w:t>
            </w:r>
          </w:p>
        </w:tc>
        <w:tc>
          <w:tcPr>
            <w:tcW w:w="1458" w:type="dxa"/>
            <w:noWrap/>
            <w:hideMark/>
          </w:tcPr>
          <w:p w14:paraId="1FF4036D"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3,200</w:t>
            </w:r>
          </w:p>
        </w:tc>
        <w:tc>
          <w:tcPr>
            <w:tcW w:w="1457" w:type="dxa"/>
            <w:noWrap/>
            <w:hideMark/>
          </w:tcPr>
          <w:p w14:paraId="6F34312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4,024</w:t>
            </w:r>
          </w:p>
        </w:tc>
        <w:tc>
          <w:tcPr>
            <w:tcW w:w="1457" w:type="dxa"/>
            <w:noWrap/>
            <w:hideMark/>
          </w:tcPr>
          <w:p w14:paraId="404EAD1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10,104</w:t>
            </w:r>
          </w:p>
        </w:tc>
        <w:tc>
          <w:tcPr>
            <w:tcW w:w="1457" w:type="dxa"/>
            <w:noWrap/>
            <w:hideMark/>
          </w:tcPr>
          <w:p w14:paraId="25531204"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21,603</w:t>
            </w:r>
          </w:p>
        </w:tc>
        <w:tc>
          <w:tcPr>
            <w:tcW w:w="1463" w:type="dxa"/>
            <w:noWrap/>
            <w:hideMark/>
          </w:tcPr>
          <w:p w14:paraId="7EE6E1F1"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260,093</w:t>
            </w:r>
          </w:p>
        </w:tc>
      </w:tr>
      <w:tr w:rsidR="00DA5C94" w:rsidRPr="00CD0974" w14:paraId="561847F6" w14:textId="77777777" w:rsidTr="006059A9">
        <w:trPr>
          <w:trHeight w:val="284"/>
        </w:trPr>
        <w:tc>
          <w:tcPr>
            <w:tcW w:w="1900" w:type="dxa"/>
            <w:hideMark/>
          </w:tcPr>
          <w:p w14:paraId="39C1D1BE"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Northern Health</w:t>
            </w:r>
          </w:p>
        </w:tc>
        <w:tc>
          <w:tcPr>
            <w:tcW w:w="1457" w:type="dxa"/>
            <w:noWrap/>
            <w:hideMark/>
          </w:tcPr>
          <w:p w14:paraId="5B984C00"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202</w:t>
            </w:r>
          </w:p>
        </w:tc>
        <w:tc>
          <w:tcPr>
            <w:tcW w:w="1457" w:type="dxa"/>
            <w:gridSpan w:val="2"/>
            <w:noWrap/>
            <w:hideMark/>
          </w:tcPr>
          <w:p w14:paraId="7CA87E0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3,688</w:t>
            </w:r>
          </w:p>
        </w:tc>
        <w:tc>
          <w:tcPr>
            <w:tcW w:w="1457" w:type="dxa"/>
            <w:noWrap/>
            <w:hideMark/>
          </w:tcPr>
          <w:p w14:paraId="66F6DCAE"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277CE3D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863</w:t>
            </w:r>
          </w:p>
        </w:tc>
        <w:tc>
          <w:tcPr>
            <w:tcW w:w="1458" w:type="dxa"/>
            <w:noWrap/>
            <w:hideMark/>
          </w:tcPr>
          <w:p w14:paraId="7D3D86C5"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2,348</w:t>
            </w:r>
          </w:p>
        </w:tc>
        <w:tc>
          <w:tcPr>
            <w:tcW w:w="1457" w:type="dxa"/>
            <w:noWrap/>
            <w:hideMark/>
          </w:tcPr>
          <w:p w14:paraId="3C68215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01D3BE2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698</w:t>
            </w:r>
          </w:p>
        </w:tc>
        <w:tc>
          <w:tcPr>
            <w:tcW w:w="1457" w:type="dxa"/>
            <w:noWrap/>
            <w:hideMark/>
          </w:tcPr>
          <w:p w14:paraId="3331C25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63" w:type="dxa"/>
            <w:noWrap/>
            <w:hideMark/>
          </w:tcPr>
          <w:p w14:paraId="16F87E77"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7,596</w:t>
            </w:r>
          </w:p>
        </w:tc>
      </w:tr>
      <w:tr w:rsidR="00DA5C94" w:rsidRPr="00CD0974" w14:paraId="043C21C2" w14:textId="77777777" w:rsidTr="006059A9">
        <w:trPr>
          <w:trHeight w:val="284"/>
        </w:trPr>
        <w:tc>
          <w:tcPr>
            <w:tcW w:w="1900" w:type="dxa"/>
            <w:hideMark/>
          </w:tcPr>
          <w:p w14:paraId="7C8D9310"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Peninsula Health</w:t>
            </w:r>
          </w:p>
        </w:tc>
        <w:tc>
          <w:tcPr>
            <w:tcW w:w="1457" w:type="dxa"/>
            <w:noWrap/>
            <w:hideMark/>
          </w:tcPr>
          <w:p w14:paraId="5E4FBFD3"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70,191</w:t>
            </w:r>
          </w:p>
        </w:tc>
        <w:tc>
          <w:tcPr>
            <w:tcW w:w="1457" w:type="dxa"/>
            <w:gridSpan w:val="2"/>
            <w:noWrap/>
            <w:hideMark/>
          </w:tcPr>
          <w:p w14:paraId="347EFAF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16,845</w:t>
            </w:r>
          </w:p>
        </w:tc>
        <w:tc>
          <w:tcPr>
            <w:tcW w:w="1457" w:type="dxa"/>
            <w:noWrap/>
            <w:hideMark/>
          </w:tcPr>
          <w:p w14:paraId="066E8C2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5A02A2E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38,644</w:t>
            </w:r>
          </w:p>
        </w:tc>
        <w:tc>
          <w:tcPr>
            <w:tcW w:w="1458" w:type="dxa"/>
            <w:noWrap/>
            <w:hideMark/>
          </w:tcPr>
          <w:p w14:paraId="322F8A3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1,884</w:t>
            </w:r>
          </w:p>
        </w:tc>
        <w:tc>
          <w:tcPr>
            <w:tcW w:w="1457" w:type="dxa"/>
            <w:noWrap/>
            <w:hideMark/>
          </w:tcPr>
          <w:p w14:paraId="64D6898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1,355</w:t>
            </w:r>
          </w:p>
        </w:tc>
        <w:tc>
          <w:tcPr>
            <w:tcW w:w="1457" w:type="dxa"/>
            <w:noWrap/>
            <w:hideMark/>
          </w:tcPr>
          <w:p w14:paraId="1567755C"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6,128</w:t>
            </w:r>
          </w:p>
        </w:tc>
        <w:tc>
          <w:tcPr>
            <w:tcW w:w="1457" w:type="dxa"/>
            <w:noWrap/>
            <w:hideMark/>
          </w:tcPr>
          <w:p w14:paraId="3D0E186C"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8,946</w:t>
            </w:r>
          </w:p>
        </w:tc>
        <w:tc>
          <w:tcPr>
            <w:tcW w:w="1463" w:type="dxa"/>
            <w:noWrap/>
            <w:hideMark/>
          </w:tcPr>
          <w:p w14:paraId="60CBC472"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73,803</w:t>
            </w:r>
          </w:p>
        </w:tc>
      </w:tr>
      <w:tr w:rsidR="00DA5C94" w:rsidRPr="00CD0974" w14:paraId="66BEBE4A" w14:textId="77777777" w:rsidTr="006059A9">
        <w:trPr>
          <w:trHeight w:val="284"/>
        </w:trPr>
        <w:tc>
          <w:tcPr>
            <w:tcW w:w="1900" w:type="dxa"/>
            <w:hideMark/>
          </w:tcPr>
          <w:p w14:paraId="11E7C8E0" w14:textId="375BEE91"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Peter Mac</w:t>
            </w:r>
            <w:r w:rsidR="00DA5C94">
              <w:rPr>
                <w:rFonts w:cs="Arial"/>
                <w:color w:val="000000"/>
                <w:sz w:val="16"/>
                <w:szCs w:val="16"/>
                <w:lang w:eastAsia="en-AU"/>
              </w:rPr>
              <w:t>C</w:t>
            </w:r>
            <w:r w:rsidRPr="00CD0974">
              <w:rPr>
                <w:rFonts w:cs="Arial"/>
                <w:color w:val="000000"/>
                <w:sz w:val="16"/>
                <w:szCs w:val="16"/>
                <w:lang w:eastAsia="en-AU"/>
              </w:rPr>
              <w:t>allum Cancer Institute</w:t>
            </w:r>
          </w:p>
        </w:tc>
        <w:tc>
          <w:tcPr>
            <w:tcW w:w="1457" w:type="dxa"/>
            <w:noWrap/>
            <w:hideMark/>
          </w:tcPr>
          <w:p w14:paraId="0411F21A"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277</w:t>
            </w:r>
          </w:p>
        </w:tc>
        <w:tc>
          <w:tcPr>
            <w:tcW w:w="1457" w:type="dxa"/>
            <w:gridSpan w:val="2"/>
            <w:noWrap/>
            <w:hideMark/>
          </w:tcPr>
          <w:p w14:paraId="3F816FD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3AB6A6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421D1A0D"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8" w:type="dxa"/>
            <w:noWrap/>
            <w:hideMark/>
          </w:tcPr>
          <w:p w14:paraId="717D468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E069E4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0EF2D45A"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287</w:t>
            </w:r>
          </w:p>
        </w:tc>
        <w:tc>
          <w:tcPr>
            <w:tcW w:w="1457" w:type="dxa"/>
            <w:noWrap/>
            <w:hideMark/>
          </w:tcPr>
          <w:p w14:paraId="14C929FC"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63" w:type="dxa"/>
            <w:noWrap/>
            <w:hideMark/>
          </w:tcPr>
          <w:p w14:paraId="045C5F40"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287</w:t>
            </w:r>
          </w:p>
        </w:tc>
      </w:tr>
      <w:tr w:rsidR="00DA5C94" w:rsidRPr="00CD0974" w14:paraId="0280CDE1" w14:textId="77777777" w:rsidTr="006059A9">
        <w:trPr>
          <w:trHeight w:val="284"/>
        </w:trPr>
        <w:tc>
          <w:tcPr>
            <w:tcW w:w="1900" w:type="dxa"/>
            <w:hideMark/>
          </w:tcPr>
          <w:p w14:paraId="3E9704E2"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Royal Victorian Eye &amp; Ear Hospital</w:t>
            </w:r>
          </w:p>
        </w:tc>
        <w:tc>
          <w:tcPr>
            <w:tcW w:w="1457" w:type="dxa"/>
            <w:noWrap/>
            <w:hideMark/>
          </w:tcPr>
          <w:p w14:paraId="42A33070"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0</w:t>
            </w:r>
          </w:p>
        </w:tc>
        <w:tc>
          <w:tcPr>
            <w:tcW w:w="1457" w:type="dxa"/>
            <w:gridSpan w:val="2"/>
            <w:noWrap/>
            <w:hideMark/>
          </w:tcPr>
          <w:p w14:paraId="0986067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75B2CB8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7372B7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8" w:type="dxa"/>
            <w:noWrap/>
            <w:hideMark/>
          </w:tcPr>
          <w:p w14:paraId="4A8B9F9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9764D8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7A882C0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550EAE9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63" w:type="dxa"/>
            <w:noWrap/>
            <w:hideMark/>
          </w:tcPr>
          <w:p w14:paraId="2F4B9ADD"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0</w:t>
            </w:r>
          </w:p>
        </w:tc>
      </w:tr>
      <w:tr w:rsidR="00DA5C94" w:rsidRPr="00CD0974" w14:paraId="53198777" w14:textId="77777777" w:rsidTr="006059A9">
        <w:trPr>
          <w:trHeight w:val="284"/>
        </w:trPr>
        <w:tc>
          <w:tcPr>
            <w:tcW w:w="1900" w:type="dxa"/>
            <w:hideMark/>
          </w:tcPr>
          <w:p w14:paraId="2266F00E" w14:textId="58636ACC"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St Vincent</w:t>
            </w:r>
            <w:r>
              <w:rPr>
                <w:rFonts w:cs="Arial"/>
                <w:color w:val="000000"/>
                <w:sz w:val="16"/>
                <w:szCs w:val="16"/>
                <w:lang w:eastAsia="en-AU"/>
              </w:rPr>
              <w:t>’</w:t>
            </w:r>
            <w:r w:rsidRPr="00CD0974">
              <w:rPr>
                <w:rFonts w:cs="Arial"/>
                <w:color w:val="000000"/>
                <w:sz w:val="16"/>
                <w:szCs w:val="16"/>
                <w:lang w:eastAsia="en-AU"/>
              </w:rPr>
              <w:t>s Hospital Melbourne Limited</w:t>
            </w:r>
          </w:p>
        </w:tc>
        <w:tc>
          <w:tcPr>
            <w:tcW w:w="1457" w:type="dxa"/>
            <w:noWrap/>
            <w:hideMark/>
          </w:tcPr>
          <w:p w14:paraId="62140F38"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81,572</w:t>
            </w:r>
          </w:p>
        </w:tc>
        <w:tc>
          <w:tcPr>
            <w:tcW w:w="1457" w:type="dxa"/>
            <w:gridSpan w:val="2"/>
            <w:noWrap/>
            <w:hideMark/>
          </w:tcPr>
          <w:p w14:paraId="3698C8C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24,751</w:t>
            </w:r>
          </w:p>
        </w:tc>
        <w:tc>
          <w:tcPr>
            <w:tcW w:w="1457" w:type="dxa"/>
            <w:noWrap/>
            <w:hideMark/>
          </w:tcPr>
          <w:p w14:paraId="1E5BA10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3C3CA95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42,123</w:t>
            </w:r>
          </w:p>
        </w:tc>
        <w:tc>
          <w:tcPr>
            <w:tcW w:w="1458" w:type="dxa"/>
            <w:noWrap/>
            <w:hideMark/>
          </w:tcPr>
          <w:p w14:paraId="7E39196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1,728</w:t>
            </w:r>
          </w:p>
        </w:tc>
        <w:tc>
          <w:tcPr>
            <w:tcW w:w="1457" w:type="dxa"/>
            <w:noWrap/>
            <w:hideMark/>
          </w:tcPr>
          <w:p w14:paraId="6F8FE04D"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2,866</w:t>
            </w:r>
          </w:p>
        </w:tc>
        <w:tc>
          <w:tcPr>
            <w:tcW w:w="1457" w:type="dxa"/>
            <w:noWrap/>
            <w:hideMark/>
          </w:tcPr>
          <w:p w14:paraId="7D9CD53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7,340</w:t>
            </w:r>
          </w:p>
        </w:tc>
        <w:tc>
          <w:tcPr>
            <w:tcW w:w="1457" w:type="dxa"/>
            <w:noWrap/>
            <w:hideMark/>
          </w:tcPr>
          <w:p w14:paraId="04ABB64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6,524</w:t>
            </w:r>
          </w:p>
        </w:tc>
        <w:tc>
          <w:tcPr>
            <w:tcW w:w="1463" w:type="dxa"/>
            <w:noWrap/>
            <w:hideMark/>
          </w:tcPr>
          <w:p w14:paraId="4A7DB1C4"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85,334</w:t>
            </w:r>
          </w:p>
        </w:tc>
      </w:tr>
      <w:tr w:rsidR="00DA5C94" w:rsidRPr="00CD0974" w14:paraId="48D7FCD7" w14:textId="77777777" w:rsidTr="006059A9">
        <w:trPr>
          <w:trHeight w:val="284"/>
        </w:trPr>
        <w:tc>
          <w:tcPr>
            <w:tcW w:w="1900" w:type="dxa"/>
            <w:hideMark/>
          </w:tcPr>
          <w:p w14:paraId="156EC337" w14:textId="479E8A04"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The Royal Children</w:t>
            </w:r>
            <w:r>
              <w:rPr>
                <w:rFonts w:cs="Arial"/>
                <w:color w:val="000000"/>
                <w:sz w:val="16"/>
                <w:szCs w:val="16"/>
                <w:lang w:eastAsia="en-AU"/>
              </w:rPr>
              <w:t>’</w:t>
            </w:r>
            <w:r w:rsidRPr="00CD0974">
              <w:rPr>
                <w:rFonts w:cs="Arial"/>
                <w:color w:val="000000"/>
                <w:sz w:val="16"/>
                <w:szCs w:val="16"/>
                <w:lang w:eastAsia="en-AU"/>
              </w:rPr>
              <w:t>s Hospital</w:t>
            </w:r>
          </w:p>
        </w:tc>
        <w:tc>
          <w:tcPr>
            <w:tcW w:w="1457" w:type="dxa"/>
            <w:noWrap/>
            <w:hideMark/>
          </w:tcPr>
          <w:p w14:paraId="5543C66F"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28,357</w:t>
            </w:r>
          </w:p>
        </w:tc>
        <w:tc>
          <w:tcPr>
            <w:tcW w:w="1457" w:type="dxa"/>
            <w:gridSpan w:val="2"/>
            <w:noWrap/>
            <w:hideMark/>
          </w:tcPr>
          <w:p w14:paraId="242065A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5,648</w:t>
            </w:r>
          </w:p>
        </w:tc>
        <w:tc>
          <w:tcPr>
            <w:tcW w:w="1457" w:type="dxa"/>
            <w:noWrap/>
            <w:hideMark/>
          </w:tcPr>
          <w:p w14:paraId="09E926B1"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507E1869"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20,977</w:t>
            </w:r>
          </w:p>
        </w:tc>
        <w:tc>
          <w:tcPr>
            <w:tcW w:w="1458" w:type="dxa"/>
            <w:noWrap/>
            <w:hideMark/>
          </w:tcPr>
          <w:p w14:paraId="107B5242"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150</w:t>
            </w:r>
          </w:p>
        </w:tc>
        <w:tc>
          <w:tcPr>
            <w:tcW w:w="1457" w:type="dxa"/>
            <w:noWrap/>
            <w:hideMark/>
          </w:tcPr>
          <w:p w14:paraId="660F66D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77E9677F"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2,172</w:t>
            </w:r>
          </w:p>
        </w:tc>
        <w:tc>
          <w:tcPr>
            <w:tcW w:w="1457" w:type="dxa"/>
            <w:noWrap/>
            <w:hideMark/>
          </w:tcPr>
          <w:p w14:paraId="50347D14"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63" w:type="dxa"/>
            <w:noWrap/>
            <w:hideMark/>
          </w:tcPr>
          <w:p w14:paraId="08AF518B"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28,947</w:t>
            </w:r>
          </w:p>
        </w:tc>
      </w:tr>
      <w:tr w:rsidR="00DA5C94" w:rsidRPr="00CD0974" w14:paraId="33DF10DB" w14:textId="77777777" w:rsidTr="006059A9">
        <w:trPr>
          <w:trHeight w:val="284"/>
        </w:trPr>
        <w:tc>
          <w:tcPr>
            <w:tcW w:w="1900" w:type="dxa"/>
            <w:hideMark/>
          </w:tcPr>
          <w:p w14:paraId="210B988D" w14:textId="55282129"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The Royal Women</w:t>
            </w:r>
            <w:r>
              <w:rPr>
                <w:rFonts w:cs="Arial"/>
                <w:color w:val="000000"/>
                <w:sz w:val="16"/>
                <w:szCs w:val="16"/>
                <w:lang w:eastAsia="en-AU"/>
              </w:rPr>
              <w:t>’</w:t>
            </w:r>
            <w:r w:rsidRPr="00CD0974">
              <w:rPr>
                <w:rFonts w:cs="Arial"/>
                <w:color w:val="000000"/>
                <w:sz w:val="16"/>
                <w:szCs w:val="16"/>
                <w:lang w:eastAsia="en-AU"/>
              </w:rPr>
              <w:t>s Hospital</w:t>
            </w:r>
          </w:p>
        </w:tc>
        <w:tc>
          <w:tcPr>
            <w:tcW w:w="1457" w:type="dxa"/>
            <w:noWrap/>
            <w:hideMark/>
          </w:tcPr>
          <w:p w14:paraId="54E827E5"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835</w:t>
            </w:r>
          </w:p>
        </w:tc>
        <w:tc>
          <w:tcPr>
            <w:tcW w:w="1457" w:type="dxa"/>
            <w:gridSpan w:val="2"/>
            <w:noWrap/>
            <w:hideMark/>
          </w:tcPr>
          <w:p w14:paraId="694F71C0"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27CBD2B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51600CB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481</w:t>
            </w:r>
          </w:p>
        </w:tc>
        <w:tc>
          <w:tcPr>
            <w:tcW w:w="1458" w:type="dxa"/>
            <w:noWrap/>
            <w:hideMark/>
          </w:tcPr>
          <w:p w14:paraId="6CD414C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1F2E09C3"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44392DDE"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310</w:t>
            </w:r>
          </w:p>
        </w:tc>
        <w:tc>
          <w:tcPr>
            <w:tcW w:w="1457" w:type="dxa"/>
            <w:noWrap/>
            <w:hideMark/>
          </w:tcPr>
          <w:p w14:paraId="60A1880C"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63" w:type="dxa"/>
            <w:noWrap/>
            <w:hideMark/>
          </w:tcPr>
          <w:p w14:paraId="2FED0B81"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791</w:t>
            </w:r>
          </w:p>
        </w:tc>
      </w:tr>
      <w:tr w:rsidR="00DA5C94" w:rsidRPr="00CD0974" w14:paraId="7235FF37" w14:textId="77777777" w:rsidTr="006059A9">
        <w:trPr>
          <w:trHeight w:val="284"/>
        </w:trPr>
        <w:tc>
          <w:tcPr>
            <w:tcW w:w="1900" w:type="dxa"/>
            <w:hideMark/>
          </w:tcPr>
          <w:p w14:paraId="0F9675DB" w14:textId="77777777" w:rsidR="00CD0974" w:rsidRPr="00CD0974" w:rsidRDefault="00CD0974" w:rsidP="00CD0974">
            <w:pPr>
              <w:spacing w:after="0" w:line="240" w:lineRule="auto"/>
              <w:rPr>
                <w:rFonts w:cs="Arial"/>
                <w:color w:val="000000"/>
                <w:sz w:val="16"/>
                <w:szCs w:val="16"/>
                <w:lang w:eastAsia="en-AU"/>
              </w:rPr>
            </w:pPr>
            <w:r w:rsidRPr="00CD0974">
              <w:rPr>
                <w:rFonts w:cs="Arial"/>
                <w:color w:val="000000"/>
                <w:sz w:val="16"/>
                <w:szCs w:val="16"/>
                <w:lang w:eastAsia="en-AU"/>
              </w:rPr>
              <w:t>Western Health</w:t>
            </w:r>
          </w:p>
        </w:tc>
        <w:tc>
          <w:tcPr>
            <w:tcW w:w="1457" w:type="dxa"/>
            <w:noWrap/>
            <w:hideMark/>
          </w:tcPr>
          <w:p w14:paraId="1A34134D"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4,000</w:t>
            </w:r>
          </w:p>
        </w:tc>
        <w:tc>
          <w:tcPr>
            <w:tcW w:w="1457" w:type="dxa"/>
            <w:gridSpan w:val="2"/>
            <w:noWrap/>
            <w:hideMark/>
          </w:tcPr>
          <w:p w14:paraId="5AD5220D"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1,935</w:t>
            </w:r>
          </w:p>
        </w:tc>
        <w:tc>
          <w:tcPr>
            <w:tcW w:w="1457" w:type="dxa"/>
            <w:noWrap/>
            <w:hideMark/>
          </w:tcPr>
          <w:p w14:paraId="3D88259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2B16D5AB"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3,344</w:t>
            </w:r>
          </w:p>
        </w:tc>
        <w:tc>
          <w:tcPr>
            <w:tcW w:w="1458" w:type="dxa"/>
            <w:noWrap/>
            <w:hideMark/>
          </w:tcPr>
          <w:p w14:paraId="260FC35C"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45C669C7"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57" w:type="dxa"/>
            <w:noWrap/>
            <w:hideMark/>
          </w:tcPr>
          <w:p w14:paraId="67D4CA76"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287</w:t>
            </w:r>
          </w:p>
        </w:tc>
        <w:tc>
          <w:tcPr>
            <w:tcW w:w="1457" w:type="dxa"/>
            <w:noWrap/>
            <w:hideMark/>
          </w:tcPr>
          <w:p w14:paraId="69680288" w14:textId="77777777" w:rsidR="00CD0974" w:rsidRPr="00CD0974" w:rsidRDefault="00CD0974" w:rsidP="00CD0974">
            <w:pPr>
              <w:spacing w:after="0" w:line="240" w:lineRule="auto"/>
              <w:jc w:val="right"/>
              <w:rPr>
                <w:rFonts w:cs="Arial"/>
                <w:color w:val="000000"/>
                <w:sz w:val="16"/>
                <w:szCs w:val="16"/>
                <w:lang w:eastAsia="en-AU"/>
              </w:rPr>
            </w:pPr>
            <w:r w:rsidRPr="00CD0974">
              <w:rPr>
                <w:rFonts w:cs="Arial"/>
                <w:color w:val="000000"/>
                <w:sz w:val="16"/>
                <w:szCs w:val="16"/>
                <w:lang w:eastAsia="en-AU"/>
              </w:rPr>
              <w:t>0</w:t>
            </w:r>
          </w:p>
        </w:tc>
        <w:tc>
          <w:tcPr>
            <w:tcW w:w="1463" w:type="dxa"/>
            <w:noWrap/>
            <w:hideMark/>
          </w:tcPr>
          <w:p w14:paraId="56360A4D" w14:textId="77777777" w:rsidR="00CD0974" w:rsidRPr="00CD0974" w:rsidRDefault="00CD0974" w:rsidP="00CD0974">
            <w:pPr>
              <w:spacing w:after="0" w:line="240" w:lineRule="auto"/>
              <w:jc w:val="right"/>
              <w:rPr>
                <w:rFonts w:cs="Arial"/>
                <w:b/>
                <w:bCs/>
                <w:color w:val="000000"/>
                <w:sz w:val="16"/>
                <w:szCs w:val="16"/>
                <w:lang w:eastAsia="en-AU"/>
              </w:rPr>
            </w:pPr>
            <w:r w:rsidRPr="00CD0974">
              <w:rPr>
                <w:rFonts w:cs="Arial"/>
                <w:b/>
                <w:bCs/>
                <w:color w:val="000000"/>
                <w:sz w:val="16"/>
                <w:szCs w:val="16"/>
                <w:lang w:eastAsia="en-AU"/>
              </w:rPr>
              <w:t>5,566</w:t>
            </w:r>
          </w:p>
        </w:tc>
      </w:tr>
      <w:tr w:rsidR="00DA5C94" w:rsidRPr="00CD0974" w14:paraId="6988BF71" w14:textId="77777777" w:rsidTr="006059A9">
        <w:trPr>
          <w:trHeight w:val="284"/>
        </w:trPr>
        <w:tc>
          <w:tcPr>
            <w:tcW w:w="1900" w:type="dxa"/>
            <w:shd w:val="clear" w:color="auto" w:fill="201547"/>
            <w:noWrap/>
            <w:hideMark/>
          </w:tcPr>
          <w:p w14:paraId="1C8CD99E" w14:textId="77777777" w:rsidR="00CD0974" w:rsidRPr="00CD0974" w:rsidRDefault="00CD0974" w:rsidP="00CD0974">
            <w:pPr>
              <w:spacing w:after="0" w:line="240" w:lineRule="auto"/>
              <w:rPr>
                <w:rFonts w:cs="Arial"/>
                <w:b/>
                <w:bCs/>
                <w:color w:val="FFFFFF"/>
                <w:sz w:val="16"/>
                <w:szCs w:val="16"/>
                <w:lang w:eastAsia="en-AU"/>
              </w:rPr>
            </w:pPr>
            <w:r w:rsidRPr="00CD0974">
              <w:rPr>
                <w:rFonts w:cs="Arial"/>
                <w:b/>
                <w:bCs/>
                <w:color w:val="FFFFFF"/>
                <w:sz w:val="16"/>
                <w:szCs w:val="16"/>
                <w:lang w:eastAsia="en-AU"/>
              </w:rPr>
              <w:t>Total</w:t>
            </w:r>
          </w:p>
        </w:tc>
        <w:tc>
          <w:tcPr>
            <w:tcW w:w="1457" w:type="dxa"/>
            <w:shd w:val="clear" w:color="auto" w:fill="201547"/>
            <w:noWrap/>
            <w:hideMark/>
          </w:tcPr>
          <w:p w14:paraId="628546F5"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1,565,419</w:t>
            </w:r>
          </w:p>
        </w:tc>
        <w:tc>
          <w:tcPr>
            <w:tcW w:w="1457" w:type="dxa"/>
            <w:gridSpan w:val="2"/>
            <w:shd w:val="clear" w:color="auto" w:fill="201547"/>
            <w:noWrap/>
            <w:hideMark/>
          </w:tcPr>
          <w:p w14:paraId="2E000690"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488,811</w:t>
            </w:r>
          </w:p>
        </w:tc>
        <w:tc>
          <w:tcPr>
            <w:tcW w:w="1457" w:type="dxa"/>
            <w:shd w:val="clear" w:color="auto" w:fill="201547"/>
            <w:noWrap/>
            <w:hideMark/>
          </w:tcPr>
          <w:p w14:paraId="520888D2"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31,703</w:t>
            </w:r>
          </w:p>
        </w:tc>
        <w:tc>
          <w:tcPr>
            <w:tcW w:w="1457" w:type="dxa"/>
            <w:shd w:val="clear" w:color="auto" w:fill="201547"/>
            <w:noWrap/>
            <w:hideMark/>
          </w:tcPr>
          <w:p w14:paraId="2C75B735"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868,248</w:t>
            </w:r>
          </w:p>
        </w:tc>
        <w:tc>
          <w:tcPr>
            <w:tcW w:w="1458" w:type="dxa"/>
            <w:shd w:val="clear" w:color="auto" w:fill="201547"/>
            <w:noWrap/>
            <w:hideMark/>
          </w:tcPr>
          <w:p w14:paraId="3B023AB4"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28,363</w:t>
            </w:r>
          </w:p>
        </w:tc>
        <w:tc>
          <w:tcPr>
            <w:tcW w:w="1457" w:type="dxa"/>
            <w:shd w:val="clear" w:color="auto" w:fill="201547"/>
            <w:noWrap/>
            <w:hideMark/>
          </w:tcPr>
          <w:p w14:paraId="5F92EC0C"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20,699</w:t>
            </w:r>
          </w:p>
        </w:tc>
        <w:tc>
          <w:tcPr>
            <w:tcW w:w="1457" w:type="dxa"/>
            <w:shd w:val="clear" w:color="auto" w:fill="201547"/>
            <w:noWrap/>
            <w:hideMark/>
          </w:tcPr>
          <w:p w14:paraId="22766E57"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99,279</w:t>
            </w:r>
          </w:p>
        </w:tc>
        <w:tc>
          <w:tcPr>
            <w:tcW w:w="1457" w:type="dxa"/>
            <w:shd w:val="clear" w:color="auto" w:fill="201547"/>
            <w:noWrap/>
            <w:hideMark/>
          </w:tcPr>
          <w:p w14:paraId="3473BB40"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125,864</w:t>
            </w:r>
          </w:p>
        </w:tc>
        <w:tc>
          <w:tcPr>
            <w:tcW w:w="1463" w:type="dxa"/>
            <w:shd w:val="clear" w:color="auto" w:fill="201547"/>
            <w:noWrap/>
            <w:hideMark/>
          </w:tcPr>
          <w:p w14:paraId="56E35034" w14:textId="77777777" w:rsidR="00CD0974" w:rsidRPr="00CD0974" w:rsidRDefault="00CD0974" w:rsidP="00CD0974">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1,662,968</w:t>
            </w:r>
          </w:p>
        </w:tc>
      </w:tr>
    </w:tbl>
    <w:p w14:paraId="6619A7D9" w14:textId="77777777" w:rsidR="005D3E92" w:rsidRDefault="005D3E92" w:rsidP="00C7344B">
      <w:pPr>
        <w:pStyle w:val="Bodyaftertablefigure"/>
        <w:spacing w:line="240" w:lineRule="auto"/>
      </w:pPr>
    </w:p>
    <w:p w14:paraId="6F997CE1" w14:textId="77777777" w:rsidR="005D3E92" w:rsidRDefault="005D3E92" w:rsidP="00C7344B">
      <w:pPr>
        <w:pStyle w:val="Bodyaftertablefigure"/>
        <w:spacing w:line="240" w:lineRule="auto"/>
      </w:pPr>
    </w:p>
    <w:p w14:paraId="7A41093B" w14:textId="01492EEA" w:rsidR="004756B4" w:rsidRDefault="004756B4" w:rsidP="00C7344B">
      <w:pPr>
        <w:pStyle w:val="Bodyaftertablefigure"/>
        <w:spacing w:line="240" w:lineRule="auto"/>
      </w:pPr>
      <w:r>
        <w:lastRenderedPageBreak/>
        <w:t xml:space="preserve">Subregional and local </w:t>
      </w:r>
    </w:p>
    <w:tbl>
      <w:tblPr>
        <w:tblStyle w:val="TableGrid1"/>
        <w:tblW w:w="15021" w:type="dxa"/>
        <w:tblLayout w:type="fixed"/>
        <w:tblLook w:val="04A0" w:firstRow="1" w:lastRow="0" w:firstColumn="1" w:lastColumn="0" w:noHBand="0" w:noVBand="1"/>
      </w:tblPr>
      <w:tblGrid>
        <w:gridCol w:w="1838"/>
        <w:gridCol w:w="62"/>
        <w:gridCol w:w="1398"/>
        <w:gridCol w:w="59"/>
        <w:gridCol w:w="40"/>
        <w:gridCol w:w="1366"/>
        <w:gridCol w:w="52"/>
        <w:gridCol w:w="1413"/>
        <w:gridCol w:w="45"/>
        <w:gridCol w:w="1421"/>
        <w:gridCol w:w="37"/>
        <w:gridCol w:w="1428"/>
        <w:gridCol w:w="30"/>
        <w:gridCol w:w="1435"/>
        <w:gridCol w:w="23"/>
        <w:gridCol w:w="1443"/>
        <w:gridCol w:w="15"/>
        <w:gridCol w:w="1450"/>
        <w:gridCol w:w="8"/>
        <w:gridCol w:w="1458"/>
      </w:tblGrid>
      <w:tr w:rsidR="003A68DA" w:rsidRPr="00CD0974" w14:paraId="75BF434A" w14:textId="77777777" w:rsidTr="00906968">
        <w:trPr>
          <w:cnfStyle w:val="100000000000" w:firstRow="1" w:lastRow="0" w:firstColumn="0" w:lastColumn="0" w:oddVBand="0" w:evenVBand="0" w:oddHBand="0" w:evenHBand="0" w:firstRowFirstColumn="0" w:firstRowLastColumn="0" w:lastRowFirstColumn="0" w:lastRowLastColumn="0"/>
          <w:trHeight w:val="284"/>
        </w:trPr>
        <w:tc>
          <w:tcPr>
            <w:tcW w:w="1900" w:type="dxa"/>
            <w:gridSpan w:val="2"/>
            <w:vMerge w:val="restart"/>
            <w:hideMark/>
          </w:tcPr>
          <w:p w14:paraId="148DA17A" w14:textId="77777777" w:rsidR="003A68DA" w:rsidRPr="00CD0974" w:rsidRDefault="003A68DA" w:rsidP="00601236">
            <w:pPr>
              <w:spacing w:after="0" w:line="240" w:lineRule="auto"/>
              <w:rPr>
                <w:rFonts w:cs="Arial"/>
                <w:b/>
                <w:bCs/>
                <w:color w:val="FFFFFF"/>
                <w:sz w:val="16"/>
                <w:szCs w:val="16"/>
                <w:lang w:eastAsia="en-AU"/>
              </w:rPr>
            </w:pPr>
            <w:r w:rsidRPr="00CD0974">
              <w:rPr>
                <w:rFonts w:cs="Arial"/>
                <w:b/>
                <w:bCs/>
                <w:color w:val="FFFFFF"/>
                <w:sz w:val="16"/>
                <w:szCs w:val="16"/>
                <w:lang w:eastAsia="en-AU"/>
              </w:rPr>
              <w:t>Health Services</w:t>
            </w:r>
          </w:p>
        </w:tc>
        <w:tc>
          <w:tcPr>
            <w:tcW w:w="1497" w:type="dxa"/>
            <w:gridSpan w:val="3"/>
            <w:hideMark/>
          </w:tcPr>
          <w:p w14:paraId="1878914D" w14:textId="06FE917D" w:rsidR="003A68DA" w:rsidRPr="00CD0974" w:rsidRDefault="003A68DA" w:rsidP="00601236">
            <w:pPr>
              <w:spacing w:after="0" w:line="240" w:lineRule="auto"/>
              <w:jc w:val="center"/>
              <w:rPr>
                <w:rFonts w:cs="Arial"/>
                <w:b/>
                <w:bCs/>
                <w:color w:val="FFFFFF"/>
                <w:sz w:val="16"/>
                <w:szCs w:val="16"/>
                <w:lang w:eastAsia="en-AU"/>
              </w:rPr>
            </w:pPr>
            <w:r w:rsidRPr="00CD0974">
              <w:rPr>
                <w:rFonts w:cs="Arial"/>
                <w:b/>
                <w:bCs/>
                <w:color w:val="FFFFFF"/>
                <w:sz w:val="16"/>
                <w:szCs w:val="16"/>
                <w:lang w:eastAsia="en-AU"/>
              </w:rPr>
              <w:t>2021</w:t>
            </w:r>
            <w:r w:rsidR="002F204E" w:rsidRPr="005353E5">
              <w:rPr>
                <w:rFonts w:cs="Arial"/>
                <w:b/>
                <w:bCs/>
                <w:color w:val="FFFFFF"/>
                <w:sz w:val="16"/>
                <w:szCs w:val="16"/>
                <w:lang w:eastAsia="en-AU"/>
              </w:rPr>
              <w:t>–</w:t>
            </w:r>
            <w:r w:rsidRPr="00CD0974">
              <w:rPr>
                <w:rFonts w:cs="Arial"/>
                <w:b/>
                <w:bCs/>
                <w:color w:val="FFFFFF"/>
                <w:sz w:val="16"/>
                <w:szCs w:val="16"/>
                <w:lang w:eastAsia="en-AU"/>
              </w:rPr>
              <w:t>2022</w:t>
            </w:r>
          </w:p>
        </w:tc>
        <w:tc>
          <w:tcPr>
            <w:tcW w:w="11624" w:type="dxa"/>
            <w:gridSpan w:val="15"/>
            <w:hideMark/>
          </w:tcPr>
          <w:p w14:paraId="646AF17D" w14:textId="0F4E3F23" w:rsidR="003A68DA" w:rsidRPr="00CD0974" w:rsidRDefault="003A68DA" w:rsidP="00601236">
            <w:pPr>
              <w:spacing w:after="0" w:line="240" w:lineRule="auto"/>
              <w:jc w:val="center"/>
              <w:rPr>
                <w:rFonts w:cs="Arial"/>
                <w:b/>
                <w:bCs/>
                <w:color w:val="FFFFFF"/>
                <w:sz w:val="16"/>
                <w:szCs w:val="16"/>
                <w:lang w:eastAsia="en-AU"/>
              </w:rPr>
            </w:pPr>
            <w:r w:rsidRPr="00CD0974">
              <w:rPr>
                <w:rFonts w:cs="Arial"/>
                <w:b/>
                <w:bCs/>
                <w:color w:val="FFFFFF"/>
                <w:sz w:val="16"/>
                <w:szCs w:val="16"/>
                <w:lang w:eastAsia="en-AU"/>
              </w:rPr>
              <w:t>2022</w:t>
            </w:r>
            <w:r w:rsidR="002F204E" w:rsidRPr="005353E5">
              <w:rPr>
                <w:rFonts w:cs="Arial"/>
                <w:b/>
                <w:bCs/>
                <w:color w:val="FFFFFF"/>
                <w:sz w:val="16"/>
                <w:szCs w:val="16"/>
                <w:lang w:eastAsia="en-AU"/>
              </w:rPr>
              <w:t>–</w:t>
            </w:r>
            <w:r w:rsidRPr="00CD0974">
              <w:rPr>
                <w:rFonts w:cs="Arial"/>
                <w:b/>
                <w:bCs/>
                <w:color w:val="FFFFFF"/>
                <w:sz w:val="16"/>
                <w:szCs w:val="16"/>
                <w:lang w:eastAsia="en-AU"/>
              </w:rPr>
              <w:t>202</w:t>
            </w:r>
            <w:r w:rsidR="002F204E">
              <w:rPr>
                <w:rFonts w:cs="Arial"/>
                <w:b/>
                <w:bCs/>
                <w:color w:val="FFFFFF"/>
                <w:sz w:val="16"/>
                <w:szCs w:val="16"/>
                <w:lang w:eastAsia="en-AU"/>
              </w:rPr>
              <w:t>3</w:t>
            </w:r>
          </w:p>
        </w:tc>
      </w:tr>
      <w:tr w:rsidR="003A68DA" w:rsidRPr="00CD0974" w14:paraId="12BA5325" w14:textId="77777777" w:rsidTr="00906968">
        <w:trPr>
          <w:trHeight w:val="284"/>
        </w:trPr>
        <w:tc>
          <w:tcPr>
            <w:tcW w:w="1900" w:type="dxa"/>
            <w:gridSpan w:val="2"/>
            <w:vMerge/>
            <w:hideMark/>
          </w:tcPr>
          <w:p w14:paraId="458569E4" w14:textId="77777777" w:rsidR="003A68DA" w:rsidRPr="00CD0974" w:rsidRDefault="003A68DA" w:rsidP="00601236">
            <w:pPr>
              <w:spacing w:after="0" w:line="240" w:lineRule="auto"/>
              <w:rPr>
                <w:rFonts w:cs="Arial"/>
                <w:b/>
                <w:bCs/>
                <w:color w:val="FFFFFF"/>
                <w:sz w:val="16"/>
                <w:szCs w:val="16"/>
                <w:lang w:eastAsia="en-AU"/>
              </w:rPr>
            </w:pPr>
          </w:p>
        </w:tc>
        <w:tc>
          <w:tcPr>
            <w:tcW w:w="1457" w:type="dxa"/>
            <w:gridSpan w:val="2"/>
            <w:shd w:val="clear" w:color="auto" w:fill="201547"/>
            <w:hideMark/>
          </w:tcPr>
          <w:p w14:paraId="2A3C1AFC"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 xml:space="preserve"> Total</w:t>
            </w:r>
          </w:p>
        </w:tc>
        <w:tc>
          <w:tcPr>
            <w:tcW w:w="1458" w:type="dxa"/>
            <w:gridSpan w:val="3"/>
            <w:shd w:val="clear" w:color="auto" w:fill="201547"/>
            <w:hideMark/>
          </w:tcPr>
          <w:p w14:paraId="5EE3F024"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 xml:space="preserve"> Acute</w:t>
            </w:r>
          </w:p>
        </w:tc>
        <w:tc>
          <w:tcPr>
            <w:tcW w:w="1458" w:type="dxa"/>
            <w:gridSpan w:val="2"/>
            <w:shd w:val="clear" w:color="auto" w:fill="201547"/>
            <w:hideMark/>
          </w:tcPr>
          <w:p w14:paraId="69807090"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 xml:space="preserve"> Non Acute</w:t>
            </w:r>
          </w:p>
        </w:tc>
        <w:tc>
          <w:tcPr>
            <w:tcW w:w="1458" w:type="dxa"/>
            <w:gridSpan w:val="2"/>
            <w:shd w:val="clear" w:color="auto" w:fill="201547"/>
            <w:hideMark/>
          </w:tcPr>
          <w:p w14:paraId="7F6B3C32"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Ambulatory</w:t>
            </w:r>
          </w:p>
        </w:tc>
        <w:tc>
          <w:tcPr>
            <w:tcW w:w="1458" w:type="dxa"/>
            <w:gridSpan w:val="2"/>
            <w:shd w:val="clear" w:color="auto" w:fill="201547"/>
            <w:hideMark/>
          </w:tcPr>
          <w:p w14:paraId="4FF13BFB"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Psychosocial Rehabilitation &amp; Support</w:t>
            </w:r>
          </w:p>
        </w:tc>
        <w:tc>
          <w:tcPr>
            <w:tcW w:w="1458" w:type="dxa"/>
            <w:gridSpan w:val="2"/>
            <w:shd w:val="clear" w:color="auto" w:fill="201547"/>
            <w:hideMark/>
          </w:tcPr>
          <w:p w14:paraId="7496E2B9"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Residential</w:t>
            </w:r>
          </w:p>
        </w:tc>
        <w:tc>
          <w:tcPr>
            <w:tcW w:w="1458" w:type="dxa"/>
            <w:gridSpan w:val="2"/>
            <w:shd w:val="clear" w:color="auto" w:fill="201547"/>
            <w:hideMark/>
          </w:tcPr>
          <w:p w14:paraId="5B84CB8A"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Service System Capacity</w:t>
            </w:r>
          </w:p>
        </w:tc>
        <w:tc>
          <w:tcPr>
            <w:tcW w:w="1458" w:type="dxa"/>
            <w:gridSpan w:val="2"/>
            <w:shd w:val="clear" w:color="auto" w:fill="201547"/>
            <w:hideMark/>
          </w:tcPr>
          <w:p w14:paraId="1081628C" w14:textId="273CF785" w:rsidR="003A68DA" w:rsidRPr="00CD0974" w:rsidRDefault="00B24F8E"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Sub-Acute</w:t>
            </w:r>
          </w:p>
        </w:tc>
        <w:tc>
          <w:tcPr>
            <w:tcW w:w="1458" w:type="dxa"/>
            <w:shd w:val="clear" w:color="auto" w:fill="201547"/>
            <w:hideMark/>
          </w:tcPr>
          <w:p w14:paraId="4EAE6089"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Total</w:t>
            </w:r>
          </w:p>
        </w:tc>
      </w:tr>
      <w:tr w:rsidR="003A68DA" w:rsidRPr="00CD0974" w14:paraId="0C29F737" w14:textId="77777777" w:rsidTr="00906968">
        <w:trPr>
          <w:trHeight w:val="284"/>
        </w:trPr>
        <w:tc>
          <w:tcPr>
            <w:tcW w:w="1900" w:type="dxa"/>
            <w:gridSpan w:val="2"/>
            <w:vMerge/>
            <w:hideMark/>
          </w:tcPr>
          <w:p w14:paraId="11147116" w14:textId="77777777" w:rsidR="003A68DA" w:rsidRPr="00CD0974" w:rsidRDefault="003A68DA" w:rsidP="00601236">
            <w:pPr>
              <w:spacing w:after="0" w:line="240" w:lineRule="auto"/>
              <w:rPr>
                <w:rFonts w:cs="Arial"/>
                <w:b/>
                <w:bCs/>
                <w:color w:val="FFFFFF"/>
                <w:sz w:val="16"/>
                <w:szCs w:val="16"/>
                <w:lang w:eastAsia="en-AU"/>
              </w:rPr>
            </w:pPr>
          </w:p>
        </w:tc>
        <w:tc>
          <w:tcPr>
            <w:tcW w:w="1457" w:type="dxa"/>
            <w:gridSpan w:val="2"/>
            <w:shd w:val="clear" w:color="auto" w:fill="201547"/>
            <w:hideMark/>
          </w:tcPr>
          <w:p w14:paraId="584306C6"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gridSpan w:val="3"/>
            <w:shd w:val="clear" w:color="auto" w:fill="201547"/>
            <w:hideMark/>
          </w:tcPr>
          <w:p w14:paraId="1E67B319"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gridSpan w:val="2"/>
            <w:shd w:val="clear" w:color="auto" w:fill="201547"/>
            <w:hideMark/>
          </w:tcPr>
          <w:p w14:paraId="0B4E7F68"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gridSpan w:val="2"/>
            <w:shd w:val="clear" w:color="auto" w:fill="201547"/>
            <w:hideMark/>
          </w:tcPr>
          <w:p w14:paraId="5D7A6A88"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gridSpan w:val="2"/>
            <w:shd w:val="clear" w:color="auto" w:fill="201547"/>
            <w:hideMark/>
          </w:tcPr>
          <w:p w14:paraId="3C55D4A0"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gridSpan w:val="2"/>
            <w:shd w:val="clear" w:color="auto" w:fill="201547"/>
            <w:hideMark/>
          </w:tcPr>
          <w:p w14:paraId="43CAC335"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gridSpan w:val="2"/>
            <w:shd w:val="clear" w:color="auto" w:fill="201547"/>
            <w:hideMark/>
          </w:tcPr>
          <w:p w14:paraId="54AFB43A"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gridSpan w:val="2"/>
            <w:shd w:val="clear" w:color="auto" w:fill="201547"/>
            <w:hideMark/>
          </w:tcPr>
          <w:p w14:paraId="73A1E517"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c>
          <w:tcPr>
            <w:tcW w:w="1458" w:type="dxa"/>
            <w:shd w:val="clear" w:color="auto" w:fill="201547"/>
            <w:hideMark/>
          </w:tcPr>
          <w:p w14:paraId="24DEA343" w14:textId="77777777" w:rsidR="003A68DA" w:rsidRPr="00CD0974" w:rsidRDefault="003A68DA" w:rsidP="00601236">
            <w:pPr>
              <w:spacing w:after="0" w:line="240" w:lineRule="auto"/>
              <w:jc w:val="right"/>
              <w:rPr>
                <w:rFonts w:cs="Arial"/>
                <w:b/>
                <w:bCs/>
                <w:color w:val="FFFFFF"/>
                <w:sz w:val="16"/>
                <w:szCs w:val="16"/>
                <w:lang w:eastAsia="en-AU"/>
              </w:rPr>
            </w:pPr>
            <w:r w:rsidRPr="00CD0974">
              <w:rPr>
                <w:rFonts w:cs="Arial"/>
                <w:b/>
                <w:bCs/>
                <w:color w:val="FFFFFF"/>
                <w:sz w:val="16"/>
                <w:szCs w:val="16"/>
                <w:lang w:eastAsia="en-AU"/>
              </w:rPr>
              <w:t>$'000s</w:t>
            </w:r>
          </w:p>
        </w:tc>
      </w:tr>
      <w:tr w:rsidR="00F966B5" w:rsidRPr="00F966B5" w14:paraId="2028CE7C" w14:textId="77777777" w:rsidTr="00906968">
        <w:trPr>
          <w:trHeight w:val="284"/>
        </w:trPr>
        <w:tc>
          <w:tcPr>
            <w:tcW w:w="1838" w:type="dxa"/>
            <w:hideMark/>
          </w:tcPr>
          <w:p w14:paraId="474DFF7C" w14:textId="77777777" w:rsidR="00F966B5" w:rsidRPr="00F966B5" w:rsidRDefault="00F966B5" w:rsidP="00F966B5">
            <w:pPr>
              <w:spacing w:after="0" w:line="240" w:lineRule="auto"/>
              <w:rPr>
                <w:rFonts w:cs="Arial"/>
                <w:color w:val="000000"/>
                <w:sz w:val="16"/>
                <w:szCs w:val="16"/>
                <w:lang w:eastAsia="en-AU"/>
              </w:rPr>
            </w:pPr>
            <w:r w:rsidRPr="00F966B5">
              <w:rPr>
                <w:rFonts w:cs="Arial"/>
                <w:color w:val="000000"/>
                <w:sz w:val="16"/>
                <w:szCs w:val="16"/>
                <w:lang w:eastAsia="en-AU"/>
              </w:rPr>
              <w:t>Mildura Base Public Hospital</w:t>
            </w:r>
          </w:p>
        </w:tc>
        <w:tc>
          <w:tcPr>
            <w:tcW w:w="1460" w:type="dxa"/>
            <w:gridSpan w:val="2"/>
            <w:noWrap/>
            <w:hideMark/>
          </w:tcPr>
          <w:p w14:paraId="164F0E5E" w14:textId="77777777" w:rsidR="00F966B5" w:rsidRPr="00F966B5" w:rsidRDefault="00F966B5" w:rsidP="00F966B5">
            <w:pPr>
              <w:spacing w:after="0" w:line="240" w:lineRule="auto"/>
              <w:jc w:val="right"/>
              <w:rPr>
                <w:rFonts w:cs="Arial"/>
                <w:b/>
                <w:bCs/>
                <w:color w:val="000000"/>
                <w:sz w:val="16"/>
                <w:szCs w:val="16"/>
                <w:lang w:eastAsia="en-AU"/>
              </w:rPr>
            </w:pPr>
            <w:r w:rsidRPr="00F966B5">
              <w:rPr>
                <w:rFonts w:cs="Arial"/>
                <w:b/>
                <w:bCs/>
                <w:color w:val="000000"/>
                <w:sz w:val="16"/>
                <w:szCs w:val="16"/>
                <w:lang w:eastAsia="en-AU"/>
              </w:rPr>
              <w:t>24,588</w:t>
            </w:r>
          </w:p>
        </w:tc>
        <w:tc>
          <w:tcPr>
            <w:tcW w:w="1465" w:type="dxa"/>
            <w:gridSpan w:val="3"/>
            <w:noWrap/>
            <w:hideMark/>
          </w:tcPr>
          <w:p w14:paraId="71E6E936"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4,515</w:t>
            </w:r>
          </w:p>
        </w:tc>
        <w:tc>
          <w:tcPr>
            <w:tcW w:w="1465" w:type="dxa"/>
            <w:gridSpan w:val="2"/>
            <w:noWrap/>
            <w:hideMark/>
          </w:tcPr>
          <w:p w14:paraId="428DBE3E"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6" w:type="dxa"/>
            <w:gridSpan w:val="2"/>
            <w:noWrap/>
            <w:hideMark/>
          </w:tcPr>
          <w:p w14:paraId="52C833A7"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14,526</w:t>
            </w:r>
          </w:p>
        </w:tc>
        <w:tc>
          <w:tcPr>
            <w:tcW w:w="1465" w:type="dxa"/>
            <w:gridSpan w:val="2"/>
            <w:noWrap/>
            <w:hideMark/>
          </w:tcPr>
          <w:p w14:paraId="6572736B"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1,297</w:t>
            </w:r>
          </w:p>
        </w:tc>
        <w:tc>
          <w:tcPr>
            <w:tcW w:w="1465" w:type="dxa"/>
            <w:gridSpan w:val="2"/>
            <w:noWrap/>
            <w:hideMark/>
          </w:tcPr>
          <w:p w14:paraId="72C2C355"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6" w:type="dxa"/>
            <w:gridSpan w:val="2"/>
            <w:noWrap/>
            <w:hideMark/>
          </w:tcPr>
          <w:p w14:paraId="34CC9090"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2,942</w:t>
            </w:r>
          </w:p>
        </w:tc>
        <w:tc>
          <w:tcPr>
            <w:tcW w:w="1465" w:type="dxa"/>
            <w:gridSpan w:val="2"/>
            <w:noWrap/>
            <w:hideMark/>
          </w:tcPr>
          <w:p w14:paraId="26D2A162"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2,029</w:t>
            </w:r>
          </w:p>
        </w:tc>
        <w:tc>
          <w:tcPr>
            <w:tcW w:w="1466" w:type="dxa"/>
            <w:gridSpan w:val="2"/>
            <w:noWrap/>
            <w:hideMark/>
          </w:tcPr>
          <w:p w14:paraId="7985E17F" w14:textId="77777777" w:rsidR="00F966B5" w:rsidRPr="00F966B5" w:rsidRDefault="00F966B5" w:rsidP="00F966B5">
            <w:pPr>
              <w:spacing w:after="0" w:line="240" w:lineRule="auto"/>
              <w:jc w:val="right"/>
              <w:rPr>
                <w:rFonts w:cs="Arial"/>
                <w:b/>
                <w:bCs/>
                <w:color w:val="000000"/>
                <w:sz w:val="16"/>
                <w:szCs w:val="16"/>
                <w:lang w:eastAsia="en-AU"/>
              </w:rPr>
            </w:pPr>
            <w:r w:rsidRPr="00F966B5">
              <w:rPr>
                <w:rFonts w:cs="Arial"/>
                <w:b/>
                <w:bCs/>
                <w:color w:val="000000"/>
                <w:sz w:val="16"/>
                <w:szCs w:val="16"/>
                <w:lang w:eastAsia="en-AU"/>
              </w:rPr>
              <w:t>25,309</w:t>
            </w:r>
          </w:p>
        </w:tc>
      </w:tr>
      <w:tr w:rsidR="00F966B5" w:rsidRPr="00F966B5" w14:paraId="1FA4A470" w14:textId="77777777" w:rsidTr="00906968">
        <w:trPr>
          <w:trHeight w:val="284"/>
        </w:trPr>
        <w:tc>
          <w:tcPr>
            <w:tcW w:w="1838" w:type="dxa"/>
            <w:hideMark/>
          </w:tcPr>
          <w:p w14:paraId="58861C93" w14:textId="77777777" w:rsidR="00F966B5" w:rsidRPr="00F966B5" w:rsidRDefault="00F966B5" w:rsidP="00F966B5">
            <w:pPr>
              <w:spacing w:after="0" w:line="240" w:lineRule="auto"/>
              <w:rPr>
                <w:rFonts w:cs="Arial"/>
                <w:color w:val="000000"/>
                <w:sz w:val="16"/>
                <w:szCs w:val="16"/>
                <w:lang w:eastAsia="en-AU"/>
              </w:rPr>
            </w:pPr>
            <w:r w:rsidRPr="00F966B5">
              <w:rPr>
                <w:rFonts w:cs="Arial"/>
                <w:color w:val="000000"/>
                <w:sz w:val="16"/>
                <w:szCs w:val="16"/>
                <w:lang w:eastAsia="en-AU"/>
              </w:rPr>
              <w:t>South West Healthcare</w:t>
            </w:r>
          </w:p>
        </w:tc>
        <w:tc>
          <w:tcPr>
            <w:tcW w:w="1460" w:type="dxa"/>
            <w:gridSpan w:val="2"/>
            <w:noWrap/>
            <w:hideMark/>
          </w:tcPr>
          <w:p w14:paraId="2C030FB7" w14:textId="77777777" w:rsidR="00F966B5" w:rsidRPr="00F966B5" w:rsidRDefault="00F966B5" w:rsidP="00F966B5">
            <w:pPr>
              <w:spacing w:after="0" w:line="240" w:lineRule="auto"/>
              <w:jc w:val="right"/>
              <w:rPr>
                <w:rFonts w:cs="Arial"/>
                <w:b/>
                <w:bCs/>
                <w:color w:val="000000"/>
                <w:sz w:val="16"/>
                <w:szCs w:val="16"/>
                <w:lang w:eastAsia="en-AU"/>
              </w:rPr>
            </w:pPr>
            <w:r w:rsidRPr="00F966B5">
              <w:rPr>
                <w:rFonts w:cs="Arial"/>
                <w:b/>
                <w:bCs/>
                <w:color w:val="000000"/>
                <w:sz w:val="16"/>
                <w:szCs w:val="16"/>
                <w:lang w:eastAsia="en-AU"/>
              </w:rPr>
              <w:t>32,257</w:t>
            </w:r>
          </w:p>
        </w:tc>
        <w:tc>
          <w:tcPr>
            <w:tcW w:w="1465" w:type="dxa"/>
            <w:gridSpan w:val="3"/>
            <w:noWrap/>
            <w:hideMark/>
          </w:tcPr>
          <w:p w14:paraId="0C7EB0EE"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6,772</w:t>
            </w:r>
          </w:p>
        </w:tc>
        <w:tc>
          <w:tcPr>
            <w:tcW w:w="1465" w:type="dxa"/>
            <w:gridSpan w:val="2"/>
            <w:noWrap/>
            <w:hideMark/>
          </w:tcPr>
          <w:p w14:paraId="73565EF1"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6" w:type="dxa"/>
            <w:gridSpan w:val="2"/>
            <w:noWrap/>
            <w:hideMark/>
          </w:tcPr>
          <w:p w14:paraId="53854480"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19,316</w:t>
            </w:r>
          </w:p>
        </w:tc>
        <w:tc>
          <w:tcPr>
            <w:tcW w:w="1465" w:type="dxa"/>
            <w:gridSpan w:val="2"/>
            <w:noWrap/>
            <w:hideMark/>
          </w:tcPr>
          <w:p w14:paraId="3AA1D391"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1,086</w:t>
            </w:r>
          </w:p>
        </w:tc>
        <w:tc>
          <w:tcPr>
            <w:tcW w:w="1465" w:type="dxa"/>
            <w:gridSpan w:val="2"/>
            <w:noWrap/>
            <w:hideMark/>
          </w:tcPr>
          <w:p w14:paraId="6D3E3F2F"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6" w:type="dxa"/>
            <w:gridSpan w:val="2"/>
            <w:noWrap/>
            <w:hideMark/>
          </w:tcPr>
          <w:p w14:paraId="080AE24B"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4,261</w:t>
            </w:r>
          </w:p>
        </w:tc>
        <w:tc>
          <w:tcPr>
            <w:tcW w:w="1465" w:type="dxa"/>
            <w:gridSpan w:val="2"/>
            <w:noWrap/>
            <w:hideMark/>
          </w:tcPr>
          <w:p w14:paraId="2498003C"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3,043</w:t>
            </w:r>
          </w:p>
        </w:tc>
        <w:tc>
          <w:tcPr>
            <w:tcW w:w="1466" w:type="dxa"/>
            <w:gridSpan w:val="2"/>
            <w:noWrap/>
            <w:hideMark/>
          </w:tcPr>
          <w:p w14:paraId="764DBEFB" w14:textId="77777777" w:rsidR="00F966B5" w:rsidRPr="00F966B5" w:rsidRDefault="00F966B5" w:rsidP="00F966B5">
            <w:pPr>
              <w:spacing w:after="0" w:line="240" w:lineRule="auto"/>
              <w:jc w:val="right"/>
              <w:rPr>
                <w:rFonts w:cs="Arial"/>
                <w:b/>
                <w:bCs/>
                <w:color w:val="000000"/>
                <w:sz w:val="16"/>
                <w:szCs w:val="16"/>
                <w:lang w:eastAsia="en-AU"/>
              </w:rPr>
            </w:pPr>
            <w:r w:rsidRPr="00F966B5">
              <w:rPr>
                <w:rFonts w:cs="Arial"/>
                <w:b/>
                <w:bCs/>
                <w:color w:val="000000"/>
                <w:sz w:val="16"/>
                <w:szCs w:val="16"/>
                <w:lang w:eastAsia="en-AU"/>
              </w:rPr>
              <w:t>34,479</w:t>
            </w:r>
          </w:p>
        </w:tc>
      </w:tr>
      <w:tr w:rsidR="00F966B5" w:rsidRPr="00F966B5" w14:paraId="06E7A854" w14:textId="77777777" w:rsidTr="00906968">
        <w:trPr>
          <w:trHeight w:val="284"/>
        </w:trPr>
        <w:tc>
          <w:tcPr>
            <w:tcW w:w="1838" w:type="dxa"/>
            <w:hideMark/>
          </w:tcPr>
          <w:p w14:paraId="0A451CE8" w14:textId="77777777" w:rsidR="00F966B5" w:rsidRPr="00F966B5" w:rsidRDefault="00F966B5" w:rsidP="00F966B5">
            <w:pPr>
              <w:spacing w:after="0" w:line="240" w:lineRule="auto"/>
              <w:rPr>
                <w:rFonts w:cs="Arial"/>
                <w:color w:val="000000"/>
                <w:sz w:val="16"/>
                <w:szCs w:val="16"/>
                <w:lang w:eastAsia="en-AU"/>
              </w:rPr>
            </w:pPr>
            <w:r w:rsidRPr="00F966B5">
              <w:rPr>
                <w:rFonts w:cs="Arial"/>
                <w:color w:val="000000"/>
                <w:sz w:val="16"/>
                <w:szCs w:val="16"/>
                <w:lang w:eastAsia="en-AU"/>
              </w:rPr>
              <w:t>Western District Health Service</w:t>
            </w:r>
          </w:p>
        </w:tc>
        <w:tc>
          <w:tcPr>
            <w:tcW w:w="1460" w:type="dxa"/>
            <w:gridSpan w:val="2"/>
            <w:noWrap/>
            <w:hideMark/>
          </w:tcPr>
          <w:p w14:paraId="187296F2" w14:textId="77777777" w:rsidR="00F966B5" w:rsidRPr="00F966B5" w:rsidRDefault="00F966B5" w:rsidP="00F966B5">
            <w:pPr>
              <w:spacing w:after="0" w:line="240" w:lineRule="auto"/>
              <w:jc w:val="right"/>
              <w:rPr>
                <w:rFonts w:cs="Arial"/>
                <w:b/>
                <w:bCs/>
                <w:color w:val="000000"/>
                <w:sz w:val="16"/>
                <w:szCs w:val="16"/>
                <w:lang w:eastAsia="en-AU"/>
              </w:rPr>
            </w:pPr>
            <w:r w:rsidRPr="00F966B5">
              <w:rPr>
                <w:rFonts w:cs="Arial"/>
                <w:b/>
                <w:bCs/>
                <w:color w:val="000000"/>
                <w:sz w:val="16"/>
                <w:szCs w:val="16"/>
                <w:lang w:eastAsia="en-AU"/>
              </w:rPr>
              <w:t>116</w:t>
            </w:r>
          </w:p>
        </w:tc>
        <w:tc>
          <w:tcPr>
            <w:tcW w:w="1465" w:type="dxa"/>
            <w:gridSpan w:val="3"/>
            <w:noWrap/>
            <w:hideMark/>
          </w:tcPr>
          <w:p w14:paraId="7F159142"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5" w:type="dxa"/>
            <w:gridSpan w:val="2"/>
            <w:noWrap/>
            <w:hideMark/>
          </w:tcPr>
          <w:p w14:paraId="79729EE3"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6" w:type="dxa"/>
            <w:gridSpan w:val="2"/>
            <w:noWrap/>
            <w:hideMark/>
          </w:tcPr>
          <w:p w14:paraId="3D466BDE"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5" w:type="dxa"/>
            <w:gridSpan w:val="2"/>
            <w:noWrap/>
            <w:hideMark/>
          </w:tcPr>
          <w:p w14:paraId="51A4F1CC"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5" w:type="dxa"/>
            <w:gridSpan w:val="2"/>
            <w:noWrap/>
            <w:hideMark/>
          </w:tcPr>
          <w:p w14:paraId="3FDD0A42"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119</w:t>
            </w:r>
          </w:p>
        </w:tc>
        <w:tc>
          <w:tcPr>
            <w:tcW w:w="1466" w:type="dxa"/>
            <w:gridSpan w:val="2"/>
            <w:noWrap/>
            <w:hideMark/>
          </w:tcPr>
          <w:p w14:paraId="1DDF5614"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5" w:type="dxa"/>
            <w:gridSpan w:val="2"/>
            <w:noWrap/>
            <w:hideMark/>
          </w:tcPr>
          <w:p w14:paraId="1BF5F76A" w14:textId="77777777" w:rsidR="00F966B5" w:rsidRPr="00F966B5" w:rsidRDefault="00F966B5" w:rsidP="00F966B5">
            <w:pPr>
              <w:spacing w:after="0" w:line="240" w:lineRule="auto"/>
              <w:jc w:val="right"/>
              <w:rPr>
                <w:rFonts w:cs="Arial"/>
                <w:color w:val="000000"/>
                <w:sz w:val="16"/>
                <w:szCs w:val="16"/>
                <w:lang w:eastAsia="en-AU"/>
              </w:rPr>
            </w:pPr>
            <w:r w:rsidRPr="00F966B5">
              <w:rPr>
                <w:rFonts w:cs="Arial"/>
                <w:color w:val="000000"/>
                <w:sz w:val="16"/>
                <w:szCs w:val="16"/>
                <w:lang w:eastAsia="en-AU"/>
              </w:rPr>
              <w:t>0</w:t>
            </w:r>
          </w:p>
        </w:tc>
        <w:tc>
          <w:tcPr>
            <w:tcW w:w="1466" w:type="dxa"/>
            <w:gridSpan w:val="2"/>
            <w:noWrap/>
            <w:hideMark/>
          </w:tcPr>
          <w:p w14:paraId="46214F2F" w14:textId="77777777" w:rsidR="00F966B5" w:rsidRPr="00F966B5" w:rsidRDefault="00F966B5" w:rsidP="00F966B5">
            <w:pPr>
              <w:spacing w:after="0" w:line="240" w:lineRule="auto"/>
              <w:jc w:val="right"/>
              <w:rPr>
                <w:rFonts w:cs="Arial"/>
                <w:b/>
                <w:bCs/>
                <w:color w:val="000000"/>
                <w:sz w:val="16"/>
                <w:szCs w:val="16"/>
                <w:lang w:eastAsia="en-AU"/>
              </w:rPr>
            </w:pPr>
            <w:r w:rsidRPr="00F966B5">
              <w:rPr>
                <w:rFonts w:cs="Arial"/>
                <w:b/>
                <w:bCs/>
                <w:color w:val="000000"/>
                <w:sz w:val="16"/>
                <w:szCs w:val="16"/>
                <w:lang w:eastAsia="en-AU"/>
              </w:rPr>
              <w:t>119</w:t>
            </w:r>
          </w:p>
        </w:tc>
      </w:tr>
      <w:tr w:rsidR="00F966B5" w:rsidRPr="00F966B5" w14:paraId="323991FF" w14:textId="77777777" w:rsidTr="00906968">
        <w:trPr>
          <w:trHeight w:val="284"/>
        </w:trPr>
        <w:tc>
          <w:tcPr>
            <w:tcW w:w="1838" w:type="dxa"/>
            <w:shd w:val="clear" w:color="auto" w:fill="201547"/>
            <w:noWrap/>
            <w:hideMark/>
          </w:tcPr>
          <w:p w14:paraId="0031415D" w14:textId="77777777" w:rsidR="00F966B5" w:rsidRPr="00F966B5" w:rsidRDefault="00F966B5" w:rsidP="00F966B5">
            <w:pPr>
              <w:spacing w:after="0" w:line="240" w:lineRule="auto"/>
              <w:rPr>
                <w:rFonts w:cs="Arial"/>
                <w:b/>
                <w:bCs/>
                <w:color w:val="FFFFFF"/>
                <w:sz w:val="16"/>
                <w:szCs w:val="16"/>
                <w:lang w:eastAsia="en-AU"/>
              </w:rPr>
            </w:pPr>
            <w:r w:rsidRPr="00F966B5">
              <w:rPr>
                <w:rFonts w:cs="Arial"/>
                <w:b/>
                <w:bCs/>
                <w:color w:val="FFFFFF"/>
                <w:sz w:val="16"/>
                <w:szCs w:val="16"/>
                <w:lang w:eastAsia="en-AU"/>
              </w:rPr>
              <w:t>Total</w:t>
            </w:r>
          </w:p>
        </w:tc>
        <w:tc>
          <w:tcPr>
            <w:tcW w:w="1460" w:type="dxa"/>
            <w:gridSpan w:val="2"/>
            <w:shd w:val="clear" w:color="auto" w:fill="201547"/>
            <w:noWrap/>
            <w:hideMark/>
          </w:tcPr>
          <w:p w14:paraId="7CA52BA7"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56,961</w:t>
            </w:r>
          </w:p>
        </w:tc>
        <w:tc>
          <w:tcPr>
            <w:tcW w:w="1465" w:type="dxa"/>
            <w:gridSpan w:val="3"/>
            <w:shd w:val="clear" w:color="auto" w:fill="201547"/>
            <w:noWrap/>
            <w:hideMark/>
          </w:tcPr>
          <w:p w14:paraId="67889F93"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11,288</w:t>
            </w:r>
          </w:p>
        </w:tc>
        <w:tc>
          <w:tcPr>
            <w:tcW w:w="1465" w:type="dxa"/>
            <w:gridSpan w:val="2"/>
            <w:shd w:val="clear" w:color="auto" w:fill="201547"/>
            <w:noWrap/>
            <w:hideMark/>
          </w:tcPr>
          <w:p w14:paraId="7F5EC701"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0</w:t>
            </w:r>
          </w:p>
        </w:tc>
        <w:tc>
          <w:tcPr>
            <w:tcW w:w="1466" w:type="dxa"/>
            <w:gridSpan w:val="2"/>
            <w:shd w:val="clear" w:color="auto" w:fill="201547"/>
            <w:noWrap/>
            <w:hideMark/>
          </w:tcPr>
          <w:p w14:paraId="7205742F"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33,842</w:t>
            </w:r>
          </w:p>
        </w:tc>
        <w:tc>
          <w:tcPr>
            <w:tcW w:w="1465" w:type="dxa"/>
            <w:gridSpan w:val="2"/>
            <w:shd w:val="clear" w:color="auto" w:fill="201547"/>
            <w:noWrap/>
            <w:hideMark/>
          </w:tcPr>
          <w:p w14:paraId="564734F8"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2,383</w:t>
            </w:r>
          </w:p>
        </w:tc>
        <w:tc>
          <w:tcPr>
            <w:tcW w:w="1465" w:type="dxa"/>
            <w:gridSpan w:val="2"/>
            <w:shd w:val="clear" w:color="auto" w:fill="201547"/>
            <w:noWrap/>
            <w:hideMark/>
          </w:tcPr>
          <w:p w14:paraId="04C7FEB7"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119</w:t>
            </w:r>
          </w:p>
        </w:tc>
        <w:tc>
          <w:tcPr>
            <w:tcW w:w="1466" w:type="dxa"/>
            <w:gridSpan w:val="2"/>
            <w:shd w:val="clear" w:color="auto" w:fill="201547"/>
            <w:noWrap/>
            <w:hideMark/>
          </w:tcPr>
          <w:p w14:paraId="0783662F"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7,202</w:t>
            </w:r>
          </w:p>
        </w:tc>
        <w:tc>
          <w:tcPr>
            <w:tcW w:w="1465" w:type="dxa"/>
            <w:gridSpan w:val="2"/>
            <w:shd w:val="clear" w:color="auto" w:fill="201547"/>
            <w:noWrap/>
            <w:hideMark/>
          </w:tcPr>
          <w:p w14:paraId="56F3D949"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5,072</w:t>
            </w:r>
          </w:p>
        </w:tc>
        <w:tc>
          <w:tcPr>
            <w:tcW w:w="1466" w:type="dxa"/>
            <w:gridSpan w:val="2"/>
            <w:shd w:val="clear" w:color="auto" w:fill="201547"/>
            <w:noWrap/>
            <w:hideMark/>
          </w:tcPr>
          <w:p w14:paraId="63E3B8E8" w14:textId="77777777" w:rsidR="00F966B5" w:rsidRPr="00F966B5" w:rsidRDefault="00F966B5" w:rsidP="00F966B5">
            <w:pPr>
              <w:spacing w:after="0" w:line="240" w:lineRule="auto"/>
              <w:jc w:val="right"/>
              <w:rPr>
                <w:rFonts w:cs="Arial"/>
                <w:b/>
                <w:bCs/>
                <w:color w:val="FFFFFF"/>
                <w:sz w:val="16"/>
                <w:szCs w:val="16"/>
                <w:lang w:eastAsia="en-AU"/>
              </w:rPr>
            </w:pPr>
            <w:r w:rsidRPr="00F966B5">
              <w:rPr>
                <w:rFonts w:cs="Arial"/>
                <w:b/>
                <w:bCs/>
                <w:color w:val="FFFFFF"/>
                <w:sz w:val="16"/>
                <w:szCs w:val="16"/>
                <w:lang w:eastAsia="en-AU"/>
              </w:rPr>
              <w:t>59,906</w:t>
            </w:r>
          </w:p>
        </w:tc>
      </w:tr>
    </w:tbl>
    <w:p w14:paraId="6535DFC7" w14:textId="77777777" w:rsidR="00F966B5" w:rsidRDefault="00F966B5" w:rsidP="00F966B5">
      <w:pPr>
        <w:pStyle w:val="Body"/>
      </w:pPr>
    </w:p>
    <w:p w14:paraId="3A5F00E5" w14:textId="77777777" w:rsidR="008A2FB1" w:rsidRDefault="008A2FB1" w:rsidP="008A2FB1">
      <w:pPr>
        <w:pStyle w:val="Bodyaftertablefigure"/>
      </w:pPr>
      <w:r>
        <w:t>Small rural health</w:t>
      </w:r>
    </w:p>
    <w:tbl>
      <w:tblPr>
        <w:tblStyle w:val="TableGrid1"/>
        <w:tblW w:w="15026" w:type="dxa"/>
        <w:tblLayout w:type="fixed"/>
        <w:tblLook w:val="04A0" w:firstRow="1" w:lastRow="0" w:firstColumn="1" w:lastColumn="0" w:noHBand="0" w:noVBand="1"/>
      </w:tblPr>
      <w:tblGrid>
        <w:gridCol w:w="1843"/>
        <w:gridCol w:w="1418"/>
        <w:gridCol w:w="36"/>
        <w:gridCol w:w="1454"/>
        <w:gridCol w:w="1454"/>
        <w:gridCol w:w="1454"/>
        <w:gridCol w:w="1454"/>
        <w:gridCol w:w="1454"/>
        <w:gridCol w:w="1454"/>
        <w:gridCol w:w="1454"/>
        <w:gridCol w:w="1551"/>
      </w:tblGrid>
      <w:tr w:rsidR="009C11D8" w:rsidRPr="009C11D8" w14:paraId="5F5EC480" w14:textId="77777777" w:rsidTr="00906968">
        <w:trPr>
          <w:cnfStyle w:val="100000000000" w:firstRow="1" w:lastRow="0" w:firstColumn="0" w:lastColumn="0" w:oddVBand="0" w:evenVBand="0" w:oddHBand="0" w:evenHBand="0" w:firstRowFirstColumn="0" w:firstRowLastColumn="0" w:lastRowFirstColumn="0" w:lastRowLastColumn="0"/>
          <w:trHeight w:val="284"/>
        </w:trPr>
        <w:tc>
          <w:tcPr>
            <w:tcW w:w="1843" w:type="dxa"/>
            <w:vMerge w:val="restart"/>
            <w:hideMark/>
          </w:tcPr>
          <w:p w14:paraId="221B42AF" w14:textId="77777777" w:rsidR="009C11D8" w:rsidRPr="009C11D8" w:rsidRDefault="009C11D8" w:rsidP="009C11D8">
            <w:pPr>
              <w:spacing w:after="0" w:line="240" w:lineRule="auto"/>
              <w:rPr>
                <w:rFonts w:cs="Arial"/>
                <w:b/>
                <w:bCs/>
                <w:color w:val="FFFFFF"/>
                <w:sz w:val="16"/>
                <w:szCs w:val="16"/>
                <w:lang w:eastAsia="en-AU"/>
              </w:rPr>
            </w:pPr>
            <w:r w:rsidRPr="009C11D8">
              <w:rPr>
                <w:rFonts w:cs="Arial"/>
                <w:b/>
                <w:bCs/>
                <w:color w:val="FFFFFF"/>
                <w:sz w:val="16"/>
                <w:szCs w:val="16"/>
                <w:lang w:eastAsia="en-AU"/>
              </w:rPr>
              <w:t>Health Services</w:t>
            </w:r>
          </w:p>
        </w:tc>
        <w:tc>
          <w:tcPr>
            <w:tcW w:w="1418" w:type="dxa"/>
            <w:hideMark/>
          </w:tcPr>
          <w:p w14:paraId="0ADA06F9" w14:textId="3B652176" w:rsidR="009C11D8" w:rsidRPr="009C11D8" w:rsidRDefault="009C11D8" w:rsidP="00DF2CC4">
            <w:pPr>
              <w:spacing w:after="0" w:line="240" w:lineRule="auto"/>
              <w:jc w:val="center"/>
              <w:rPr>
                <w:rFonts w:cs="Arial"/>
                <w:b/>
                <w:bCs/>
                <w:color w:val="FFFFFF"/>
                <w:sz w:val="16"/>
                <w:szCs w:val="16"/>
                <w:lang w:eastAsia="en-AU"/>
              </w:rPr>
            </w:pPr>
            <w:r w:rsidRPr="009C11D8">
              <w:rPr>
                <w:rFonts w:cs="Arial"/>
                <w:b/>
                <w:bCs/>
                <w:color w:val="FFFFFF"/>
                <w:sz w:val="16"/>
                <w:szCs w:val="16"/>
                <w:lang w:eastAsia="en-AU"/>
              </w:rPr>
              <w:t>2021</w:t>
            </w:r>
            <w:r w:rsidR="002F204E" w:rsidRPr="005353E5">
              <w:rPr>
                <w:rFonts w:cs="Arial"/>
                <w:b/>
                <w:bCs/>
                <w:color w:val="FFFFFF"/>
                <w:sz w:val="16"/>
                <w:szCs w:val="16"/>
                <w:lang w:eastAsia="en-AU"/>
              </w:rPr>
              <w:t>–</w:t>
            </w:r>
            <w:r w:rsidRPr="009C11D8">
              <w:rPr>
                <w:rFonts w:cs="Arial"/>
                <w:b/>
                <w:bCs/>
                <w:color w:val="FFFFFF"/>
                <w:sz w:val="16"/>
                <w:szCs w:val="16"/>
                <w:lang w:eastAsia="en-AU"/>
              </w:rPr>
              <w:t>2022</w:t>
            </w:r>
          </w:p>
        </w:tc>
        <w:tc>
          <w:tcPr>
            <w:tcW w:w="11765" w:type="dxa"/>
            <w:gridSpan w:val="9"/>
            <w:hideMark/>
          </w:tcPr>
          <w:p w14:paraId="694A384D" w14:textId="7E39D785" w:rsidR="009C11D8" w:rsidRPr="009C11D8" w:rsidRDefault="009C11D8" w:rsidP="009C11D8">
            <w:pPr>
              <w:spacing w:after="0" w:line="240" w:lineRule="auto"/>
              <w:jc w:val="center"/>
              <w:rPr>
                <w:rFonts w:cs="Arial"/>
                <w:b/>
                <w:bCs/>
                <w:color w:val="FFFFFF"/>
                <w:sz w:val="16"/>
                <w:szCs w:val="16"/>
                <w:lang w:eastAsia="en-AU"/>
              </w:rPr>
            </w:pPr>
            <w:r w:rsidRPr="009C11D8">
              <w:rPr>
                <w:rFonts w:cs="Arial"/>
                <w:b/>
                <w:bCs/>
                <w:color w:val="FFFFFF"/>
                <w:sz w:val="16"/>
                <w:szCs w:val="16"/>
                <w:lang w:eastAsia="en-AU"/>
              </w:rPr>
              <w:t>2022</w:t>
            </w:r>
            <w:r w:rsidR="002F204E" w:rsidRPr="005353E5">
              <w:rPr>
                <w:rFonts w:cs="Arial"/>
                <w:b/>
                <w:bCs/>
                <w:color w:val="FFFFFF"/>
                <w:sz w:val="16"/>
                <w:szCs w:val="16"/>
                <w:lang w:eastAsia="en-AU"/>
              </w:rPr>
              <w:t>–</w:t>
            </w:r>
            <w:r w:rsidRPr="009C11D8">
              <w:rPr>
                <w:rFonts w:cs="Arial"/>
                <w:b/>
                <w:bCs/>
                <w:color w:val="FFFFFF"/>
                <w:sz w:val="16"/>
                <w:szCs w:val="16"/>
                <w:lang w:eastAsia="en-AU"/>
              </w:rPr>
              <w:t>202</w:t>
            </w:r>
            <w:r w:rsidR="002F204E">
              <w:rPr>
                <w:rFonts w:cs="Arial"/>
                <w:b/>
                <w:bCs/>
                <w:color w:val="FFFFFF"/>
                <w:sz w:val="16"/>
                <w:szCs w:val="16"/>
                <w:lang w:eastAsia="en-AU"/>
              </w:rPr>
              <w:t>3</w:t>
            </w:r>
          </w:p>
        </w:tc>
      </w:tr>
      <w:tr w:rsidR="009C11D8" w:rsidRPr="009C11D8" w14:paraId="06D29E67" w14:textId="77777777" w:rsidTr="00906968">
        <w:trPr>
          <w:trHeight w:val="427"/>
        </w:trPr>
        <w:tc>
          <w:tcPr>
            <w:tcW w:w="1843" w:type="dxa"/>
            <w:vMerge/>
            <w:hideMark/>
          </w:tcPr>
          <w:p w14:paraId="51A55D3B" w14:textId="77777777" w:rsidR="009C11D8" w:rsidRPr="009C11D8" w:rsidRDefault="009C11D8" w:rsidP="009C11D8">
            <w:pPr>
              <w:spacing w:after="0" w:line="240" w:lineRule="auto"/>
              <w:rPr>
                <w:rFonts w:cs="Arial"/>
                <w:b/>
                <w:bCs/>
                <w:color w:val="FFFFFF"/>
                <w:sz w:val="16"/>
                <w:szCs w:val="16"/>
                <w:lang w:eastAsia="en-AU"/>
              </w:rPr>
            </w:pPr>
          </w:p>
        </w:tc>
        <w:tc>
          <w:tcPr>
            <w:tcW w:w="1454" w:type="dxa"/>
            <w:gridSpan w:val="2"/>
            <w:shd w:val="clear" w:color="auto" w:fill="201547"/>
            <w:hideMark/>
          </w:tcPr>
          <w:p w14:paraId="4FF68E81"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 xml:space="preserve"> Total</w:t>
            </w:r>
          </w:p>
        </w:tc>
        <w:tc>
          <w:tcPr>
            <w:tcW w:w="1454" w:type="dxa"/>
            <w:shd w:val="clear" w:color="auto" w:fill="201547"/>
            <w:hideMark/>
          </w:tcPr>
          <w:p w14:paraId="40C5BE2F"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 xml:space="preserve"> Acute</w:t>
            </w:r>
          </w:p>
        </w:tc>
        <w:tc>
          <w:tcPr>
            <w:tcW w:w="1454" w:type="dxa"/>
            <w:shd w:val="clear" w:color="auto" w:fill="201547"/>
            <w:hideMark/>
          </w:tcPr>
          <w:p w14:paraId="7D1DEA4F"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 xml:space="preserve"> Non Acute</w:t>
            </w:r>
          </w:p>
        </w:tc>
        <w:tc>
          <w:tcPr>
            <w:tcW w:w="1454" w:type="dxa"/>
            <w:shd w:val="clear" w:color="auto" w:fill="201547"/>
            <w:hideMark/>
          </w:tcPr>
          <w:p w14:paraId="7FB2E5B6"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Ambulatory</w:t>
            </w:r>
          </w:p>
        </w:tc>
        <w:tc>
          <w:tcPr>
            <w:tcW w:w="1454" w:type="dxa"/>
            <w:shd w:val="clear" w:color="auto" w:fill="201547"/>
            <w:hideMark/>
          </w:tcPr>
          <w:p w14:paraId="0D2371A1"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Psychosocial Rehabilitation &amp; Support</w:t>
            </w:r>
          </w:p>
        </w:tc>
        <w:tc>
          <w:tcPr>
            <w:tcW w:w="1454" w:type="dxa"/>
            <w:shd w:val="clear" w:color="auto" w:fill="201547"/>
            <w:hideMark/>
          </w:tcPr>
          <w:p w14:paraId="23CAE05E"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Residential</w:t>
            </w:r>
          </w:p>
        </w:tc>
        <w:tc>
          <w:tcPr>
            <w:tcW w:w="1454" w:type="dxa"/>
            <w:shd w:val="clear" w:color="auto" w:fill="201547"/>
            <w:hideMark/>
          </w:tcPr>
          <w:p w14:paraId="390E3670"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Service System Capacity</w:t>
            </w:r>
          </w:p>
        </w:tc>
        <w:tc>
          <w:tcPr>
            <w:tcW w:w="1454" w:type="dxa"/>
            <w:shd w:val="clear" w:color="auto" w:fill="201547"/>
            <w:hideMark/>
          </w:tcPr>
          <w:p w14:paraId="714B3AAE" w14:textId="19D66BAB" w:rsidR="009C11D8" w:rsidRPr="009C11D8" w:rsidRDefault="00B24F8E"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Sub-Acute</w:t>
            </w:r>
          </w:p>
        </w:tc>
        <w:tc>
          <w:tcPr>
            <w:tcW w:w="1551" w:type="dxa"/>
            <w:shd w:val="clear" w:color="auto" w:fill="201547"/>
            <w:hideMark/>
          </w:tcPr>
          <w:p w14:paraId="6E1716CD"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Total</w:t>
            </w:r>
          </w:p>
        </w:tc>
      </w:tr>
      <w:tr w:rsidR="009C11D8" w:rsidRPr="009C11D8" w14:paraId="3BD15C5D" w14:textId="77777777" w:rsidTr="00906968">
        <w:trPr>
          <w:trHeight w:val="284"/>
        </w:trPr>
        <w:tc>
          <w:tcPr>
            <w:tcW w:w="1843" w:type="dxa"/>
            <w:vMerge/>
            <w:hideMark/>
          </w:tcPr>
          <w:p w14:paraId="5913867F" w14:textId="77777777" w:rsidR="009C11D8" w:rsidRPr="009C11D8" w:rsidRDefault="009C11D8" w:rsidP="009C11D8">
            <w:pPr>
              <w:spacing w:after="0" w:line="240" w:lineRule="auto"/>
              <w:rPr>
                <w:rFonts w:cs="Arial"/>
                <w:b/>
                <w:bCs/>
                <w:color w:val="FFFFFF"/>
                <w:sz w:val="16"/>
                <w:szCs w:val="16"/>
                <w:lang w:eastAsia="en-AU"/>
              </w:rPr>
            </w:pPr>
          </w:p>
        </w:tc>
        <w:tc>
          <w:tcPr>
            <w:tcW w:w="1454" w:type="dxa"/>
            <w:gridSpan w:val="2"/>
            <w:shd w:val="clear" w:color="auto" w:fill="201547"/>
            <w:hideMark/>
          </w:tcPr>
          <w:p w14:paraId="5D1B8F00"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454" w:type="dxa"/>
            <w:shd w:val="clear" w:color="auto" w:fill="201547"/>
            <w:hideMark/>
          </w:tcPr>
          <w:p w14:paraId="0549DD2D"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454" w:type="dxa"/>
            <w:shd w:val="clear" w:color="auto" w:fill="201547"/>
            <w:hideMark/>
          </w:tcPr>
          <w:p w14:paraId="7DB6C995"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454" w:type="dxa"/>
            <w:shd w:val="clear" w:color="auto" w:fill="201547"/>
            <w:hideMark/>
          </w:tcPr>
          <w:p w14:paraId="686048D8"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454" w:type="dxa"/>
            <w:shd w:val="clear" w:color="auto" w:fill="201547"/>
            <w:hideMark/>
          </w:tcPr>
          <w:p w14:paraId="50D78014"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454" w:type="dxa"/>
            <w:shd w:val="clear" w:color="auto" w:fill="201547"/>
            <w:hideMark/>
          </w:tcPr>
          <w:p w14:paraId="76595189"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454" w:type="dxa"/>
            <w:shd w:val="clear" w:color="auto" w:fill="201547"/>
            <w:hideMark/>
          </w:tcPr>
          <w:p w14:paraId="5B99DF8A"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454" w:type="dxa"/>
            <w:shd w:val="clear" w:color="auto" w:fill="201547"/>
            <w:hideMark/>
          </w:tcPr>
          <w:p w14:paraId="3921AB31"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c>
          <w:tcPr>
            <w:tcW w:w="1551" w:type="dxa"/>
            <w:shd w:val="clear" w:color="auto" w:fill="201547"/>
            <w:hideMark/>
          </w:tcPr>
          <w:p w14:paraId="5BB14C84"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$'000s</w:t>
            </w:r>
          </w:p>
        </w:tc>
      </w:tr>
      <w:tr w:rsidR="009C11D8" w:rsidRPr="009C11D8" w14:paraId="72BD7BF3" w14:textId="77777777" w:rsidTr="00906968">
        <w:trPr>
          <w:trHeight w:val="296"/>
        </w:trPr>
        <w:tc>
          <w:tcPr>
            <w:tcW w:w="1843" w:type="dxa"/>
            <w:hideMark/>
          </w:tcPr>
          <w:p w14:paraId="69D131A7" w14:textId="77777777" w:rsidR="009C11D8" w:rsidRPr="009C11D8" w:rsidRDefault="009C11D8" w:rsidP="009C11D8">
            <w:pPr>
              <w:spacing w:after="0" w:line="240" w:lineRule="auto"/>
              <w:rPr>
                <w:rFonts w:cs="Arial"/>
                <w:color w:val="000000"/>
                <w:sz w:val="16"/>
                <w:szCs w:val="16"/>
                <w:lang w:eastAsia="en-AU"/>
              </w:rPr>
            </w:pPr>
            <w:r w:rsidRPr="009C11D8">
              <w:rPr>
                <w:rFonts w:cs="Arial"/>
                <w:color w:val="000000"/>
                <w:sz w:val="16"/>
                <w:szCs w:val="16"/>
                <w:lang w:eastAsia="en-AU"/>
              </w:rPr>
              <w:t>West Wimmera Health Service</w:t>
            </w:r>
          </w:p>
        </w:tc>
        <w:tc>
          <w:tcPr>
            <w:tcW w:w="1454" w:type="dxa"/>
            <w:gridSpan w:val="2"/>
            <w:noWrap/>
            <w:hideMark/>
          </w:tcPr>
          <w:p w14:paraId="196AB3A7" w14:textId="77777777" w:rsidR="009C11D8" w:rsidRPr="009C11D8" w:rsidRDefault="009C11D8" w:rsidP="009C11D8">
            <w:pPr>
              <w:spacing w:after="0" w:line="240" w:lineRule="auto"/>
              <w:jc w:val="right"/>
              <w:rPr>
                <w:rFonts w:cs="Arial"/>
                <w:b/>
                <w:bCs/>
                <w:color w:val="000000"/>
                <w:sz w:val="16"/>
                <w:szCs w:val="16"/>
                <w:lang w:eastAsia="en-AU"/>
              </w:rPr>
            </w:pPr>
            <w:r w:rsidRPr="009C11D8">
              <w:rPr>
                <w:rFonts w:cs="Arial"/>
                <w:b/>
                <w:bCs/>
                <w:color w:val="000000"/>
                <w:sz w:val="16"/>
                <w:szCs w:val="16"/>
                <w:lang w:eastAsia="en-AU"/>
              </w:rPr>
              <w:t>271</w:t>
            </w:r>
          </w:p>
        </w:tc>
        <w:tc>
          <w:tcPr>
            <w:tcW w:w="1454" w:type="dxa"/>
            <w:noWrap/>
            <w:hideMark/>
          </w:tcPr>
          <w:p w14:paraId="2D7ADB4C" w14:textId="77777777" w:rsidR="009C11D8" w:rsidRPr="009C11D8" w:rsidRDefault="009C11D8" w:rsidP="009C11D8">
            <w:pPr>
              <w:spacing w:after="0" w:line="240" w:lineRule="auto"/>
              <w:jc w:val="right"/>
              <w:rPr>
                <w:rFonts w:cs="Arial"/>
                <w:color w:val="000000"/>
                <w:sz w:val="16"/>
                <w:szCs w:val="16"/>
                <w:lang w:eastAsia="en-AU"/>
              </w:rPr>
            </w:pPr>
            <w:r w:rsidRPr="009C11D8">
              <w:rPr>
                <w:rFonts w:cs="Arial"/>
                <w:color w:val="000000"/>
                <w:sz w:val="16"/>
                <w:szCs w:val="16"/>
                <w:lang w:eastAsia="en-AU"/>
              </w:rPr>
              <w:t>0</w:t>
            </w:r>
          </w:p>
        </w:tc>
        <w:tc>
          <w:tcPr>
            <w:tcW w:w="1454" w:type="dxa"/>
            <w:noWrap/>
            <w:hideMark/>
          </w:tcPr>
          <w:p w14:paraId="5D3BACFA" w14:textId="77777777" w:rsidR="009C11D8" w:rsidRPr="009C11D8" w:rsidRDefault="009C11D8" w:rsidP="009C11D8">
            <w:pPr>
              <w:spacing w:after="0" w:line="240" w:lineRule="auto"/>
              <w:jc w:val="right"/>
              <w:rPr>
                <w:rFonts w:cs="Arial"/>
                <w:color w:val="000000"/>
                <w:sz w:val="16"/>
                <w:szCs w:val="16"/>
                <w:lang w:eastAsia="en-AU"/>
              </w:rPr>
            </w:pPr>
            <w:r w:rsidRPr="009C11D8">
              <w:rPr>
                <w:rFonts w:cs="Arial"/>
                <w:color w:val="000000"/>
                <w:sz w:val="16"/>
                <w:szCs w:val="16"/>
                <w:lang w:eastAsia="en-AU"/>
              </w:rPr>
              <w:t>0</w:t>
            </w:r>
          </w:p>
        </w:tc>
        <w:tc>
          <w:tcPr>
            <w:tcW w:w="1454" w:type="dxa"/>
            <w:noWrap/>
            <w:hideMark/>
          </w:tcPr>
          <w:p w14:paraId="5567DFC4" w14:textId="77777777" w:rsidR="009C11D8" w:rsidRPr="009C11D8" w:rsidRDefault="009C11D8" w:rsidP="009C11D8">
            <w:pPr>
              <w:spacing w:after="0" w:line="240" w:lineRule="auto"/>
              <w:jc w:val="right"/>
              <w:rPr>
                <w:rFonts w:cs="Arial"/>
                <w:color w:val="000000"/>
                <w:sz w:val="16"/>
                <w:szCs w:val="16"/>
                <w:lang w:eastAsia="en-AU"/>
              </w:rPr>
            </w:pPr>
            <w:r w:rsidRPr="009C11D8">
              <w:rPr>
                <w:rFonts w:cs="Arial"/>
                <w:color w:val="000000"/>
                <w:sz w:val="16"/>
                <w:szCs w:val="16"/>
                <w:lang w:eastAsia="en-AU"/>
              </w:rPr>
              <w:t>0</w:t>
            </w:r>
          </w:p>
        </w:tc>
        <w:tc>
          <w:tcPr>
            <w:tcW w:w="1454" w:type="dxa"/>
            <w:noWrap/>
            <w:hideMark/>
          </w:tcPr>
          <w:p w14:paraId="0D004017" w14:textId="77777777" w:rsidR="009C11D8" w:rsidRPr="009C11D8" w:rsidRDefault="009C11D8" w:rsidP="009C11D8">
            <w:pPr>
              <w:spacing w:after="0" w:line="240" w:lineRule="auto"/>
              <w:jc w:val="right"/>
              <w:rPr>
                <w:rFonts w:cs="Arial"/>
                <w:color w:val="000000"/>
                <w:sz w:val="16"/>
                <w:szCs w:val="16"/>
                <w:lang w:eastAsia="en-AU"/>
              </w:rPr>
            </w:pPr>
            <w:r w:rsidRPr="009C11D8">
              <w:rPr>
                <w:rFonts w:cs="Arial"/>
                <w:color w:val="000000"/>
                <w:sz w:val="16"/>
                <w:szCs w:val="16"/>
                <w:lang w:eastAsia="en-AU"/>
              </w:rPr>
              <w:t>0</w:t>
            </w:r>
          </w:p>
        </w:tc>
        <w:tc>
          <w:tcPr>
            <w:tcW w:w="1454" w:type="dxa"/>
            <w:noWrap/>
            <w:hideMark/>
          </w:tcPr>
          <w:p w14:paraId="5DA77CAF" w14:textId="77777777" w:rsidR="009C11D8" w:rsidRPr="009C11D8" w:rsidRDefault="009C11D8" w:rsidP="009C11D8">
            <w:pPr>
              <w:spacing w:after="0" w:line="240" w:lineRule="auto"/>
              <w:jc w:val="right"/>
              <w:rPr>
                <w:rFonts w:cs="Arial"/>
                <w:color w:val="000000"/>
                <w:sz w:val="16"/>
                <w:szCs w:val="16"/>
                <w:lang w:eastAsia="en-AU"/>
              </w:rPr>
            </w:pPr>
            <w:r w:rsidRPr="009C11D8">
              <w:rPr>
                <w:rFonts w:cs="Arial"/>
                <w:color w:val="000000"/>
                <w:sz w:val="16"/>
                <w:szCs w:val="16"/>
                <w:lang w:eastAsia="en-AU"/>
              </w:rPr>
              <w:t>277</w:t>
            </w:r>
          </w:p>
        </w:tc>
        <w:tc>
          <w:tcPr>
            <w:tcW w:w="1454" w:type="dxa"/>
            <w:noWrap/>
            <w:hideMark/>
          </w:tcPr>
          <w:p w14:paraId="7D67269A" w14:textId="77777777" w:rsidR="009C11D8" w:rsidRPr="009C11D8" w:rsidRDefault="009C11D8" w:rsidP="009C11D8">
            <w:pPr>
              <w:spacing w:after="0" w:line="240" w:lineRule="auto"/>
              <w:jc w:val="right"/>
              <w:rPr>
                <w:rFonts w:cs="Arial"/>
                <w:color w:val="000000"/>
                <w:sz w:val="16"/>
                <w:szCs w:val="16"/>
                <w:lang w:eastAsia="en-AU"/>
              </w:rPr>
            </w:pPr>
            <w:r w:rsidRPr="009C11D8">
              <w:rPr>
                <w:rFonts w:cs="Arial"/>
                <w:color w:val="000000"/>
                <w:sz w:val="16"/>
                <w:szCs w:val="16"/>
                <w:lang w:eastAsia="en-AU"/>
              </w:rPr>
              <w:t>0</w:t>
            </w:r>
          </w:p>
        </w:tc>
        <w:tc>
          <w:tcPr>
            <w:tcW w:w="1454" w:type="dxa"/>
            <w:noWrap/>
            <w:hideMark/>
          </w:tcPr>
          <w:p w14:paraId="7940EAC3" w14:textId="77777777" w:rsidR="009C11D8" w:rsidRPr="009C11D8" w:rsidRDefault="009C11D8" w:rsidP="009C11D8">
            <w:pPr>
              <w:spacing w:after="0" w:line="240" w:lineRule="auto"/>
              <w:jc w:val="right"/>
              <w:rPr>
                <w:rFonts w:cs="Arial"/>
                <w:color w:val="000000"/>
                <w:sz w:val="16"/>
                <w:szCs w:val="16"/>
                <w:lang w:eastAsia="en-AU"/>
              </w:rPr>
            </w:pPr>
            <w:r w:rsidRPr="009C11D8">
              <w:rPr>
                <w:rFonts w:cs="Arial"/>
                <w:color w:val="000000"/>
                <w:sz w:val="16"/>
                <w:szCs w:val="16"/>
                <w:lang w:eastAsia="en-AU"/>
              </w:rPr>
              <w:t>0</w:t>
            </w:r>
          </w:p>
        </w:tc>
        <w:tc>
          <w:tcPr>
            <w:tcW w:w="1551" w:type="dxa"/>
            <w:noWrap/>
            <w:hideMark/>
          </w:tcPr>
          <w:p w14:paraId="4A7B2EC1" w14:textId="77777777" w:rsidR="009C11D8" w:rsidRPr="009C11D8" w:rsidRDefault="009C11D8" w:rsidP="009C11D8">
            <w:pPr>
              <w:spacing w:after="0" w:line="240" w:lineRule="auto"/>
              <w:jc w:val="right"/>
              <w:rPr>
                <w:rFonts w:cs="Arial"/>
                <w:b/>
                <w:bCs/>
                <w:color w:val="000000"/>
                <w:sz w:val="16"/>
                <w:szCs w:val="16"/>
                <w:lang w:eastAsia="en-AU"/>
              </w:rPr>
            </w:pPr>
            <w:r w:rsidRPr="009C11D8">
              <w:rPr>
                <w:rFonts w:cs="Arial"/>
                <w:b/>
                <w:bCs/>
                <w:color w:val="000000"/>
                <w:sz w:val="16"/>
                <w:szCs w:val="16"/>
                <w:lang w:eastAsia="en-AU"/>
              </w:rPr>
              <w:t>277</w:t>
            </w:r>
          </w:p>
        </w:tc>
      </w:tr>
      <w:tr w:rsidR="009C11D8" w:rsidRPr="009C11D8" w14:paraId="035209F1" w14:textId="77777777" w:rsidTr="00906968">
        <w:trPr>
          <w:trHeight w:val="284"/>
        </w:trPr>
        <w:tc>
          <w:tcPr>
            <w:tcW w:w="1843" w:type="dxa"/>
            <w:shd w:val="clear" w:color="auto" w:fill="201547"/>
            <w:noWrap/>
            <w:hideMark/>
          </w:tcPr>
          <w:p w14:paraId="6A49114F" w14:textId="77777777" w:rsidR="009C11D8" w:rsidRPr="009C11D8" w:rsidRDefault="009C11D8" w:rsidP="009C11D8">
            <w:pPr>
              <w:spacing w:after="0" w:line="240" w:lineRule="auto"/>
              <w:rPr>
                <w:rFonts w:cs="Arial"/>
                <w:b/>
                <w:bCs/>
                <w:color w:val="FFFFFF"/>
                <w:sz w:val="16"/>
                <w:szCs w:val="16"/>
                <w:lang w:eastAsia="en-AU"/>
              </w:rPr>
            </w:pPr>
            <w:r w:rsidRPr="009C11D8">
              <w:rPr>
                <w:rFonts w:cs="Arial"/>
                <w:b/>
                <w:bCs/>
                <w:color w:val="FFFFFF"/>
                <w:sz w:val="16"/>
                <w:szCs w:val="16"/>
                <w:lang w:eastAsia="en-AU"/>
              </w:rPr>
              <w:t>Total</w:t>
            </w:r>
          </w:p>
        </w:tc>
        <w:tc>
          <w:tcPr>
            <w:tcW w:w="1454" w:type="dxa"/>
            <w:gridSpan w:val="2"/>
            <w:shd w:val="clear" w:color="auto" w:fill="201547"/>
            <w:noWrap/>
            <w:hideMark/>
          </w:tcPr>
          <w:p w14:paraId="102A039B"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271</w:t>
            </w:r>
          </w:p>
        </w:tc>
        <w:tc>
          <w:tcPr>
            <w:tcW w:w="1454" w:type="dxa"/>
            <w:shd w:val="clear" w:color="auto" w:fill="201547"/>
            <w:noWrap/>
            <w:hideMark/>
          </w:tcPr>
          <w:p w14:paraId="36D9071C"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w:t>
            </w:r>
          </w:p>
        </w:tc>
        <w:tc>
          <w:tcPr>
            <w:tcW w:w="1454" w:type="dxa"/>
            <w:shd w:val="clear" w:color="auto" w:fill="201547"/>
            <w:noWrap/>
            <w:hideMark/>
          </w:tcPr>
          <w:p w14:paraId="3EF280AF"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w:t>
            </w:r>
          </w:p>
        </w:tc>
        <w:tc>
          <w:tcPr>
            <w:tcW w:w="1454" w:type="dxa"/>
            <w:shd w:val="clear" w:color="auto" w:fill="201547"/>
            <w:noWrap/>
            <w:hideMark/>
          </w:tcPr>
          <w:p w14:paraId="783F864C"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w:t>
            </w:r>
          </w:p>
        </w:tc>
        <w:tc>
          <w:tcPr>
            <w:tcW w:w="1454" w:type="dxa"/>
            <w:shd w:val="clear" w:color="auto" w:fill="201547"/>
            <w:noWrap/>
            <w:hideMark/>
          </w:tcPr>
          <w:p w14:paraId="381011D0"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w:t>
            </w:r>
          </w:p>
        </w:tc>
        <w:tc>
          <w:tcPr>
            <w:tcW w:w="1454" w:type="dxa"/>
            <w:shd w:val="clear" w:color="auto" w:fill="201547"/>
            <w:noWrap/>
            <w:hideMark/>
          </w:tcPr>
          <w:p w14:paraId="5B882A4F"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277</w:t>
            </w:r>
          </w:p>
        </w:tc>
        <w:tc>
          <w:tcPr>
            <w:tcW w:w="1454" w:type="dxa"/>
            <w:shd w:val="clear" w:color="auto" w:fill="201547"/>
            <w:noWrap/>
            <w:hideMark/>
          </w:tcPr>
          <w:p w14:paraId="11CBF90F"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w:t>
            </w:r>
          </w:p>
        </w:tc>
        <w:tc>
          <w:tcPr>
            <w:tcW w:w="1454" w:type="dxa"/>
            <w:shd w:val="clear" w:color="auto" w:fill="201547"/>
            <w:noWrap/>
            <w:hideMark/>
          </w:tcPr>
          <w:p w14:paraId="591E7E8D"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0</w:t>
            </w:r>
          </w:p>
        </w:tc>
        <w:tc>
          <w:tcPr>
            <w:tcW w:w="1551" w:type="dxa"/>
            <w:shd w:val="clear" w:color="auto" w:fill="201547"/>
            <w:noWrap/>
            <w:hideMark/>
          </w:tcPr>
          <w:p w14:paraId="01E9D9B8" w14:textId="77777777" w:rsidR="009C11D8" w:rsidRPr="009C11D8" w:rsidRDefault="009C11D8" w:rsidP="009C11D8">
            <w:pPr>
              <w:spacing w:after="0" w:line="240" w:lineRule="auto"/>
              <w:jc w:val="right"/>
              <w:rPr>
                <w:rFonts w:cs="Arial"/>
                <w:b/>
                <w:bCs/>
                <w:color w:val="FFFFFF"/>
                <w:sz w:val="16"/>
                <w:szCs w:val="16"/>
                <w:lang w:eastAsia="en-AU"/>
              </w:rPr>
            </w:pPr>
            <w:r w:rsidRPr="009C11D8">
              <w:rPr>
                <w:rFonts w:cs="Arial"/>
                <w:b/>
                <w:bCs/>
                <w:color w:val="FFFFFF"/>
                <w:sz w:val="16"/>
                <w:szCs w:val="16"/>
                <w:lang w:eastAsia="en-AU"/>
              </w:rPr>
              <w:t>277</w:t>
            </w:r>
          </w:p>
        </w:tc>
      </w:tr>
    </w:tbl>
    <w:p w14:paraId="0BFE6902" w14:textId="15367441" w:rsidR="00EA6FF8" w:rsidRDefault="003A68DA" w:rsidP="004756B4">
      <w:pPr>
        <w:pStyle w:val="Bodyaftertablefigure"/>
      </w:pPr>
      <w:r>
        <w:t>Non-Government</w:t>
      </w:r>
    </w:p>
    <w:tbl>
      <w:tblPr>
        <w:tblStyle w:val="TableGrid1"/>
        <w:tblW w:w="15021" w:type="dxa"/>
        <w:tblLayout w:type="fixed"/>
        <w:tblLook w:val="04A0" w:firstRow="1" w:lastRow="0" w:firstColumn="1" w:lastColumn="0" w:noHBand="0" w:noVBand="1"/>
      </w:tblPr>
      <w:tblGrid>
        <w:gridCol w:w="1838"/>
        <w:gridCol w:w="1418"/>
        <w:gridCol w:w="39"/>
        <w:gridCol w:w="1458"/>
        <w:gridCol w:w="1458"/>
        <w:gridCol w:w="1458"/>
        <w:gridCol w:w="1458"/>
        <w:gridCol w:w="1458"/>
        <w:gridCol w:w="1458"/>
        <w:gridCol w:w="1458"/>
        <w:gridCol w:w="1520"/>
      </w:tblGrid>
      <w:tr w:rsidR="00EA6FF8" w:rsidRPr="00EA6FF8" w14:paraId="09E1DFD6" w14:textId="77777777" w:rsidTr="00B24F8E">
        <w:trPr>
          <w:cnfStyle w:val="100000000000" w:firstRow="1" w:lastRow="0" w:firstColumn="0" w:lastColumn="0" w:oddVBand="0" w:evenVBand="0" w:oddHBand="0" w:evenHBand="0" w:firstRowFirstColumn="0" w:firstRowLastColumn="0" w:lastRowFirstColumn="0" w:lastRowLastColumn="0"/>
          <w:trHeight w:val="307"/>
          <w:tblHeader/>
        </w:trPr>
        <w:tc>
          <w:tcPr>
            <w:tcW w:w="1838" w:type="dxa"/>
            <w:vMerge w:val="restart"/>
            <w:hideMark/>
          </w:tcPr>
          <w:p w14:paraId="2EAD21AB" w14:textId="77777777" w:rsidR="003A68DA" w:rsidRDefault="003A68DA" w:rsidP="00EA6FF8">
            <w:pPr>
              <w:spacing w:after="0" w:line="240" w:lineRule="auto"/>
              <w:rPr>
                <w:rFonts w:cs="Arial"/>
                <w:b/>
                <w:bCs/>
                <w:color w:val="FFFFFF"/>
                <w:sz w:val="16"/>
                <w:szCs w:val="16"/>
                <w:lang w:eastAsia="en-AU"/>
              </w:rPr>
            </w:pPr>
          </w:p>
          <w:p w14:paraId="3FCD4252" w14:textId="77777777" w:rsidR="003A68DA" w:rsidRDefault="003A68DA" w:rsidP="00EA6FF8">
            <w:pPr>
              <w:spacing w:after="0" w:line="240" w:lineRule="auto"/>
              <w:rPr>
                <w:rFonts w:cs="Arial"/>
                <w:b/>
                <w:bCs/>
                <w:color w:val="FFFFFF"/>
                <w:sz w:val="16"/>
                <w:szCs w:val="16"/>
                <w:lang w:eastAsia="en-AU"/>
              </w:rPr>
            </w:pPr>
          </w:p>
          <w:p w14:paraId="0FC5AADE" w14:textId="77777777" w:rsidR="003A68DA" w:rsidRDefault="003A68DA" w:rsidP="00EA6FF8">
            <w:pPr>
              <w:spacing w:after="0" w:line="240" w:lineRule="auto"/>
              <w:rPr>
                <w:rFonts w:cs="Arial"/>
                <w:b/>
                <w:bCs/>
                <w:color w:val="FFFFFF"/>
                <w:sz w:val="16"/>
                <w:szCs w:val="16"/>
                <w:lang w:eastAsia="en-AU"/>
              </w:rPr>
            </w:pPr>
          </w:p>
          <w:p w14:paraId="76E4114A" w14:textId="77777777" w:rsidR="003A68DA" w:rsidRDefault="003A68DA" w:rsidP="00EA6FF8">
            <w:pPr>
              <w:spacing w:after="0" w:line="240" w:lineRule="auto"/>
              <w:rPr>
                <w:rFonts w:cs="Arial"/>
                <w:b/>
                <w:bCs/>
                <w:color w:val="FFFFFF"/>
                <w:sz w:val="16"/>
                <w:szCs w:val="16"/>
                <w:lang w:eastAsia="en-AU"/>
              </w:rPr>
            </w:pPr>
          </w:p>
          <w:p w14:paraId="6C227147" w14:textId="267846A2" w:rsidR="00EA6FF8" w:rsidRPr="00EA6FF8" w:rsidRDefault="00EA6FF8" w:rsidP="00EA6FF8">
            <w:pPr>
              <w:spacing w:after="0" w:line="240" w:lineRule="auto"/>
              <w:rPr>
                <w:rFonts w:cs="Arial"/>
                <w:b/>
                <w:bCs/>
                <w:color w:val="FFFFFF"/>
                <w:sz w:val="16"/>
                <w:szCs w:val="16"/>
                <w:lang w:eastAsia="en-AU"/>
              </w:rPr>
            </w:pPr>
            <w:r w:rsidRPr="00EA6FF8">
              <w:rPr>
                <w:rFonts w:cs="Arial"/>
                <w:b/>
                <w:bCs/>
                <w:color w:val="FFFFFF"/>
                <w:sz w:val="16"/>
                <w:szCs w:val="16"/>
                <w:lang w:eastAsia="en-AU"/>
              </w:rPr>
              <w:t>Health Services</w:t>
            </w:r>
          </w:p>
        </w:tc>
        <w:tc>
          <w:tcPr>
            <w:tcW w:w="1418" w:type="dxa"/>
            <w:tcBorders>
              <w:bottom w:val="single" w:sz="4" w:space="0" w:color="auto"/>
            </w:tcBorders>
            <w:hideMark/>
          </w:tcPr>
          <w:p w14:paraId="0060AB9B" w14:textId="7DAB8DD9"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2021</w:t>
            </w:r>
            <w:r w:rsidR="002F204E" w:rsidRPr="005353E5">
              <w:rPr>
                <w:rFonts w:cs="Arial"/>
                <w:b/>
                <w:bCs/>
                <w:color w:val="FFFFFF"/>
                <w:sz w:val="16"/>
                <w:szCs w:val="16"/>
                <w:lang w:eastAsia="en-AU"/>
              </w:rPr>
              <w:t>–</w:t>
            </w:r>
            <w:r w:rsidRPr="00EA6FF8">
              <w:rPr>
                <w:rFonts w:cs="Arial"/>
                <w:b/>
                <w:bCs/>
                <w:color w:val="FFFFFF"/>
                <w:sz w:val="16"/>
                <w:szCs w:val="16"/>
                <w:lang w:eastAsia="en-AU"/>
              </w:rPr>
              <w:t>2022</w:t>
            </w:r>
          </w:p>
        </w:tc>
        <w:tc>
          <w:tcPr>
            <w:tcW w:w="11765" w:type="dxa"/>
            <w:gridSpan w:val="9"/>
            <w:tcBorders>
              <w:bottom w:val="single" w:sz="4" w:space="0" w:color="auto"/>
            </w:tcBorders>
            <w:hideMark/>
          </w:tcPr>
          <w:p w14:paraId="17A401B3" w14:textId="35A9E537" w:rsidR="00EA6FF8" w:rsidRPr="00EA6FF8" w:rsidRDefault="00EA6FF8" w:rsidP="00EA6FF8">
            <w:pPr>
              <w:spacing w:after="0" w:line="240" w:lineRule="auto"/>
              <w:jc w:val="center"/>
              <w:rPr>
                <w:rFonts w:cs="Arial"/>
                <w:b/>
                <w:bCs/>
                <w:color w:val="FFFFFF"/>
                <w:sz w:val="16"/>
                <w:szCs w:val="16"/>
                <w:lang w:eastAsia="en-AU"/>
              </w:rPr>
            </w:pPr>
            <w:r w:rsidRPr="00EA6FF8">
              <w:rPr>
                <w:rFonts w:cs="Arial"/>
                <w:b/>
                <w:bCs/>
                <w:color w:val="FFFFFF"/>
                <w:sz w:val="16"/>
                <w:szCs w:val="16"/>
                <w:lang w:eastAsia="en-AU"/>
              </w:rPr>
              <w:t>2022</w:t>
            </w:r>
            <w:r w:rsidR="002F204E" w:rsidRPr="005353E5">
              <w:rPr>
                <w:rFonts w:cs="Arial"/>
                <w:b/>
                <w:bCs/>
                <w:color w:val="FFFFFF"/>
                <w:sz w:val="16"/>
                <w:szCs w:val="16"/>
                <w:lang w:eastAsia="en-AU"/>
              </w:rPr>
              <w:t>–</w:t>
            </w:r>
            <w:r w:rsidRPr="00EA6FF8">
              <w:rPr>
                <w:rFonts w:cs="Arial"/>
                <w:b/>
                <w:bCs/>
                <w:color w:val="FFFFFF"/>
                <w:sz w:val="16"/>
                <w:szCs w:val="16"/>
                <w:lang w:eastAsia="en-AU"/>
              </w:rPr>
              <w:t>202</w:t>
            </w:r>
            <w:r w:rsidR="002F204E">
              <w:rPr>
                <w:rFonts w:cs="Arial"/>
                <w:b/>
                <w:bCs/>
                <w:color w:val="FFFFFF"/>
                <w:sz w:val="16"/>
                <w:szCs w:val="16"/>
                <w:lang w:eastAsia="en-AU"/>
              </w:rPr>
              <w:t>3</w:t>
            </w:r>
          </w:p>
        </w:tc>
      </w:tr>
      <w:tr w:rsidR="00EA6FF8" w:rsidRPr="00EA6FF8" w14:paraId="0D47CEBC" w14:textId="77777777" w:rsidTr="002F204E">
        <w:trPr>
          <w:trHeight w:val="647"/>
        </w:trPr>
        <w:tc>
          <w:tcPr>
            <w:tcW w:w="1838" w:type="dxa"/>
            <w:vMerge/>
            <w:tcBorders>
              <w:right w:val="single" w:sz="4" w:space="0" w:color="auto"/>
            </w:tcBorders>
            <w:hideMark/>
          </w:tcPr>
          <w:p w14:paraId="3954D23E" w14:textId="77777777" w:rsidR="00EA6FF8" w:rsidRPr="00EA6FF8" w:rsidRDefault="00EA6FF8" w:rsidP="00EA6FF8">
            <w:pPr>
              <w:spacing w:after="0" w:line="240" w:lineRule="auto"/>
              <w:rPr>
                <w:rFonts w:cs="Arial"/>
                <w:b/>
                <w:bCs/>
                <w:color w:val="FFFFFF"/>
                <w:sz w:val="16"/>
                <w:szCs w:val="16"/>
                <w:lang w:eastAsia="en-AU"/>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201547"/>
            <w:hideMark/>
          </w:tcPr>
          <w:p w14:paraId="061254B9"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 xml:space="preserve"> Total</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0848EBBE"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 xml:space="preserve"> Acute</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708883C7"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 xml:space="preserve"> Non Acute</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40346C7E"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Ambulatory</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3632F9B6"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Psychosocial Rehabilitation &amp; Support</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5CA29016"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Residential</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637E7515"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Service System Capacity</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055E7F59" w14:textId="13B01565" w:rsidR="00EA6FF8" w:rsidRPr="00EA6FF8" w:rsidRDefault="00B24F8E"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Sub-Acute</w:t>
            </w:r>
          </w:p>
        </w:tc>
        <w:tc>
          <w:tcPr>
            <w:tcW w:w="1520" w:type="dxa"/>
            <w:tcBorders>
              <w:top w:val="single" w:sz="4" w:space="0" w:color="auto"/>
              <w:left w:val="single" w:sz="4" w:space="0" w:color="auto"/>
              <w:bottom w:val="single" w:sz="4" w:space="0" w:color="auto"/>
              <w:right w:val="single" w:sz="4" w:space="0" w:color="auto"/>
            </w:tcBorders>
            <w:shd w:val="clear" w:color="auto" w:fill="201547"/>
            <w:hideMark/>
          </w:tcPr>
          <w:p w14:paraId="15482F35"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Total</w:t>
            </w:r>
          </w:p>
        </w:tc>
      </w:tr>
      <w:tr w:rsidR="00EA6FF8" w:rsidRPr="00EA6FF8" w14:paraId="563F0507" w14:textId="77777777" w:rsidTr="002F204E">
        <w:trPr>
          <w:trHeight w:val="273"/>
        </w:trPr>
        <w:tc>
          <w:tcPr>
            <w:tcW w:w="1838" w:type="dxa"/>
            <w:vMerge/>
            <w:tcBorders>
              <w:right w:val="single" w:sz="4" w:space="0" w:color="auto"/>
            </w:tcBorders>
            <w:hideMark/>
          </w:tcPr>
          <w:p w14:paraId="16D2CAE8" w14:textId="77777777" w:rsidR="00EA6FF8" w:rsidRPr="00EA6FF8" w:rsidRDefault="00EA6FF8" w:rsidP="00EA6FF8">
            <w:pPr>
              <w:spacing w:after="0" w:line="240" w:lineRule="auto"/>
              <w:rPr>
                <w:rFonts w:cs="Arial"/>
                <w:b/>
                <w:bCs/>
                <w:color w:val="FFFFFF"/>
                <w:sz w:val="16"/>
                <w:szCs w:val="16"/>
                <w:lang w:eastAsia="en-AU"/>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201547"/>
            <w:hideMark/>
          </w:tcPr>
          <w:p w14:paraId="2FBEDA22"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47C31880"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228FD1A6"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026A9D68"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4F2558ED"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66D15424"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0795C3F8"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458" w:type="dxa"/>
            <w:tcBorders>
              <w:top w:val="single" w:sz="4" w:space="0" w:color="auto"/>
              <w:left w:val="single" w:sz="4" w:space="0" w:color="auto"/>
              <w:bottom w:val="single" w:sz="4" w:space="0" w:color="auto"/>
              <w:right w:val="single" w:sz="4" w:space="0" w:color="auto"/>
            </w:tcBorders>
            <w:shd w:val="clear" w:color="auto" w:fill="201547"/>
            <w:hideMark/>
          </w:tcPr>
          <w:p w14:paraId="178BC13C"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c>
          <w:tcPr>
            <w:tcW w:w="1520" w:type="dxa"/>
            <w:tcBorders>
              <w:top w:val="single" w:sz="4" w:space="0" w:color="auto"/>
              <w:left w:val="single" w:sz="4" w:space="0" w:color="auto"/>
              <w:bottom w:val="single" w:sz="4" w:space="0" w:color="auto"/>
              <w:right w:val="single" w:sz="4" w:space="0" w:color="auto"/>
            </w:tcBorders>
            <w:shd w:val="clear" w:color="auto" w:fill="201547"/>
            <w:hideMark/>
          </w:tcPr>
          <w:p w14:paraId="6780E0DA"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$'000s</w:t>
            </w:r>
          </w:p>
        </w:tc>
      </w:tr>
      <w:tr w:rsidR="00EA6FF8" w:rsidRPr="00EA6FF8" w14:paraId="3D969058" w14:textId="77777777" w:rsidTr="00B24F8E">
        <w:trPr>
          <w:trHeight w:val="320"/>
        </w:trPr>
        <w:tc>
          <w:tcPr>
            <w:tcW w:w="1838" w:type="dxa"/>
            <w:hideMark/>
          </w:tcPr>
          <w:p w14:paraId="4AB0C4B8" w14:textId="77777777" w:rsidR="00EA6FF8" w:rsidRPr="00EA6FF8" w:rsidRDefault="00EA6FF8" w:rsidP="00EA6FF8">
            <w:pPr>
              <w:spacing w:after="0" w:line="240" w:lineRule="auto"/>
              <w:rPr>
                <w:rFonts w:cs="Arial"/>
                <w:color w:val="000000"/>
                <w:sz w:val="16"/>
                <w:szCs w:val="16"/>
                <w:lang w:eastAsia="en-AU"/>
              </w:rPr>
            </w:pPr>
            <w:r w:rsidRPr="00EA6FF8">
              <w:rPr>
                <w:rFonts w:cs="Arial"/>
                <w:color w:val="000000"/>
                <w:sz w:val="16"/>
                <w:szCs w:val="16"/>
                <w:lang w:eastAsia="en-AU"/>
              </w:rPr>
              <w:t>La Trobe University</w:t>
            </w:r>
          </w:p>
        </w:tc>
        <w:tc>
          <w:tcPr>
            <w:tcW w:w="1457" w:type="dxa"/>
            <w:gridSpan w:val="2"/>
            <w:tcBorders>
              <w:top w:val="single" w:sz="4" w:space="0" w:color="auto"/>
            </w:tcBorders>
            <w:noWrap/>
            <w:hideMark/>
          </w:tcPr>
          <w:p w14:paraId="7A77A540" w14:textId="77777777" w:rsidR="00EA6FF8" w:rsidRPr="00EA6FF8" w:rsidRDefault="00EA6FF8" w:rsidP="00EA6FF8">
            <w:pPr>
              <w:spacing w:after="0" w:line="240" w:lineRule="auto"/>
              <w:jc w:val="right"/>
              <w:rPr>
                <w:rFonts w:cs="Arial"/>
                <w:b/>
                <w:bCs/>
                <w:color w:val="000000"/>
                <w:sz w:val="16"/>
                <w:szCs w:val="16"/>
                <w:lang w:eastAsia="en-AU"/>
              </w:rPr>
            </w:pPr>
            <w:r w:rsidRPr="00EA6FF8">
              <w:rPr>
                <w:rFonts w:cs="Arial"/>
                <w:b/>
                <w:bCs/>
                <w:color w:val="000000"/>
                <w:sz w:val="16"/>
                <w:szCs w:val="16"/>
                <w:lang w:eastAsia="en-AU"/>
              </w:rPr>
              <w:t>2,038</w:t>
            </w:r>
          </w:p>
        </w:tc>
        <w:tc>
          <w:tcPr>
            <w:tcW w:w="1458" w:type="dxa"/>
            <w:tcBorders>
              <w:top w:val="single" w:sz="4" w:space="0" w:color="auto"/>
            </w:tcBorders>
            <w:noWrap/>
            <w:hideMark/>
          </w:tcPr>
          <w:p w14:paraId="5B0B835B"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tcBorders>
              <w:top w:val="single" w:sz="4" w:space="0" w:color="auto"/>
            </w:tcBorders>
            <w:noWrap/>
            <w:hideMark/>
          </w:tcPr>
          <w:p w14:paraId="63BB24AE"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tcBorders>
              <w:top w:val="single" w:sz="4" w:space="0" w:color="auto"/>
            </w:tcBorders>
            <w:noWrap/>
            <w:hideMark/>
          </w:tcPr>
          <w:p w14:paraId="1D7B1343"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1,338</w:t>
            </w:r>
          </w:p>
        </w:tc>
        <w:tc>
          <w:tcPr>
            <w:tcW w:w="1458" w:type="dxa"/>
            <w:tcBorders>
              <w:top w:val="single" w:sz="4" w:space="0" w:color="auto"/>
            </w:tcBorders>
            <w:noWrap/>
            <w:hideMark/>
          </w:tcPr>
          <w:p w14:paraId="159EA1F9"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tcBorders>
              <w:top w:val="single" w:sz="4" w:space="0" w:color="auto"/>
            </w:tcBorders>
            <w:noWrap/>
            <w:hideMark/>
          </w:tcPr>
          <w:p w14:paraId="01B87C84"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tcBorders>
              <w:top w:val="single" w:sz="4" w:space="0" w:color="auto"/>
            </w:tcBorders>
            <w:noWrap/>
            <w:hideMark/>
          </w:tcPr>
          <w:p w14:paraId="1D8D8A21"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747</w:t>
            </w:r>
          </w:p>
        </w:tc>
        <w:tc>
          <w:tcPr>
            <w:tcW w:w="1458" w:type="dxa"/>
            <w:tcBorders>
              <w:top w:val="single" w:sz="4" w:space="0" w:color="auto"/>
            </w:tcBorders>
            <w:noWrap/>
            <w:hideMark/>
          </w:tcPr>
          <w:p w14:paraId="59F8D3FA"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520" w:type="dxa"/>
            <w:tcBorders>
              <w:top w:val="single" w:sz="4" w:space="0" w:color="auto"/>
            </w:tcBorders>
            <w:noWrap/>
            <w:hideMark/>
          </w:tcPr>
          <w:p w14:paraId="39E9134F" w14:textId="77777777" w:rsidR="00EA6FF8" w:rsidRPr="00EA6FF8" w:rsidRDefault="00EA6FF8" w:rsidP="00EA6FF8">
            <w:pPr>
              <w:spacing w:after="0" w:line="240" w:lineRule="auto"/>
              <w:jc w:val="right"/>
              <w:rPr>
                <w:rFonts w:cs="Arial"/>
                <w:b/>
                <w:bCs/>
                <w:color w:val="000000"/>
                <w:sz w:val="16"/>
                <w:szCs w:val="16"/>
                <w:lang w:eastAsia="en-AU"/>
              </w:rPr>
            </w:pPr>
            <w:r w:rsidRPr="00EA6FF8">
              <w:rPr>
                <w:rFonts w:cs="Arial"/>
                <w:b/>
                <w:bCs/>
                <w:color w:val="000000"/>
                <w:sz w:val="16"/>
                <w:szCs w:val="16"/>
                <w:lang w:eastAsia="en-AU"/>
              </w:rPr>
              <w:t>2,085</w:t>
            </w:r>
          </w:p>
        </w:tc>
      </w:tr>
      <w:tr w:rsidR="00EA6FF8" w:rsidRPr="00EA6FF8" w14:paraId="30E89995" w14:textId="77777777" w:rsidTr="00906968">
        <w:trPr>
          <w:trHeight w:val="320"/>
        </w:trPr>
        <w:tc>
          <w:tcPr>
            <w:tcW w:w="1838" w:type="dxa"/>
            <w:hideMark/>
          </w:tcPr>
          <w:p w14:paraId="542C6738" w14:textId="77777777" w:rsidR="00EA6FF8" w:rsidRPr="00EA6FF8" w:rsidRDefault="00EA6FF8" w:rsidP="00EA6FF8">
            <w:pPr>
              <w:spacing w:after="0" w:line="240" w:lineRule="auto"/>
              <w:rPr>
                <w:rFonts w:cs="Arial"/>
                <w:color w:val="000000"/>
                <w:sz w:val="16"/>
                <w:szCs w:val="16"/>
                <w:lang w:eastAsia="en-AU"/>
              </w:rPr>
            </w:pPr>
            <w:r w:rsidRPr="00EA6FF8">
              <w:rPr>
                <w:rFonts w:cs="Arial"/>
                <w:color w:val="000000"/>
                <w:sz w:val="16"/>
                <w:szCs w:val="16"/>
                <w:lang w:eastAsia="en-AU"/>
              </w:rPr>
              <w:t>The University Of Melbourne</w:t>
            </w:r>
          </w:p>
        </w:tc>
        <w:tc>
          <w:tcPr>
            <w:tcW w:w="1457" w:type="dxa"/>
            <w:gridSpan w:val="2"/>
            <w:noWrap/>
            <w:hideMark/>
          </w:tcPr>
          <w:p w14:paraId="4680B4B9" w14:textId="77777777" w:rsidR="00EA6FF8" w:rsidRPr="00EA6FF8" w:rsidRDefault="00EA6FF8" w:rsidP="00EA6FF8">
            <w:pPr>
              <w:spacing w:after="0" w:line="240" w:lineRule="auto"/>
              <w:jc w:val="right"/>
              <w:rPr>
                <w:rFonts w:cs="Arial"/>
                <w:b/>
                <w:bCs/>
                <w:color w:val="000000"/>
                <w:sz w:val="16"/>
                <w:szCs w:val="16"/>
                <w:lang w:eastAsia="en-AU"/>
              </w:rPr>
            </w:pPr>
            <w:r w:rsidRPr="00EA6FF8">
              <w:rPr>
                <w:rFonts w:cs="Arial"/>
                <w:b/>
                <w:bCs/>
                <w:color w:val="000000"/>
                <w:sz w:val="16"/>
                <w:szCs w:val="16"/>
                <w:lang w:eastAsia="en-AU"/>
              </w:rPr>
              <w:t>386</w:t>
            </w:r>
          </w:p>
        </w:tc>
        <w:tc>
          <w:tcPr>
            <w:tcW w:w="1458" w:type="dxa"/>
            <w:noWrap/>
            <w:hideMark/>
          </w:tcPr>
          <w:p w14:paraId="52A1EDD4"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noWrap/>
            <w:hideMark/>
          </w:tcPr>
          <w:p w14:paraId="292DC8F1"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noWrap/>
            <w:hideMark/>
          </w:tcPr>
          <w:p w14:paraId="5C8280BE"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noWrap/>
            <w:hideMark/>
          </w:tcPr>
          <w:p w14:paraId="1591E5E6"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noWrap/>
            <w:hideMark/>
          </w:tcPr>
          <w:p w14:paraId="192D591C"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458" w:type="dxa"/>
            <w:noWrap/>
            <w:hideMark/>
          </w:tcPr>
          <w:p w14:paraId="7BC0559E"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395</w:t>
            </w:r>
          </w:p>
        </w:tc>
        <w:tc>
          <w:tcPr>
            <w:tcW w:w="1458" w:type="dxa"/>
            <w:noWrap/>
            <w:hideMark/>
          </w:tcPr>
          <w:p w14:paraId="1CA1956C" w14:textId="77777777" w:rsidR="00EA6FF8" w:rsidRPr="00EA6FF8" w:rsidRDefault="00EA6FF8" w:rsidP="00EA6FF8">
            <w:pPr>
              <w:spacing w:after="0" w:line="240" w:lineRule="auto"/>
              <w:jc w:val="right"/>
              <w:rPr>
                <w:rFonts w:cs="Arial"/>
                <w:color w:val="000000"/>
                <w:sz w:val="16"/>
                <w:szCs w:val="16"/>
                <w:lang w:eastAsia="en-AU"/>
              </w:rPr>
            </w:pPr>
            <w:r w:rsidRPr="00EA6FF8">
              <w:rPr>
                <w:rFonts w:cs="Arial"/>
                <w:color w:val="000000"/>
                <w:sz w:val="16"/>
                <w:szCs w:val="16"/>
                <w:lang w:eastAsia="en-AU"/>
              </w:rPr>
              <w:t>0</w:t>
            </w:r>
          </w:p>
        </w:tc>
        <w:tc>
          <w:tcPr>
            <w:tcW w:w="1520" w:type="dxa"/>
            <w:noWrap/>
            <w:hideMark/>
          </w:tcPr>
          <w:p w14:paraId="7DEE0FFF" w14:textId="77777777" w:rsidR="00EA6FF8" w:rsidRPr="00EA6FF8" w:rsidRDefault="00EA6FF8" w:rsidP="00EA6FF8">
            <w:pPr>
              <w:spacing w:after="0" w:line="240" w:lineRule="auto"/>
              <w:jc w:val="right"/>
              <w:rPr>
                <w:rFonts w:cs="Arial"/>
                <w:b/>
                <w:bCs/>
                <w:color w:val="000000"/>
                <w:sz w:val="16"/>
                <w:szCs w:val="16"/>
                <w:lang w:eastAsia="en-AU"/>
              </w:rPr>
            </w:pPr>
            <w:r w:rsidRPr="00EA6FF8">
              <w:rPr>
                <w:rFonts w:cs="Arial"/>
                <w:b/>
                <w:bCs/>
                <w:color w:val="000000"/>
                <w:sz w:val="16"/>
                <w:szCs w:val="16"/>
                <w:lang w:eastAsia="en-AU"/>
              </w:rPr>
              <w:t>395</w:t>
            </w:r>
          </w:p>
        </w:tc>
      </w:tr>
      <w:tr w:rsidR="00EA6FF8" w:rsidRPr="00EA6FF8" w14:paraId="6E3D1583" w14:textId="77777777" w:rsidTr="00906968">
        <w:trPr>
          <w:trHeight w:val="307"/>
        </w:trPr>
        <w:tc>
          <w:tcPr>
            <w:tcW w:w="1838" w:type="dxa"/>
            <w:shd w:val="clear" w:color="auto" w:fill="201547"/>
            <w:noWrap/>
            <w:hideMark/>
          </w:tcPr>
          <w:p w14:paraId="6658AAFD" w14:textId="77777777" w:rsidR="00EA6FF8" w:rsidRPr="00EA6FF8" w:rsidRDefault="00EA6FF8" w:rsidP="00EA6FF8">
            <w:pPr>
              <w:spacing w:after="0" w:line="240" w:lineRule="auto"/>
              <w:rPr>
                <w:rFonts w:cs="Arial"/>
                <w:b/>
                <w:bCs/>
                <w:color w:val="FFFFFF"/>
                <w:sz w:val="16"/>
                <w:szCs w:val="16"/>
                <w:lang w:eastAsia="en-AU"/>
              </w:rPr>
            </w:pPr>
            <w:r w:rsidRPr="00EA6FF8">
              <w:rPr>
                <w:rFonts w:cs="Arial"/>
                <w:b/>
                <w:bCs/>
                <w:color w:val="FFFFFF"/>
                <w:sz w:val="16"/>
                <w:szCs w:val="16"/>
                <w:lang w:eastAsia="en-AU"/>
              </w:rPr>
              <w:t> </w:t>
            </w:r>
          </w:p>
        </w:tc>
        <w:tc>
          <w:tcPr>
            <w:tcW w:w="1457" w:type="dxa"/>
            <w:gridSpan w:val="2"/>
            <w:shd w:val="clear" w:color="auto" w:fill="201547"/>
            <w:noWrap/>
            <w:hideMark/>
          </w:tcPr>
          <w:p w14:paraId="72A49F26"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2,424</w:t>
            </w:r>
          </w:p>
        </w:tc>
        <w:tc>
          <w:tcPr>
            <w:tcW w:w="1458" w:type="dxa"/>
            <w:shd w:val="clear" w:color="auto" w:fill="201547"/>
            <w:noWrap/>
            <w:hideMark/>
          </w:tcPr>
          <w:p w14:paraId="307A5C95"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w:t>
            </w:r>
          </w:p>
        </w:tc>
        <w:tc>
          <w:tcPr>
            <w:tcW w:w="1458" w:type="dxa"/>
            <w:shd w:val="clear" w:color="auto" w:fill="201547"/>
            <w:noWrap/>
            <w:hideMark/>
          </w:tcPr>
          <w:p w14:paraId="613E89A2"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w:t>
            </w:r>
          </w:p>
        </w:tc>
        <w:tc>
          <w:tcPr>
            <w:tcW w:w="1458" w:type="dxa"/>
            <w:shd w:val="clear" w:color="auto" w:fill="201547"/>
            <w:noWrap/>
            <w:hideMark/>
          </w:tcPr>
          <w:p w14:paraId="3732ECF6"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1,338</w:t>
            </w:r>
          </w:p>
        </w:tc>
        <w:tc>
          <w:tcPr>
            <w:tcW w:w="1458" w:type="dxa"/>
            <w:shd w:val="clear" w:color="auto" w:fill="201547"/>
            <w:noWrap/>
            <w:hideMark/>
          </w:tcPr>
          <w:p w14:paraId="37B95C6E"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w:t>
            </w:r>
          </w:p>
        </w:tc>
        <w:tc>
          <w:tcPr>
            <w:tcW w:w="1458" w:type="dxa"/>
            <w:shd w:val="clear" w:color="auto" w:fill="201547"/>
            <w:noWrap/>
            <w:hideMark/>
          </w:tcPr>
          <w:p w14:paraId="5D1BB13D"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w:t>
            </w:r>
          </w:p>
        </w:tc>
        <w:tc>
          <w:tcPr>
            <w:tcW w:w="1458" w:type="dxa"/>
            <w:shd w:val="clear" w:color="auto" w:fill="201547"/>
            <w:noWrap/>
            <w:hideMark/>
          </w:tcPr>
          <w:p w14:paraId="0A6B63BB"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1,141</w:t>
            </w:r>
          </w:p>
        </w:tc>
        <w:tc>
          <w:tcPr>
            <w:tcW w:w="1458" w:type="dxa"/>
            <w:shd w:val="clear" w:color="auto" w:fill="201547"/>
            <w:noWrap/>
            <w:hideMark/>
          </w:tcPr>
          <w:p w14:paraId="54DDA5FE"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0</w:t>
            </w:r>
          </w:p>
        </w:tc>
        <w:tc>
          <w:tcPr>
            <w:tcW w:w="1520" w:type="dxa"/>
            <w:shd w:val="clear" w:color="auto" w:fill="201547"/>
            <w:noWrap/>
            <w:hideMark/>
          </w:tcPr>
          <w:p w14:paraId="5635EFCB" w14:textId="77777777" w:rsidR="00EA6FF8" w:rsidRPr="00EA6FF8" w:rsidRDefault="00EA6FF8" w:rsidP="00EA6FF8">
            <w:pPr>
              <w:spacing w:after="0" w:line="240" w:lineRule="auto"/>
              <w:jc w:val="right"/>
              <w:rPr>
                <w:rFonts w:cs="Arial"/>
                <w:b/>
                <w:bCs/>
                <w:color w:val="FFFFFF"/>
                <w:sz w:val="16"/>
                <w:szCs w:val="16"/>
                <w:lang w:eastAsia="en-AU"/>
              </w:rPr>
            </w:pPr>
            <w:r w:rsidRPr="00EA6FF8">
              <w:rPr>
                <w:rFonts w:cs="Arial"/>
                <w:b/>
                <w:bCs/>
                <w:color w:val="FFFFFF"/>
                <w:sz w:val="16"/>
                <w:szCs w:val="16"/>
                <w:lang w:eastAsia="en-AU"/>
              </w:rPr>
              <w:t>2,480</w:t>
            </w:r>
          </w:p>
        </w:tc>
      </w:tr>
    </w:tbl>
    <w:p w14:paraId="5C148C46" w14:textId="77777777" w:rsidR="005D3E92" w:rsidRDefault="005D3E92" w:rsidP="00DF2CC4">
      <w:pPr>
        <w:pStyle w:val="Bodyaftertablefigure"/>
      </w:pPr>
    </w:p>
    <w:p w14:paraId="04B66276" w14:textId="6E58B494" w:rsidR="004756B4" w:rsidRDefault="004756B4" w:rsidP="00DF2CC4">
      <w:pPr>
        <w:pStyle w:val="Bodyaftertablefigure"/>
      </w:pPr>
      <w:r>
        <w:lastRenderedPageBreak/>
        <w:t>Other</w:t>
      </w:r>
    </w:p>
    <w:tbl>
      <w:tblPr>
        <w:tblStyle w:val="TableGrid1"/>
        <w:tblW w:w="15168" w:type="dxa"/>
        <w:tblLayout w:type="fixed"/>
        <w:tblLook w:val="04A0" w:firstRow="1" w:lastRow="0" w:firstColumn="1" w:lastColumn="0" w:noHBand="0" w:noVBand="1"/>
      </w:tblPr>
      <w:tblGrid>
        <w:gridCol w:w="1997"/>
        <w:gridCol w:w="1427"/>
        <w:gridCol w:w="34"/>
        <w:gridCol w:w="1463"/>
        <w:gridCol w:w="1463"/>
        <w:gridCol w:w="1463"/>
        <w:gridCol w:w="1462"/>
        <w:gridCol w:w="1463"/>
        <w:gridCol w:w="1463"/>
        <w:gridCol w:w="1463"/>
        <w:gridCol w:w="1470"/>
      </w:tblGrid>
      <w:tr w:rsidR="00DF2CC4" w:rsidRPr="00DF2CC4" w14:paraId="2E3AFB5C" w14:textId="77777777" w:rsidTr="00906968">
        <w:trPr>
          <w:cnfStyle w:val="100000000000" w:firstRow="1" w:lastRow="0" w:firstColumn="0" w:lastColumn="0" w:oddVBand="0" w:evenVBand="0" w:oddHBand="0" w:evenHBand="0" w:firstRowFirstColumn="0" w:firstRowLastColumn="0" w:lastRowFirstColumn="0" w:lastRowLastColumn="0"/>
          <w:trHeight w:val="284"/>
        </w:trPr>
        <w:tc>
          <w:tcPr>
            <w:tcW w:w="1997" w:type="dxa"/>
            <w:vMerge w:val="restart"/>
            <w:hideMark/>
          </w:tcPr>
          <w:p w14:paraId="34A50338" w14:textId="77777777" w:rsidR="00DF2CC4" w:rsidRPr="00DF2CC4" w:rsidRDefault="00DF2CC4" w:rsidP="00DF2CC4">
            <w:pPr>
              <w:spacing w:after="0" w:line="240" w:lineRule="auto"/>
              <w:rPr>
                <w:rFonts w:cs="Arial"/>
                <w:b/>
                <w:bCs/>
                <w:color w:val="FFFFFF"/>
                <w:sz w:val="16"/>
                <w:szCs w:val="16"/>
                <w:lang w:eastAsia="en-AU"/>
              </w:rPr>
            </w:pPr>
            <w:r w:rsidRPr="00DF2CC4">
              <w:rPr>
                <w:rFonts w:cs="Arial"/>
                <w:b/>
                <w:bCs/>
                <w:color w:val="FFFFFF"/>
                <w:sz w:val="16"/>
                <w:szCs w:val="16"/>
                <w:lang w:eastAsia="en-AU"/>
              </w:rPr>
              <w:t>Health Services</w:t>
            </w:r>
          </w:p>
        </w:tc>
        <w:tc>
          <w:tcPr>
            <w:tcW w:w="1427" w:type="dxa"/>
            <w:hideMark/>
          </w:tcPr>
          <w:p w14:paraId="39795AF4" w14:textId="6C49EC44" w:rsidR="00DF2CC4" w:rsidRPr="00DF2CC4" w:rsidRDefault="00DF2CC4" w:rsidP="00DF2CC4">
            <w:pPr>
              <w:spacing w:after="0" w:line="240" w:lineRule="auto"/>
              <w:jc w:val="center"/>
              <w:rPr>
                <w:rFonts w:cs="Arial"/>
                <w:b/>
                <w:bCs/>
                <w:color w:val="FFFFFF"/>
                <w:sz w:val="16"/>
                <w:szCs w:val="16"/>
                <w:lang w:eastAsia="en-AU"/>
              </w:rPr>
            </w:pPr>
            <w:r w:rsidRPr="00DF2CC4">
              <w:rPr>
                <w:rFonts w:cs="Arial"/>
                <w:b/>
                <w:bCs/>
                <w:color w:val="FFFFFF"/>
                <w:sz w:val="16"/>
                <w:szCs w:val="16"/>
                <w:lang w:eastAsia="en-AU"/>
              </w:rPr>
              <w:t>2021</w:t>
            </w:r>
            <w:r w:rsidR="002F204E" w:rsidRPr="005353E5">
              <w:rPr>
                <w:rFonts w:cs="Arial"/>
                <w:b/>
                <w:bCs/>
                <w:color w:val="FFFFFF"/>
                <w:sz w:val="16"/>
                <w:szCs w:val="16"/>
                <w:lang w:eastAsia="en-AU"/>
              </w:rPr>
              <w:t>–</w:t>
            </w:r>
            <w:r w:rsidRPr="00DF2CC4">
              <w:rPr>
                <w:rFonts w:cs="Arial"/>
                <w:b/>
                <w:bCs/>
                <w:color w:val="FFFFFF"/>
                <w:sz w:val="16"/>
                <w:szCs w:val="16"/>
                <w:lang w:eastAsia="en-AU"/>
              </w:rPr>
              <w:t>2022</w:t>
            </w:r>
          </w:p>
        </w:tc>
        <w:tc>
          <w:tcPr>
            <w:tcW w:w="11744" w:type="dxa"/>
            <w:gridSpan w:val="9"/>
            <w:hideMark/>
          </w:tcPr>
          <w:p w14:paraId="7FA313C9" w14:textId="3673EDDB" w:rsidR="00DF2CC4" w:rsidRPr="00DF2CC4" w:rsidRDefault="00DF2CC4" w:rsidP="00DF2CC4">
            <w:pPr>
              <w:spacing w:after="0" w:line="240" w:lineRule="auto"/>
              <w:jc w:val="center"/>
              <w:rPr>
                <w:rFonts w:cs="Arial"/>
                <w:b/>
                <w:bCs/>
                <w:color w:val="FFFFFF"/>
                <w:sz w:val="16"/>
                <w:szCs w:val="16"/>
                <w:lang w:eastAsia="en-AU"/>
              </w:rPr>
            </w:pPr>
            <w:r w:rsidRPr="00DF2CC4">
              <w:rPr>
                <w:rFonts w:cs="Arial"/>
                <w:b/>
                <w:bCs/>
                <w:color w:val="FFFFFF"/>
                <w:sz w:val="16"/>
                <w:szCs w:val="16"/>
                <w:lang w:eastAsia="en-AU"/>
              </w:rPr>
              <w:t>2022</w:t>
            </w:r>
            <w:r w:rsidR="002F204E" w:rsidRPr="005353E5">
              <w:rPr>
                <w:rFonts w:cs="Arial"/>
                <w:b/>
                <w:bCs/>
                <w:color w:val="FFFFFF"/>
                <w:sz w:val="16"/>
                <w:szCs w:val="16"/>
                <w:lang w:eastAsia="en-AU"/>
              </w:rPr>
              <w:t>–</w:t>
            </w:r>
            <w:r w:rsidRPr="00DF2CC4">
              <w:rPr>
                <w:rFonts w:cs="Arial"/>
                <w:b/>
                <w:bCs/>
                <w:color w:val="FFFFFF"/>
                <w:sz w:val="16"/>
                <w:szCs w:val="16"/>
                <w:lang w:eastAsia="en-AU"/>
              </w:rPr>
              <w:t>202</w:t>
            </w:r>
            <w:r w:rsidR="002F204E">
              <w:rPr>
                <w:rFonts w:cs="Arial"/>
                <w:b/>
                <w:bCs/>
                <w:color w:val="FFFFFF"/>
                <w:sz w:val="16"/>
                <w:szCs w:val="16"/>
                <w:lang w:eastAsia="en-AU"/>
              </w:rPr>
              <w:t>3</w:t>
            </w:r>
          </w:p>
        </w:tc>
      </w:tr>
      <w:tr w:rsidR="00DF2CC4" w:rsidRPr="00DF2CC4" w14:paraId="673F939F" w14:textId="77777777" w:rsidTr="00906968">
        <w:trPr>
          <w:trHeight w:val="284"/>
        </w:trPr>
        <w:tc>
          <w:tcPr>
            <w:tcW w:w="1997" w:type="dxa"/>
            <w:vMerge/>
            <w:hideMark/>
          </w:tcPr>
          <w:p w14:paraId="27C9BD48" w14:textId="77777777" w:rsidR="00DF2CC4" w:rsidRPr="00DF2CC4" w:rsidRDefault="00DF2CC4" w:rsidP="00DF2CC4">
            <w:pPr>
              <w:spacing w:after="0" w:line="240" w:lineRule="auto"/>
              <w:rPr>
                <w:rFonts w:cs="Arial"/>
                <w:b/>
                <w:bCs/>
                <w:color w:val="FFFFFF"/>
                <w:sz w:val="16"/>
                <w:szCs w:val="16"/>
                <w:lang w:eastAsia="en-AU"/>
              </w:rPr>
            </w:pPr>
          </w:p>
        </w:tc>
        <w:tc>
          <w:tcPr>
            <w:tcW w:w="1461" w:type="dxa"/>
            <w:gridSpan w:val="2"/>
            <w:shd w:val="clear" w:color="auto" w:fill="201547"/>
            <w:hideMark/>
          </w:tcPr>
          <w:p w14:paraId="016F4A3A"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 xml:space="preserve"> Total</w:t>
            </w:r>
          </w:p>
        </w:tc>
        <w:tc>
          <w:tcPr>
            <w:tcW w:w="1463" w:type="dxa"/>
            <w:shd w:val="clear" w:color="auto" w:fill="201547"/>
            <w:hideMark/>
          </w:tcPr>
          <w:p w14:paraId="257F4918"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 xml:space="preserve"> Acute</w:t>
            </w:r>
          </w:p>
        </w:tc>
        <w:tc>
          <w:tcPr>
            <w:tcW w:w="1463" w:type="dxa"/>
            <w:shd w:val="clear" w:color="auto" w:fill="201547"/>
            <w:hideMark/>
          </w:tcPr>
          <w:p w14:paraId="1F23F623"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 xml:space="preserve"> Non Acute</w:t>
            </w:r>
          </w:p>
        </w:tc>
        <w:tc>
          <w:tcPr>
            <w:tcW w:w="1463" w:type="dxa"/>
            <w:shd w:val="clear" w:color="auto" w:fill="201547"/>
            <w:hideMark/>
          </w:tcPr>
          <w:p w14:paraId="41A66894"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Ambulatory</w:t>
            </w:r>
          </w:p>
        </w:tc>
        <w:tc>
          <w:tcPr>
            <w:tcW w:w="1462" w:type="dxa"/>
            <w:shd w:val="clear" w:color="auto" w:fill="201547"/>
            <w:hideMark/>
          </w:tcPr>
          <w:p w14:paraId="2806DF61"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Psychosocial Rehabilitation &amp; Support</w:t>
            </w:r>
          </w:p>
        </w:tc>
        <w:tc>
          <w:tcPr>
            <w:tcW w:w="1463" w:type="dxa"/>
            <w:shd w:val="clear" w:color="auto" w:fill="201547"/>
            <w:hideMark/>
          </w:tcPr>
          <w:p w14:paraId="2AB453B9"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Residential</w:t>
            </w:r>
          </w:p>
        </w:tc>
        <w:tc>
          <w:tcPr>
            <w:tcW w:w="1463" w:type="dxa"/>
            <w:shd w:val="clear" w:color="auto" w:fill="201547"/>
            <w:hideMark/>
          </w:tcPr>
          <w:p w14:paraId="62FC9E9F"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Service System Capacity</w:t>
            </w:r>
          </w:p>
        </w:tc>
        <w:tc>
          <w:tcPr>
            <w:tcW w:w="1463" w:type="dxa"/>
            <w:shd w:val="clear" w:color="auto" w:fill="201547"/>
            <w:hideMark/>
          </w:tcPr>
          <w:p w14:paraId="105E1F5E" w14:textId="5302674A" w:rsidR="00DF2CC4" w:rsidRPr="00DF2CC4" w:rsidRDefault="00B24F8E"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Sub-Acute</w:t>
            </w:r>
          </w:p>
        </w:tc>
        <w:tc>
          <w:tcPr>
            <w:tcW w:w="1470" w:type="dxa"/>
            <w:shd w:val="clear" w:color="auto" w:fill="201547"/>
            <w:hideMark/>
          </w:tcPr>
          <w:p w14:paraId="05E61851"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Total</w:t>
            </w:r>
          </w:p>
        </w:tc>
      </w:tr>
      <w:tr w:rsidR="00DF2CC4" w:rsidRPr="00DF2CC4" w14:paraId="49BABC61" w14:textId="77777777" w:rsidTr="00906968">
        <w:trPr>
          <w:trHeight w:val="284"/>
        </w:trPr>
        <w:tc>
          <w:tcPr>
            <w:tcW w:w="1997" w:type="dxa"/>
            <w:vMerge/>
            <w:hideMark/>
          </w:tcPr>
          <w:p w14:paraId="0D0F1D72" w14:textId="77777777" w:rsidR="00DF2CC4" w:rsidRPr="00DF2CC4" w:rsidRDefault="00DF2CC4" w:rsidP="00DF2CC4">
            <w:pPr>
              <w:spacing w:after="0" w:line="240" w:lineRule="auto"/>
              <w:rPr>
                <w:rFonts w:cs="Arial"/>
                <w:b/>
                <w:bCs/>
                <w:color w:val="FFFFFF"/>
                <w:sz w:val="16"/>
                <w:szCs w:val="16"/>
                <w:lang w:eastAsia="en-AU"/>
              </w:rPr>
            </w:pPr>
          </w:p>
        </w:tc>
        <w:tc>
          <w:tcPr>
            <w:tcW w:w="1461" w:type="dxa"/>
            <w:gridSpan w:val="2"/>
            <w:shd w:val="clear" w:color="auto" w:fill="201547"/>
            <w:hideMark/>
          </w:tcPr>
          <w:p w14:paraId="17E95A5C"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3" w:type="dxa"/>
            <w:shd w:val="clear" w:color="auto" w:fill="201547"/>
            <w:hideMark/>
          </w:tcPr>
          <w:p w14:paraId="6E3C3AE2"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3" w:type="dxa"/>
            <w:shd w:val="clear" w:color="auto" w:fill="201547"/>
            <w:hideMark/>
          </w:tcPr>
          <w:p w14:paraId="17ABEA8A"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3" w:type="dxa"/>
            <w:shd w:val="clear" w:color="auto" w:fill="201547"/>
            <w:hideMark/>
          </w:tcPr>
          <w:p w14:paraId="39515C1E"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2" w:type="dxa"/>
            <w:shd w:val="clear" w:color="auto" w:fill="201547"/>
            <w:hideMark/>
          </w:tcPr>
          <w:p w14:paraId="0147B648"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3" w:type="dxa"/>
            <w:shd w:val="clear" w:color="auto" w:fill="201547"/>
            <w:hideMark/>
          </w:tcPr>
          <w:p w14:paraId="3728914B"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3" w:type="dxa"/>
            <w:shd w:val="clear" w:color="auto" w:fill="201547"/>
            <w:hideMark/>
          </w:tcPr>
          <w:p w14:paraId="2A5AB960"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3" w:type="dxa"/>
            <w:shd w:val="clear" w:color="auto" w:fill="201547"/>
            <w:hideMark/>
          </w:tcPr>
          <w:p w14:paraId="75864F9E"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70" w:type="dxa"/>
            <w:shd w:val="clear" w:color="auto" w:fill="201547"/>
            <w:hideMark/>
          </w:tcPr>
          <w:p w14:paraId="3CA965FF"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r>
      <w:tr w:rsidR="00DF2CC4" w:rsidRPr="00DF2CC4" w14:paraId="4ACE3E6F" w14:textId="77777777" w:rsidTr="00906968">
        <w:trPr>
          <w:trHeight w:val="284"/>
        </w:trPr>
        <w:tc>
          <w:tcPr>
            <w:tcW w:w="1997" w:type="dxa"/>
            <w:hideMark/>
          </w:tcPr>
          <w:p w14:paraId="1BD9BFCA" w14:textId="77777777" w:rsidR="00DF2CC4" w:rsidRPr="00DF2CC4" w:rsidRDefault="00DF2CC4" w:rsidP="00DF2CC4">
            <w:pPr>
              <w:spacing w:after="0" w:line="240" w:lineRule="auto"/>
              <w:rPr>
                <w:rFonts w:cs="Arial"/>
                <w:color w:val="000000"/>
                <w:sz w:val="16"/>
                <w:szCs w:val="16"/>
                <w:lang w:eastAsia="en-AU"/>
              </w:rPr>
            </w:pPr>
            <w:r w:rsidRPr="00DF2CC4">
              <w:rPr>
                <w:rFonts w:cs="Arial"/>
                <w:color w:val="000000"/>
                <w:sz w:val="16"/>
                <w:szCs w:val="16"/>
                <w:lang w:eastAsia="en-AU"/>
              </w:rPr>
              <w:t>Lyndoch Living Inc</w:t>
            </w:r>
          </w:p>
        </w:tc>
        <w:tc>
          <w:tcPr>
            <w:tcW w:w="1461" w:type="dxa"/>
            <w:gridSpan w:val="2"/>
            <w:noWrap/>
            <w:hideMark/>
          </w:tcPr>
          <w:p w14:paraId="0B9F671A"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386</w:t>
            </w:r>
          </w:p>
        </w:tc>
        <w:tc>
          <w:tcPr>
            <w:tcW w:w="1463" w:type="dxa"/>
            <w:noWrap/>
            <w:hideMark/>
          </w:tcPr>
          <w:p w14:paraId="7D430531"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0F2B2436"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0518E564"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2" w:type="dxa"/>
            <w:noWrap/>
            <w:hideMark/>
          </w:tcPr>
          <w:p w14:paraId="2724E287"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4D132D88"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395</w:t>
            </w:r>
          </w:p>
        </w:tc>
        <w:tc>
          <w:tcPr>
            <w:tcW w:w="1463" w:type="dxa"/>
            <w:noWrap/>
            <w:hideMark/>
          </w:tcPr>
          <w:p w14:paraId="73C6A819"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272BC44A"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70" w:type="dxa"/>
            <w:noWrap/>
            <w:hideMark/>
          </w:tcPr>
          <w:p w14:paraId="55161270"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395</w:t>
            </w:r>
          </w:p>
        </w:tc>
      </w:tr>
      <w:tr w:rsidR="00DF2CC4" w:rsidRPr="00DF2CC4" w14:paraId="22AF0300" w14:textId="77777777" w:rsidTr="00906968">
        <w:trPr>
          <w:trHeight w:val="284"/>
        </w:trPr>
        <w:tc>
          <w:tcPr>
            <w:tcW w:w="1997" w:type="dxa"/>
            <w:hideMark/>
          </w:tcPr>
          <w:p w14:paraId="653E09CE" w14:textId="77777777" w:rsidR="00DF2CC4" w:rsidRPr="00DF2CC4" w:rsidRDefault="00DF2CC4" w:rsidP="00DF2CC4">
            <w:pPr>
              <w:spacing w:after="0" w:line="240" w:lineRule="auto"/>
              <w:rPr>
                <w:rFonts w:cs="Arial"/>
                <w:color w:val="000000"/>
                <w:sz w:val="16"/>
                <w:szCs w:val="16"/>
                <w:lang w:eastAsia="en-AU"/>
              </w:rPr>
            </w:pPr>
            <w:r w:rsidRPr="00DF2CC4">
              <w:rPr>
                <w:rFonts w:cs="Arial"/>
                <w:color w:val="000000"/>
                <w:sz w:val="16"/>
                <w:szCs w:val="16"/>
                <w:lang w:eastAsia="en-AU"/>
              </w:rPr>
              <w:t>The Queen Elizabeth Centre</w:t>
            </w:r>
          </w:p>
        </w:tc>
        <w:tc>
          <w:tcPr>
            <w:tcW w:w="1461" w:type="dxa"/>
            <w:gridSpan w:val="2"/>
            <w:noWrap/>
            <w:hideMark/>
          </w:tcPr>
          <w:p w14:paraId="180B09BE"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138</w:t>
            </w:r>
          </w:p>
        </w:tc>
        <w:tc>
          <w:tcPr>
            <w:tcW w:w="1463" w:type="dxa"/>
            <w:noWrap/>
            <w:hideMark/>
          </w:tcPr>
          <w:p w14:paraId="7A8172B2"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531A0B1A"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2928C8C7"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2" w:type="dxa"/>
            <w:noWrap/>
            <w:hideMark/>
          </w:tcPr>
          <w:p w14:paraId="1CAB3617"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6F46C1E1"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0888D76B"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142</w:t>
            </w:r>
          </w:p>
        </w:tc>
        <w:tc>
          <w:tcPr>
            <w:tcW w:w="1463" w:type="dxa"/>
            <w:noWrap/>
            <w:hideMark/>
          </w:tcPr>
          <w:p w14:paraId="04BCCEF5"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70" w:type="dxa"/>
            <w:noWrap/>
            <w:hideMark/>
          </w:tcPr>
          <w:p w14:paraId="5A5C517D"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142</w:t>
            </w:r>
          </w:p>
        </w:tc>
      </w:tr>
      <w:tr w:rsidR="00DF2CC4" w:rsidRPr="00DF2CC4" w14:paraId="5AD70331" w14:textId="77777777" w:rsidTr="00906968">
        <w:trPr>
          <w:trHeight w:val="284"/>
        </w:trPr>
        <w:tc>
          <w:tcPr>
            <w:tcW w:w="1997" w:type="dxa"/>
            <w:hideMark/>
          </w:tcPr>
          <w:p w14:paraId="2F12E1A1" w14:textId="77777777" w:rsidR="00DF2CC4" w:rsidRPr="00DF2CC4" w:rsidRDefault="00DF2CC4" w:rsidP="00DF2CC4">
            <w:pPr>
              <w:spacing w:after="0" w:line="240" w:lineRule="auto"/>
              <w:rPr>
                <w:rFonts w:cs="Arial"/>
                <w:color w:val="000000"/>
                <w:sz w:val="16"/>
                <w:szCs w:val="16"/>
                <w:lang w:eastAsia="en-AU"/>
              </w:rPr>
            </w:pPr>
            <w:r w:rsidRPr="00DF2CC4">
              <w:rPr>
                <w:rFonts w:cs="Arial"/>
                <w:color w:val="000000"/>
                <w:sz w:val="16"/>
                <w:szCs w:val="16"/>
                <w:lang w:eastAsia="en-AU"/>
              </w:rPr>
              <w:t>Tweddle Child &amp; Family Health Service</w:t>
            </w:r>
          </w:p>
        </w:tc>
        <w:tc>
          <w:tcPr>
            <w:tcW w:w="1461" w:type="dxa"/>
            <w:gridSpan w:val="2"/>
            <w:noWrap/>
            <w:hideMark/>
          </w:tcPr>
          <w:p w14:paraId="0266B409"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142</w:t>
            </w:r>
          </w:p>
        </w:tc>
        <w:tc>
          <w:tcPr>
            <w:tcW w:w="1463" w:type="dxa"/>
            <w:noWrap/>
            <w:hideMark/>
          </w:tcPr>
          <w:p w14:paraId="391568E1"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05654EA5"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1A86BE53"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2" w:type="dxa"/>
            <w:noWrap/>
            <w:hideMark/>
          </w:tcPr>
          <w:p w14:paraId="3E403A56"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410ADA52"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586656E7"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145</w:t>
            </w:r>
          </w:p>
        </w:tc>
        <w:tc>
          <w:tcPr>
            <w:tcW w:w="1463" w:type="dxa"/>
            <w:noWrap/>
            <w:hideMark/>
          </w:tcPr>
          <w:p w14:paraId="6920B0F6"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70" w:type="dxa"/>
            <w:noWrap/>
            <w:hideMark/>
          </w:tcPr>
          <w:p w14:paraId="2631AD6D"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145</w:t>
            </w:r>
          </w:p>
        </w:tc>
      </w:tr>
      <w:tr w:rsidR="00DF2CC4" w:rsidRPr="00DF2CC4" w14:paraId="3EF29F54" w14:textId="77777777" w:rsidTr="00906968">
        <w:trPr>
          <w:trHeight w:val="284"/>
        </w:trPr>
        <w:tc>
          <w:tcPr>
            <w:tcW w:w="1997" w:type="dxa"/>
            <w:hideMark/>
          </w:tcPr>
          <w:p w14:paraId="05A24B6B" w14:textId="77777777" w:rsidR="00DF2CC4" w:rsidRPr="00DF2CC4" w:rsidRDefault="00DF2CC4" w:rsidP="00DF2CC4">
            <w:pPr>
              <w:spacing w:after="0" w:line="240" w:lineRule="auto"/>
              <w:rPr>
                <w:rFonts w:cs="Arial"/>
                <w:color w:val="000000"/>
                <w:sz w:val="16"/>
                <w:szCs w:val="16"/>
                <w:lang w:eastAsia="en-AU"/>
              </w:rPr>
            </w:pPr>
            <w:r w:rsidRPr="00DF2CC4">
              <w:rPr>
                <w:rFonts w:cs="Arial"/>
                <w:color w:val="000000"/>
                <w:sz w:val="16"/>
                <w:szCs w:val="16"/>
                <w:lang w:eastAsia="en-AU"/>
              </w:rPr>
              <w:t>Victorian Council Of Social Services</w:t>
            </w:r>
          </w:p>
        </w:tc>
        <w:tc>
          <w:tcPr>
            <w:tcW w:w="1461" w:type="dxa"/>
            <w:gridSpan w:val="2"/>
            <w:noWrap/>
            <w:hideMark/>
          </w:tcPr>
          <w:p w14:paraId="3E33E877"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203</w:t>
            </w:r>
          </w:p>
        </w:tc>
        <w:tc>
          <w:tcPr>
            <w:tcW w:w="1463" w:type="dxa"/>
            <w:noWrap/>
            <w:hideMark/>
          </w:tcPr>
          <w:p w14:paraId="6869F798"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444C5E4E"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40CAB93E"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2" w:type="dxa"/>
            <w:noWrap/>
            <w:hideMark/>
          </w:tcPr>
          <w:p w14:paraId="3C31505F"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4AE525FA"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53EEBD03"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203</w:t>
            </w:r>
          </w:p>
        </w:tc>
        <w:tc>
          <w:tcPr>
            <w:tcW w:w="1463" w:type="dxa"/>
            <w:noWrap/>
            <w:hideMark/>
          </w:tcPr>
          <w:p w14:paraId="08D60A17"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70" w:type="dxa"/>
            <w:noWrap/>
            <w:hideMark/>
          </w:tcPr>
          <w:p w14:paraId="164DBA59"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203</w:t>
            </w:r>
          </w:p>
        </w:tc>
      </w:tr>
      <w:tr w:rsidR="00DF2CC4" w:rsidRPr="00DF2CC4" w14:paraId="504C8320" w14:textId="77777777" w:rsidTr="00906968">
        <w:trPr>
          <w:trHeight w:val="284"/>
        </w:trPr>
        <w:tc>
          <w:tcPr>
            <w:tcW w:w="1997" w:type="dxa"/>
            <w:hideMark/>
          </w:tcPr>
          <w:p w14:paraId="7CD73FCA" w14:textId="77777777" w:rsidR="00DF2CC4" w:rsidRPr="00DF2CC4" w:rsidRDefault="00DF2CC4" w:rsidP="00DF2CC4">
            <w:pPr>
              <w:spacing w:after="0" w:line="240" w:lineRule="auto"/>
              <w:rPr>
                <w:rFonts w:cs="Arial"/>
                <w:color w:val="000000"/>
                <w:sz w:val="16"/>
                <w:szCs w:val="16"/>
                <w:lang w:eastAsia="en-AU"/>
              </w:rPr>
            </w:pPr>
            <w:r w:rsidRPr="00DF2CC4">
              <w:rPr>
                <w:rFonts w:cs="Arial"/>
                <w:color w:val="000000"/>
                <w:sz w:val="16"/>
                <w:szCs w:val="16"/>
                <w:lang w:eastAsia="en-AU"/>
              </w:rPr>
              <w:t>Victorian Institute Of Forensic Mental Health</w:t>
            </w:r>
          </w:p>
        </w:tc>
        <w:tc>
          <w:tcPr>
            <w:tcW w:w="1461" w:type="dxa"/>
            <w:gridSpan w:val="2"/>
            <w:noWrap/>
            <w:hideMark/>
          </w:tcPr>
          <w:p w14:paraId="68B72643"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79,545</w:t>
            </w:r>
          </w:p>
        </w:tc>
        <w:tc>
          <w:tcPr>
            <w:tcW w:w="1463" w:type="dxa"/>
            <w:noWrap/>
            <w:hideMark/>
          </w:tcPr>
          <w:p w14:paraId="5543B82C"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57,530</w:t>
            </w:r>
          </w:p>
        </w:tc>
        <w:tc>
          <w:tcPr>
            <w:tcW w:w="1463" w:type="dxa"/>
            <w:noWrap/>
            <w:hideMark/>
          </w:tcPr>
          <w:p w14:paraId="21FD560A"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2,727</w:t>
            </w:r>
          </w:p>
        </w:tc>
        <w:tc>
          <w:tcPr>
            <w:tcW w:w="1463" w:type="dxa"/>
            <w:noWrap/>
            <w:hideMark/>
          </w:tcPr>
          <w:p w14:paraId="0EDA803F"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16,268</w:t>
            </w:r>
          </w:p>
        </w:tc>
        <w:tc>
          <w:tcPr>
            <w:tcW w:w="1462" w:type="dxa"/>
            <w:noWrap/>
            <w:hideMark/>
          </w:tcPr>
          <w:p w14:paraId="6F76B6B8"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243</w:t>
            </w:r>
          </w:p>
        </w:tc>
        <w:tc>
          <w:tcPr>
            <w:tcW w:w="1463" w:type="dxa"/>
            <w:noWrap/>
            <w:hideMark/>
          </w:tcPr>
          <w:p w14:paraId="384C95C6"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63" w:type="dxa"/>
            <w:noWrap/>
            <w:hideMark/>
          </w:tcPr>
          <w:p w14:paraId="6D1A9A2E"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5,322</w:t>
            </w:r>
          </w:p>
        </w:tc>
        <w:tc>
          <w:tcPr>
            <w:tcW w:w="1463" w:type="dxa"/>
            <w:noWrap/>
            <w:hideMark/>
          </w:tcPr>
          <w:p w14:paraId="3099BAF7" w14:textId="77777777" w:rsidR="00DF2CC4" w:rsidRPr="00DF2CC4" w:rsidRDefault="00DF2CC4" w:rsidP="00DF2CC4">
            <w:pPr>
              <w:spacing w:after="0" w:line="240" w:lineRule="auto"/>
              <w:jc w:val="right"/>
              <w:rPr>
                <w:rFonts w:cs="Arial"/>
                <w:color w:val="000000"/>
                <w:sz w:val="16"/>
                <w:szCs w:val="16"/>
                <w:lang w:eastAsia="en-AU"/>
              </w:rPr>
            </w:pPr>
            <w:r w:rsidRPr="00DF2CC4">
              <w:rPr>
                <w:rFonts w:cs="Arial"/>
                <w:color w:val="000000"/>
                <w:sz w:val="16"/>
                <w:szCs w:val="16"/>
                <w:lang w:eastAsia="en-AU"/>
              </w:rPr>
              <w:t>0</w:t>
            </w:r>
          </w:p>
        </w:tc>
        <w:tc>
          <w:tcPr>
            <w:tcW w:w="1470" w:type="dxa"/>
            <w:noWrap/>
            <w:hideMark/>
          </w:tcPr>
          <w:p w14:paraId="14A67112" w14:textId="77777777" w:rsidR="00DF2CC4" w:rsidRPr="00DF2CC4" w:rsidRDefault="00DF2CC4" w:rsidP="00DF2CC4">
            <w:pPr>
              <w:spacing w:after="0" w:line="240" w:lineRule="auto"/>
              <w:jc w:val="right"/>
              <w:rPr>
                <w:rFonts w:cs="Arial"/>
                <w:b/>
                <w:bCs/>
                <w:color w:val="000000"/>
                <w:sz w:val="16"/>
                <w:szCs w:val="16"/>
                <w:lang w:eastAsia="en-AU"/>
              </w:rPr>
            </w:pPr>
            <w:r w:rsidRPr="00DF2CC4">
              <w:rPr>
                <w:rFonts w:cs="Arial"/>
                <w:b/>
                <w:bCs/>
                <w:color w:val="000000"/>
                <w:sz w:val="16"/>
                <w:szCs w:val="16"/>
                <w:lang w:eastAsia="en-AU"/>
              </w:rPr>
              <w:t>82,090</w:t>
            </w:r>
          </w:p>
        </w:tc>
      </w:tr>
      <w:tr w:rsidR="00906968" w:rsidRPr="00DF2CC4" w14:paraId="1209DA6C" w14:textId="77777777" w:rsidTr="00906968">
        <w:trPr>
          <w:trHeight w:val="284"/>
        </w:trPr>
        <w:tc>
          <w:tcPr>
            <w:tcW w:w="1997" w:type="dxa"/>
            <w:shd w:val="clear" w:color="auto" w:fill="201547"/>
            <w:noWrap/>
            <w:hideMark/>
          </w:tcPr>
          <w:p w14:paraId="224F3652" w14:textId="77777777" w:rsidR="00DF2CC4" w:rsidRPr="00DF2CC4" w:rsidRDefault="00DF2CC4" w:rsidP="00DF2CC4">
            <w:pPr>
              <w:spacing w:after="0" w:line="240" w:lineRule="auto"/>
              <w:rPr>
                <w:rFonts w:cs="Arial"/>
                <w:b/>
                <w:bCs/>
                <w:color w:val="FFFFFF"/>
                <w:sz w:val="16"/>
                <w:szCs w:val="16"/>
                <w:lang w:eastAsia="en-AU"/>
              </w:rPr>
            </w:pPr>
            <w:r w:rsidRPr="00DF2CC4">
              <w:rPr>
                <w:rFonts w:cs="Arial"/>
                <w:b/>
                <w:bCs/>
                <w:color w:val="FFFFFF"/>
                <w:sz w:val="16"/>
                <w:szCs w:val="16"/>
                <w:lang w:eastAsia="en-AU"/>
              </w:rPr>
              <w:t>Total</w:t>
            </w:r>
          </w:p>
        </w:tc>
        <w:tc>
          <w:tcPr>
            <w:tcW w:w="1461" w:type="dxa"/>
            <w:gridSpan w:val="2"/>
            <w:shd w:val="clear" w:color="auto" w:fill="201547"/>
            <w:noWrap/>
            <w:hideMark/>
          </w:tcPr>
          <w:p w14:paraId="53E3BD82"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80,415</w:t>
            </w:r>
          </w:p>
        </w:tc>
        <w:tc>
          <w:tcPr>
            <w:tcW w:w="1463" w:type="dxa"/>
            <w:shd w:val="clear" w:color="auto" w:fill="201547"/>
            <w:noWrap/>
            <w:hideMark/>
          </w:tcPr>
          <w:p w14:paraId="62E9F645"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57,530</w:t>
            </w:r>
          </w:p>
        </w:tc>
        <w:tc>
          <w:tcPr>
            <w:tcW w:w="1463" w:type="dxa"/>
            <w:shd w:val="clear" w:color="auto" w:fill="201547"/>
            <w:noWrap/>
            <w:hideMark/>
          </w:tcPr>
          <w:p w14:paraId="4499B14C"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2,727</w:t>
            </w:r>
          </w:p>
        </w:tc>
        <w:tc>
          <w:tcPr>
            <w:tcW w:w="1463" w:type="dxa"/>
            <w:shd w:val="clear" w:color="auto" w:fill="201547"/>
            <w:noWrap/>
            <w:hideMark/>
          </w:tcPr>
          <w:p w14:paraId="57339097"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16,268</w:t>
            </w:r>
          </w:p>
        </w:tc>
        <w:tc>
          <w:tcPr>
            <w:tcW w:w="1462" w:type="dxa"/>
            <w:shd w:val="clear" w:color="auto" w:fill="201547"/>
            <w:noWrap/>
            <w:hideMark/>
          </w:tcPr>
          <w:p w14:paraId="703EE4D8"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243</w:t>
            </w:r>
          </w:p>
        </w:tc>
        <w:tc>
          <w:tcPr>
            <w:tcW w:w="1463" w:type="dxa"/>
            <w:shd w:val="clear" w:color="auto" w:fill="201547"/>
            <w:noWrap/>
            <w:hideMark/>
          </w:tcPr>
          <w:p w14:paraId="37DE1334"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395</w:t>
            </w:r>
          </w:p>
        </w:tc>
        <w:tc>
          <w:tcPr>
            <w:tcW w:w="1463" w:type="dxa"/>
            <w:shd w:val="clear" w:color="auto" w:fill="201547"/>
            <w:noWrap/>
            <w:hideMark/>
          </w:tcPr>
          <w:p w14:paraId="5D93788C"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5,812</w:t>
            </w:r>
          </w:p>
        </w:tc>
        <w:tc>
          <w:tcPr>
            <w:tcW w:w="1463" w:type="dxa"/>
            <w:shd w:val="clear" w:color="auto" w:fill="201547"/>
            <w:noWrap/>
            <w:hideMark/>
          </w:tcPr>
          <w:p w14:paraId="7D8477B6"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w:t>
            </w:r>
          </w:p>
        </w:tc>
        <w:tc>
          <w:tcPr>
            <w:tcW w:w="1470" w:type="dxa"/>
            <w:shd w:val="clear" w:color="auto" w:fill="201547"/>
            <w:noWrap/>
            <w:hideMark/>
          </w:tcPr>
          <w:p w14:paraId="5DF16DB0" w14:textId="77777777" w:rsidR="00DF2CC4" w:rsidRPr="00DF2CC4" w:rsidRDefault="00DF2CC4" w:rsidP="00DF2CC4">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82,975</w:t>
            </w:r>
          </w:p>
        </w:tc>
      </w:tr>
    </w:tbl>
    <w:p w14:paraId="2D5BE52A" w14:textId="77777777" w:rsidR="004756B4" w:rsidRDefault="004756B4" w:rsidP="00C7344B">
      <w:pPr>
        <w:pStyle w:val="Bodyaftertablefigure"/>
        <w:keepNext/>
      </w:pPr>
      <w:r>
        <w:t>Combined total</w:t>
      </w:r>
    </w:p>
    <w:tbl>
      <w:tblPr>
        <w:tblStyle w:val="TableGrid1"/>
        <w:tblW w:w="15190" w:type="dxa"/>
        <w:tblInd w:w="-5" w:type="dxa"/>
        <w:tblLayout w:type="fixed"/>
        <w:tblLook w:val="04A0" w:firstRow="1" w:lastRow="0" w:firstColumn="1" w:lastColumn="0" w:noHBand="0" w:noVBand="1"/>
      </w:tblPr>
      <w:tblGrid>
        <w:gridCol w:w="1861"/>
        <w:gridCol w:w="1431"/>
        <w:gridCol w:w="33"/>
        <w:gridCol w:w="1466"/>
        <w:gridCol w:w="1467"/>
        <w:gridCol w:w="1467"/>
        <w:gridCol w:w="1466"/>
        <w:gridCol w:w="1467"/>
        <w:gridCol w:w="1467"/>
        <w:gridCol w:w="1467"/>
        <w:gridCol w:w="1592"/>
        <w:gridCol w:w="6"/>
      </w:tblGrid>
      <w:tr w:rsidR="003A68DA" w:rsidRPr="00DF2CC4" w14:paraId="71F880B6" w14:textId="77777777" w:rsidTr="005D3E92">
        <w:trPr>
          <w:cnfStyle w:val="100000000000" w:firstRow="1" w:lastRow="0" w:firstColumn="0" w:lastColumn="0" w:oddVBand="0" w:evenVBand="0" w:oddHBand="0" w:evenHBand="0" w:firstRowFirstColumn="0" w:firstRowLastColumn="0" w:lastRowFirstColumn="0" w:lastRowLastColumn="0"/>
          <w:trHeight w:val="295"/>
        </w:trPr>
        <w:tc>
          <w:tcPr>
            <w:tcW w:w="1861" w:type="dxa"/>
            <w:vMerge w:val="restart"/>
            <w:hideMark/>
          </w:tcPr>
          <w:p w14:paraId="477098AD" w14:textId="73402C5D" w:rsidR="003A68DA" w:rsidRPr="00DF2CC4" w:rsidRDefault="003A68DA" w:rsidP="00601236">
            <w:pPr>
              <w:spacing w:after="0" w:line="240" w:lineRule="auto"/>
              <w:rPr>
                <w:rFonts w:cs="Arial"/>
                <w:b/>
                <w:bCs/>
                <w:color w:val="FFFFFF"/>
                <w:sz w:val="16"/>
                <w:szCs w:val="16"/>
                <w:lang w:eastAsia="en-AU"/>
              </w:rPr>
            </w:pPr>
          </w:p>
        </w:tc>
        <w:tc>
          <w:tcPr>
            <w:tcW w:w="1431" w:type="dxa"/>
            <w:hideMark/>
          </w:tcPr>
          <w:p w14:paraId="459DF971" w14:textId="22F6C2A9" w:rsidR="003A68DA" w:rsidRPr="00DF2CC4" w:rsidRDefault="003A68DA" w:rsidP="00601236">
            <w:pPr>
              <w:spacing w:after="0" w:line="240" w:lineRule="auto"/>
              <w:jc w:val="center"/>
              <w:rPr>
                <w:rFonts w:cs="Arial"/>
                <w:b/>
                <w:bCs/>
                <w:color w:val="FFFFFF"/>
                <w:sz w:val="16"/>
                <w:szCs w:val="16"/>
                <w:lang w:eastAsia="en-AU"/>
              </w:rPr>
            </w:pPr>
            <w:r w:rsidRPr="00DF2CC4">
              <w:rPr>
                <w:rFonts w:cs="Arial"/>
                <w:b/>
                <w:bCs/>
                <w:color w:val="FFFFFF"/>
                <w:sz w:val="16"/>
                <w:szCs w:val="16"/>
                <w:lang w:eastAsia="en-AU"/>
              </w:rPr>
              <w:t>2021</w:t>
            </w:r>
            <w:r w:rsidR="002F204E" w:rsidRPr="005353E5">
              <w:rPr>
                <w:rFonts w:cs="Arial"/>
                <w:b/>
                <w:bCs/>
                <w:color w:val="FFFFFF"/>
                <w:sz w:val="16"/>
                <w:szCs w:val="16"/>
                <w:lang w:eastAsia="en-AU"/>
              </w:rPr>
              <w:t>–</w:t>
            </w:r>
            <w:r w:rsidRPr="00DF2CC4">
              <w:rPr>
                <w:rFonts w:cs="Arial"/>
                <w:b/>
                <w:bCs/>
                <w:color w:val="FFFFFF"/>
                <w:sz w:val="16"/>
                <w:szCs w:val="16"/>
                <w:lang w:eastAsia="en-AU"/>
              </w:rPr>
              <w:t>2022</w:t>
            </w:r>
          </w:p>
        </w:tc>
        <w:tc>
          <w:tcPr>
            <w:tcW w:w="11898" w:type="dxa"/>
            <w:gridSpan w:val="10"/>
            <w:hideMark/>
          </w:tcPr>
          <w:p w14:paraId="587740A9" w14:textId="10B4B573" w:rsidR="003A68DA" w:rsidRPr="00DF2CC4" w:rsidRDefault="003A68DA" w:rsidP="00601236">
            <w:pPr>
              <w:spacing w:after="0" w:line="240" w:lineRule="auto"/>
              <w:jc w:val="center"/>
              <w:rPr>
                <w:rFonts w:cs="Arial"/>
                <w:b/>
                <w:bCs/>
                <w:color w:val="FFFFFF"/>
                <w:sz w:val="16"/>
                <w:szCs w:val="16"/>
                <w:lang w:eastAsia="en-AU"/>
              </w:rPr>
            </w:pPr>
            <w:r w:rsidRPr="00DF2CC4">
              <w:rPr>
                <w:rFonts w:cs="Arial"/>
                <w:b/>
                <w:bCs/>
                <w:color w:val="FFFFFF"/>
                <w:sz w:val="16"/>
                <w:szCs w:val="16"/>
                <w:lang w:eastAsia="en-AU"/>
              </w:rPr>
              <w:t>2022</w:t>
            </w:r>
            <w:r w:rsidR="002F204E" w:rsidRPr="005353E5">
              <w:rPr>
                <w:rFonts w:cs="Arial"/>
                <w:b/>
                <w:bCs/>
                <w:color w:val="FFFFFF"/>
                <w:sz w:val="16"/>
                <w:szCs w:val="16"/>
                <w:lang w:eastAsia="en-AU"/>
              </w:rPr>
              <w:t>–</w:t>
            </w:r>
            <w:r w:rsidRPr="00DF2CC4">
              <w:rPr>
                <w:rFonts w:cs="Arial"/>
                <w:b/>
                <w:bCs/>
                <w:color w:val="FFFFFF"/>
                <w:sz w:val="16"/>
                <w:szCs w:val="16"/>
                <w:lang w:eastAsia="en-AU"/>
              </w:rPr>
              <w:t>202</w:t>
            </w:r>
            <w:r w:rsidR="002F204E">
              <w:rPr>
                <w:rFonts w:cs="Arial"/>
                <w:b/>
                <w:bCs/>
                <w:color w:val="FFFFFF"/>
                <w:sz w:val="16"/>
                <w:szCs w:val="16"/>
                <w:lang w:eastAsia="en-AU"/>
              </w:rPr>
              <w:t>3</w:t>
            </w:r>
          </w:p>
        </w:tc>
      </w:tr>
      <w:tr w:rsidR="003A68DA" w:rsidRPr="00DF2CC4" w14:paraId="56218076" w14:textId="77777777" w:rsidTr="002F204E">
        <w:trPr>
          <w:gridAfter w:val="1"/>
          <w:wAfter w:w="6" w:type="dxa"/>
          <w:trHeight w:val="632"/>
        </w:trPr>
        <w:tc>
          <w:tcPr>
            <w:tcW w:w="1861" w:type="dxa"/>
            <w:vMerge/>
            <w:hideMark/>
          </w:tcPr>
          <w:p w14:paraId="656EC6D8" w14:textId="77777777" w:rsidR="003A68DA" w:rsidRPr="00DF2CC4" w:rsidRDefault="003A68DA" w:rsidP="00601236">
            <w:pPr>
              <w:spacing w:after="0" w:line="240" w:lineRule="auto"/>
              <w:rPr>
                <w:rFonts w:cs="Arial"/>
                <w:b/>
                <w:bCs/>
                <w:color w:val="FFFFFF"/>
                <w:sz w:val="16"/>
                <w:szCs w:val="16"/>
                <w:lang w:eastAsia="en-AU"/>
              </w:rPr>
            </w:pPr>
          </w:p>
        </w:tc>
        <w:tc>
          <w:tcPr>
            <w:tcW w:w="1464" w:type="dxa"/>
            <w:gridSpan w:val="2"/>
            <w:shd w:val="clear" w:color="auto" w:fill="201547"/>
            <w:hideMark/>
          </w:tcPr>
          <w:p w14:paraId="65CF28B4"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 xml:space="preserve"> Total</w:t>
            </w:r>
          </w:p>
        </w:tc>
        <w:tc>
          <w:tcPr>
            <w:tcW w:w="1466" w:type="dxa"/>
            <w:shd w:val="clear" w:color="auto" w:fill="201547"/>
            <w:hideMark/>
          </w:tcPr>
          <w:p w14:paraId="5759723B"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 xml:space="preserve"> Acute</w:t>
            </w:r>
          </w:p>
        </w:tc>
        <w:tc>
          <w:tcPr>
            <w:tcW w:w="1467" w:type="dxa"/>
            <w:shd w:val="clear" w:color="auto" w:fill="201547"/>
            <w:hideMark/>
          </w:tcPr>
          <w:p w14:paraId="1D803068"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 xml:space="preserve"> Non Acute</w:t>
            </w:r>
          </w:p>
        </w:tc>
        <w:tc>
          <w:tcPr>
            <w:tcW w:w="1467" w:type="dxa"/>
            <w:shd w:val="clear" w:color="auto" w:fill="201547"/>
            <w:hideMark/>
          </w:tcPr>
          <w:p w14:paraId="59CDB9A1"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Ambulatory</w:t>
            </w:r>
          </w:p>
        </w:tc>
        <w:tc>
          <w:tcPr>
            <w:tcW w:w="1466" w:type="dxa"/>
            <w:shd w:val="clear" w:color="auto" w:fill="201547"/>
            <w:hideMark/>
          </w:tcPr>
          <w:p w14:paraId="44574A00"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Psychosocial Rehabilitation &amp; Support</w:t>
            </w:r>
          </w:p>
        </w:tc>
        <w:tc>
          <w:tcPr>
            <w:tcW w:w="1467" w:type="dxa"/>
            <w:shd w:val="clear" w:color="auto" w:fill="201547"/>
            <w:hideMark/>
          </w:tcPr>
          <w:p w14:paraId="63BECD25"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Residential</w:t>
            </w:r>
          </w:p>
        </w:tc>
        <w:tc>
          <w:tcPr>
            <w:tcW w:w="1467" w:type="dxa"/>
            <w:shd w:val="clear" w:color="auto" w:fill="201547"/>
            <w:hideMark/>
          </w:tcPr>
          <w:p w14:paraId="29D0FAE8"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Service System Capacity</w:t>
            </w:r>
          </w:p>
        </w:tc>
        <w:tc>
          <w:tcPr>
            <w:tcW w:w="1467" w:type="dxa"/>
            <w:shd w:val="clear" w:color="auto" w:fill="201547"/>
            <w:hideMark/>
          </w:tcPr>
          <w:p w14:paraId="5136506D" w14:textId="6007D28D" w:rsidR="003A68DA" w:rsidRPr="00DF2CC4" w:rsidRDefault="00B24F8E"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Sub-Acute</w:t>
            </w:r>
          </w:p>
        </w:tc>
        <w:tc>
          <w:tcPr>
            <w:tcW w:w="1592" w:type="dxa"/>
            <w:shd w:val="clear" w:color="auto" w:fill="201547"/>
            <w:hideMark/>
          </w:tcPr>
          <w:p w14:paraId="2BB83DA4"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Total</w:t>
            </w:r>
          </w:p>
        </w:tc>
      </w:tr>
      <w:tr w:rsidR="003A68DA" w:rsidRPr="00DF2CC4" w14:paraId="3C11002A" w14:textId="77777777" w:rsidTr="005D3E92">
        <w:trPr>
          <w:gridAfter w:val="1"/>
          <w:wAfter w:w="6" w:type="dxa"/>
          <w:trHeight w:val="295"/>
        </w:trPr>
        <w:tc>
          <w:tcPr>
            <w:tcW w:w="1861" w:type="dxa"/>
            <w:vMerge/>
            <w:hideMark/>
          </w:tcPr>
          <w:p w14:paraId="5E4A1E6F" w14:textId="77777777" w:rsidR="003A68DA" w:rsidRPr="00DF2CC4" w:rsidRDefault="003A68DA" w:rsidP="00601236">
            <w:pPr>
              <w:spacing w:after="0" w:line="240" w:lineRule="auto"/>
              <w:rPr>
                <w:rFonts w:cs="Arial"/>
                <w:b/>
                <w:bCs/>
                <w:color w:val="FFFFFF"/>
                <w:sz w:val="16"/>
                <w:szCs w:val="16"/>
                <w:lang w:eastAsia="en-AU"/>
              </w:rPr>
            </w:pPr>
          </w:p>
        </w:tc>
        <w:tc>
          <w:tcPr>
            <w:tcW w:w="1464" w:type="dxa"/>
            <w:gridSpan w:val="2"/>
            <w:shd w:val="clear" w:color="auto" w:fill="201547"/>
            <w:hideMark/>
          </w:tcPr>
          <w:p w14:paraId="5C7E73EB"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6" w:type="dxa"/>
            <w:shd w:val="clear" w:color="auto" w:fill="201547"/>
            <w:hideMark/>
          </w:tcPr>
          <w:p w14:paraId="7A31F847"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7" w:type="dxa"/>
            <w:shd w:val="clear" w:color="auto" w:fill="201547"/>
            <w:hideMark/>
          </w:tcPr>
          <w:p w14:paraId="6A0EA9EF"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7" w:type="dxa"/>
            <w:shd w:val="clear" w:color="auto" w:fill="201547"/>
            <w:hideMark/>
          </w:tcPr>
          <w:p w14:paraId="4F9A36A0"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6" w:type="dxa"/>
            <w:shd w:val="clear" w:color="auto" w:fill="201547"/>
            <w:hideMark/>
          </w:tcPr>
          <w:p w14:paraId="6A2E7B2E"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7" w:type="dxa"/>
            <w:shd w:val="clear" w:color="auto" w:fill="201547"/>
            <w:hideMark/>
          </w:tcPr>
          <w:p w14:paraId="14387280"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7" w:type="dxa"/>
            <w:shd w:val="clear" w:color="auto" w:fill="201547"/>
            <w:hideMark/>
          </w:tcPr>
          <w:p w14:paraId="548D435C"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467" w:type="dxa"/>
            <w:shd w:val="clear" w:color="auto" w:fill="201547"/>
            <w:hideMark/>
          </w:tcPr>
          <w:p w14:paraId="4A5DF65D"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c>
          <w:tcPr>
            <w:tcW w:w="1592" w:type="dxa"/>
            <w:shd w:val="clear" w:color="auto" w:fill="201547"/>
            <w:hideMark/>
          </w:tcPr>
          <w:p w14:paraId="11C134BD" w14:textId="77777777" w:rsidR="003A68DA" w:rsidRPr="00DF2CC4" w:rsidRDefault="003A68DA" w:rsidP="00601236">
            <w:pPr>
              <w:spacing w:after="0" w:line="240" w:lineRule="auto"/>
              <w:jc w:val="right"/>
              <w:rPr>
                <w:rFonts w:cs="Arial"/>
                <w:b/>
                <w:bCs/>
                <w:color w:val="FFFFFF"/>
                <w:sz w:val="16"/>
                <w:szCs w:val="16"/>
                <w:lang w:eastAsia="en-AU"/>
              </w:rPr>
            </w:pPr>
            <w:r w:rsidRPr="00DF2CC4">
              <w:rPr>
                <w:rFonts w:cs="Arial"/>
                <w:b/>
                <w:bCs/>
                <w:color w:val="FFFFFF"/>
                <w:sz w:val="16"/>
                <w:szCs w:val="16"/>
                <w:lang w:eastAsia="en-AU"/>
              </w:rPr>
              <w:t>$'000s</w:t>
            </w:r>
          </w:p>
        </w:tc>
      </w:tr>
      <w:tr w:rsidR="008A2FB1" w:rsidRPr="00B24F8E" w14:paraId="078E9282" w14:textId="77777777" w:rsidTr="005D3E92">
        <w:trPr>
          <w:gridAfter w:val="1"/>
          <w:wAfter w:w="6" w:type="dxa"/>
          <w:trHeight w:val="295"/>
        </w:trPr>
        <w:tc>
          <w:tcPr>
            <w:tcW w:w="1861" w:type="dxa"/>
            <w:hideMark/>
          </w:tcPr>
          <w:p w14:paraId="1A82113D" w14:textId="77777777" w:rsidR="008A2FB1" w:rsidRPr="00B24F8E" w:rsidRDefault="008A2FB1" w:rsidP="008A2FB1">
            <w:pPr>
              <w:spacing w:after="0" w:line="240" w:lineRule="auto"/>
              <w:rPr>
                <w:rFonts w:cs="Arial"/>
                <w:b/>
                <w:bCs/>
                <w:color w:val="000000"/>
                <w:sz w:val="16"/>
                <w:szCs w:val="16"/>
                <w:lang w:eastAsia="en-AU"/>
              </w:rPr>
            </w:pPr>
            <w:r w:rsidRPr="00B24F8E">
              <w:rPr>
                <w:rFonts w:cs="Arial"/>
                <w:b/>
                <w:bCs/>
                <w:color w:val="000000"/>
                <w:sz w:val="16"/>
                <w:szCs w:val="16"/>
                <w:lang w:eastAsia="en-AU"/>
              </w:rPr>
              <w:t>Total</w:t>
            </w:r>
          </w:p>
        </w:tc>
        <w:tc>
          <w:tcPr>
            <w:tcW w:w="1464" w:type="dxa"/>
            <w:gridSpan w:val="2"/>
            <w:noWrap/>
            <w:hideMark/>
          </w:tcPr>
          <w:p w14:paraId="0ADC004B"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1,705,489</w:t>
            </w:r>
          </w:p>
        </w:tc>
        <w:tc>
          <w:tcPr>
            <w:tcW w:w="1466" w:type="dxa"/>
            <w:noWrap/>
            <w:hideMark/>
          </w:tcPr>
          <w:p w14:paraId="3503FA63"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557,629</w:t>
            </w:r>
          </w:p>
        </w:tc>
        <w:tc>
          <w:tcPr>
            <w:tcW w:w="1467" w:type="dxa"/>
            <w:noWrap/>
            <w:hideMark/>
          </w:tcPr>
          <w:p w14:paraId="74A98A31"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34,430</w:t>
            </w:r>
          </w:p>
        </w:tc>
        <w:tc>
          <w:tcPr>
            <w:tcW w:w="1467" w:type="dxa"/>
            <w:noWrap/>
            <w:hideMark/>
          </w:tcPr>
          <w:p w14:paraId="27277F06"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919,697</w:t>
            </w:r>
          </w:p>
        </w:tc>
        <w:tc>
          <w:tcPr>
            <w:tcW w:w="1466" w:type="dxa"/>
            <w:noWrap/>
            <w:hideMark/>
          </w:tcPr>
          <w:p w14:paraId="3140E185"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30,989</w:t>
            </w:r>
          </w:p>
        </w:tc>
        <w:tc>
          <w:tcPr>
            <w:tcW w:w="1467" w:type="dxa"/>
            <w:noWrap/>
            <w:hideMark/>
          </w:tcPr>
          <w:p w14:paraId="21188B14"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21,490</w:t>
            </w:r>
          </w:p>
        </w:tc>
        <w:tc>
          <w:tcPr>
            <w:tcW w:w="1467" w:type="dxa"/>
            <w:noWrap/>
            <w:hideMark/>
          </w:tcPr>
          <w:p w14:paraId="459C36FD"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113,435</w:t>
            </w:r>
          </w:p>
        </w:tc>
        <w:tc>
          <w:tcPr>
            <w:tcW w:w="1467" w:type="dxa"/>
            <w:noWrap/>
            <w:hideMark/>
          </w:tcPr>
          <w:p w14:paraId="14F64EA5"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130,936</w:t>
            </w:r>
          </w:p>
        </w:tc>
        <w:tc>
          <w:tcPr>
            <w:tcW w:w="1592" w:type="dxa"/>
            <w:noWrap/>
            <w:hideMark/>
          </w:tcPr>
          <w:p w14:paraId="4833D566" w14:textId="77777777" w:rsidR="008A2FB1" w:rsidRPr="00B24F8E" w:rsidRDefault="008A2FB1" w:rsidP="008A2FB1">
            <w:pPr>
              <w:spacing w:after="0" w:line="240" w:lineRule="auto"/>
              <w:jc w:val="right"/>
              <w:rPr>
                <w:rFonts w:cs="Arial"/>
                <w:b/>
                <w:bCs/>
                <w:color w:val="000000"/>
                <w:sz w:val="16"/>
                <w:szCs w:val="16"/>
                <w:lang w:eastAsia="en-AU"/>
              </w:rPr>
            </w:pPr>
            <w:r w:rsidRPr="00B24F8E">
              <w:rPr>
                <w:rFonts w:cs="Arial"/>
                <w:b/>
                <w:bCs/>
                <w:color w:val="000000"/>
                <w:sz w:val="16"/>
                <w:szCs w:val="16"/>
                <w:lang w:eastAsia="en-AU"/>
              </w:rPr>
              <w:t>1,808,606</w:t>
            </w:r>
          </w:p>
        </w:tc>
      </w:tr>
    </w:tbl>
    <w:p w14:paraId="5F7043C5" w14:textId="610B5411" w:rsidR="000B27B9" w:rsidRPr="00494D61" w:rsidRDefault="000B27B9" w:rsidP="009375E0">
      <w:pPr>
        <w:pStyle w:val="Heading3"/>
        <w:spacing w:before="240"/>
      </w:pPr>
      <w:bookmarkStart w:id="1182" w:name="_Toc127192017"/>
      <w:r w:rsidRPr="00494D61">
        <w:t xml:space="preserve">Registered </w:t>
      </w:r>
      <w:r w:rsidR="00331D5D" w:rsidRPr="00494D61">
        <w:t>C</w:t>
      </w:r>
      <w:r w:rsidRPr="00494D61">
        <w:t xml:space="preserve">ommunity </w:t>
      </w:r>
      <w:r w:rsidR="00331D5D" w:rsidRPr="00494D61">
        <w:t>H</w:t>
      </w:r>
      <w:r w:rsidRPr="00494D61">
        <w:t xml:space="preserve">ealth </w:t>
      </w:r>
      <w:r w:rsidR="00331D5D" w:rsidRPr="00494D61">
        <w:t>C</w:t>
      </w:r>
      <w:r w:rsidRPr="00494D61">
        <w:t xml:space="preserve">entres </w:t>
      </w:r>
      <w:r w:rsidR="00331D5D" w:rsidRPr="00494D61">
        <w:t>B</w:t>
      </w:r>
      <w:r w:rsidRPr="00494D61">
        <w:t xml:space="preserve">udgets </w:t>
      </w:r>
      <w:bookmarkEnd w:id="1177"/>
      <w:bookmarkEnd w:id="1178"/>
      <w:bookmarkEnd w:id="1179"/>
      <w:bookmarkEnd w:id="1180"/>
      <w:r w:rsidR="005D1FCB" w:rsidRPr="00494D61">
        <w:t>2021</w:t>
      </w:r>
      <w:r w:rsidR="00751CA4" w:rsidRPr="00494D61">
        <w:t>–</w:t>
      </w:r>
      <w:r w:rsidR="005D1FCB" w:rsidRPr="00494D61">
        <w:t>22 and 2022</w:t>
      </w:r>
      <w:r w:rsidR="00751CA4" w:rsidRPr="00494D61">
        <w:t>–</w:t>
      </w:r>
      <w:r w:rsidR="005D1FCB" w:rsidRPr="00494D61">
        <w:t>23</w:t>
      </w:r>
      <w:bookmarkEnd w:id="1181"/>
      <w:bookmarkEnd w:id="1182"/>
    </w:p>
    <w:p w14:paraId="4783CA2B" w14:textId="6EFB4153" w:rsidR="000B27B9" w:rsidRDefault="000B27B9" w:rsidP="000E08EF">
      <w:pPr>
        <w:pStyle w:val="Tablecaption"/>
      </w:pPr>
      <w:bookmarkStart w:id="1183" w:name="_Toc12780564"/>
      <w:bookmarkStart w:id="1184" w:name="_Toc14194820"/>
      <w:bookmarkStart w:id="1185" w:name="_Toc33704001"/>
      <w:bookmarkStart w:id="1186" w:name="_Toc109894131"/>
      <w:bookmarkStart w:id="1187" w:name="_Toc119500912"/>
      <w:r w:rsidRPr="00494D61">
        <w:t xml:space="preserve">Table </w:t>
      </w:r>
      <w:r>
        <w:fldChar w:fldCharType="begin"/>
      </w:r>
      <w:r>
        <w:instrText>STYLEREF 1 \s</w:instrText>
      </w:r>
      <w:r>
        <w:fldChar w:fldCharType="separate"/>
      </w:r>
      <w:r w:rsidR="006D0756" w:rsidRPr="00494D61">
        <w:rPr>
          <w:noProof/>
        </w:rPr>
        <w:t>2</w:t>
      </w:r>
      <w:r>
        <w:fldChar w:fldCharType="end"/>
      </w:r>
      <w:r w:rsidR="00EC6300" w:rsidRPr="00494D61">
        <w:t>.</w:t>
      </w:r>
      <w:r>
        <w:fldChar w:fldCharType="begin"/>
      </w:r>
      <w:r>
        <w:instrText>SEQ Table \* ARABIC \s 1</w:instrText>
      </w:r>
      <w:r>
        <w:fldChar w:fldCharType="separate"/>
      </w:r>
      <w:r w:rsidR="006D0756" w:rsidRPr="00494D61">
        <w:rPr>
          <w:noProof/>
        </w:rPr>
        <w:t>5</w:t>
      </w:r>
      <w:r>
        <w:fldChar w:fldCharType="end"/>
      </w:r>
      <w:r w:rsidRPr="00494D61">
        <w:t xml:space="preserve">: Registered community expenditure budgets </w:t>
      </w:r>
      <w:bookmarkEnd w:id="1183"/>
      <w:bookmarkEnd w:id="1184"/>
      <w:bookmarkEnd w:id="1185"/>
      <w:r w:rsidR="005D1FCB" w:rsidRPr="00494D61">
        <w:t>2021</w:t>
      </w:r>
      <w:r w:rsidR="00751CA4" w:rsidRPr="00494D61">
        <w:t>–</w:t>
      </w:r>
      <w:r w:rsidR="005D1FCB" w:rsidRPr="00494D61">
        <w:t>22 and 2022</w:t>
      </w:r>
      <w:r w:rsidR="00751CA4" w:rsidRPr="00494D61">
        <w:t>–</w:t>
      </w:r>
      <w:r w:rsidR="005D1FCB" w:rsidRPr="00494D61">
        <w:t>23</w:t>
      </w:r>
      <w:bookmarkEnd w:id="1186"/>
      <w:bookmarkEnd w:id="1187"/>
    </w:p>
    <w:tbl>
      <w:tblPr>
        <w:tblStyle w:val="TableGrid1"/>
        <w:tblW w:w="14891" w:type="dxa"/>
        <w:tblLayout w:type="fixed"/>
        <w:tblLook w:val="06A0" w:firstRow="1" w:lastRow="0" w:firstColumn="1" w:lastColumn="0" w:noHBand="1" w:noVBand="1"/>
      </w:tblPr>
      <w:tblGrid>
        <w:gridCol w:w="1985"/>
        <w:gridCol w:w="921"/>
        <w:gridCol w:w="922"/>
        <w:gridCol w:w="922"/>
        <w:gridCol w:w="922"/>
        <w:gridCol w:w="922"/>
        <w:gridCol w:w="922"/>
        <w:gridCol w:w="922"/>
        <w:gridCol w:w="921"/>
        <w:gridCol w:w="922"/>
        <w:gridCol w:w="922"/>
        <w:gridCol w:w="922"/>
        <w:gridCol w:w="922"/>
        <w:gridCol w:w="922"/>
        <w:gridCol w:w="922"/>
      </w:tblGrid>
      <w:tr w:rsidR="003F053F" w:rsidRPr="003F053F" w14:paraId="2115CCD4" w14:textId="77777777" w:rsidTr="00906968">
        <w:trPr>
          <w:cnfStyle w:val="100000000000" w:firstRow="1" w:lastRow="0" w:firstColumn="0" w:lastColumn="0" w:oddVBand="0" w:evenVBand="0" w:oddHBand="0" w:evenHBand="0" w:firstRowFirstColumn="0" w:firstRowLastColumn="0" w:lastRowFirstColumn="0" w:lastRowLastColumn="0"/>
          <w:trHeight w:val="284"/>
          <w:tblHeader/>
        </w:trPr>
        <w:tc>
          <w:tcPr>
            <w:tcW w:w="1985" w:type="dxa"/>
            <w:vMerge w:val="restart"/>
            <w:hideMark/>
          </w:tcPr>
          <w:p w14:paraId="619C6A94" w14:textId="77777777" w:rsidR="003F053F" w:rsidRPr="003F053F" w:rsidRDefault="003F053F" w:rsidP="003F053F">
            <w:pPr>
              <w:spacing w:after="0" w:line="240" w:lineRule="auto"/>
              <w:rPr>
                <w:rFonts w:cs="Arial"/>
                <w:b/>
                <w:bCs/>
                <w:color w:val="FFFFFF"/>
                <w:sz w:val="16"/>
                <w:szCs w:val="16"/>
                <w:lang w:eastAsia="en-AU"/>
              </w:rPr>
            </w:pPr>
            <w:bookmarkStart w:id="1188" w:name="_Toc12780661"/>
            <w:bookmarkStart w:id="1189" w:name="_Toc14172302"/>
            <w:bookmarkStart w:id="1190" w:name="_Toc33703976"/>
            <w:bookmarkStart w:id="1191" w:name="_Toc55381164"/>
            <w:r w:rsidRPr="003F053F">
              <w:rPr>
                <w:rFonts w:cs="Arial"/>
                <w:b/>
                <w:bCs/>
                <w:color w:val="FFFFFF"/>
                <w:sz w:val="16"/>
                <w:szCs w:val="16"/>
                <w:lang w:eastAsia="en-AU"/>
              </w:rPr>
              <w:t>Health Service</w:t>
            </w:r>
          </w:p>
        </w:tc>
        <w:tc>
          <w:tcPr>
            <w:tcW w:w="6453" w:type="dxa"/>
            <w:gridSpan w:val="7"/>
            <w:noWrap/>
            <w:hideMark/>
          </w:tcPr>
          <w:p w14:paraId="48B18C61" w14:textId="3EEFA955" w:rsidR="003F053F" w:rsidRPr="003F053F" w:rsidRDefault="003F053F" w:rsidP="003F053F">
            <w:pPr>
              <w:spacing w:after="0" w:line="240" w:lineRule="auto"/>
              <w:jc w:val="center"/>
              <w:rPr>
                <w:rFonts w:cs="Arial"/>
                <w:b/>
                <w:bCs/>
                <w:color w:val="FFFFFF"/>
                <w:sz w:val="16"/>
                <w:szCs w:val="16"/>
                <w:lang w:eastAsia="en-AU"/>
              </w:rPr>
            </w:pPr>
            <w:r w:rsidRPr="003F053F">
              <w:rPr>
                <w:rFonts w:cs="Arial"/>
                <w:b/>
                <w:bCs/>
                <w:color w:val="FFFFFF"/>
                <w:sz w:val="16"/>
                <w:szCs w:val="16"/>
                <w:lang w:eastAsia="en-AU"/>
              </w:rPr>
              <w:t>2021</w:t>
            </w:r>
            <w:r w:rsidR="002F204E" w:rsidRPr="005353E5">
              <w:rPr>
                <w:rFonts w:cs="Arial"/>
                <w:b/>
                <w:bCs/>
                <w:color w:val="FFFFFF"/>
                <w:sz w:val="16"/>
                <w:szCs w:val="16"/>
                <w:lang w:eastAsia="en-AU"/>
              </w:rPr>
              <w:t>–</w:t>
            </w:r>
            <w:r w:rsidRPr="003F053F">
              <w:rPr>
                <w:rFonts w:cs="Arial"/>
                <w:b/>
                <w:bCs/>
                <w:color w:val="FFFFFF"/>
                <w:sz w:val="16"/>
                <w:szCs w:val="16"/>
                <w:lang w:eastAsia="en-AU"/>
              </w:rPr>
              <w:t>2022</w:t>
            </w:r>
          </w:p>
        </w:tc>
        <w:tc>
          <w:tcPr>
            <w:tcW w:w="6453" w:type="dxa"/>
            <w:gridSpan w:val="7"/>
            <w:noWrap/>
            <w:hideMark/>
          </w:tcPr>
          <w:p w14:paraId="5E634332" w14:textId="78528686" w:rsidR="003F053F" w:rsidRPr="003F053F" w:rsidRDefault="003F053F" w:rsidP="003F053F">
            <w:pPr>
              <w:spacing w:after="0" w:line="240" w:lineRule="auto"/>
              <w:jc w:val="center"/>
              <w:rPr>
                <w:rFonts w:cs="Arial"/>
                <w:b/>
                <w:bCs/>
                <w:color w:val="FFFFFF"/>
                <w:sz w:val="16"/>
                <w:szCs w:val="16"/>
                <w:lang w:eastAsia="en-AU"/>
              </w:rPr>
            </w:pPr>
            <w:r w:rsidRPr="003F053F">
              <w:rPr>
                <w:rFonts w:cs="Arial"/>
                <w:b/>
                <w:bCs/>
                <w:color w:val="FFFFFF"/>
                <w:sz w:val="16"/>
                <w:szCs w:val="16"/>
                <w:lang w:eastAsia="en-AU"/>
              </w:rPr>
              <w:t>2022</w:t>
            </w:r>
            <w:r w:rsidR="002F204E" w:rsidRPr="005353E5">
              <w:rPr>
                <w:rFonts w:cs="Arial"/>
                <w:b/>
                <w:bCs/>
                <w:color w:val="FFFFFF"/>
                <w:sz w:val="16"/>
                <w:szCs w:val="16"/>
                <w:lang w:eastAsia="en-AU"/>
              </w:rPr>
              <w:t>–</w:t>
            </w:r>
            <w:r w:rsidRPr="003F053F">
              <w:rPr>
                <w:rFonts w:cs="Arial"/>
                <w:b/>
                <w:bCs/>
                <w:color w:val="FFFFFF"/>
                <w:sz w:val="16"/>
                <w:szCs w:val="16"/>
                <w:lang w:eastAsia="en-AU"/>
              </w:rPr>
              <w:t>2023</w:t>
            </w:r>
          </w:p>
        </w:tc>
      </w:tr>
      <w:tr w:rsidR="003F053F" w:rsidRPr="003F053F" w14:paraId="76C363DA" w14:textId="77777777" w:rsidTr="00906968">
        <w:trPr>
          <w:trHeight w:val="284"/>
        </w:trPr>
        <w:tc>
          <w:tcPr>
            <w:tcW w:w="1985" w:type="dxa"/>
            <w:vMerge/>
            <w:hideMark/>
          </w:tcPr>
          <w:p w14:paraId="5C5F9790" w14:textId="77777777" w:rsidR="003F053F" w:rsidRPr="003F053F" w:rsidRDefault="003F053F" w:rsidP="003F053F">
            <w:pPr>
              <w:spacing w:after="0" w:line="240" w:lineRule="auto"/>
              <w:rPr>
                <w:rFonts w:cs="Arial"/>
                <w:b/>
                <w:bCs/>
                <w:color w:val="FFFFFF"/>
                <w:sz w:val="16"/>
                <w:szCs w:val="16"/>
                <w:lang w:eastAsia="en-AU"/>
              </w:rPr>
            </w:pPr>
          </w:p>
        </w:tc>
        <w:tc>
          <w:tcPr>
            <w:tcW w:w="921" w:type="dxa"/>
            <w:shd w:val="clear" w:color="auto" w:fill="201547"/>
            <w:hideMark/>
          </w:tcPr>
          <w:p w14:paraId="5A465224"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Acute Health Services</w:t>
            </w:r>
          </w:p>
        </w:tc>
        <w:tc>
          <w:tcPr>
            <w:tcW w:w="922" w:type="dxa"/>
            <w:shd w:val="clear" w:color="auto" w:fill="201547"/>
            <w:hideMark/>
          </w:tcPr>
          <w:p w14:paraId="56CA1F5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Ageing, aged and home care</w:t>
            </w:r>
          </w:p>
        </w:tc>
        <w:tc>
          <w:tcPr>
            <w:tcW w:w="922" w:type="dxa"/>
            <w:shd w:val="clear" w:color="auto" w:fill="201547"/>
            <w:hideMark/>
          </w:tcPr>
          <w:p w14:paraId="23206A60"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Drugs Services</w:t>
            </w:r>
          </w:p>
        </w:tc>
        <w:tc>
          <w:tcPr>
            <w:tcW w:w="922" w:type="dxa"/>
            <w:shd w:val="clear" w:color="auto" w:fill="201547"/>
            <w:hideMark/>
          </w:tcPr>
          <w:p w14:paraId="2D9DB9B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Mental Health</w:t>
            </w:r>
          </w:p>
        </w:tc>
        <w:tc>
          <w:tcPr>
            <w:tcW w:w="922" w:type="dxa"/>
            <w:shd w:val="clear" w:color="auto" w:fill="201547"/>
            <w:hideMark/>
          </w:tcPr>
          <w:p w14:paraId="16E9ACD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Primary and Dental Health</w:t>
            </w:r>
          </w:p>
        </w:tc>
        <w:tc>
          <w:tcPr>
            <w:tcW w:w="922" w:type="dxa"/>
            <w:shd w:val="clear" w:color="auto" w:fill="201547"/>
            <w:hideMark/>
          </w:tcPr>
          <w:p w14:paraId="1D97AEE3"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Public Health</w:t>
            </w:r>
          </w:p>
        </w:tc>
        <w:tc>
          <w:tcPr>
            <w:tcW w:w="922" w:type="dxa"/>
            <w:shd w:val="clear" w:color="auto" w:fill="201547"/>
            <w:hideMark/>
          </w:tcPr>
          <w:p w14:paraId="5F1CEF96"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 xml:space="preserve"> Total</w:t>
            </w:r>
          </w:p>
        </w:tc>
        <w:tc>
          <w:tcPr>
            <w:tcW w:w="921" w:type="dxa"/>
            <w:shd w:val="clear" w:color="auto" w:fill="201547"/>
            <w:hideMark/>
          </w:tcPr>
          <w:p w14:paraId="74204560"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Acute Health Services</w:t>
            </w:r>
          </w:p>
        </w:tc>
        <w:tc>
          <w:tcPr>
            <w:tcW w:w="922" w:type="dxa"/>
            <w:shd w:val="clear" w:color="auto" w:fill="201547"/>
            <w:hideMark/>
          </w:tcPr>
          <w:p w14:paraId="151265B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Ageing, aged and home care</w:t>
            </w:r>
          </w:p>
        </w:tc>
        <w:tc>
          <w:tcPr>
            <w:tcW w:w="922" w:type="dxa"/>
            <w:shd w:val="clear" w:color="auto" w:fill="201547"/>
            <w:hideMark/>
          </w:tcPr>
          <w:p w14:paraId="7DD40DD7"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Drugs Services</w:t>
            </w:r>
          </w:p>
        </w:tc>
        <w:tc>
          <w:tcPr>
            <w:tcW w:w="922" w:type="dxa"/>
            <w:shd w:val="clear" w:color="auto" w:fill="201547"/>
            <w:hideMark/>
          </w:tcPr>
          <w:p w14:paraId="4B23E971"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Mental Health</w:t>
            </w:r>
          </w:p>
        </w:tc>
        <w:tc>
          <w:tcPr>
            <w:tcW w:w="922" w:type="dxa"/>
            <w:shd w:val="clear" w:color="auto" w:fill="201547"/>
            <w:hideMark/>
          </w:tcPr>
          <w:p w14:paraId="3BBF631A"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Primary and Dental Health</w:t>
            </w:r>
          </w:p>
        </w:tc>
        <w:tc>
          <w:tcPr>
            <w:tcW w:w="922" w:type="dxa"/>
            <w:shd w:val="clear" w:color="auto" w:fill="201547"/>
            <w:hideMark/>
          </w:tcPr>
          <w:p w14:paraId="3849A820"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Public Health</w:t>
            </w:r>
          </w:p>
        </w:tc>
        <w:tc>
          <w:tcPr>
            <w:tcW w:w="922" w:type="dxa"/>
            <w:shd w:val="clear" w:color="auto" w:fill="201547"/>
            <w:hideMark/>
          </w:tcPr>
          <w:p w14:paraId="7CC398A1"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 xml:space="preserve"> Total</w:t>
            </w:r>
          </w:p>
        </w:tc>
      </w:tr>
      <w:tr w:rsidR="003F053F" w:rsidRPr="003F053F" w14:paraId="4002C3F2" w14:textId="77777777" w:rsidTr="00906968">
        <w:trPr>
          <w:trHeight w:val="284"/>
        </w:trPr>
        <w:tc>
          <w:tcPr>
            <w:tcW w:w="1985" w:type="dxa"/>
            <w:vMerge/>
            <w:hideMark/>
          </w:tcPr>
          <w:p w14:paraId="40DA9CB4" w14:textId="77777777" w:rsidR="003F053F" w:rsidRPr="003F053F" w:rsidRDefault="003F053F" w:rsidP="003F053F">
            <w:pPr>
              <w:spacing w:after="0" w:line="240" w:lineRule="auto"/>
              <w:rPr>
                <w:rFonts w:cs="Arial"/>
                <w:b/>
                <w:bCs/>
                <w:color w:val="FFFFFF"/>
                <w:sz w:val="16"/>
                <w:szCs w:val="16"/>
                <w:lang w:eastAsia="en-AU"/>
              </w:rPr>
            </w:pPr>
          </w:p>
        </w:tc>
        <w:tc>
          <w:tcPr>
            <w:tcW w:w="921" w:type="dxa"/>
            <w:shd w:val="clear" w:color="auto" w:fill="201547"/>
            <w:hideMark/>
          </w:tcPr>
          <w:p w14:paraId="1DBA7EA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1698CD25"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7F02B21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25764E2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46A02FEA"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0A5AFB61"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5F6A63C5"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1" w:type="dxa"/>
            <w:shd w:val="clear" w:color="auto" w:fill="201547"/>
            <w:hideMark/>
          </w:tcPr>
          <w:p w14:paraId="0F826ADD"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194A6226"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55A418AE"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1353B2FD"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0D065D58"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4837ACBE"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c>
          <w:tcPr>
            <w:tcW w:w="922" w:type="dxa"/>
            <w:shd w:val="clear" w:color="auto" w:fill="201547"/>
            <w:hideMark/>
          </w:tcPr>
          <w:p w14:paraId="1AEAE292" w14:textId="77777777" w:rsidR="003F053F" w:rsidRPr="003F053F" w:rsidRDefault="003F053F" w:rsidP="003F053F">
            <w:pPr>
              <w:spacing w:after="0" w:line="240" w:lineRule="auto"/>
              <w:jc w:val="right"/>
              <w:rPr>
                <w:rFonts w:cs="Arial"/>
                <w:b/>
                <w:bCs/>
                <w:color w:val="FFFFFF"/>
                <w:sz w:val="16"/>
                <w:szCs w:val="16"/>
                <w:lang w:eastAsia="en-AU"/>
              </w:rPr>
            </w:pPr>
            <w:r w:rsidRPr="003F053F">
              <w:rPr>
                <w:rFonts w:cs="Arial"/>
                <w:b/>
                <w:bCs/>
                <w:color w:val="FFFFFF"/>
                <w:sz w:val="16"/>
                <w:szCs w:val="16"/>
                <w:lang w:eastAsia="en-AU"/>
              </w:rPr>
              <w:t>$'000s</w:t>
            </w:r>
          </w:p>
        </w:tc>
      </w:tr>
      <w:tr w:rsidR="003F053F" w:rsidRPr="003F053F" w14:paraId="41EA2EE8" w14:textId="77777777" w:rsidTr="00906968">
        <w:trPr>
          <w:trHeight w:val="284"/>
        </w:trPr>
        <w:tc>
          <w:tcPr>
            <w:tcW w:w="1985" w:type="dxa"/>
            <w:hideMark/>
          </w:tcPr>
          <w:p w14:paraId="4523EAA3"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Access Health And Community</w:t>
            </w:r>
          </w:p>
        </w:tc>
        <w:tc>
          <w:tcPr>
            <w:tcW w:w="921" w:type="dxa"/>
            <w:noWrap/>
            <w:hideMark/>
          </w:tcPr>
          <w:p w14:paraId="0DED533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49F5E2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1,043</w:t>
            </w:r>
          </w:p>
        </w:tc>
        <w:tc>
          <w:tcPr>
            <w:tcW w:w="922" w:type="dxa"/>
            <w:noWrap/>
            <w:hideMark/>
          </w:tcPr>
          <w:p w14:paraId="50EC7FF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BF7347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5A3FF4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3,484</w:t>
            </w:r>
          </w:p>
        </w:tc>
        <w:tc>
          <w:tcPr>
            <w:tcW w:w="922" w:type="dxa"/>
            <w:noWrap/>
            <w:hideMark/>
          </w:tcPr>
          <w:p w14:paraId="2F866A3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2A69FC5"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4,527</w:t>
            </w:r>
          </w:p>
        </w:tc>
        <w:tc>
          <w:tcPr>
            <w:tcW w:w="921" w:type="dxa"/>
            <w:noWrap/>
            <w:hideMark/>
          </w:tcPr>
          <w:p w14:paraId="5D4C1AD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BAE6E8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1,067</w:t>
            </w:r>
          </w:p>
        </w:tc>
        <w:tc>
          <w:tcPr>
            <w:tcW w:w="922" w:type="dxa"/>
            <w:noWrap/>
            <w:hideMark/>
          </w:tcPr>
          <w:p w14:paraId="7DD2919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227832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0DF456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3,567</w:t>
            </w:r>
          </w:p>
        </w:tc>
        <w:tc>
          <w:tcPr>
            <w:tcW w:w="922" w:type="dxa"/>
            <w:noWrap/>
            <w:hideMark/>
          </w:tcPr>
          <w:p w14:paraId="6076A99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3557EB1"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4,634</w:t>
            </w:r>
          </w:p>
        </w:tc>
      </w:tr>
      <w:tr w:rsidR="003F053F" w:rsidRPr="003F053F" w14:paraId="500D2F1B" w14:textId="77777777" w:rsidTr="00906968">
        <w:trPr>
          <w:trHeight w:val="284"/>
        </w:trPr>
        <w:tc>
          <w:tcPr>
            <w:tcW w:w="1985" w:type="dxa"/>
            <w:hideMark/>
          </w:tcPr>
          <w:p w14:paraId="5016559E"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Ballarat Community Health</w:t>
            </w:r>
          </w:p>
        </w:tc>
        <w:tc>
          <w:tcPr>
            <w:tcW w:w="921" w:type="dxa"/>
            <w:noWrap/>
            <w:hideMark/>
          </w:tcPr>
          <w:p w14:paraId="03DF785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72</w:t>
            </w:r>
          </w:p>
        </w:tc>
        <w:tc>
          <w:tcPr>
            <w:tcW w:w="922" w:type="dxa"/>
            <w:noWrap/>
            <w:hideMark/>
          </w:tcPr>
          <w:p w14:paraId="2F18C20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455</w:t>
            </w:r>
          </w:p>
        </w:tc>
        <w:tc>
          <w:tcPr>
            <w:tcW w:w="922" w:type="dxa"/>
            <w:noWrap/>
            <w:hideMark/>
          </w:tcPr>
          <w:p w14:paraId="63D85C4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3,394</w:t>
            </w:r>
          </w:p>
        </w:tc>
        <w:tc>
          <w:tcPr>
            <w:tcW w:w="922" w:type="dxa"/>
            <w:noWrap/>
            <w:hideMark/>
          </w:tcPr>
          <w:p w14:paraId="7E58486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761</w:t>
            </w:r>
          </w:p>
        </w:tc>
        <w:tc>
          <w:tcPr>
            <w:tcW w:w="922" w:type="dxa"/>
            <w:noWrap/>
            <w:hideMark/>
          </w:tcPr>
          <w:p w14:paraId="1BDDD3D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3,185</w:t>
            </w:r>
          </w:p>
        </w:tc>
        <w:tc>
          <w:tcPr>
            <w:tcW w:w="922" w:type="dxa"/>
            <w:noWrap/>
            <w:hideMark/>
          </w:tcPr>
          <w:p w14:paraId="2814728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273</w:t>
            </w:r>
          </w:p>
        </w:tc>
        <w:tc>
          <w:tcPr>
            <w:tcW w:w="922" w:type="dxa"/>
            <w:noWrap/>
            <w:hideMark/>
          </w:tcPr>
          <w:p w14:paraId="3379E727"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8,141</w:t>
            </w:r>
          </w:p>
        </w:tc>
        <w:tc>
          <w:tcPr>
            <w:tcW w:w="921" w:type="dxa"/>
            <w:noWrap/>
            <w:hideMark/>
          </w:tcPr>
          <w:p w14:paraId="66A59BA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74</w:t>
            </w:r>
          </w:p>
        </w:tc>
        <w:tc>
          <w:tcPr>
            <w:tcW w:w="922" w:type="dxa"/>
            <w:noWrap/>
            <w:hideMark/>
          </w:tcPr>
          <w:p w14:paraId="7A5169B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466</w:t>
            </w:r>
          </w:p>
        </w:tc>
        <w:tc>
          <w:tcPr>
            <w:tcW w:w="922" w:type="dxa"/>
            <w:noWrap/>
            <w:hideMark/>
          </w:tcPr>
          <w:p w14:paraId="2051DB6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3,601</w:t>
            </w:r>
          </w:p>
        </w:tc>
        <w:tc>
          <w:tcPr>
            <w:tcW w:w="922" w:type="dxa"/>
            <w:noWrap/>
            <w:hideMark/>
          </w:tcPr>
          <w:p w14:paraId="7F5B391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888</w:t>
            </w:r>
          </w:p>
        </w:tc>
        <w:tc>
          <w:tcPr>
            <w:tcW w:w="922" w:type="dxa"/>
            <w:noWrap/>
            <w:hideMark/>
          </w:tcPr>
          <w:p w14:paraId="69A9068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3,267</w:t>
            </w:r>
          </w:p>
        </w:tc>
        <w:tc>
          <w:tcPr>
            <w:tcW w:w="922" w:type="dxa"/>
            <w:noWrap/>
            <w:hideMark/>
          </w:tcPr>
          <w:p w14:paraId="146D7D9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280</w:t>
            </w:r>
          </w:p>
        </w:tc>
        <w:tc>
          <w:tcPr>
            <w:tcW w:w="922" w:type="dxa"/>
            <w:noWrap/>
            <w:hideMark/>
          </w:tcPr>
          <w:p w14:paraId="47778A9B"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8,575</w:t>
            </w:r>
          </w:p>
        </w:tc>
      </w:tr>
      <w:tr w:rsidR="003F053F" w:rsidRPr="003F053F" w14:paraId="2A237002" w14:textId="77777777" w:rsidTr="00906968">
        <w:trPr>
          <w:trHeight w:val="284"/>
        </w:trPr>
        <w:tc>
          <w:tcPr>
            <w:tcW w:w="1985" w:type="dxa"/>
            <w:hideMark/>
          </w:tcPr>
          <w:p w14:paraId="24D4EDA3"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lastRenderedPageBreak/>
              <w:t>Banyule Community Health</w:t>
            </w:r>
          </w:p>
        </w:tc>
        <w:tc>
          <w:tcPr>
            <w:tcW w:w="921" w:type="dxa"/>
            <w:noWrap/>
            <w:hideMark/>
          </w:tcPr>
          <w:p w14:paraId="17AD3CF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C09874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628</w:t>
            </w:r>
          </w:p>
        </w:tc>
        <w:tc>
          <w:tcPr>
            <w:tcW w:w="922" w:type="dxa"/>
            <w:noWrap/>
            <w:hideMark/>
          </w:tcPr>
          <w:p w14:paraId="4497B90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BA26D0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13E834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3,578</w:t>
            </w:r>
          </w:p>
        </w:tc>
        <w:tc>
          <w:tcPr>
            <w:tcW w:w="922" w:type="dxa"/>
            <w:noWrap/>
            <w:hideMark/>
          </w:tcPr>
          <w:p w14:paraId="064043A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A6FD19A"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4,206</w:t>
            </w:r>
          </w:p>
        </w:tc>
        <w:tc>
          <w:tcPr>
            <w:tcW w:w="921" w:type="dxa"/>
            <w:noWrap/>
            <w:hideMark/>
          </w:tcPr>
          <w:p w14:paraId="5EC8F7C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ED690A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642</w:t>
            </w:r>
          </w:p>
        </w:tc>
        <w:tc>
          <w:tcPr>
            <w:tcW w:w="922" w:type="dxa"/>
            <w:noWrap/>
            <w:hideMark/>
          </w:tcPr>
          <w:p w14:paraId="6877CD6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70EC7F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D1B5F9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3,244</w:t>
            </w:r>
          </w:p>
        </w:tc>
        <w:tc>
          <w:tcPr>
            <w:tcW w:w="922" w:type="dxa"/>
            <w:noWrap/>
            <w:hideMark/>
          </w:tcPr>
          <w:p w14:paraId="4E2F41E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5FF31BA"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3,886</w:t>
            </w:r>
          </w:p>
        </w:tc>
      </w:tr>
      <w:tr w:rsidR="003F053F" w:rsidRPr="003F053F" w14:paraId="2A776580" w14:textId="77777777" w:rsidTr="00906968">
        <w:trPr>
          <w:trHeight w:val="284"/>
        </w:trPr>
        <w:tc>
          <w:tcPr>
            <w:tcW w:w="1985" w:type="dxa"/>
            <w:hideMark/>
          </w:tcPr>
          <w:p w14:paraId="2C8CC27C"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Bellarine Community Health Ltd</w:t>
            </w:r>
          </w:p>
        </w:tc>
        <w:tc>
          <w:tcPr>
            <w:tcW w:w="921" w:type="dxa"/>
            <w:noWrap/>
            <w:hideMark/>
          </w:tcPr>
          <w:p w14:paraId="2F0DED0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595</w:t>
            </w:r>
          </w:p>
        </w:tc>
        <w:tc>
          <w:tcPr>
            <w:tcW w:w="922" w:type="dxa"/>
            <w:noWrap/>
            <w:hideMark/>
          </w:tcPr>
          <w:p w14:paraId="444A370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734</w:t>
            </w:r>
          </w:p>
        </w:tc>
        <w:tc>
          <w:tcPr>
            <w:tcW w:w="922" w:type="dxa"/>
            <w:noWrap/>
            <w:hideMark/>
          </w:tcPr>
          <w:p w14:paraId="6E2DBE1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BE25B2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5D10A6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2,519</w:t>
            </w:r>
          </w:p>
        </w:tc>
        <w:tc>
          <w:tcPr>
            <w:tcW w:w="922" w:type="dxa"/>
            <w:noWrap/>
            <w:hideMark/>
          </w:tcPr>
          <w:p w14:paraId="1F8882F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314C8AB"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3,848</w:t>
            </w:r>
          </w:p>
        </w:tc>
        <w:tc>
          <w:tcPr>
            <w:tcW w:w="921" w:type="dxa"/>
            <w:noWrap/>
            <w:hideMark/>
          </w:tcPr>
          <w:p w14:paraId="5F6335E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609</w:t>
            </w:r>
          </w:p>
        </w:tc>
        <w:tc>
          <w:tcPr>
            <w:tcW w:w="922" w:type="dxa"/>
            <w:noWrap/>
            <w:hideMark/>
          </w:tcPr>
          <w:p w14:paraId="7C1749A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808</w:t>
            </w:r>
          </w:p>
        </w:tc>
        <w:tc>
          <w:tcPr>
            <w:tcW w:w="922" w:type="dxa"/>
            <w:noWrap/>
            <w:hideMark/>
          </w:tcPr>
          <w:p w14:paraId="2470DBF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8B26B6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FCFAA8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2,585</w:t>
            </w:r>
          </w:p>
        </w:tc>
        <w:tc>
          <w:tcPr>
            <w:tcW w:w="922" w:type="dxa"/>
            <w:noWrap/>
            <w:hideMark/>
          </w:tcPr>
          <w:p w14:paraId="2CCEFCC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BC3328F"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4,003</w:t>
            </w:r>
          </w:p>
        </w:tc>
      </w:tr>
      <w:tr w:rsidR="003F053F" w:rsidRPr="003F053F" w14:paraId="3F3237FA" w14:textId="77777777" w:rsidTr="00906968">
        <w:trPr>
          <w:trHeight w:val="284"/>
        </w:trPr>
        <w:tc>
          <w:tcPr>
            <w:tcW w:w="1985" w:type="dxa"/>
            <w:hideMark/>
          </w:tcPr>
          <w:p w14:paraId="417DB944"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Bendigo Community Health Services Limited</w:t>
            </w:r>
          </w:p>
        </w:tc>
        <w:tc>
          <w:tcPr>
            <w:tcW w:w="921" w:type="dxa"/>
            <w:noWrap/>
            <w:hideMark/>
          </w:tcPr>
          <w:p w14:paraId="0F39306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002E34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195</w:t>
            </w:r>
          </w:p>
        </w:tc>
        <w:tc>
          <w:tcPr>
            <w:tcW w:w="922" w:type="dxa"/>
            <w:noWrap/>
            <w:hideMark/>
          </w:tcPr>
          <w:p w14:paraId="29D6821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4,950</w:t>
            </w:r>
          </w:p>
        </w:tc>
        <w:tc>
          <w:tcPr>
            <w:tcW w:w="922" w:type="dxa"/>
            <w:noWrap/>
            <w:hideMark/>
          </w:tcPr>
          <w:p w14:paraId="2549C85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141</w:t>
            </w:r>
          </w:p>
        </w:tc>
        <w:tc>
          <w:tcPr>
            <w:tcW w:w="922" w:type="dxa"/>
            <w:noWrap/>
            <w:hideMark/>
          </w:tcPr>
          <w:p w14:paraId="1A982BA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3,995</w:t>
            </w:r>
          </w:p>
        </w:tc>
        <w:tc>
          <w:tcPr>
            <w:tcW w:w="922" w:type="dxa"/>
            <w:noWrap/>
            <w:hideMark/>
          </w:tcPr>
          <w:p w14:paraId="5ACF119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336</w:t>
            </w:r>
          </w:p>
        </w:tc>
        <w:tc>
          <w:tcPr>
            <w:tcW w:w="922" w:type="dxa"/>
            <w:noWrap/>
            <w:hideMark/>
          </w:tcPr>
          <w:p w14:paraId="54E28D9E"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9,617</w:t>
            </w:r>
          </w:p>
        </w:tc>
        <w:tc>
          <w:tcPr>
            <w:tcW w:w="921" w:type="dxa"/>
            <w:noWrap/>
            <w:hideMark/>
          </w:tcPr>
          <w:p w14:paraId="125FD65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1AEAFA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200</w:t>
            </w:r>
          </w:p>
        </w:tc>
        <w:tc>
          <w:tcPr>
            <w:tcW w:w="922" w:type="dxa"/>
            <w:noWrap/>
            <w:hideMark/>
          </w:tcPr>
          <w:p w14:paraId="25968B8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5,196</w:t>
            </w:r>
          </w:p>
        </w:tc>
        <w:tc>
          <w:tcPr>
            <w:tcW w:w="922" w:type="dxa"/>
            <w:noWrap/>
            <w:hideMark/>
          </w:tcPr>
          <w:p w14:paraId="1B73109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144</w:t>
            </w:r>
          </w:p>
        </w:tc>
        <w:tc>
          <w:tcPr>
            <w:tcW w:w="922" w:type="dxa"/>
            <w:noWrap/>
            <w:hideMark/>
          </w:tcPr>
          <w:p w14:paraId="2851105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3,799</w:t>
            </w:r>
          </w:p>
        </w:tc>
        <w:tc>
          <w:tcPr>
            <w:tcW w:w="922" w:type="dxa"/>
            <w:noWrap/>
            <w:hideMark/>
          </w:tcPr>
          <w:p w14:paraId="48ED4B2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344</w:t>
            </w:r>
          </w:p>
        </w:tc>
        <w:tc>
          <w:tcPr>
            <w:tcW w:w="922" w:type="dxa"/>
            <w:noWrap/>
            <w:hideMark/>
          </w:tcPr>
          <w:p w14:paraId="5269C833"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9,683</w:t>
            </w:r>
          </w:p>
        </w:tc>
      </w:tr>
      <w:tr w:rsidR="003F053F" w:rsidRPr="003F053F" w14:paraId="10D0B9E5" w14:textId="77777777" w:rsidTr="00906968">
        <w:trPr>
          <w:trHeight w:val="284"/>
        </w:trPr>
        <w:tc>
          <w:tcPr>
            <w:tcW w:w="1985" w:type="dxa"/>
            <w:hideMark/>
          </w:tcPr>
          <w:p w14:paraId="049A376F"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Bentleigh Bayside Community Health</w:t>
            </w:r>
          </w:p>
        </w:tc>
        <w:tc>
          <w:tcPr>
            <w:tcW w:w="921" w:type="dxa"/>
            <w:noWrap/>
            <w:hideMark/>
          </w:tcPr>
          <w:p w14:paraId="2B4D46F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EA90B1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339</w:t>
            </w:r>
          </w:p>
        </w:tc>
        <w:tc>
          <w:tcPr>
            <w:tcW w:w="922" w:type="dxa"/>
            <w:noWrap/>
            <w:hideMark/>
          </w:tcPr>
          <w:p w14:paraId="461B272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AB9ED0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9C78BB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2,442</w:t>
            </w:r>
          </w:p>
        </w:tc>
        <w:tc>
          <w:tcPr>
            <w:tcW w:w="922" w:type="dxa"/>
            <w:noWrap/>
            <w:hideMark/>
          </w:tcPr>
          <w:p w14:paraId="2748120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2E92809"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2,781</w:t>
            </w:r>
          </w:p>
        </w:tc>
        <w:tc>
          <w:tcPr>
            <w:tcW w:w="921" w:type="dxa"/>
            <w:noWrap/>
            <w:hideMark/>
          </w:tcPr>
          <w:p w14:paraId="15B1944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892F5D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347</w:t>
            </w:r>
          </w:p>
        </w:tc>
        <w:tc>
          <w:tcPr>
            <w:tcW w:w="922" w:type="dxa"/>
            <w:noWrap/>
            <w:hideMark/>
          </w:tcPr>
          <w:p w14:paraId="18EDDE7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87D7A1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0C28B6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2,500</w:t>
            </w:r>
          </w:p>
        </w:tc>
        <w:tc>
          <w:tcPr>
            <w:tcW w:w="922" w:type="dxa"/>
            <w:noWrap/>
            <w:hideMark/>
          </w:tcPr>
          <w:p w14:paraId="426B5C7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BC71DD8"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2,847</w:t>
            </w:r>
          </w:p>
        </w:tc>
      </w:tr>
      <w:tr w:rsidR="003F053F" w:rsidRPr="003F053F" w14:paraId="3C8B61EA" w14:textId="77777777" w:rsidTr="00906968">
        <w:trPr>
          <w:trHeight w:val="284"/>
        </w:trPr>
        <w:tc>
          <w:tcPr>
            <w:tcW w:w="1985" w:type="dxa"/>
            <w:hideMark/>
          </w:tcPr>
          <w:p w14:paraId="3278322D"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Bhn Better Health Network Ltd</w:t>
            </w:r>
          </w:p>
        </w:tc>
        <w:tc>
          <w:tcPr>
            <w:tcW w:w="921" w:type="dxa"/>
            <w:noWrap/>
            <w:hideMark/>
          </w:tcPr>
          <w:p w14:paraId="4829B3B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1,983</w:t>
            </w:r>
          </w:p>
        </w:tc>
        <w:tc>
          <w:tcPr>
            <w:tcW w:w="922" w:type="dxa"/>
            <w:noWrap/>
            <w:hideMark/>
          </w:tcPr>
          <w:p w14:paraId="02E0B61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2,532</w:t>
            </w:r>
          </w:p>
        </w:tc>
        <w:tc>
          <w:tcPr>
            <w:tcW w:w="922" w:type="dxa"/>
            <w:noWrap/>
            <w:hideMark/>
          </w:tcPr>
          <w:p w14:paraId="01B59FA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4,080</w:t>
            </w:r>
          </w:p>
        </w:tc>
        <w:tc>
          <w:tcPr>
            <w:tcW w:w="922" w:type="dxa"/>
            <w:noWrap/>
            <w:hideMark/>
          </w:tcPr>
          <w:p w14:paraId="2FBB0F6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w:t>
            </w:r>
          </w:p>
        </w:tc>
        <w:tc>
          <w:tcPr>
            <w:tcW w:w="922" w:type="dxa"/>
            <w:noWrap/>
            <w:hideMark/>
          </w:tcPr>
          <w:p w14:paraId="364AE0A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4,775</w:t>
            </w:r>
          </w:p>
        </w:tc>
        <w:tc>
          <w:tcPr>
            <w:tcW w:w="922" w:type="dxa"/>
            <w:noWrap/>
            <w:hideMark/>
          </w:tcPr>
          <w:p w14:paraId="7199D4C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781</w:t>
            </w:r>
          </w:p>
        </w:tc>
        <w:tc>
          <w:tcPr>
            <w:tcW w:w="922" w:type="dxa"/>
            <w:noWrap/>
            <w:hideMark/>
          </w:tcPr>
          <w:p w14:paraId="35852CF7"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14,153</w:t>
            </w:r>
          </w:p>
        </w:tc>
        <w:tc>
          <w:tcPr>
            <w:tcW w:w="921" w:type="dxa"/>
            <w:noWrap/>
            <w:hideMark/>
          </w:tcPr>
          <w:p w14:paraId="511AC2A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2,028</w:t>
            </w:r>
          </w:p>
        </w:tc>
        <w:tc>
          <w:tcPr>
            <w:tcW w:w="922" w:type="dxa"/>
            <w:noWrap/>
            <w:hideMark/>
          </w:tcPr>
          <w:p w14:paraId="0AA9EF4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2,594</w:t>
            </w:r>
          </w:p>
        </w:tc>
        <w:tc>
          <w:tcPr>
            <w:tcW w:w="922" w:type="dxa"/>
            <w:noWrap/>
            <w:hideMark/>
          </w:tcPr>
          <w:p w14:paraId="344D97F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4,761</w:t>
            </w:r>
          </w:p>
        </w:tc>
        <w:tc>
          <w:tcPr>
            <w:tcW w:w="922" w:type="dxa"/>
            <w:noWrap/>
            <w:hideMark/>
          </w:tcPr>
          <w:p w14:paraId="1FCBAD6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w:t>
            </w:r>
          </w:p>
        </w:tc>
        <w:tc>
          <w:tcPr>
            <w:tcW w:w="922" w:type="dxa"/>
            <w:noWrap/>
            <w:hideMark/>
          </w:tcPr>
          <w:p w14:paraId="63C83DF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4,897</w:t>
            </w:r>
          </w:p>
        </w:tc>
        <w:tc>
          <w:tcPr>
            <w:tcW w:w="922" w:type="dxa"/>
            <w:noWrap/>
            <w:hideMark/>
          </w:tcPr>
          <w:p w14:paraId="13FE9FC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801</w:t>
            </w:r>
          </w:p>
        </w:tc>
        <w:tc>
          <w:tcPr>
            <w:tcW w:w="922" w:type="dxa"/>
            <w:noWrap/>
            <w:hideMark/>
          </w:tcPr>
          <w:p w14:paraId="2A45383E"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15,084</w:t>
            </w:r>
          </w:p>
        </w:tc>
      </w:tr>
      <w:tr w:rsidR="003F053F" w:rsidRPr="003F053F" w14:paraId="40350E5E" w14:textId="77777777" w:rsidTr="00906968">
        <w:trPr>
          <w:trHeight w:val="284"/>
        </w:trPr>
        <w:tc>
          <w:tcPr>
            <w:tcW w:w="1985" w:type="dxa"/>
            <w:hideMark/>
          </w:tcPr>
          <w:p w14:paraId="4A381B1C"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Central Bayside Community Health Services Limited</w:t>
            </w:r>
          </w:p>
        </w:tc>
        <w:tc>
          <w:tcPr>
            <w:tcW w:w="921" w:type="dxa"/>
            <w:noWrap/>
            <w:hideMark/>
          </w:tcPr>
          <w:p w14:paraId="6574D77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E7BB9D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612</w:t>
            </w:r>
          </w:p>
        </w:tc>
        <w:tc>
          <w:tcPr>
            <w:tcW w:w="922" w:type="dxa"/>
            <w:noWrap/>
            <w:hideMark/>
          </w:tcPr>
          <w:p w14:paraId="7B95485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906212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B31C6E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3,721</w:t>
            </w:r>
          </w:p>
        </w:tc>
        <w:tc>
          <w:tcPr>
            <w:tcW w:w="922" w:type="dxa"/>
            <w:noWrap/>
            <w:hideMark/>
          </w:tcPr>
          <w:p w14:paraId="6FA7820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834FE2C"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4,333</w:t>
            </w:r>
          </w:p>
        </w:tc>
        <w:tc>
          <w:tcPr>
            <w:tcW w:w="921" w:type="dxa"/>
            <w:noWrap/>
            <w:hideMark/>
          </w:tcPr>
          <w:p w14:paraId="7407A28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3F3900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626</w:t>
            </w:r>
          </w:p>
        </w:tc>
        <w:tc>
          <w:tcPr>
            <w:tcW w:w="922" w:type="dxa"/>
            <w:noWrap/>
            <w:hideMark/>
          </w:tcPr>
          <w:p w14:paraId="11EA2FB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03670E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3952DF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3,127</w:t>
            </w:r>
          </w:p>
        </w:tc>
        <w:tc>
          <w:tcPr>
            <w:tcW w:w="922" w:type="dxa"/>
            <w:noWrap/>
            <w:hideMark/>
          </w:tcPr>
          <w:p w14:paraId="2D107E5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CCAEEB9"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3,753</w:t>
            </w:r>
          </w:p>
        </w:tc>
      </w:tr>
      <w:tr w:rsidR="003F053F" w:rsidRPr="003F053F" w14:paraId="39BBBEFB" w14:textId="77777777" w:rsidTr="00906968">
        <w:trPr>
          <w:trHeight w:val="284"/>
        </w:trPr>
        <w:tc>
          <w:tcPr>
            <w:tcW w:w="1985" w:type="dxa"/>
            <w:hideMark/>
          </w:tcPr>
          <w:p w14:paraId="4E74FA00"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Cohealth Limited</w:t>
            </w:r>
          </w:p>
        </w:tc>
        <w:tc>
          <w:tcPr>
            <w:tcW w:w="921" w:type="dxa"/>
            <w:noWrap/>
            <w:hideMark/>
          </w:tcPr>
          <w:p w14:paraId="78A7A14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1E2DB0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6,217</w:t>
            </w:r>
          </w:p>
        </w:tc>
        <w:tc>
          <w:tcPr>
            <w:tcW w:w="922" w:type="dxa"/>
            <w:noWrap/>
            <w:hideMark/>
          </w:tcPr>
          <w:p w14:paraId="06F8E12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6,262</w:t>
            </w:r>
          </w:p>
        </w:tc>
        <w:tc>
          <w:tcPr>
            <w:tcW w:w="922" w:type="dxa"/>
            <w:noWrap/>
            <w:hideMark/>
          </w:tcPr>
          <w:p w14:paraId="14E3421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5,136</w:t>
            </w:r>
          </w:p>
        </w:tc>
        <w:tc>
          <w:tcPr>
            <w:tcW w:w="922" w:type="dxa"/>
            <w:noWrap/>
            <w:hideMark/>
          </w:tcPr>
          <w:p w14:paraId="6D6AE51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11,413</w:t>
            </w:r>
          </w:p>
        </w:tc>
        <w:tc>
          <w:tcPr>
            <w:tcW w:w="922" w:type="dxa"/>
            <w:noWrap/>
            <w:hideMark/>
          </w:tcPr>
          <w:p w14:paraId="38E3657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131</w:t>
            </w:r>
          </w:p>
        </w:tc>
        <w:tc>
          <w:tcPr>
            <w:tcW w:w="922" w:type="dxa"/>
            <w:noWrap/>
            <w:hideMark/>
          </w:tcPr>
          <w:p w14:paraId="06B781FC"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29,159</w:t>
            </w:r>
          </w:p>
        </w:tc>
        <w:tc>
          <w:tcPr>
            <w:tcW w:w="921" w:type="dxa"/>
            <w:noWrap/>
            <w:hideMark/>
          </w:tcPr>
          <w:p w14:paraId="4902638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BB1411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6,367</w:t>
            </w:r>
          </w:p>
        </w:tc>
        <w:tc>
          <w:tcPr>
            <w:tcW w:w="922" w:type="dxa"/>
            <w:noWrap/>
            <w:hideMark/>
          </w:tcPr>
          <w:p w14:paraId="5A1A92F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8,831</w:t>
            </w:r>
          </w:p>
        </w:tc>
        <w:tc>
          <w:tcPr>
            <w:tcW w:w="922" w:type="dxa"/>
            <w:noWrap/>
            <w:hideMark/>
          </w:tcPr>
          <w:p w14:paraId="488469B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6,133</w:t>
            </w:r>
          </w:p>
        </w:tc>
        <w:tc>
          <w:tcPr>
            <w:tcW w:w="922" w:type="dxa"/>
            <w:noWrap/>
            <w:hideMark/>
          </w:tcPr>
          <w:p w14:paraId="1AD776F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12,029</w:t>
            </w:r>
          </w:p>
        </w:tc>
        <w:tc>
          <w:tcPr>
            <w:tcW w:w="922" w:type="dxa"/>
            <w:noWrap/>
            <w:hideMark/>
          </w:tcPr>
          <w:p w14:paraId="56FC403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134</w:t>
            </w:r>
          </w:p>
        </w:tc>
        <w:tc>
          <w:tcPr>
            <w:tcW w:w="922" w:type="dxa"/>
            <w:noWrap/>
            <w:hideMark/>
          </w:tcPr>
          <w:p w14:paraId="26377CCE"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33,494</w:t>
            </w:r>
          </w:p>
        </w:tc>
      </w:tr>
      <w:tr w:rsidR="003F053F" w:rsidRPr="003F053F" w14:paraId="28E7E09E" w14:textId="77777777" w:rsidTr="00906968">
        <w:trPr>
          <w:trHeight w:val="284"/>
        </w:trPr>
        <w:tc>
          <w:tcPr>
            <w:tcW w:w="1985" w:type="dxa"/>
            <w:hideMark/>
          </w:tcPr>
          <w:p w14:paraId="729A7C58"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Darebin Community Health Service</w:t>
            </w:r>
          </w:p>
        </w:tc>
        <w:tc>
          <w:tcPr>
            <w:tcW w:w="921" w:type="dxa"/>
            <w:noWrap/>
            <w:hideMark/>
          </w:tcPr>
          <w:p w14:paraId="2BA1420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570</w:t>
            </w:r>
          </w:p>
        </w:tc>
        <w:tc>
          <w:tcPr>
            <w:tcW w:w="922" w:type="dxa"/>
            <w:noWrap/>
            <w:hideMark/>
          </w:tcPr>
          <w:p w14:paraId="646E6BA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708</w:t>
            </w:r>
          </w:p>
        </w:tc>
        <w:tc>
          <w:tcPr>
            <w:tcW w:w="922" w:type="dxa"/>
            <w:noWrap/>
            <w:hideMark/>
          </w:tcPr>
          <w:p w14:paraId="7B246AC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577</w:t>
            </w:r>
          </w:p>
        </w:tc>
        <w:tc>
          <w:tcPr>
            <w:tcW w:w="922" w:type="dxa"/>
            <w:noWrap/>
            <w:hideMark/>
          </w:tcPr>
          <w:p w14:paraId="3F20A22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1FA11A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5,122</w:t>
            </w:r>
          </w:p>
        </w:tc>
        <w:tc>
          <w:tcPr>
            <w:tcW w:w="922" w:type="dxa"/>
            <w:noWrap/>
            <w:hideMark/>
          </w:tcPr>
          <w:p w14:paraId="518513A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950E162"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6,977</w:t>
            </w:r>
          </w:p>
        </w:tc>
        <w:tc>
          <w:tcPr>
            <w:tcW w:w="921" w:type="dxa"/>
            <w:noWrap/>
            <w:hideMark/>
          </w:tcPr>
          <w:p w14:paraId="2EE3716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681449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725</w:t>
            </w:r>
          </w:p>
        </w:tc>
        <w:tc>
          <w:tcPr>
            <w:tcW w:w="922" w:type="dxa"/>
            <w:noWrap/>
            <w:hideMark/>
          </w:tcPr>
          <w:p w14:paraId="08324BF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592</w:t>
            </w:r>
          </w:p>
        </w:tc>
        <w:tc>
          <w:tcPr>
            <w:tcW w:w="922" w:type="dxa"/>
            <w:noWrap/>
            <w:hideMark/>
          </w:tcPr>
          <w:p w14:paraId="0C9867F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DDA566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5,242</w:t>
            </w:r>
          </w:p>
        </w:tc>
        <w:tc>
          <w:tcPr>
            <w:tcW w:w="922" w:type="dxa"/>
            <w:noWrap/>
            <w:hideMark/>
          </w:tcPr>
          <w:p w14:paraId="4C30E90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B67D1CA"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6,559</w:t>
            </w:r>
          </w:p>
        </w:tc>
      </w:tr>
      <w:tr w:rsidR="003F053F" w:rsidRPr="003F053F" w14:paraId="352494AB" w14:textId="77777777" w:rsidTr="00906968">
        <w:trPr>
          <w:trHeight w:val="284"/>
        </w:trPr>
        <w:tc>
          <w:tcPr>
            <w:tcW w:w="1985" w:type="dxa"/>
            <w:hideMark/>
          </w:tcPr>
          <w:p w14:paraId="62A0C3A5"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Dpv Health</w:t>
            </w:r>
          </w:p>
        </w:tc>
        <w:tc>
          <w:tcPr>
            <w:tcW w:w="921" w:type="dxa"/>
            <w:noWrap/>
            <w:hideMark/>
          </w:tcPr>
          <w:p w14:paraId="4C7E7E4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BBEAAB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1,557</w:t>
            </w:r>
          </w:p>
        </w:tc>
        <w:tc>
          <w:tcPr>
            <w:tcW w:w="922" w:type="dxa"/>
            <w:noWrap/>
            <w:hideMark/>
          </w:tcPr>
          <w:p w14:paraId="4CA7977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46B063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w:t>
            </w:r>
          </w:p>
        </w:tc>
        <w:tc>
          <w:tcPr>
            <w:tcW w:w="922" w:type="dxa"/>
            <w:noWrap/>
            <w:hideMark/>
          </w:tcPr>
          <w:p w14:paraId="28DAAFE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9,591</w:t>
            </w:r>
          </w:p>
        </w:tc>
        <w:tc>
          <w:tcPr>
            <w:tcW w:w="922" w:type="dxa"/>
            <w:noWrap/>
            <w:hideMark/>
          </w:tcPr>
          <w:p w14:paraId="689BA3D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5E91DF0"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11,150</w:t>
            </w:r>
          </w:p>
        </w:tc>
        <w:tc>
          <w:tcPr>
            <w:tcW w:w="921" w:type="dxa"/>
            <w:noWrap/>
            <w:hideMark/>
          </w:tcPr>
          <w:p w14:paraId="4B2E47D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9860FA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1,593</w:t>
            </w:r>
          </w:p>
        </w:tc>
        <w:tc>
          <w:tcPr>
            <w:tcW w:w="922" w:type="dxa"/>
            <w:noWrap/>
            <w:hideMark/>
          </w:tcPr>
          <w:p w14:paraId="3712E3F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ABF547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w:t>
            </w:r>
          </w:p>
        </w:tc>
        <w:tc>
          <w:tcPr>
            <w:tcW w:w="922" w:type="dxa"/>
            <w:noWrap/>
            <w:hideMark/>
          </w:tcPr>
          <w:p w14:paraId="491830B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10,531</w:t>
            </w:r>
          </w:p>
        </w:tc>
        <w:tc>
          <w:tcPr>
            <w:tcW w:w="922" w:type="dxa"/>
            <w:noWrap/>
            <w:hideMark/>
          </w:tcPr>
          <w:p w14:paraId="4012EF3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1701D66"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12,126</w:t>
            </w:r>
          </w:p>
        </w:tc>
      </w:tr>
      <w:tr w:rsidR="003F053F" w:rsidRPr="003F053F" w14:paraId="7F2DC6EA" w14:textId="77777777" w:rsidTr="00906968">
        <w:trPr>
          <w:trHeight w:val="284"/>
        </w:trPr>
        <w:tc>
          <w:tcPr>
            <w:tcW w:w="1985" w:type="dxa"/>
            <w:hideMark/>
          </w:tcPr>
          <w:p w14:paraId="576829F4"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Eastern Access Community Health Inc</w:t>
            </w:r>
          </w:p>
        </w:tc>
        <w:tc>
          <w:tcPr>
            <w:tcW w:w="921" w:type="dxa"/>
            <w:noWrap/>
            <w:hideMark/>
          </w:tcPr>
          <w:p w14:paraId="521E5A9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185603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1,151</w:t>
            </w:r>
          </w:p>
        </w:tc>
        <w:tc>
          <w:tcPr>
            <w:tcW w:w="922" w:type="dxa"/>
            <w:noWrap/>
            <w:hideMark/>
          </w:tcPr>
          <w:p w14:paraId="24C8FB4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8,973</w:t>
            </w:r>
          </w:p>
        </w:tc>
        <w:tc>
          <w:tcPr>
            <w:tcW w:w="922" w:type="dxa"/>
            <w:noWrap/>
            <w:hideMark/>
          </w:tcPr>
          <w:p w14:paraId="4D5C3F1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3,468</w:t>
            </w:r>
          </w:p>
        </w:tc>
        <w:tc>
          <w:tcPr>
            <w:tcW w:w="922" w:type="dxa"/>
            <w:noWrap/>
            <w:hideMark/>
          </w:tcPr>
          <w:p w14:paraId="66ED119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7,089</w:t>
            </w:r>
          </w:p>
        </w:tc>
        <w:tc>
          <w:tcPr>
            <w:tcW w:w="922" w:type="dxa"/>
            <w:noWrap/>
            <w:hideMark/>
          </w:tcPr>
          <w:p w14:paraId="2FC8F5E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117</w:t>
            </w:r>
          </w:p>
        </w:tc>
        <w:tc>
          <w:tcPr>
            <w:tcW w:w="922" w:type="dxa"/>
            <w:noWrap/>
            <w:hideMark/>
          </w:tcPr>
          <w:p w14:paraId="4B8F2252"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20,798</w:t>
            </w:r>
          </w:p>
        </w:tc>
        <w:tc>
          <w:tcPr>
            <w:tcW w:w="921" w:type="dxa"/>
            <w:noWrap/>
            <w:hideMark/>
          </w:tcPr>
          <w:p w14:paraId="4D24777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B08A5C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1,178</w:t>
            </w:r>
          </w:p>
        </w:tc>
        <w:tc>
          <w:tcPr>
            <w:tcW w:w="922" w:type="dxa"/>
            <w:noWrap/>
            <w:hideMark/>
          </w:tcPr>
          <w:p w14:paraId="65CC223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9,201</w:t>
            </w:r>
          </w:p>
        </w:tc>
        <w:tc>
          <w:tcPr>
            <w:tcW w:w="922" w:type="dxa"/>
            <w:noWrap/>
            <w:hideMark/>
          </w:tcPr>
          <w:p w14:paraId="634AC71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3,556</w:t>
            </w:r>
          </w:p>
        </w:tc>
        <w:tc>
          <w:tcPr>
            <w:tcW w:w="922" w:type="dxa"/>
            <w:noWrap/>
            <w:hideMark/>
          </w:tcPr>
          <w:p w14:paraId="46C5A9E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7,023</w:t>
            </w:r>
          </w:p>
        </w:tc>
        <w:tc>
          <w:tcPr>
            <w:tcW w:w="922" w:type="dxa"/>
            <w:noWrap/>
            <w:hideMark/>
          </w:tcPr>
          <w:p w14:paraId="281310B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120</w:t>
            </w:r>
          </w:p>
        </w:tc>
        <w:tc>
          <w:tcPr>
            <w:tcW w:w="922" w:type="dxa"/>
            <w:noWrap/>
            <w:hideMark/>
          </w:tcPr>
          <w:p w14:paraId="7E75904D"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21,077</w:t>
            </w:r>
          </w:p>
        </w:tc>
      </w:tr>
      <w:tr w:rsidR="003F053F" w:rsidRPr="003F053F" w14:paraId="6360F645" w14:textId="77777777" w:rsidTr="00906968">
        <w:trPr>
          <w:trHeight w:val="284"/>
        </w:trPr>
        <w:tc>
          <w:tcPr>
            <w:tcW w:w="1985" w:type="dxa"/>
            <w:hideMark/>
          </w:tcPr>
          <w:p w14:paraId="1A350369"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Gateway Health Limited</w:t>
            </w:r>
          </w:p>
        </w:tc>
        <w:tc>
          <w:tcPr>
            <w:tcW w:w="921" w:type="dxa"/>
            <w:noWrap/>
            <w:hideMark/>
          </w:tcPr>
          <w:p w14:paraId="7ED0851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08FD60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401</w:t>
            </w:r>
          </w:p>
        </w:tc>
        <w:tc>
          <w:tcPr>
            <w:tcW w:w="922" w:type="dxa"/>
            <w:noWrap/>
            <w:hideMark/>
          </w:tcPr>
          <w:p w14:paraId="49125D0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4,846</w:t>
            </w:r>
          </w:p>
        </w:tc>
        <w:tc>
          <w:tcPr>
            <w:tcW w:w="922" w:type="dxa"/>
            <w:noWrap/>
            <w:hideMark/>
          </w:tcPr>
          <w:p w14:paraId="6088906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141</w:t>
            </w:r>
          </w:p>
        </w:tc>
        <w:tc>
          <w:tcPr>
            <w:tcW w:w="922" w:type="dxa"/>
            <w:noWrap/>
            <w:hideMark/>
          </w:tcPr>
          <w:p w14:paraId="72182FE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2,811</w:t>
            </w:r>
          </w:p>
        </w:tc>
        <w:tc>
          <w:tcPr>
            <w:tcW w:w="922" w:type="dxa"/>
            <w:noWrap/>
            <w:hideMark/>
          </w:tcPr>
          <w:p w14:paraId="24F2C07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205</w:t>
            </w:r>
          </w:p>
        </w:tc>
        <w:tc>
          <w:tcPr>
            <w:tcW w:w="922" w:type="dxa"/>
            <w:noWrap/>
            <w:hideMark/>
          </w:tcPr>
          <w:p w14:paraId="0FCF096D"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8,403</w:t>
            </w:r>
          </w:p>
        </w:tc>
        <w:tc>
          <w:tcPr>
            <w:tcW w:w="921" w:type="dxa"/>
            <w:noWrap/>
            <w:hideMark/>
          </w:tcPr>
          <w:p w14:paraId="14A94CC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DF422C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2,127</w:t>
            </w:r>
          </w:p>
        </w:tc>
        <w:tc>
          <w:tcPr>
            <w:tcW w:w="922" w:type="dxa"/>
            <w:noWrap/>
            <w:hideMark/>
          </w:tcPr>
          <w:p w14:paraId="59E6D8A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2,938</w:t>
            </w:r>
          </w:p>
        </w:tc>
        <w:tc>
          <w:tcPr>
            <w:tcW w:w="922" w:type="dxa"/>
            <w:noWrap/>
            <w:hideMark/>
          </w:tcPr>
          <w:p w14:paraId="0812468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197</w:t>
            </w:r>
          </w:p>
        </w:tc>
        <w:tc>
          <w:tcPr>
            <w:tcW w:w="922" w:type="dxa"/>
            <w:noWrap/>
            <w:hideMark/>
          </w:tcPr>
          <w:p w14:paraId="402863F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2,918</w:t>
            </w:r>
          </w:p>
        </w:tc>
        <w:tc>
          <w:tcPr>
            <w:tcW w:w="922" w:type="dxa"/>
            <w:noWrap/>
            <w:hideMark/>
          </w:tcPr>
          <w:p w14:paraId="688EBF2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210</w:t>
            </w:r>
          </w:p>
        </w:tc>
        <w:tc>
          <w:tcPr>
            <w:tcW w:w="922" w:type="dxa"/>
            <w:noWrap/>
            <w:hideMark/>
          </w:tcPr>
          <w:p w14:paraId="4749557A"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8,389</w:t>
            </w:r>
          </w:p>
        </w:tc>
      </w:tr>
      <w:tr w:rsidR="003F053F" w:rsidRPr="003F053F" w14:paraId="4B72788C" w14:textId="77777777" w:rsidTr="00906968">
        <w:trPr>
          <w:trHeight w:val="284"/>
        </w:trPr>
        <w:tc>
          <w:tcPr>
            <w:tcW w:w="1985" w:type="dxa"/>
            <w:hideMark/>
          </w:tcPr>
          <w:p w14:paraId="19D4A3D0"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Gippsland Lakes Community Health</w:t>
            </w:r>
          </w:p>
        </w:tc>
        <w:tc>
          <w:tcPr>
            <w:tcW w:w="921" w:type="dxa"/>
            <w:noWrap/>
            <w:hideMark/>
          </w:tcPr>
          <w:p w14:paraId="0D9D27E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496</w:t>
            </w:r>
          </w:p>
        </w:tc>
        <w:tc>
          <w:tcPr>
            <w:tcW w:w="922" w:type="dxa"/>
            <w:noWrap/>
            <w:hideMark/>
          </w:tcPr>
          <w:p w14:paraId="610F708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518</w:t>
            </w:r>
          </w:p>
        </w:tc>
        <w:tc>
          <w:tcPr>
            <w:tcW w:w="922" w:type="dxa"/>
            <w:noWrap/>
            <w:hideMark/>
          </w:tcPr>
          <w:p w14:paraId="285CAEB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318</w:t>
            </w:r>
          </w:p>
        </w:tc>
        <w:tc>
          <w:tcPr>
            <w:tcW w:w="922" w:type="dxa"/>
            <w:noWrap/>
            <w:hideMark/>
          </w:tcPr>
          <w:p w14:paraId="06A70A0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38</w:t>
            </w:r>
          </w:p>
        </w:tc>
        <w:tc>
          <w:tcPr>
            <w:tcW w:w="922" w:type="dxa"/>
            <w:noWrap/>
            <w:hideMark/>
          </w:tcPr>
          <w:p w14:paraId="51398CA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4,215</w:t>
            </w:r>
          </w:p>
        </w:tc>
        <w:tc>
          <w:tcPr>
            <w:tcW w:w="922" w:type="dxa"/>
            <w:noWrap/>
            <w:hideMark/>
          </w:tcPr>
          <w:p w14:paraId="27D6E7F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117</w:t>
            </w:r>
          </w:p>
        </w:tc>
        <w:tc>
          <w:tcPr>
            <w:tcW w:w="922" w:type="dxa"/>
            <w:noWrap/>
            <w:hideMark/>
          </w:tcPr>
          <w:p w14:paraId="7A8EF3FB"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5,703</w:t>
            </w:r>
          </w:p>
        </w:tc>
        <w:tc>
          <w:tcPr>
            <w:tcW w:w="921" w:type="dxa"/>
            <w:noWrap/>
            <w:hideMark/>
          </w:tcPr>
          <w:p w14:paraId="5932D5E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508</w:t>
            </w:r>
          </w:p>
        </w:tc>
        <w:tc>
          <w:tcPr>
            <w:tcW w:w="922" w:type="dxa"/>
            <w:noWrap/>
            <w:hideMark/>
          </w:tcPr>
          <w:p w14:paraId="0E45B4C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927</w:t>
            </w:r>
          </w:p>
        </w:tc>
        <w:tc>
          <w:tcPr>
            <w:tcW w:w="922" w:type="dxa"/>
            <w:noWrap/>
            <w:hideMark/>
          </w:tcPr>
          <w:p w14:paraId="2333E07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326</w:t>
            </w:r>
          </w:p>
        </w:tc>
        <w:tc>
          <w:tcPr>
            <w:tcW w:w="922" w:type="dxa"/>
            <w:noWrap/>
            <w:hideMark/>
          </w:tcPr>
          <w:p w14:paraId="1836662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94</w:t>
            </w:r>
          </w:p>
        </w:tc>
        <w:tc>
          <w:tcPr>
            <w:tcW w:w="922" w:type="dxa"/>
            <w:noWrap/>
            <w:hideMark/>
          </w:tcPr>
          <w:p w14:paraId="79FADAB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4,224</w:t>
            </w:r>
          </w:p>
        </w:tc>
        <w:tc>
          <w:tcPr>
            <w:tcW w:w="922" w:type="dxa"/>
            <w:noWrap/>
            <w:hideMark/>
          </w:tcPr>
          <w:p w14:paraId="27A5567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120</w:t>
            </w:r>
          </w:p>
        </w:tc>
        <w:tc>
          <w:tcPr>
            <w:tcW w:w="922" w:type="dxa"/>
            <w:noWrap/>
            <w:hideMark/>
          </w:tcPr>
          <w:p w14:paraId="0CF26DFF"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6,199</w:t>
            </w:r>
          </w:p>
        </w:tc>
      </w:tr>
      <w:tr w:rsidR="003F053F" w:rsidRPr="003F053F" w14:paraId="0D9BFE0A" w14:textId="77777777" w:rsidTr="00906968">
        <w:trPr>
          <w:trHeight w:val="284"/>
        </w:trPr>
        <w:tc>
          <w:tcPr>
            <w:tcW w:w="1985" w:type="dxa"/>
            <w:hideMark/>
          </w:tcPr>
          <w:p w14:paraId="01877372"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Grampians Community Health</w:t>
            </w:r>
          </w:p>
        </w:tc>
        <w:tc>
          <w:tcPr>
            <w:tcW w:w="921" w:type="dxa"/>
            <w:noWrap/>
            <w:hideMark/>
          </w:tcPr>
          <w:p w14:paraId="4464950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1B7469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533</w:t>
            </w:r>
          </w:p>
        </w:tc>
        <w:tc>
          <w:tcPr>
            <w:tcW w:w="922" w:type="dxa"/>
            <w:noWrap/>
            <w:hideMark/>
          </w:tcPr>
          <w:p w14:paraId="4F1B70C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276</w:t>
            </w:r>
          </w:p>
        </w:tc>
        <w:tc>
          <w:tcPr>
            <w:tcW w:w="922" w:type="dxa"/>
            <w:noWrap/>
            <w:hideMark/>
          </w:tcPr>
          <w:p w14:paraId="6AC3954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88</w:t>
            </w:r>
          </w:p>
        </w:tc>
        <w:tc>
          <w:tcPr>
            <w:tcW w:w="922" w:type="dxa"/>
            <w:noWrap/>
            <w:hideMark/>
          </w:tcPr>
          <w:p w14:paraId="6C41D99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1,358</w:t>
            </w:r>
          </w:p>
        </w:tc>
        <w:tc>
          <w:tcPr>
            <w:tcW w:w="922" w:type="dxa"/>
            <w:noWrap/>
            <w:hideMark/>
          </w:tcPr>
          <w:p w14:paraId="354492A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2BAD7A1"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2,255</w:t>
            </w:r>
          </w:p>
        </w:tc>
        <w:tc>
          <w:tcPr>
            <w:tcW w:w="921" w:type="dxa"/>
            <w:noWrap/>
            <w:hideMark/>
          </w:tcPr>
          <w:p w14:paraId="74EEEF7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D666A8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546</w:t>
            </w:r>
          </w:p>
        </w:tc>
        <w:tc>
          <w:tcPr>
            <w:tcW w:w="922" w:type="dxa"/>
            <w:noWrap/>
            <w:hideMark/>
          </w:tcPr>
          <w:p w14:paraId="2D106D1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283</w:t>
            </w:r>
          </w:p>
        </w:tc>
        <w:tc>
          <w:tcPr>
            <w:tcW w:w="922" w:type="dxa"/>
            <w:noWrap/>
            <w:hideMark/>
          </w:tcPr>
          <w:p w14:paraId="6A36EFB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91</w:t>
            </w:r>
          </w:p>
        </w:tc>
        <w:tc>
          <w:tcPr>
            <w:tcW w:w="922" w:type="dxa"/>
            <w:noWrap/>
            <w:hideMark/>
          </w:tcPr>
          <w:p w14:paraId="589714D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1,035</w:t>
            </w:r>
          </w:p>
        </w:tc>
        <w:tc>
          <w:tcPr>
            <w:tcW w:w="922" w:type="dxa"/>
            <w:noWrap/>
            <w:hideMark/>
          </w:tcPr>
          <w:p w14:paraId="3706B83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7D626D2"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1,954</w:t>
            </w:r>
          </w:p>
        </w:tc>
      </w:tr>
      <w:tr w:rsidR="003F053F" w:rsidRPr="003F053F" w14:paraId="1B1A42FC" w14:textId="77777777" w:rsidTr="00906968">
        <w:trPr>
          <w:trHeight w:val="284"/>
        </w:trPr>
        <w:tc>
          <w:tcPr>
            <w:tcW w:w="1985" w:type="dxa"/>
            <w:hideMark/>
          </w:tcPr>
          <w:p w14:paraId="346D7E81"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Ipc Health</w:t>
            </w:r>
          </w:p>
        </w:tc>
        <w:tc>
          <w:tcPr>
            <w:tcW w:w="921" w:type="dxa"/>
            <w:noWrap/>
            <w:hideMark/>
          </w:tcPr>
          <w:p w14:paraId="679AEF8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DE417F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2,902</w:t>
            </w:r>
          </w:p>
        </w:tc>
        <w:tc>
          <w:tcPr>
            <w:tcW w:w="922" w:type="dxa"/>
            <w:noWrap/>
            <w:hideMark/>
          </w:tcPr>
          <w:p w14:paraId="727907B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82B052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570754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9,697</w:t>
            </w:r>
          </w:p>
        </w:tc>
        <w:tc>
          <w:tcPr>
            <w:tcW w:w="922" w:type="dxa"/>
            <w:noWrap/>
            <w:hideMark/>
          </w:tcPr>
          <w:p w14:paraId="164F86F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3F9CD10"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12,599</w:t>
            </w:r>
          </w:p>
        </w:tc>
        <w:tc>
          <w:tcPr>
            <w:tcW w:w="921" w:type="dxa"/>
            <w:noWrap/>
            <w:hideMark/>
          </w:tcPr>
          <w:p w14:paraId="213C80A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92170F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3,019</w:t>
            </w:r>
          </w:p>
        </w:tc>
        <w:tc>
          <w:tcPr>
            <w:tcW w:w="922" w:type="dxa"/>
            <w:noWrap/>
            <w:hideMark/>
          </w:tcPr>
          <w:p w14:paraId="02F6D6A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296476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A3DCF6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10,350</w:t>
            </w:r>
          </w:p>
        </w:tc>
        <w:tc>
          <w:tcPr>
            <w:tcW w:w="922" w:type="dxa"/>
            <w:noWrap/>
            <w:hideMark/>
          </w:tcPr>
          <w:p w14:paraId="604A678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1718579"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13,370</w:t>
            </w:r>
          </w:p>
        </w:tc>
      </w:tr>
      <w:tr w:rsidR="003F053F" w:rsidRPr="003F053F" w14:paraId="40B5FFA5" w14:textId="77777777" w:rsidTr="00906968">
        <w:trPr>
          <w:trHeight w:val="284"/>
        </w:trPr>
        <w:tc>
          <w:tcPr>
            <w:tcW w:w="1985" w:type="dxa"/>
            <w:hideMark/>
          </w:tcPr>
          <w:p w14:paraId="598870B9"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Latrobe Community Health Service Limited</w:t>
            </w:r>
          </w:p>
        </w:tc>
        <w:tc>
          <w:tcPr>
            <w:tcW w:w="921" w:type="dxa"/>
            <w:noWrap/>
            <w:hideMark/>
          </w:tcPr>
          <w:p w14:paraId="6259455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1,478</w:t>
            </w:r>
          </w:p>
        </w:tc>
        <w:tc>
          <w:tcPr>
            <w:tcW w:w="922" w:type="dxa"/>
            <w:noWrap/>
            <w:hideMark/>
          </w:tcPr>
          <w:p w14:paraId="15C7110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3,180</w:t>
            </w:r>
          </w:p>
        </w:tc>
        <w:tc>
          <w:tcPr>
            <w:tcW w:w="922" w:type="dxa"/>
            <w:noWrap/>
            <w:hideMark/>
          </w:tcPr>
          <w:p w14:paraId="10E4DFE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6,242</w:t>
            </w:r>
          </w:p>
        </w:tc>
        <w:tc>
          <w:tcPr>
            <w:tcW w:w="922" w:type="dxa"/>
            <w:noWrap/>
            <w:hideMark/>
          </w:tcPr>
          <w:p w14:paraId="376EA11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838</w:t>
            </w:r>
          </w:p>
        </w:tc>
        <w:tc>
          <w:tcPr>
            <w:tcW w:w="922" w:type="dxa"/>
            <w:noWrap/>
            <w:hideMark/>
          </w:tcPr>
          <w:p w14:paraId="2A27F3E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8,991</w:t>
            </w:r>
          </w:p>
        </w:tc>
        <w:tc>
          <w:tcPr>
            <w:tcW w:w="922" w:type="dxa"/>
            <w:noWrap/>
            <w:hideMark/>
          </w:tcPr>
          <w:p w14:paraId="59C5F13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9C39935"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20,728</w:t>
            </w:r>
          </w:p>
        </w:tc>
        <w:tc>
          <w:tcPr>
            <w:tcW w:w="921" w:type="dxa"/>
            <w:noWrap/>
            <w:hideMark/>
          </w:tcPr>
          <w:p w14:paraId="7FD9520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1,512</w:t>
            </w:r>
          </w:p>
        </w:tc>
        <w:tc>
          <w:tcPr>
            <w:tcW w:w="922" w:type="dxa"/>
            <w:noWrap/>
            <w:hideMark/>
          </w:tcPr>
          <w:p w14:paraId="4F2BE2B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5,921</w:t>
            </w:r>
          </w:p>
        </w:tc>
        <w:tc>
          <w:tcPr>
            <w:tcW w:w="922" w:type="dxa"/>
            <w:noWrap/>
            <w:hideMark/>
          </w:tcPr>
          <w:p w14:paraId="61A4F46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6,520</w:t>
            </w:r>
          </w:p>
        </w:tc>
        <w:tc>
          <w:tcPr>
            <w:tcW w:w="922" w:type="dxa"/>
            <w:noWrap/>
            <w:hideMark/>
          </w:tcPr>
          <w:p w14:paraId="1041B5B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912</w:t>
            </w:r>
          </w:p>
        </w:tc>
        <w:tc>
          <w:tcPr>
            <w:tcW w:w="922" w:type="dxa"/>
            <w:noWrap/>
            <w:hideMark/>
          </w:tcPr>
          <w:p w14:paraId="43E414B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8,942</w:t>
            </w:r>
          </w:p>
        </w:tc>
        <w:tc>
          <w:tcPr>
            <w:tcW w:w="922" w:type="dxa"/>
            <w:noWrap/>
            <w:hideMark/>
          </w:tcPr>
          <w:p w14:paraId="1FFB093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C9D7C49"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23,806</w:t>
            </w:r>
          </w:p>
        </w:tc>
      </w:tr>
      <w:tr w:rsidR="003F053F" w:rsidRPr="003F053F" w14:paraId="256AA36D" w14:textId="77777777" w:rsidTr="00906968">
        <w:trPr>
          <w:trHeight w:val="284"/>
        </w:trPr>
        <w:tc>
          <w:tcPr>
            <w:tcW w:w="1985" w:type="dxa"/>
            <w:hideMark/>
          </w:tcPr>
          <w:p w14:paraId="211D31FD"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Merri Community Health Services Limited</w:t>
            </w:r>
          </w:p>
        </w:tc>
        <w:tc>
          <w:tcPr>
            <w:tcW w:w="921" w:type="dxa"/>
            <w:noWrap/>
            <w:hideMark/>
          </w:tcPr>
          <w:p w14:paraId="7813709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CD3BEE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1,310</w:t>
            </w:r>
          </w:p>
        </w:tc>
        <w:tc>
          <w:tcPr>
            <w:tcW w:w="922" w:type="dxa"/>
            <w:noWrap/>
            <w:hideMark/>
          </w:tcPr>
          <w:p w14:paraId="024F809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F05883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78</w:t>
            </w:r>
          </w:p>
        </w:tc>
        <w:tc>
          <w:tcPr>
            <w:tcW w:w="922" w:type="dxa"/>
            <w:noWrap/>
            <w:hideMark/>
          </w:tcPr>
          <w:p w14:paraId="52483C0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4,553</w:t>
            </w:r>
          </w:p>
        </w:tc>
        <w:tc>
          <w:tcPr>
            <w:tcW w:w="922" w:type="dxa"/>
            <w:noWrap/>
            <w:hideMark/>
          </w:tcPr>
          <w:p w14:paraId="38343F1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7657866"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5,942</w:t>
            </w:r>
          </w:p>
        </w:tc>
        <w:tc>
          <w:tcPr>
            <w:tcW w:w="921" w:type="dxa"/>
            <w:noWrap/>
            <w:hideMark/>
          </w:tcPr>
          <w:p w14:paraId="1AC8C47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326A45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1,340</w:t>
            </w:r>
          </w:p>
        </w:tc>
        <w:tc>
          <w:tcPr>
            <w:tcW w:w="922" w:type="dxa"/>
            <w:noWrap/>
            <w:hideMark/>
          </w:tcPr>
          <w:p w14:paraId="1C7A4DA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B02E40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80</w:t>
            </w:r>
          </w:p>
        </w:tc>
        <w:tc>
          <w:tcPr>
            <w:tcW w:w="922" w:type="dxa"/>
            <w:noWrap/>
            <w:hideMark/>
          </w:tcPr>
          <w:p w14:paraId="58F2B5E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4,311</w:t>
            </w:r>
          </w:p>
        </w:tc>
        <w:tc>
          <w:tcPr>
            <w:tcW w:w="922" w:type="dxa"/>
            <w:noWrap/>
            <w:hideMark/>
          </w:tcPr>
          <w:p w14:paraId="72389B0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0A06C62"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5,731</w:t>
            </w:r>
          </w:p>
        </w:tc>
      </w:tr>
      <w:tr w:rsidR="003F053F" w:rsidRPr="003F053F" w14:paraId="2C3D35DA" w14:textId="77777777" w:rsidTr="00906968">
        <w:trPr>
          <w:trHeight w:val="284"/>
        </w:trPr>
        <w:tc>
          <w:tcPr>
            <w:tcW w:w="1985" w:type="dxa"/>
            <w:hideMark/>
          </w:tcPr>
          <w:p w14:paraId="070C4C71"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Nexus Primary Health</w:t>
            </w:r>
          </w:p>
        </w:tc>
        <w:tc>
          <w:tcPr>
            <w:tcW w:w="921" w:type="dxa"/>
            <w:noWrap/>
            <w:hideMark/>
          </w:tcPr>
          <w:p w14:paraId="7DDD40B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C095EE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1,325</w:t>
            </w:r>
          </w:p>
        </w:tc>
        <w:tc>
          <w:tcPr>
            <w:tcW w:w="922" w:type="dxa"/>
            <w:noWrap/>
            <w:hideMark/>
          </w:tcPr>
          <w:p w14:paraId="7E8A83A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717</w:t>
            </w:r>
          </w:p>
        </w:tc>
        <w:tc>
          <w:tcPr>
            <w:tcW w:w="922" w:type="dxa"/>
            <w:noWrap/>
            <w:hideMark/>
          </w:tcPr>
          <w:p w14:paraId="22EA9A2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D28B26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1,457</w:t>
            </w:r>
          </w:p>
        </w:tc>
        <w:tc>
          <w:tcPr>
            <w:tcW w:w="922" w:type="dxa"/>
            <w:noWrap/>
            <w:hideMark/>
          </w:tcPr>
          <w:p w14:paraId="3D50999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8203773"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3,499</w:t>
            </w:r>
          </w:p>
        </w:tc>
        <w:tc>
          <w:tcPr>
            <w:tcW w:w="921" w:type="dxa"/>
            <w:noWrap/>
            <w:hideMark/>
          </w:tcPr>
          <w:p w14:paraId="66FC269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260892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1,796</w:t>
            </w:r>
          </w:p>
        </w:tc>
        <w:tc>
          <w:tcPr>
            <w:tcW w:w="922" w:type="dxa"/>
            <w:noWrap/>
            <w:hideMark/>
          </w:tcPr>
          <w:p w14:paraId="7C7B70E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723</w:t>
            </w:r>
          </w:p>
        </w:tc>
        <w:tc>
          <w:tcPr>
            <w:tcW w:w="922" w:type="dxa"/>
            <w:noWrap/>
            <w:hideMark/>
          </w:tcPr>
          <w:p w14:paraId="26A6CA4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7A9B09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1,210</w:t>
            </w:r>
          </w:p>
        </w:tc>
        <w:tc>
          <w:tcPr>
            <w:tcW w:w="922" w:type="dxa"/>
            <w:noWrap/>
            <w:hideMark/>
          </w:tcPr>
          <w:p w14:paraId="73E9A68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5A5FF3A"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3,729</w:t>
            </w:r>
          </w:p>
        </w:tc>
      </w:tr>
      <w:tr w:rsidR="003F053F" w:rsidRPr="003F053F" w14:paraId="6DDD297D" w14:textId="77777777" w:rsidTr="00906968">
        <w:trPr>
          <w:trHeight w:val="284"/>
        </w:trPr>
        <w:tc>
          <w:tcPr>
            <w:tcW w:w="1985" w:type="dxa"/>
            <w:hideMark/>
          </w:tcPr>
          <w:p w14:paraId="4347C79C"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Nillumbik Community Health Service Ltd</w:t>
            </w:r>
          </w:p>
        </w:tc>
        <w:tc>
          <w:tcPr>
            <w:tcW w:w="921" w:type="dxa"/>
            <w:noWrap/>
            <w:hideMark/>
          </w:tcPr>
          <w:p w14:paraId="33C1763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w:t>
            </w:r>
          </w:p>
        </w:tc>
        <w:tc>
          <w:tcPr>
            <w:tcW w:w="922" w:type="dxa"/>
            <w:noWrap/>
            <w:hideMark/>
          </w:tcPr>
          <w:p w14:paraId="1FE15EA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895</w:t>
            </w:r>
          </w:p>
        </w:tc>
        <w:tc>
          <w:tcPr>
            <w:tcW w:w="922" w:type="dxa"/>
            <w:noWrap/>
            <w:hideMark/>
          </w:tcPr>
          <w:p w14:paraId="23F8B60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718</w:t>
            </w:r>
          </w:p>
        </w:tc>
        <w:tc>
          <w:tcPr>
            <w:tcW w:w="922" w:type="dxa"/>
            <w:noWrap/>
            <w:hideMark/>
          </w:tcPr>
          <w:p w14:paraId="176C45C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FBE646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4,938</w:t>
            </w:r>
          </w:p>
        </w:tc>
        <w:tc>
          <w:tcPr>
            <w:tcW w:w="922" w:type="dxa"/>
            <w:noWrap/>
            <w:hideMark/>
          </w:tcPr>
          <w:p w14:paraId="361D725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2B96288"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6,564</w:t>
            </w:r>
          </w:p>
        </w:tc>
        <w:tc>
          <w:tcPr>
            <w:tcW w:w="921" w:type="dxa"/>
            <w:noWrap/>
            <w:hideMark/>
          </w:tcPr>
          <w:p w14:paraId="3D05C1D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0EA250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915</w:t>
            </w:r>
          </w:p>
        </w:tc>
        <w:tc>
          <w:tcPr>
            <w:tcW w:w="922" w:type="dxa"/>
            <w:noWrap/>
            <w:hideMark/>
          </w:tcPr>
          <w:p w14:paraId="519C5CA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857</w:t>
            </w:r>
          </w:p>
        </w:tc>
        <w:tc>
          <w:tcPr>
            <w:tcW w:w="922" w:type="dxa"/>
            <w:noWrap/>
            <w:hideMark/>
          </w:tcPr>
          <w:p w14:paraId="769B795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589DB9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4,481</w:t>
            </w:r>
          </w:p>
        </w:tc>
        <w:tc>
          <w:tcPr>
            <w:tcW w:w="922" w:type="dxa"/>
            <w:noWrap/>
            <w:hideMark/>
          </w:tcPr>
          <w:p w14:paraId="54B8F38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664A364"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6,253</w:t>
            </w:r>
          </w:p>
        </w:tc>
      </w:tr>
      <w:tr w:rsidR="003F053F" w:rsidRPr="003F053F" w14:paraId="239DA633" w14:textId="77777777" w:rsidTr="00906968">
        <w:trPr>
          <w:trHeight w:val="284"/>
        </w:trPr>
        <w:tc>
          <w:tcPr>
            <w:tcW w:w="1985" w:type="dxa"/>
            <w:hideMark/>
          </w:tcPr>
          <w:p w14:paraId="588D8B68"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North Richmond Community Health Limited</w:t>
            </w:r>
          </w:p>
        </w:tc>
        <w:tc>
          <w:tcPr>
            <w:tcW w:w="921" w:type="dxa"/>
            <w:noWrap/>
            <w:hideMark/>
          </w:tcPr>
          <w:p w14:paraId="4929FD4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1,719</w:t>
            </w:r>
          </w:p>
        </w:tc>
        <w:tc>
          <w:tcPr>
            <w:tcW w:w="922" w:type="dxa"/>
            <w:noWrap/>
            <w:hideMark/>
          </w:tcPr>
          <w:p w14:paraId="6AE7821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91</w:t>
            </w:r>
          </w:p>
        </w:tc>
        <w:tc>
          <w:tcPr>
            <w:tcW w:w="922" w:type="dxa"/>
            <w:noWrap/>
            <w:hideMark/>
          </w:tcPr>
          <w:p w14:paraId="4E765D4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11,150</w:t>
            </w:r>
          </w:p>
        </w:tc>
        <w:tc>
          <w:tcPr>
            <w:tcW w:w="922" w:type="dxa"/>
            <w:noWrap/>
            <w:hideMark/>
          </w:tcPr>
          <w:p w14:paraId="2DE5848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919DBB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2,620</w:t>
            </w:r>
          </w:p>
        </w:tc>
        <w:tc>
          <w:tcPr>
            <w:tcW w:w="922" w:type="dxa"/>
            <w:noWrap/>
            <w:hideMark/>
          </w:tcPr>
          <w:p w14:paraId="500E45C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377</w:t>
            </w:r>
          </w:p>
        </w:tc>
        <w:tc>
          <w:tcPr>
            <w:tcW w:w="922" w:type="dxa"/>
            <w:noWrap/>
            <w:hideMark/>
          </w:tcPr>
          <w:p w14:paraId="4E96F440"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15,957</w:t>
            </w:r>
          </w:p>
        </w:tc>
        <w:tc>
          <w:tcPr>
            <w:tcW w:w="921" w:type="dxa"/>
            <w:noWrap/>
            <w:hideMark/>
          </w:tcPr>
          <w:p w14:paraId="10250DC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1,759</w:t>
            </w:r>
          </w:p>
        </w:tc>
        <w:tc>
          <w:tcPr>
            <w:tcW w:w="922" w:type="dxa"/>
            <w:noWrap/>
            <w:hideMark/>
          </w:tcPr>
          <w:p w14:paraId="788D31B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93</w:t>
            </w:r>
          </w:p>
        </w:tc>
        <w:tc>
          <w:tcPr>
            <w:tcW w:w="922" w:type="dxa"/>
            <w:noWrap/>
            <w:hideMark/>
          </w:tcPr>
          <w:p w14:paraId="5BB88DA5"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11,509</w:t>
            </w:r>
          </w:p>
        </w:tc>
        <w:tc>
          <w:tcPr>
            <w:tcW w:w="922" w:type="dxa"/>
            <w:noWrap/>
            <w:hideMark/>
          </w:tcPr>
          <w:p w14:paraId="521EE94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6E7353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2,685</w:t>
            </w:r>
          </w:p>
        </w:tc>
        <w:tc>
          <w:tcPr>
            <w:tcW w:w="922" w:type="dxa"/>
            <w:noWrap/>
            <w:hideMark/>
          </w:tcPr>
          <w:p w14:paraId="6EF02C5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1,248</w:t>
            </w:r>
          </w:p>
        </w:tc>
        <w:tc>
          <w:tcPr>
            <w:tcW w:w="922" w:type="dxa"/>
            <w:noWrap/>
            <w:hideMark/>
          </w:tcPr>
          <w:p w14:paraId="0EE28890"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17,294</w:t>
            </w:r>
          </w:p>
        </w:tc>
      </w:tr>
      <w:tr w:rsidR="003F053F" w:rsidRPr="003F053F" w14:paraId="5480675C" w14:textId="77777777" w:rsidTr="00906968">
        <w:trPr>
          <w:trHeight w:val="284"/>
        </w:trPr>
        <w:tc>
          <w:tcPr>
            <w:tcW w:w="1985" w:type="dxa"/>
            <w:hideMark/>
          </w:tcPr>
          <w:p w14:paraId="71FDBA9B"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Primary Care Connect</w:t>
            </w:r>
          </w:p>
        </w:tc>
        <w:tc>
          <w:tcPr>
            <w:tcW w:w="921" w:type="dxa"/>
            <w:noWrap/>
            <w:hideMark/>
          </w:tcPr>
          <w:p w14:paraId="2DECC27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EED60A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3A2494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1,371</w:t>
            </w:r>
          </w:p>
        </w:tc>
        <w:tc>
          <w:tcPr>
            <w:tcW w:w="922" w:type="dxa"/>
            <w:noWrap/>
            <w:hideMark/>
          </w:tcPr>
          <w:p w14:paraId="23E100E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9EB8F6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1,312</w:t>
            </w:r>
          </w:p>
        </w:tc>
        <w:tc>
          <w:tcPr>
            <w:tcW w:w="922" w:type="dxa"/>
            <w:noWrap/>
            <w:hideMark/>
          </w:tcPr>
          <w:p w14:paraId="2CE9503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DB61F40"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2,684</w:t>
            </w:r>
          </w:p>
        </w:tc>
        <w:tc>
          <w:tcPr>
            <w:tcW w:w="921" w:type="dxa"/>
            <w:noWrap/>
            <w:hideMark/>
          </w:tcPr>
          <w:p w14:paraId="1ED99D9D"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D804ED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E5CD6B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1,523</w:t>
            </w:r>
          </w:p>
        </w:tc>
        <w:tc>
          <w:tcPr>
            <w:tcW w:w="922" w:type="dxa"/>
            <w:noWrap/>
            <w:hideMark/>
          </w:tcPr>
          <w:p w14:paraId="2AA6BB3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96933C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1,656</w:t>
            </w:r>
          </w:p>
        </w:tc>
        <w:tc>
          <w:tcPr>
            <w:tcW w:w="922" w:type="dxa"/>
            <w:noWrap/>
            <w:hideMark/>
          </w:tcPr>
          <w:p w14:paraId="33F42A5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90A2028"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3,179</w:t>
            </w:r>
          </w:p>
        </w:tc>
      </w:tr>
      <w:tr w:rsidR="003F053F" w:rsidRPr="003F053F" w14:paraId="19D19729" w14:textId="77777777" w:rsidTr="00906968">
        <w:trPr>
          <w:trHeight w:val="284"/>
        </w:trPr>
        <w:tc>
          <w:tcPr>
            <w:tcW w:w="1985" w:type="dxa"/>
            <w:hideMark/>
          </w:tcPr>
          <w:p w14:paraId="5D0A238A"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Ranges Community Health</w:t>
            </w:r>
          </w:p>
        </w:tc>
        <w:tc>
          <w:tcPr>
            <w:tcW w:w="921" w:type="dxa"/>
            <w:noWrap/>
            <w:hideMark/>
          </w:tcPr>
          <w:p w14:paraId="69024D4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85BAF6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258</w:t>
            </w:r>
          </w:p>
        </w:tc>
        <w:tc>
          <w:tcPr>
            <w:tcW w:w="922" w:type="dxa"/>
            <w:noWrap/>
            <w:hideMark/>
          </w:tcPr>
          <w:p w14:paraId="1065D47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D95D53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820967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2,675</w:t>
            </w:r>
          </w:p>
        </w:tc>
        <w:tc>
          <w:tcPr>
            <w:tcW w:w="922" w:type="dxa"/>
            <w:noWrap/>
            <w:hideMark/>
          </w:tcPr>
          <w:p w14:paraId="453908A8"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80DDC10"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2,934</w:t>
            </w:r>
          </w:p>
        </w:tc>
        <w:tc>
          <w:tcPr>
            <w:tcW w:w="921" w:type="dxa"/>
            <w:noWrap/>
            <w:hideMark/>
          </w:tcPr>
          <w:p w14:paraId="06C0332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676EA6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264</w:t>
            </w:r>
          </w:p>
        </w:tc>
        <w:tc>
          <w:tcPr>
            <w:tcW w:w="922" w:type="dxa"/>
            <w:noWrap/>
            <w:hideMark/>
          </w:tcPr>
          <w:p w14:paraId="6B0B7B0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27CE22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BFC43E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2,739</w:t>
            </w:r>
          </w:p>
        </w:tc>
        <w:tc>
          <w:tcPr>
            <w:tcW w:w="922" w:type="dxa"/>
            <w:noWrap/>
            <w:hideMark/>
          </w:tcPr>
          <w:p w14:paraId="17C7254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DED0B26"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3,004</w:t>
            </w:r>
          </w:p>
        </w:tc>
      </w:tr>
      <w:tr w:rsidR="003F053F" w:rsidRPr="003F053F" w14:paraId="7AA4BC16" w14:textId="77777777" w:rsidTr="00906968">
        <w:trPr>
          <w:trHeight w:val="284"/>
        </w:trPr>
        <w:tc>
          <w:tcPr>
            <w:tcW w:w="1985" w:type="dxa"/>
            <w:hideMark/>
          </w:tcPr>
          <w:p w14:paraId="18A0B805"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lastRenderedPageBreak/>
              <w:t>Sunbury Community Health Centre Limited</w:t>
            </w:r>
          </w:p>
        </w:tc>
        <w:tc>
          <w:tcPr>
            <w:tcW w:w="921" w:type="dxa"/>
            <w:noWrap/>
            <w:hideMark/>
          </w:tcPr>
          <w:p w14:paraId="68C04D2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345D2AB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569</w:t>
            </w:r>
          </w:p>
        </w:tc>
        <w:tc>
          <w:tcPr>
            <w:tcW w:w="922" w:type="dxa"/>
            <w:noWrap/>
            <w:hideMark/>
          </w:tcPr>
          <w:p w14:paraId="753B610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426</w:t>
            </w:r>
          </w:p>
        </w:tc>
        <w:tc>
          <w:tcPr>
            <w:tcW w:w="922" w:type="dxa"/>
            <w:noWrap/>
            <w:hideMark/>
          </w:tcPr>
          <w:p w14:paraId="0206212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226</w:t>
            </w:r>
          </w:p>
        </w:tc>
        <w:tc>
          <w:tcPr>
            <w:tcW w:w="922" w:type="dxa"/>
            <w:noWrap/>
            <w:hideMark/>
          </w:tcPr>
          <w:p w14:paraId="4031FC3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3,274</w:t>
            </w:r>
          </w:p>
        </w:tc>
        <w:tc>
          <w:tcPr>
            <w:tcW w:w="922" w:type="dxa"/>
            <w:noWrap/>
            <w:hideMark/>
          </w:tcPr>
          <w:p w14:paraId="58A625F9"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90B9752"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4,495</w:t>
            </w:r>
          </w:p>
        </w:tc>
        <w:tc>
          <w:tcPr>
            <w:tcW w:w="921" w:type="dxa"/>
            <w:noWrap/>
            <w:hideMark/>
          </w:tcPr>
          <w:p w14:paraId="4CB92B2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6B8AB6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582</w:t>
            </w:r>
          </w:p>
        </w:tc>
        <w:tc>
          <w:tcPr>
            <w:tcW w:w="922" w:type="dxa"/>
            <w:noWrap/>
            <w:hideMark/>
          </w:tcPr>
          <w:p w14:paraId="2594E93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437</w:t>
            </w:r>
          </w:p>
        </w:tc>
        <w:tc>
          <w:tcPr>
            <w:tcW w:w="922" w:type="dxa"/>
            <w:noWrap/>
            <w:hideMark/>
          </w:tcPr>
          <w:p w14:paraId="5CC37F1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231</w:t>
            </w:r>
          </w:p>
        </w:tc>
        <w:tc>
          <w:tcPr>
            <w:tcW w:w="922" w:type="dxa"/>
            <w:noWrap/>
            <w:hideMark/>
          </w:tcPr>
          <w:p w14:paraId="52EF008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2,922</w:t>
            </w:r>
          </w:p>
        </w:tc>
        <w:tc>
          <w:tcPr>
            <w:tcW w:w="922" w:type="dxa"/>
            <w:noWrap/>
            <w:hideMark/>
          </w:tcPr>
          <w:p w14:paraId="35F401D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6CF7D49F"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4,172</w:t>
            </w:r>
          </w:p>
        </w:tc>
      </w:tr>
      <w:tr w:rsidR="003F053F" w:rsidRPr="003F053F" w14:paraId="52A7D7A9" w14:textId="77777777" w:rsidTr="00906968">
        <w:trPr>
          <w:trHeight w:val="284"/>
        </w:trPr>
        <w:tc>
          <w:tcPr>
            <w:tcW w:w="1985" w:type="dxa"/>
            <w:hideMark/>
          </w:tcPr>
          <w:p w14:paraId="1CD0A097"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Sunraysia Community Health Services Limited</w:t>
            </w:r>
          </w:p>
        </w:tc>
        <w:tc>
          <w:tcPr>
            <w:tcW w:w="921" w:type="dxa"/>
            <w:noWrap/>
            <w:hideMark/>
          </w:tcPr>
          <w:p w14:paraId="0AAD796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1,360</w:t>
            </w:r>
          </w:p>
        </w:tc>
        <w:tc>
          <w:tcPr>
            <w:tcW w:w="922" w:type="dxa"/>
            <w:noWrap/>
            <w:hideMark/>
          </w:tcPr>
          <w:p w14:paraId="3C1829C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725</w:t>
            </w:r>
          </w:p>
        </w:tc>
        <w:tc>
          <w:tcPr>
            <w:tcW w:w="922" w:type="dxa"/>
            <w:noWrap/>
            <w:hideMark/>
          </w:tcPr>
          <w:p w14:paraId="0606C52E"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884</w:t>
            </w:r>
          </w:p>
        </w:tc>
        <w:tc>
          <w:tcPr>
            <w:tcW w:w="922" w:type="dxa"/>
            <w:noWrap/>
            <w:hideMark/>
          </w:tcPr>
          <w:p w14:paraId="4CC7370C"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197B030"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3,779</w:t>
            </w:r>
          </w:p>
        </w:tc>
        <w:tc>
          <w:tcPr>
            <w:tcW w:w="922" w:type="dxa"/>
            <w:noWrap/>
            <w:hideMark/>
          </w:tcPr>
          <w:p w14:paraId="034ED95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127</w:t>
            </w:r>
          </w:p>
        </w:tc>
        <w:tc>
          <w:tcPr>
            <w:tcW w:w="922" w:type="dxa"/>
            <w:noWrap/>
            <w:hideMark/>
          </w:tcPr>
          <w:p w14:paraId="02F47F0E"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6,874</w:t>
            </w:r>
          </w:p>
        </w:tc>
        <w:tc>
          <w:tcPr>
            <w:tcW w:w="921" w:type="dxa"/>
            <w:noWrap/>
            <w:hideMark/>
          </w:tcPr>
          <w:p w14:paraId="78BAE22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1,391</w:t>
            </w:r>
          </w:p>
        </w:tc>
        <w:tc>
          <w:tcPr>
            <w:tcW w:w="922" w:type="dxa"/>
            <w:noWrap/>
            <w:hideMark/>
          </w:tcPr>
          <w:p w14:paraId="3482C72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1,444</w:t>
            </w:r>
          </w:p>
        </w:tc>
        <w:tc>
          <w:tcPr>
            <w:tcW w:w="922" w:type="dxa"/>
            <w:noWrap/>
            <w:hideMark/>
          </w:tcPr>
          <w:p w14:paraId="181E34F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907</w:t>
            </w:r>
          </w:p>
        </w:tc>
        <w:tc>
          <w:tcPr>
            <w:tcW w:w="922" w:type="dxa"/>
            <w:noWrap/>
            <w:hideMark/>
          </w:tcPr>
          <w:p w14:paraId="59E220B2"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530D455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4,056</w:t>
            </w:r>
          </w:p>
        </w:tc>
        <w:tc>
          <w:tcPr>
            <w:tcW w:w="922" w:type="dxa"/>
            <w:noWrap/>
            <w:hideMark/>
          </w:tcPr>
          <w:p w14:paraId="3F2B3F4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130</w:t>
            </w:r>
          </w:p>
        </w:tc>
        <w:tc>
          <w:tcPr>
            <w:tcW w:w="922" w:type="dxa"/>
            <w:noWrap/>
            <w:hideMark/>
          </w:tcPr>
          <w:p w14:paraId="7926701C"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7,927</w:t>
            </w:r>
          </w:p>
        </w:tc>
      </w:tr>
      <w:tr w:rsidR="003F053F" w:rsidRPr="003F053F" w14:paraId="56D7A2D4" w14:textId="77777777" w:rsidTr="00906968">
        <w:trPr>
          <w:trHeight w:val="284"/>
        </w:trPr>
        <w:tc>
          <w:tcPr>
            <w:tcW w:w="1985" w:type="dxa"/>
            <w:hideMark/>
          </w:tcPr>
          <w:p w14:paraId="3495BFDC" w14:textId="77777777" w:rsidR="003F053F" w:rsidRPr="003F053F" w:rsidRDefault="003F053F" w:rsidP="003F053F">
            <w:pPr>
              <w:spacing w:after="0" w:line="240" w:lineRule="auto"/>
              <w:rPr>
                <w:rFonts w:cs="Arial"/>
                <w:color w:val="000000"/>
                <w:sz w:val="16"/>
                <w:szCs w:val="16"/>
                <w:lang w:eastAsia="en-AU"/>
              </w:rPr>
            </w:pPr>
            <w:r w:rsidRPr="003F053F">
              <w:rPr>
                <w:rFonts w:cs="Arial"/>
                <w:color w:val="000000"/>
                <w:sz w:val="16"/>
                <w:szCs w:val="16"/>
                <w:lang w:eastAsia="en-AU"/>
              </w:rPr>
              <w:t>All other organisations (&lt;$1 m)</w:t>
            </w:r>
          </w:p>
        </w:tc>
        <w:tc>
          <w:tcPr>
            <w:tcW w:w="921" w:type="dxa"/>
            <w:noWrap/>
            <w:hideMark/>
          </w:tcPr>
          <w:p w14:paraId="6FEE2E04"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F683A2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40</w:t>
            </w:r>
          </w:p>
        </w:tc>
        <w:tc>
          <w:tcPr>
            <w:tcW w:w="922" w:type="dxa"/>
            <w:noWrap/>
            <w:hideMark/>
          </w:tcPr>
          <w:p w14:paraId="7C8BB6D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6F1692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65C1FD6"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237</w:t>
            </w:r>
          </w:p>
        </w:tc>
        <w:tc>
          <w:tcPr>
            <w:tcW w:w="922" w:type="dxa"/>
            <w:noWrap/>
            <w:hideMark/>
          </w:tcPr>
          <w:p w14:paraId="573E3BB1"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0984E52C"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277</w:t>
            </w:r>
          </w:p>
        </w:tc>
        <w:tc>
          <w:tcPr>
            <w:tcW w:w="921" w:type="dxa"/>
            <w:noWrap/>
            <w:hideMark/>
          </w:tcPr>
          <w:p w14:paraId="4A5883B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0C25FFF"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7BE982EA"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8503D93"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4956FFE7"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29A4100B" w14:textId="77777777" w:rsidR="003F053F" w:rsidRPr="003F053F" w:rsidRDefault="003F053F" w:rsidP="003F053F">
            <w:pPr>
              <w:spacing w:after="0" w:line="240" w:lineRule="auto"/>
              <w:jc w:val="right"/>
              <w:rPr>
                <w:rFonts w:cs="Arial"/>
                <w:color w:val="000000"/>
                <w:sz w:val="16"/>
                <w:szCs w:val="16"/>
                <w:lang w:eastAsia="en-AU"/>
              </w:rPr>
            </w:pPr>
            <w:r w:rsidRPr="003F053F">
              <w:rPr>
                <w:rFonts w:cs="Arial"/>
                <w:color w:val="000000"/>
                <w:sz w:val="16"/>
                <w:szCs w:val="16"/>
                <w:lang w:eastAsia="en-AU"/>
              </w:rPr>
              <w:t>0</w:t>
            </w:r>
          </w:p>
        </w:tc>
        <w:tc>
          <w:tcPr>
            <w:tcW w:w="922" w:type="dxa"/>
            <w:noWrap/>
            <w:hideMark/>
          </w:tcPr>
          <w:p w14:paraId="160848A5" w14:textId="77777777" w:rsidR="003F053F" w:rsidRPr="003F053F" w:rsidRDefault="003F053F" w:rsidP="003F053F">
            <w:pPr>
              <w:spacing w:after="0" w:line="240" w:lineRule="auto"/>
              <w:jc w:val="right"/>
              <w:rPr>
                <w:rFonts w:cs="Arial"/>
                <w:b/>
                <w:bCs/>
                <w:color w:val="000000"/>
                <w:sz w:val="16"/>
                <w:szCs w:val="16"/>
                <w:lang w:eastAsia="en-AU"/>
              </w:rPr>
            </w:pPr>
            <w:r w:rsidRPr="003F053F">
              <w:rPr>
                <w:rFonts w:cs="Arial"/>
                <w:b/>
                <w:bCs/>
                <w:color w:val="000000"/>
                <w:sz w:val="16"/>
                <w:szCs w:val="16"/>
                <w:lang w:eastAsia="en-AU"/>
              </w:rPr>
              <w:t>0</w:t>
            </w:r>
          </w:p>
        </w:tc>
      </w:tr>
      <w:tr w:rsidR="00D449F0" w:rsidRPr="00D449F0" w14:paraId="75D626F6" w14:textId="77777777" w:rsidTr="00906968">
        <w:trPr>
          <w:trHeight w:val="284"/>
        </w:trPr>
        <w:tc>
          <w:tcPr>
            <w:tcW w:w="1985" w:type="dxa"/>
            <w:shd w:val="clear" w:color="auto" w:fill="201547"/>
            <w:noWrap/>
            <w:hideMark/>
          </w:tcPr>
          <w:p w14:paraId="298E8465" w14:textId="18C21443" w:rsidR="003F053F" w:rsidRPr="003F053F" w:rsidRDefault="003F053F" w:rsidP="003F053F">
            <w:pPr>
              <w:spacing w:after="0" w:line="240" w:lineRule="auto"/>
              <w:rPr>
                <w:rFonts w:cs="Arial"/>
                <w:b/>
                <w:bCs/>
                <w:color w:val="FFFFFF" w:themeColor="background1"/>
                <w:sz w:val="16"/>
                <w:szCs w:val="16"/>
                <w:lang w:eastAsia="en-AU"/>
              </w:rPr>
            </w:pPr>
            <w:r w:rsidRPr="003F053F">
              <w:rPr>
                <w:rFonts w:cs="Arial"/>
                <w:b/>
                <w:bCs/>
                <w:color w:val="FFFFFF" w:themeColor="background1"/>
                <w:sz w:val="16"/>
                <w:szCs w:val="16"/>
                <w:lang w:eastAsia="en-AU"/>
              </w:rPr>
              <w:t>Total</w:t>
            </w:r>
          </w:p>
        </w:tc>
        <w:tc>
          <w:tcPr>
            <w:tcW w:w="921" w:type="dxa"/>
            <w:shd w:val="clear" w:color="auto" w:fill="201547"/>
            <w:noWrap/>
            <w:hideMark/>
          </w:tcPr>
          <w:p w14:paraId="5B79E750"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8,287</w:t>
            </w:r>
          </w:p>
        </w:tc>
        <w:tc>
          <w:tcPr>
            <w:tcW w:w="922" w:type="dxa"/>
            <w:shd w:val="clear" w:color="auto" w:fill="201547"/>
            <w:noWrap/>
            <w:hideMark/>
          </w:tcPr>
          <w:p w14:paraId="6EABD2FC"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28,917</w:t>
            </w:r>
          </w:p>
        </w:tc>
        <w:tc>
          <w:tcPr>
            <w:tcW w:w="922" w:type="dxa"/>
            <w:shd w:val="clear" w:color="auto" w:fill="201547"/>
            <w:noWrap/>
            <w:hideMark/>
          </w:tcPr>
          <w:p w14:paraId="50C9EF1A"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55,185</w:t>
            </w:r>
          </w:p>
        </w:tc>
        <w:tc>
          <w:tcPr>
            <w:tcW w:w="922" w:type="dxa"/>
            <w:shd w:val="clear" w:color="auto" w:fill="201547"/>
            <w:noWrap/>
            <w:hideMark/>
          </w:tcPr>
          <w:p w14:paraId="6DE6A577"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10,921</w:t>
            </w:r>
          </w:p>
        </w:tc>
        <w:tc>
          <w:tcPr>
            <w:tcW w:w="922" w:type="dxa"/>
            <w:shd w:val="clear" w:color="auto" w:fill="201547"/>
            <w:noWrap/>
            <w:hideMark/>
          </w:tcPr>
          <w:p w14:paraId="4466AB16"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112,829</w:t>
            </w:r>
          </w:p>
        </w:tc>
        <w:tc>
          <w:tcPr>
            <w:tcW w:w="922" w:type="dxa"/>
            <w:shd w:val="clear" w:color="auto" w:fill="201547"/>
            <w:noWrap/>
            <w:hideMark/>
          </w:tcPr>
          <w:p w14:paraId="31BE315A"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2,463</w:t>
            </w:r>
          </w:p>
        </w:tc>
        <w:tc>
          <w:tcPr>
            <w:tcW w:w="922" w:type="dxa"/>
            <w:shd w:val="clear" w:color="auto" w:fill="201547"/>
            <w:noWrap/>
            <w:hideMark/>
          </w:tcPr>
          <w:p w14:paraId="687812AC"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218,602</w:t>
            </w:r>
          </w:p>
        </w:tc>
        <w:tc>
          <w:tcPr>
            <w:tcW w:w="921" w:type="dxa"/>
            <w:shd w:val="clear" w:color="auto" w:fill="201547"/>
            <w:noWrap/>
            <w:hideMark/>
          </w:tcPr>
          <w:p w14:paraId="61714D8A"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7,881</w:t>
            </w:r>
          </w:p>
        </w:tc>
        <w:tc>
          <w:tcPr>
            <w:tcW w:w="922" w:type="dxa"/>
            <w:shd w:val="clear" w:color="auto" w:fill="201547"/>
            <w:noWrap/>
            <w:hideMark/>
          </w:tcPr>
          <w:p w14:paraId="52B8870A"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35,586</w:t>
            </w:r>
          </w:p>
        </w:tc>
        <w:tc>
          <w:tcPr>
            <w:tcW w:w="922" w:type="dxa"/>
            <w:shd w:val="clear" w:color="auto" w:fill="201547"/>
            <w:noWrap/>
            <w:hideMark/>
          </w:tcPr>
          <w:p w14:paraId="0C2177A8"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58,204</w:t>
            </w:r>
          </w:p>
        </w:tc>
        <w:tc>
          <w:tcPr>
            <w:tcW w:w="922" w:type="dxa"/>
            <w:shd w:val="clear" w:color="auto" w:fill="201547"/>
            <w:noWrap/>
            <w:hideMark/>
          </w:tcPr>
          <w:p w14:paraId="7AF82685"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12,330</w:t>
            </w:r>
          </w:p>
        </w:tc>
        <w:tc>
          <w:tcPr>
            <w:tcW w:w="922" w:type="dxa"/>
            <w:shd w:val="clear" w:color="auto" w:fill="201547"/>
            <w:noWrap/>
            <w:hideMark/>
          </w:tcPr>
          <w:p w14:paraId="1CEAA8E4"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113,341</w:t>
            </w:r>
          </w:p>
        </w:tc>
        <w:tc>
          <w:tcPr>
            <w:tcW w:w="922" w:type="dxa"/>
            <w:shd w:val="clear" w:color="auto" w:fill="201547"/>
            <w:noWrap/>
            <w:hideMark/>
          </w:tcPr>
          <w:p w14:paraId="715DEDF2"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3,387</w:t>
            </w:r>
          </w:p>
        </w:tc>
        <w:tc>
          <w:tcPr>
            <w:tcW w:w="922" w:type="dxa"/>
            <w:shd w:val="clear" w:color="auto" w:fill="201547"/>
            <w:noWrap/>
            <w:hideMark/>
          </w:tcPr>
          <w:p w14:paraId="3B7E42D1" w14:textId="77777777" w:rsidR="003F053F" w:rsidRPr="003F053F" w:rsidRDefault="003F053F" w:rsidP="003F053F">
            <w:pPr>
              <w:spacing w:after="0" w:line="240" w:lineRule="auto"/>
              <w:jc w:val="right"/>
              <w:rPr>
                <w:rFonts w:cs="Arial"/>
                <w:b/>
                <w:bCs/>
                <w:color w:val="FFFFFF" w:themeColor="background1"/>
                <w:sz w:val="16"/>
                <w:szCs w:val="16"/>
                <w:lang w:eastAsia="en-AU"/>
              </w:rPr>
            </w:pPr>
            <w:r w:rsidRPr="003F053F">
              <w:rPr>
                <w:rFonts w:cs="Arial"/>
                <w:b/>
                <w:bCs/>
                <w:color w:val="FFFFFF" w:themeColor="background1"/>
                <w:sz w:val="16"/>
                <w:szCs w:val="16"/>
                <w:lang w:eastAsia="en-AU"/>
              </w:rPr>
              <w:t>230,728</w:t>
            </w:r>
          </w:p>
        </w:tc>
      </w:tr>
    </w:tbl>
    <w:p w14:paraId="2153BE8F" w14:textId="76150276" w:rsidR="00EC22E9" w:rsidRPr="00825D19" w:rsidRDefault="00EC22E9" w:rsidP="00C7344B">
      <w:pPr>
        <w:spacing w:after="0" w:line="240" w:lineRule="auto"/>
        <w:rPr>
          <w:rFonts w:eastAsia="MS Gothic"/>
          <w:b/>
          <w:color w:val="53565A"/>
          <w:sz w:val="32"/>
        </w:rPr>
      </w:pPr>
    </w:p>
    <w:p w14:paraId="376C7BDA" w14:textId="17DB06DC" w:rsidR="000B27B9" w:rsidRPr="00494D61" w:rsidRDefault="000B27B9" w:rsidP="009375E0">
      <w:pPr>
        <w:pStyle w:val="Heading3"/>
        <w:spacing w:before="240"/>
      </w:pPr>
      <w:bookmarkStart w:id="1192" w:name="_Toc100263370"/>
      <w:bookmarkStart w:id="1193" w:name="_Toc127192018"/>
      <w:r w:rsidRPr="00494D61">
        <w:t xml:space="preserve">Local </w:t>
      </w:r>
      <w:r w:rsidR="00331D5D" w:rsidRPr="00494D61">
        <w:t>G</w:t>
      </w:r>
      <w:r w:rsidRPr="00494D61">
        <w:t xml:space="preserve">overnment </w:t>
      </w:r>
      <w:r w:rsidR="00331D5D" w:rsidRPr="00494D61">
        <w:t>A</w:t>
      </w:r>
      <w:r w:rsidRPr="00494D61">
        <w:t xml:space="preserve">uthorities </w:t>
      </w:r>
      <w:bookmarkEnd w:id="1188"/>
      <w:bookmarkEnd w:id="1189"/>
      <w:bookmarkEnd w:id="1190"/>
      <w:bookmarkEnd w:id="1191"/>
      <w:r w:rsidR="005D1FCB" w:rsidRPr="00494D61">
        <w:t>2021</w:t>
      </w:r>
      <w:r w:rsidR="00AB0330" w:rsidRPr="00494D61">
        <w:t>–</w:t>
      </w:r>
      <w:r w:rsidR="005D1FCB" w:rsidRPr="00494D61">
        <w:t>22 and 2022</w:t>
      </w:r>
      <w:r w:rsidR="00AB0330" w:rsidRPr="00494D61">
        <w:t>–</w:t>
      </w:r>
      <w:r w:rsidR="005D1FCB" w:rsidRPr="00494D61">
        <w:t>23</w:t>
      </w:r>
      <w:bookmarkEnd w:id="1192"/>
      <w:bookmarkEnd w:id="1193"/>
    </w:p>
    <w:p w14:paraId="57D832D6" w14:textId="77777777" w:rsidR="000B27B9" w:rsidRPr="00494D61" w:rsidRDefault="000B27B9" w:rsidP="0064265C">
      <w:pPr>
        <w:pStyle w:val="Tablefigurenote9pt"/>
      </w:pPr>
      <w:r w:rsidRPr="00494D61">
        <w:t>Notes:</w:t>
      </w:r>
    </w:p>
    <w:p w14:paraId="08506EB1" w14:textId="77777777" w:rsidR="000B27B9" w:rsidRPr="00494D61" w:rsidRDefault="000B27B9" w:rsidP="003C01AD">
      <w:pPr>
        <w:pStyle w:val="Tablenoteroman"/>
        <w:numPr>
          <w:ilvl w:val="0"/>
          <w:numId w:val="6"/>
        </w:numPr>
      </w:pPr>
      <w:r w:rsidRPr="00494D61">
        <w:t>This table shows the health funding to local government authorities that receive &gt; $1 million from specific health outputs.</w:t>
      </w:r>
    </w:p>
    <w:p w14:paraId="10B34489" w14:textId="77777777" w:rsidR="000B27B9" w:rsidRPr="00494D61" w:rsidRDefault="000B27B9" w:rsidP="003C01AD">
      <w:pPr>
        <w:pStyle w:val="Tablenoteroman"/>
        <w:numPr>
          <w:ilvl w:val="0"/>
          <w:numId w:val="6"/>
        </w:numPr>
      </w:pPr>
      <w:r w:rsidRPr="00494D61">
        <w:t>The Primary and dental health column includes the impact of machinery of government changes for Maternal and child health services.</w:t>
      </w:r>
    </w:p>
    <w:p w14:paraId="4858F324" w14:textId="77777777" w:rsidR="000B27B9" w:rsidRPr="00494D61" w:rsidRDefault="000B27B9" w:rsidP="003C01AD">
      <w:pPr>
        <w:pStyle w:val="Tablenoteroman"/>
        <w:numPr>
          <w:ilvl w:val="0"/>
          <w:numId w:val="6"/>
        </w:numPr>
        <w:rPr>
          <w:lang w:eastAsia="en-AU"/>
        </w:rPr>
      </w:pPr>
      <w:r w:rsidRPr="00494D61">
        <w:rPr>
          <w:lang w:eastAsia="en-AU"/>
        </w:rPr>
        <w:t>Subtotals and totals may not add up due to rounding.</w:t>
      </w:r>
    </w:p>
    <w:p w14:paraId="17748ED6" w14:textId="03CDEFCB" w:rsidR="000B27B9" w:rsidRDefault="000B27B9" w:rsidP="000E08EF">
      <w:pPr>
        <w:pStyle w:val="Tablecaption"/>
      </w:pPr>
      <w:bookmarkStart w:id="1194" w:name="_Toc12780565"/>
      <w:bookmarkStart w:id="1195" w:name="_Toc14194821"/>
      <w:bookmarkStart w:id="1196" w:name="_Toc33704002"/>
      <w:bookmarkStart w:id="1197" w:name="_Toc109894132"/>
      <w:bookmarkStart w:id="1198" w:name="_Toc119500913"/>
      <w:r w:rsidRPr="00494D61">
        <w:t xml:space="preserve">Table </w:t>
      </w:r>
      <w:r>
        <w:fldChar w:fldCharType="begin"/>
      </w:r>
      <w:r>
        <w:instrText>STYLEREF 1 \s</w:instrText>
      </w:r>
      <w:r>
        <w:fldChar w:fldCharType="separate"/>
      </w:r>
      <w:r w:rsidR="006D0756" w:rsidRPr="00494D61">
        <w:rPr>
          <w:noProof/>
        </w:rPr>
        <w:t>2</w:t>
      </w:r>
      <w:r>
        <w:fldChar w:fldCharType="end"/>
      </w:r>
      <w:r w:rsidR="00EC6300" w:rsidRPr="00494D61">
        <w:t>.</w:t>
      </w:r>
      <w:r>
        <w:fldChar w:fldCharType="begin"/>
      </w:r>
      <w:r>
        <w:instrText>SEQ Table \* ARABIC \s 1</w:instrText>
      </w:r>
      <w:r>
        <w:fldChar w:fldCharType="separate"/>
      </w:r>
      <w:r w:rsidR="006D0756" w:rsidRPr="00494D61">
        <w:rPr>
          <w:noProof/>
        </w:rPr>
        <w:t>6</w:t>
      </w:r>
      <w:r>
        <w:fldChar w:fldCharType="end"/>
      </w:r>
      <w:r w:rsidRPr="00494D61">
        <w:t xml:space="preserve">: Local government authorities </w:t>
      </w:r>
      <w:bookmarkEnd w:id="1194"/>
      <w:bookmarkEnd w:id="1195"/>
      <w:bookmarkEnd w:id="1196"/>
      <w:r w:rsidR="005D1FCB" w:rsidRPr="00494D61">
        <w:t>2021</w:t>
      </w:r>
      <w:r w:rsidR="00AB0330" w:rsidRPr="00494D61">
        <w:t>–</w:t>
      </w:r>
      <w:r w:rsidR="005D1FCB" w:rsidRPr="00494D61">
        <w:t>22 and 2022</w:t>
      </w:r>
      <w:r w:rsidR="00AB0330" w:rsidRPr="00494D61">
        <w:t>–</w:t>
      </w:r>
      <w:r w:rsidR="005D1FCB" w:rsidRPr="00494D61">
        <w:t>23</w:t>
      </w:r>
      <w:bookmarkEnd w:id="1197"/>
      <w:bookmarkEnd w:id="1198"/>
    </w:p>
    <w:tbl>
      <w:tblPr>
        <w:tblStyle w:val="TableGrid1"/>
        <w:tblW w:w="14884" w:type="dxa"/>
        <w:tblLayout w:type="fixed"/>
        <w:tblLook w:val="04A0" w:firstRow="1" w:lastRow="0" w:firstColumn="1" w:lastColumn="0" w:noHBand="0" w:noVBand="1"/>
      </w:tblPr>
      <w:tblGrid>
        <w:gridCol w:w="2410"/>
        <w:gridCol w:w="1247"/>
        <w:gridCol w:w="1247"/>
        <w:gridCol w:w="1248"/>
        <w:gridCol w:w="1247"/>
        <w:gridCol w:w="1248"/>
        <w:gridCol w:w="1247"/>
        <w:gridCol w:w="1247"/>
        <w:gridCol w:w="1248"/>
        <w:gridCol w:w="1247"/>
        <w:gridCol w:w="1248"/>
      </w:tblGrid>
      <w:tr w:rsidR="00CF4E52" w:rsidRPr="00434512" w14:paraId="1B6BCF7B" w14:textId="77777777" w:rsidTr="00CF4E52">
        <w:trPr>
          <w:cnfStyle w:val="100000000000" w:firstRow="1" w:lastRow="0" w:firstColumn="0" w:lastColumn="0" w:oddVBand="0" w:evenVBand="0" w:oddHBand="0" w:evenHBand="0" w:firstRowFirstColumn="0" w:firstRowLastColumn="0" w:lastRowFirstColumn="0" w:lastRowLastColumn="0"/>
          <w:trHeight w:val="288"/>
          <w:tblHeader/>
        </w:trPr>
        <w:tc>
          <w:tcPr>
            <w:tcW w:w="2410" w:type="dxa"/>
            <w:vMerge w:val="restart"/>
            <w:hideMark/>
          </w:tcPr>
          <w:p w14:paraId="4A15DB8E" w14:textId="77777777" w:rsidR="00CF4E52" w:rsidRPr="00434512" w:rsidRDefault="00CF4E52" w:rsidP="00434512">
            <w:pPr>
              <w:spacing w:after="0" w:line="240" w:lineRule="auto"/>
              <w:rPr>
                <w:rFonts w:cs="Arial"/>
                <w:b/>
                <w:bCs/>
                <w:color w:val="FFFFFF"/>
                <w:sz w:val="16"/>
                <w:szCs w:val="16"/>
                <w:lang w:eastAsia="en-AU"/>
              </w:rPr>
            </w:pPr>
            <w:r w:rsidRPr="00434512">
              <w:rPr>
                <w:rFonts w:cs="Arial"/>
                <w:b/>
                <w:bCs/>
                <w:color w:val="FFFFFF"/>
                <w:sz w:val="16"/>
                <w:szCs w:val="16"/>
                <w:lang w:eastAsia="en-AU"/>
              </w:rPr>
              <w:t>Health Service</w:t>
            </w:r>
          </w:p>
          <w:p w14:paraId="7C002A1F" w14:textId="4394BDD6"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 </w:t>
            </w:r>
          </w:p>
        </w:tc>
        <w:tc>
          <w:tcPr>
            <w:tcW w:w="6237" w:type="dxa"/>
            <w:gridSpan w:val="5"/>
            <w:noWrap/>
            <w:hideMark/>
          </w:tcPr>
          <w:p w14:paraId="2D5CE1BC" w14:textId="2F2A44B8" w:rsidR="00CF4E52" w:rsidRPr="00434512" w:rsidRDefault="00CF4E52" w:rsidP="00434512">
            <w:pPr>
              <w:spacing w:after="0" w:line="240" w:lineRule="auto"/>
              <w:jc w:val="center"/>
              <w:rPr>
                <w:rFonts w:cs="Arial"/>
                <w:b/>
                <w:bCs/>
                <w:color w:val="FFFFFF"/>
                <w:sz w:val="16"/>
                <w:szCs w:val="16"/>
                <w:lang w:eastAsia="en-AU"/>
              </w:rPr>
            </w:pPr>
            <w:r w:rsidRPr="00434512">
              <w:rPr>
                <w:rFonts w:cs="Arial"/>
                <w:b/>
                <w:bCs/>
                <w:color w:val="FFFFFF"/>
                <w:sz w:val="16"/>
                <w:szCs w:val="16"/>
                <w:lang w:eastAsia="en-AU"/>
              </w:rPr>
              <w:t>2021</w:t>
            </w:r>
            <w:r w:rsidR="002F204E" w:rsidRPr="005353E5">
              <w:rPr>
                <w:rFonts w:cs="Arial"/>
                <w:b/>
                <w:bCs/>
                <w:color w:val="FFFFFF"/>
                <w:sz w:val="16"/>
                <w:szCs w:val="16"/>
                <w:lang w:eastAsia="en-AU"/>
              </w:rPr>
              <w:t>–</w:t>
            </w:r>
            <w:r w:rsidRPr="00434512">
              <w:rPr>
                <w:rFonts w:cs="Arial"/>
                <w:b/>
                <w:bCs/>
                <w:color w:val="FFFFFF"/>
                <w:sz w:val="16"/>
                <w:szCs w:val="16"/>
                <w:lang w:eastAsia="en-AU"/>
              </w:rPr>
              <w:t>2022</w:t>
            </w:r>
          </w:p>
        </w:tc>
        <w:tc>
          <w:tcPr>
            <w:tcW w:w="6237" w:type="dxa"/>
            <w:gridSpan w:val="5"/>
            <w:noWrap/>
            <w:hideMark/>
          </w:tcPr>
          <w:p w14:paraId="5F4CABE8" w14:textId="6D173B39" w:rsidR="00CF4E52" w:rsidRPr="00434512" w:rsidRDefault="00CF4E52" w:rsidP="00434512">
            <w:pPr>
              <w:spacing w:after="0" w:line="240" w:lineRule="auto"/>
              <w:jc w:val="center"/>
              <w:rPr>
                <w:rFonts w:cs="Arial"/>
                <w:b/>
                <w:bCs/>
                <w:color w:val="FFFFFF"/>
                <w:sz w:val="16"/>
                <w:szCs w:val="16"/>
                <w:lang w:eastAsia="en-AU"/>
              </w:rPr>
            </w:pPr>
            <w:r w:rsidRPr="00434512">
              <w:rPr>
                <w:rFonts w:cs="Arial"/>
                <w:b/>
                <w:bCs/>
                <w:color w:val="FFFFFF"/>
                <w:sz w:val="16"/>
                <w:szCs w:val="16"/>
                <w:lang w:eastAsia="en-AU"/>
              </w:rPr>
              <w:t>2022</w:t>
            </w:r>
            <w:r w:rsidR="002F204E" w:rsidRPr="005353E5">
              <w:rPr>
                <w:rFonts w:cs="Arial"/>
                <w:b/>
                <w:bCs/>
                <w:color w:val="FFFFFF"/>
                <w:sz w:val="16"/>
                <w:szCs w:val="16"/>
                <w:lang w:eastAsia="en-AU"/>
              </w:rPr>
              <w:t>–</w:t>
            </w:r>
            <w:r w:rsidRPr="00434512">
              <w:rPr>
                <w:rFonts w:cs="Arial"/>
                <w:b/>
                <w:bCs/>
                <w:color w:val="FFFFFF"/>
                <w:sz w:val="16"/>
                <w:szCs w:val="16"/>
                <w:lang w:eastAsia="en-AU"/>
              </w:rPr>
              <w:t>2023</w:t>
            </w:r>
          </w:p>
        </w:tc>
      </w:tr>
      <w:tr w:rsidR="00CF4E52" w:rsidRPr="00434512" w14:paraId="608FA03B" w14:textId="77777777" w:rsidTr="00CF4E52">
        <w:trPr>
          <w:trHeight w:val="433"/>
        </w:trPr>
        <w:tc>
          <w:tcPr>
            <w:tcW w:w="2410" w:type="dxa"/>
            <w:vMerge/>
            <w:hideMark/>
          </w:tcPr>
          <w:p w14:paraId="12036040" w14:textId="104CF009" w:rsidR="00CF4E52" w:rsidRPr="00434512" w:rsidRDefault="00CF4E52" w:rsidP="00434512">
            <w:pPr>
              <w:spacing w:after="0" w:line="240" w:lineRule="auto"/>
              <w:jc w:val="right"/>
              <w:rPr>
                <w:rFonts w:cs="Arial"/>
                <w:b/>
                <w:bCs/>
                <w:color w:val="FFFFFF"/>
                <w:sz w:val="16"/>
                <w:szCs w:val="16"/>
                <w:lang w:eastAsia="en-AU"/>
              </w:rPr>
            </w:pPr>
          </w:p>
        </w:tc>
        <w:tc>
          <w:tcPr>
            <w:tcW w:w="1247" w:type="dxa"/>
            <w:shd w:val="clear" w:color="auto" w:fill="201547"/>
            <w:hideMark/>
          </w:tcPr>
          <w:p w14:paraId="2690446E"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Ageing, aged and home care</w:t>
            </w:r>
          </w:p>
        </w:tc>
        <w:tc>
          <w:tcPr>
            <w:tcW w:w="1247" w:type="dxa"/>
            <w:shd w:val="clear" w:color="auto" w:fill="201547"/>
            <w:hideMark/>
          </w:tcPr>
          <w:p w14:paraId="079DE6E3"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Drugs Services</w:t>
            </w:r>
          </w:p>
        </w:tc>
        <w:tc>
          <w:tcPr>
            <w:tcW w:w="1248" w:type="dxa"/>
            <w:shd w:val="clear" w:color="auto" w:fill="201547"/>
            <w:hideMark/>
          </w:tcPr>
          <w:p w14:paraId="4FAF4B69"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Primary and Dental Health</w:t>
            </w:r>
          </w:p>
        </w:tc>
        <w:tc>
          <w:tcPr>
            <w:tcW w:w="1247" w:type="dxa"/>
            <w:shd w:val="clear" w:color="auto" w:fill="201547"/>
            <w:hideMark/>
          </w:tcPr>
          <w:p w14:paraId="12ECD6C9"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Public Health</w:t>
            </w:r>
          </w:p>
        </w:tc>
        <w:tc>
          <w:tcPr>
            <w:tcW w:w="1248" w:type="dxa"/>
            <w:shd w:val="clear" w:color="auto" w:fill="201547"/>
            <w:hideMark/>
          </w:tcPr>
          <w:p w14:paraId="22F8961E"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Total</w:t>
            </w:r>
          </w:p>
        </w:tc>
        <w:tc>
          <w:tcPr>
            <w:tcW w:w="1247" w:type="dxa"/>
            <w:shd w:val="clear" w:color="auto" w:fill="201547"/>
            <w:hideMark/>
          </w:tcPr>
          <w:p w14:paraId="35A3C01C"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Ageing, aged and home care</w:t>
            </w:r>
          </w:p>
        </w:tc>
        <w:tc>
          <w:tcPr>
            <w:tcW w:w="1247" w:type="dxa"/>
            <w:shd w:val="clear" w:color="auto" w:fill="201547"/>
            <w:hideMark/>
          </w:tcPr>
          <w:p w14:paraId="660DC963"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Drugs Services</w:t>
            </w:r>
          </w:p>
        </w:tc>
        <w:tc>
          <w:tcPr>
            <w:tcW w:w="1248" w:type="dxa"/>
            <w:shd w:val="clear" w:color="auto" w:fill="201547"/>
            <w:hideMark/>
          </w:tcPr>
          <w:p w14:paraId="39F3C54A"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Primary and Dental Health</w:t>
            </w:r>
          </w:p>
        </w:tc>
        <w:tc>
          <w:tcPr>
            <w:tcW w:w="1247" w:type="dxa"/>
            <w:shd w:val="clear" w:color="auto" w:fill="201547"/>
            <w:hideMark/>
          </w:tcPr>
          <w:p w14:paraId="57E4780E"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Public Health</w:t>
            </w:r>
          </w:p>
        </w:tc>
        <w:tc>
          <w:tcPr>
            <w:tcW w:w="1248" w:type="dxa"/>
            <w:shd w:val="clear" w:color="auto" w:fill="201547"/>
            <w:hideMark/>
          </w:tcPr>
          <w:p w14:paraId="72DE988F"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Total</w:t>
            </w:r>
          </w:p>
        </w:tc>
      </w:tr>
      <w:tr w:rsidR="00CF4E52" w:rsidRPr="00434512" w14:paraId="6567629A" w14:textId="77777777" w:rsidTr="00CF4E52">
        <w:trPr>
          <w:trHeight w:val="288"/>
        </w:trPr>
        <w:tc>
          <w:tcPr>
            <w:tcW w:w="2410" w:type="dxa"/>
            <w:vMerge/>
            <w:hideMark/>
          </w:tcPr>
          <w:p w14:paraId="0102E210" w14:textId="047ADB4E" w:rsidR="00CF4E52" w:rsidRPr="00434512" w:rsidRDefault="00CF4E52" w:rsidP="00434512">
            <w:pPr>
              <w:spacing w:after="0" w:line="240" w:lineRule="auto"/>
              <w:jc w:val="right"/>
              <w:rPr>
                <w:rFonts w:cs="Arial"/>
                <w:b/>
                <w:bCs/>
                <w:color w:val="FFFFFF"/>
                <w:sz w:val="16"/>
                <w:szCs w:val="16"/>
                <w:lang w:eastAsia="en-AU"/>
              </w:rPr>
            </w:pPr>
          </w:p>
        </w:tc>
        <w:tc>
          <w:tcPr>
            <w:tcW w:w="1247" w:type="dxa"/>
            <w:shd w:val="clear" w:color="auto" w:fill="201547"/>
            <w:hideMark/>
          </w:tcPr>
          <w:p w14:paraId="66A71F21"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7" w:type="dxa"/>
            <w:shd w:val="clear" w:color="auto" w:fill="201547"/>
            <w:hideMark/>
          </w:tcPr>
          <w:p w14:paraId="34623258"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8" w:type="dxa"/>
            <w:shd w:val="clear" w:color="auto" w:fill="201547"/>
            <w:hideMark/>
          </w:tcPr>
          <w:p w14:paraId="36323ADA"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7" w:type="dxa"/>
            <w:shd w:val="clear" w:color="auto" w:fill="201547"/>
            <w:hideMark/>
          </w:tcPr>
          <w:p w14:paraId="400891B7"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8" w:type="dxa"/>
            <w:shd w:val="clear" w:color="auto" w:fill="201547"/>
            <w:hideMark/>
          </w:tcPr>
          <w:p w14:paraId="23CAEF20"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7" w:type="dxa"/>
            <w:shd w:val="clear" w:color="auto" w:fill="201547"/>
            <w:hideMark/>
          </w:tcPr>
          <w:p w14:paraId="3B4469B4"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7" w:type="dxa"/>
            <w:shd w:val="clear" w:color="auto" w:fill="201547"/>
            <w:hideMark/>
          </w:tcPr>
          <w:p w14:paraId="4A97F861"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8" w:type="dxa"/>
            <w:shd w:val="clear" w:color="auto" w:fill="201547"/>
            <w:hideMark/>
          </w:tcPr>
          <w:p w14:paraId="432080D9"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7" w:type="dxa"/>
            <w:shd w:val="clear" w:color="auto" w:fill="201547"/>
            <w:hideMark/>
          </w:tcPr>
          <w:p w14:paraId="50FBD5FB"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c>
          <w:tcPr>
            <w:tcW w:w="1248" w:type="dxa"/>
            <w:shd w:val="clear" w:color="auto" w:fill="201547"/>
            <w:hideMark/>
          </w:tcPr>
          <w:p w14:paraId="684CCD28" w14:textId="77777777" w:rsidR="00CF4E52" w:rsidRPr="00434512" w:rsidRDefault="00CF4E5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$'000s</w:t>
            </w:r>
          </w:p>
        </w:tc>
      </w:tr>
      <w:tr w:rsidR="00434512" w:rsidRPr="00434512" w14:paraId="4C01BB0A" w14:textId="77777777" w:rsidTr="00CF4E52">
        <w:trPr>
          <w:trHeight w:val="300"/>
        </w:trPr>
        <w:tc>
          <w:tcPr>
            <w:tcW w:w="2410" w:type="dxa"/>
            <w:hideMark/>
          </w:tcPr>
          <w:p w14:paraId="4A3E9D70"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Banyule City Council</w:t>
            </w:r>
          </w:p>
        </w:tc>
        <w:tc>
          <w:tcPr>
            <w:tcW w:w="1247" w:type="dxa"/>
            <w:hideMark/>
          </w:tcPr>
          <w:p w14:paraId="5F2AB65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300</w:t>
            </w:r>
          </w:p>
        </w:tc>
        <w:tc>
          <w:tcPr>
            <w:tcW w:w="1247" w:type="dxa"/>
            <w:hideMark/>
          </w:tcPr>
          <w:p w14:paraId="04A1191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34C752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1,244</w:t>
            </w:r>
          </w:p>
        </w:tc>
        <w:tc>
          <w:tcPr>
            <w:tcW w:w="1247" w:type="dxa"/>
            <w:hideMark/>
          </w:tcPr>
          <w:p w14:paraId="17362A7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406CE0D"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1,543</w:t>
            </w:r>
          </w:p>
        </w:tc>
        <w:tc>
          <w:tcPr>
            <w:tcW w:w="1247" w:type="dxa"/>
            <w:hideMark/>
          </w:tcPr>
          <w:p w14:paraId="641B878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915</w:t>
            </w:r>
          </w:p>
        </w:tc>
        <w:tc>
          <w:tcPr>
            <w:tcW w:w="1247" w:type="dxa"/>
            <w:hideMark/>
          </w:tcPr>
          <w:p w14:paraId="0F2A8EA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EB02D6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1,247</w:t>
            </w:r>
          </w:p>
        </w:tc>
        <w:tc>
          <w:tcPr>
            <w:tcW w:w="1247" w:type="dxa"/>
            <w:hideMark/>
          </w:tcPr>
          <w:p w14:paraId="77CACF3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A7C4221"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2,163</w:t>
            </w:r>
          </w:p>
        </w:tc>
      </w:tr>
      <w:tr w:rsidR="00434512" w:rsidRPr="00434512" w14:paraId="0F1D3B6E" w14:textId="77777777" w:rsidTr="00CF4E52">
        <w:trPr>
          <w:trHeight w:val="300"/>
        </w:trPr>
        <w:tc>
          <w:tcPr>
            <w:tcW w:w="2410" w:type="dxa"/>
            <w:hideMark/>
          </w:tcPr>
          <w:p w14:paraId="79713A4F"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Baw Baw Shire Council</w:t>
            </w:r>
          </w:p>
        </w:tc>
        <w:tc>
          <w:tcPr>
            <w:tcW w:w="1247" w:type="dxa"/>
            <w:hideMark/>
          </w:tcPr>
          <w:p w14:paraId="07D6D41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427</w:t>
            </w:r>
          </w:p>
        </w:tc>
        <w:tc>
          <w:tcPr>
            <w:tcW w:w="1247" w:type="dxa"/>
            <w:hideMark/>
          </w:tcPr>
          <w:p w14:paraId="57929B9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E68D78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901</w:t>
            </w:r>
          </w:p>
        </w:tc>
        <w:tc>
          <w:tcPr>
            <w:tcW w:w="1247" w:type="dxa"/>
            <w:hideMark/>
          </w:tcPr>
          <w:p w14:paraId="072091A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77FD3E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1,327</w:t>
            </w:r>
          </w:p>
        </w:tc>
        <w:tc>
          <w:tcPr>
            <w:tcW w:w="1247" w:type="dxa"/>
            <w:hideMark/>
          </w:tcPr>
          <w:p w14:paraId="4DF1663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436</w:t>
            </w:r>
          </w:p>
        </w:tc>
        <w:tc>
          <w:tcPr>
            <w:tcW w:w="1247" w:type="dxa"/>
            <w:hideMark/>
          </w:tcPr>
          <w:p w14:paraId="40EC0EC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AFF88E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903</w:t>
            </w:r>
          </w:p>
        </w:tc>
        <w:tc>
          <w:tcPr>
            <w:tcW w:w="1247" w:type="dxa"/>
            <w:hideMark/>
          </w:tcPr>
          <w:p w14:paraId="783346D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2310F1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1,339</w:t>
            </w:r>
          </w:p>
        </w:tc>
      </w:tr>
      <w:tr w:rsidR="00434512" w:rsidRPr="00434512" w14:paraId="37DB8273" w14:textId="77777777" w:rsidTr="00CF4E52">
        <w:trPr>
          <w:trHeight w:val="300"/>
        </w:trPr>
        <w:tc>
          <w:tcPr>
            <w:tcW w:w="2410" w:type="dxa"/>
            <w:hideMark/>
          </w:tcPr>
          <w:p w14:paraId="6F7D9C69"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Bayside City Council</w:t>
            </w:r>
          </w:p>
        </w:tc>
        <w:tc>
          <w:tcPr>
            <w:tcW w:w="1247" w:type="dxa"/>
            <w:hideMark/>
          </w:tcPr>
          <w:p w14:paraId="40E663D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382</w:t>
            </w:r>
          </w:p>
        </w:tc>
        <w:tc>
          <w:tcPr>
            <w:tcW w:w="1247" w:type="dxa"/>
            <w:hideMark/>
          </w:tcPr>
          <w:p w14:paraId="619177D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4AF3E3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650</w:t>
            </w:r>
          </w:p>
        </w:tc>
        <w:tc>
          <w:tcPr>
            <w:tcW w:w="1247" w:type="dxa"/>
            <w:hideMark/>
          </w:tcPr>
          <w:p w14:paraId="71F16B0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5A5246C"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1,032</w:t>
            </w:r>
          </w:p>
        </w:tc>
        <w:tc>
          <w:tcPr>
            <w:tcW w:w="1247" w:type="dxa"/>
            <w:hideMark/>
          </w:tcPr>
          <w:p w14:paraId="3B73146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1,085</w:t>
            </w:r>
          </w:p>
        </w:tc>
        <w:tc>
          <w:tcPr>
            <w:tcW w:w="1247" w:type="dxa"/>
            <w:hideMark/>
          </w:tcPr>
          <w:p w14:paraId="48E1C29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7F26C7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652</w:t>
            </w:r>
          </w:p>
        </w:tc>
        <w:tc>
          <w:tcPr>
            <w:tcW w:w="1247" w:type="dxa"/>
            <w:hideMark/>
          </w:tcPr>
          <w:p w14:paraId="4A384D7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D001967"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1,737</w:t>
            </w:r>
          </w:p>
        </w:tc>
      </w:tr>
      <w:tr w:rsidR="00434512" w:rsidRPr="00434512" w14:paraId="4FD0DD35" w14:textId="77777777" w:rsidTr="00CF4E52">
        <w:trPr>
          <w:trHeight w:val="300"/>
        </w:trPr>
        <w:tc>
          <w:tcPr>
            <w:tcW w:w="2410" w:type="dxa"/>
            <w:hideMark/>
          </w:tcPr>
          <w:p w14:paraId="7B283D55"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Brimbank City Council</w:t>
            </w:r>
          </w:p>
        </w:tc>
        <w:tc>
          <w:tcPr>
            <w:tcW w:w="1247" w:type="dxa"/>
            <w:hideMark/>
          </w:tcPr>
          <w:p w14:paraId="51C5D1A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641</w:t>
            </w:r>
          </w:p>
        </w:tc>
        <w:tc>
          <w:tcPr>
            <w:tcW w:w="1247" w:type="dxa"/>
            <w:hideMark/>
          </w:tcPr>
          <w:p w14:paraId="2D07C8C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EAD87F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3,105</w:t>
            </w:r>
          </w:p>
        </w:tc>
        <w:tc>
          <w:tcPr>
            <w:tcW w:w="1247" w:type="dxa"/>
            <w:hideMark/>
          </w:tcPr>
          <w:p w14:paraId="02456E7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CAA8D83"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3,746</w:t>
            </w:r>
          </w:p>
        </w:tc>
        <w:tc>
          <w:tcPr>
            <w:tcW w:w="1247" w:type="dxa"/>
            <w:hideMark/>
          </w:tcPr>
          <w:p w14:paraId="7603B7B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1,265</w:t>
            </w:r>
          </w:p>
        </w:tc>
        <w:tc>
          <w:tcPr>
            <w:tcW w:w="1247" w:type="dxa"/>
            <w:hideMark/>
          </w:tcPr>
          <w:p w14:paraId="07AC42F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69118C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3,116</w:t>
            </w:r>
          </w:p>
        </w:tc>
        <w:tc>
          <w:tcPr>
            <w:tcW w:w="1247" w:type="dxa"/>
            <w:hideMark/>
          </w:tcPr>
          <w:p w14:paraId="377156F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2227AE2"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4,381</w:t>
            </w:r>
          </w:p>
        </w:tc>
      </w:tr>
      <w:tr w:rsidR="00434512" w:rsidRPr="00434512" w14:paraId="6C187BA6" w14:textId="77777777" w:rsidTr="00CF4E52">
        <w:trPr>
          <w:trHeight w:val="300"/>
        </w:trPr>
        <w:tc>
          <w:tcPr>
            <w:tcW w:w="2410" w:type="dxa"/>
            <w:hideMark/>
          </w:tcPr>
          <w:p w14:paraId="1AC3216F"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Cardinia Shire Council</w:t>
            </w:r>
          </w:p>
        </w:tc>
        <w:tc>
          <w:tcPr>
            <w:tcW w:w="1247" w:type="dxa"/>
            <w:hideMark/>
          </w:tcPr>
          <w:p w14:paraId="4AE6575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54</w:t>
            </w:r>
          </w:p>
        </w:tc>
        <w:tc>
          <w:tcPr>
            <w:tcW w:w="1247" w:type="dxa"/>
            <w:hideMark/>
          </w:tcPr>
          <w:p w14:paraId="01B2AC4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E87242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2,045</w:t>
            </w:r>
          </w:p>
        </w:tc>
        <w:tc>
          <w:tcPr>
            <w:tcW w:w="1247" w:type="dxa"/>
            <w:hideMark/>
          </w:tcPr>
          <w:p w14:paraId="61831DF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E21CB92"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2,099</w:t>
            </w:r>
          </w:p>
        </w:tc>
        <w:tc>
          <w:tcPr>
            <w:tcW w:w="1247" w:type="dxa"/>
            <w:hideMark/>
          </w:tcPr>
          <w:p w14:paraId="718B926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56</w:t>
            </w:r>
          </w:p>
        </w:tc>
        <w:tc>
          <w:tcPr>
            <w:tcW w:w="1247" w:type="dxa"/>
            <w:hideMark/>
          </w:tcPr>
          <w:p w14:paraId="127B744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5285D9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2,051</w:t>
            </w:r>
          </w:p>
        </w:tc>
        <w:tc>
          <w:tcPr>
            <w:tcW w:w="1247" w:type="dxa"/>
            <w:hideMark/>
          </w:tcPr>
          <w:p w14:paraId="189B8AF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22E7A59"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2,106</w:t>
            </w:r>
          </w:p>
        </w:tc>
      </w:tr>
      <w:tr w:rsidR="00434512" w:rsidRPr="00434512" w14:paraId="3C7010F2" w14:textId="77777777" w:rsidTr="00CF4E52">
        <w:trPr>
          <w:trHeight w:val="300"/>
        </w:trPr>
        <w:tc>
          <w:tcPr>
            <w:tcW w:w="2410" w:type="dxa"/>
            <w:hideMark/>
          </w:tcPr>
          <w:p w14:paraId="024C8EE9"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Casey City Council</w:t>
            </w:r>
          </w:p>
        </w:tc>
        <w:tc>
          <w:tcPr>
            <w:tcW w:w="1247" w:type="dxa"/>
            <w:hideMark/>
          </w:tcPr>
          <w:p w14:paraId="4E13410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2,388</w:t>
            </w:r>
          </w:p>
        </w:tc>
        <w:tc>
          <w:tcPr>
            <w:tcW w:w="1247" w:type="dxa"/>
            <w:hideMark/>
          </w:tcPr>
          <w:p w14:paraId="53B1C4B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5D3986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6,732</w:t>
            </w:r>
          </w:p>
        </w:tc>
        <w:tc>
          <w:tcPr>
            <w:tcW w:w="1247" w:type="dxa"/>
            <w:hideMark/>
          </w:tcPr>
          <w:p w14:paraId="018AD36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5DC04E8"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9,120</w:t>
            </w:r>
          </w:p>
        </w:tc>
        <w:tc>
          <w:tcPr>
            <w:tcW w:w="1247" w:type="dxa"/>
            <w:hideMark/>
          </w:tcPr>
          <w:p w14:paraId="24B51BD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3,638</w:t>
            </w:r>
          </w:p>
        </w:tc>
        <w:tc>
          <w:tcPr>
            <w:tcW w:w="1247" w:type="dxa"/>
            <w:hideMark/>
          </w:tcPr>
          <w:p w14:paraId="52FABB9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7FB3C3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6,752</w:t>
            </w:r>
          </w:p>
        </w:tc>
        <w:tc>
          <w:tcPr>
            <w:tcW w:w="1247" w:type="dxa"/>
            <w:hideMark/>
          </w:tcPr>
          <w:p w14:paraId="7C41D1D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41BE014"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10,390</w:t>
            </w:r>
          </w:p>
        </w:tc>
      </w:tr>
      <w:tr w:rsidR="00434512" w:rsidRPr="00434512" w14:paraId="7B48A197" w14:textId="77777777" w:rsidTr="00CF4E52">
        <w:trPr>
          <w:trHeight w:val="300"/>
        </w:trPr>
        <w:tc>
          <w:tcPr>
            <w:tcW w:w="2410" w:type="dxa"/>
            <w:hideMark/>
          </w:tcPr>
          <w:p w14:paraId="3246D7CD"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City Of Ballarat</w:t>
            </w:r>
          </w:p>
        </w:tc>
        <w:tc>
          <w:tcPr>
            <w:tcW w:w="1247" w:type="dxa"/>
            <w:hideMark/>
          </w:tcPr>
          <w:p w14:paraId="62D19CA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46</w:t>
            </w:r>
          </w:p>
        </w:tc>
        <w:tc>
          <w:tcPr>
            <w:tcW w:w="1247" w:type="dxa"/>
            <w:hideMark/>
          </w:tcPr>
          <w:p w14:paraId="1E74847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709DCF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1,613</w:t>
            </w:r>
          </w:p>
        </w:tc>
        <w:tc>
          <w:tcPr>
            <w:tcW w:w="1247" w:type="dxa"/>
            <w:hideMark/>
          </w:tcPr>
          <w:p w14:paraId="506E912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CC3393E"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1,659</w:t>
            </w:r>
          </w:p>
        </w:tc>
        <w:tc>
          <w:tcPr>
            <w:tcW w:w="1247" w:type="dxa"/>
            <w:hideMark/>
          </w:tcPr>
          <w:p w14:paraId="2877E29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865</w:t>
            </w:r>
          </w:p>
        </w:tc>
        <w:tc>
          <w:tcPr>
            <w:tcW w:w="1247" w:type="dxa"/>
            <w:hideMark/>
          </w:tcPr>
          <w:p w14:paraId="1A3C268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09FC07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1,618</w:t>
            </w:r>
          </w:p>
        </w:tc>
        <w:tc>
          <w:tcPr>
            <w:tcW w:w="1247" w:type="dxa"/>
            <w:hideMark/>
          </w:tcPr>
          <w:p w14:paraId="5BA6AB5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408A903"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2,483</w:t>
            </w:r>
          </w:p>
        </w:tc>
      </w:tr>
      <w:tr w:rsidR="00434512" w:rsidRPr="00434512" w14:paraId="3FD7684B" w14:textId="77777777" w:rsidTr="00CF4E52">
        <w:trPr>
          <w:trHeight w:val="300"/>
        </w:trPr>
        <w:tc>
          <w:tcPr>
            <w:tcW w:w="2410" w:type="dxa"/>
            <w:hideMark/>
          </w:tcPr>
          <w:p w14:paraId="2C6C2554"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City Of Boroondara</w:t>
            </w:r>
          </w:p>
        </w:tc>
        <w:tc>
          <w:tcPr>
            <w:tcW w:w="1247" w:type="dxa"/>
            <w:hideMark/>
          </w:tcPr>
          <w:p w14:paraId="4BE0CA9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7" w:type="dxa"/>
            <w:hideMark/>
          </w:tcPr>
          <w:p w14:paraId="09C8590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60CED8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1,000</w:t>
            </w:r>
          </w:p>
        </w:tc>
        <w:tc>
          <w:tcPr>
            <w:tcW w:w="1247" w:type="dxa"/>
            <w:hideMark/>
          </w:tcPr>
          <w:p w14:paraId="19027CB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F7826D2"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1,000</w:t>
            </w:r>
          </w:p>
        </w:tc>
        <w:tc>
          <w:tcPr>
            <w:tcW w:w="1247" w:type="dxa"/>
            <w:hideMark/>
          </w:tcPr>
          <w:p w14:paraId="0F75F6B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835</w:t>
            </w:r>
          </w:p>
        </w:tc>
        <w:tc>
          <w:tcPr>
            <w:tcW w:w="1247" w:type="dxa"/>
            <w:hideMark/>
          </w:tcPr>
          <w:p w14:paraId="3B85CB2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6D0664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1,003</w:t>
            </w:r>
          </w:p>
        </w:tc>
        <w:tc>
          <w:tcPr>
            <w:tcW w:w="1247" w:type="dxa"/>
            <w:hideMark/>
          </w:tcPr>
          <w:p w14:paraId="53EF641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1E09596"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1,837</w:t>
            </w:r>
          </w:p>
        </w:tc>
      </w:tr>
      <w:tr w:rsidR="00434512" w:rsidRPr="00434512" w14:paraId="072644F9" w14:textId="77777777" w:rsidTr="00CF4E52">
        <w:trPr>
          <w:trHeight w:val="300"/>
        </w:trPr>
        <w:tc>
          <w:tcPr>
            <w:tcW w:w="2410" w:type="dxa"/>
            <w:hideMark/>
          </w:tcPr>
          <w:p w14:paraId="45C8E60E"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lastRenderedPageBreak/>
              <w:t>City Of Darebin</w:t>
            </w:r>
          </w:p>
        </w:tc>
        <w:tc>
          <w:tcPr>
            <w:tcW w:w="1247" w:type="dxa"/>
            <w:hideMark/>
          </w:tcPr>
          <w:p w14:paraId="472E74A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593</w:t>
            </w:r>
          </w:p>
        </w:tc>
        <w:tc>
          <w:tcPr>
            <w:tcW w:w="1247" w:type="dxa"/>
            <w:hideMark/>
          </w:tcPr>
          <w:p w14:paraId="5C3D6AF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B3DE9E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1,581</w:t>
            </w:r>
          </w:p>
        </w:tc>
        <w:tc>
          <w:tcPr>
            <w:tcW w:w="1247" w:type="dxa"/>
            <w:hideMark/>
          </w:tcPr>
          <w:p w14:paraId="514286F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040F2AD"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2,174</w:t>
            </w:r>
          </w:p>
        </w:tc>
        <w:tc>
          <w:tcPr>
            <w:tcW w:w="1247" w:type="dxa"/>
            <w:hideMark/>
          </w:tcPr>
          <w:p w14:paraId="56AA7FC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1,354</w:t>
            </w:r>
          </w:p>
        </w:tc>
        <w:tc>
          <w:tcPr>
            <w:tcW w:w="1247" w:type="dxa"/>
            <w:hideMark/>
          </w:tcPr>
          <w:p w14:paraId="65F4160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FFF2AD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1,587</w:t>
            </w:r>
          </w:p>
        </w:tc>
        <w:tc>
          <w:tcPr>
            <w:tcW w:w="1247" w:type="dxa"/>
            <w:hideMark/>
          </w:tcPr>
          <w:p w14:paraId="5B1B81C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94F6D70"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2,940</w:t>
            </w:r>
          </w:p>
        </w:tc>
      </w:tr>
      <w:tr w:rsidR="00434512" w:rsidRPr="00434512" w14:paraId="60795E0D" w14:textId="77777777" w:rsidTr="00CF4E52">
        <w:trPr>
          <w:trHeight w:val="300"/>
        </w:trPr>
        <w:tc>
          <w:tcPr>
            <w:tcW w:w="2410" w:type="dxa"/>
            <w:hideMark/>
          </w:tcPr>
          <w:p w14:paraId="6230AB6B"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City Of Greater Geelong</w:t>
            </w:r>
          </w:p>
        </w:tc>
        <w:tc>
          <w:tcPr>
            <w:tcW w:w="1247" w:type="dxa"/>
            <w:hideMark/>
          </w:tcPr>
          <w:p w14:paraId="002D131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722</w:t>
            </w:r>
          </w:p>
        </w:tc>
        <w:tc>
          <w:tcPr>
            <w:tcW w:w="1247" w:type="dxa"/>
            <w:hideMark/>
          </w:tcPr>
          <w:p w14:paraId="5C4256C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808396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3,376</w:t>
            </w:r>
          </w:p>
        </w:tc>
        <w:tc>
          <w:tcPr>
            <w:tcW w:w="1247" w:type="dxa"/>
            <w:hideMark/>
          </w:tcPr>
          <w:p w14:paraId="6E8F319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62</w:t>
            </w:r>
          </w:p>
        </w:tc>
        <w:tc>
          <w:tcPr>
            <w:tcW w:w="1248" w:type="dxa"/>
            <w:hideMark/>
          </w:tcPr>
          <w:p w14:paraId="066E0310"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4,160</w:t>
            </w:r>
          </w:p>
        </w:tc>
        <w:tc>
          <w:tcPr>
            <w:tcW w:w="1247" w:type="dxa"/>
            <w:hideMark/>
          </w:tcPr>
          <w:p w14:paraId="45783FE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2,097</w:t>
            </w:r>
          </w:p>
        </w:tc>
        <w:tc>
          <w:tcPr>
            <w:tcW w:w="1247" w:type="dxa"/>
            <w:hideMark/>
          </w:tcPr>
          <w:p w14:paraId="31373DA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F45223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3,387</w:t>
            </w:r>
          </w:p>
        </w:tc>
        <w:tc>
          <w:tcPr>
            <w:tcW w:w="1247" w:type="dxa"/>
            <w:hideMark/>
          </w:tcPr>
          <w:p w14:paraId="0A3F273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64</w:t>
            </w:r>
          </w:p>
        </w:tc>
        <w:tc>
          <w:tcPr>
            <w:tcW w:w="1248" w:type="dxa"/>
            <w:hideMark/>
          </w:tcPr>
          <w:p w14:paraId="33D07DDD"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5,547</w:t>
            </w:r>
          </w:p>
        </w:tc>
      </w:tr>
      <w:tr w:rsidR="00434512" w:rsidRPr="00434512" w14:paraId="356C2EBD" w14:textId="77777777" w:rsidTr="00CF4E52">
        <w:trPr>
          <w:trHeight w:val="300"/>
        </w:trPr>
        <w:tc>
          <w:tcPr>
            <w:tcW w:w="2410" w:type="dxa"/>
            <w:hideMark/>
          </w:tcPr>
          <w:p w14:paraId="2B19FF9A"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City Of Kingston</w:t>
            </w:r>
          </w:p>
        </w:tc>
        <w:tc>
          <w:tcPr>
            <w:tcW w:w="1247" w:type="dxa"/>
            <w:hideMark/>
          </w:tcPr>
          <w:p w14:paraId="1F6F797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1,538</w:t>
            </w:r>
          </w:p>
        </w:tc>
        <w:tc>
          <w:tcPr>
            <w:tcW w:w="1247" w:type="dxa"/>
            <w:hideMark/>
          </w:tcPr>
          <w:p w14:paraId="129448E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DBDFBB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1,480</w:t>
            </w:r>
          </w:p>
        </w:tc>
        <w:tc>
          <w:tcPr>
            <w:tcW w:w="1247" w:type="dxa"/>
            <w:hideMark/>
          </w:tcPr>
          <w:p w14:paraId="5C6DA87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5E4BE09"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3,019</w:t>
            </w:r>
          </w:p>
        </w:tc>
        <w:tc>
          <w:tcPr>
            <w:tcW w:w="1247" w:type="dxa"/>
            <w:hideMark/>
          </w:tcPr>
          <w:p w14:paraId="635B532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2,852</w:t>
            </w:r>
          </w:p>
        </w:tc>
        <w:tc>
          <w:tcPr>
            <w:tcW w:w="1247" w:type="dxa"/>
            <w:hideMark/>
          </w:tcPr>
          <w:p w14:paraId="41930BE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13CE1A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1,485</w:t>
            </w:r>
          </w:p>
        </w:tc>
        <w:tc>
          <w:tcPr>
            <w:tcW w:w="1247" w:type="dxa"/>
            <w:hideMark/>
          </w:tcPr>
          <w:p w14:paraId="57AAA99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939472C"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4,337</w:t>
            </w:r>
          </w:p>
        </w:tc>
      </w:tr>
      <w:tr w:rsidR="00434512" w:rsidRPr="00434512" w14:paraId="62B20C27" w14:textId="77777777" w:rsidTr="00CF4E52">
        <w:trPr>
          <w:trHeight w:val="300"/>
        </w:trPr>
        <w:tc>
          <w:tcPr>
            <w:tcW w:w="2410" w:type="dxa"/>
            <w:hideMark/>
          </w:tcPr>
          <w:p w14:paraId="1249D4A4"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City Of Manningham</w:t>
            </w:r>
          </w:p>
        </w:tc>
        <w:tc>
          <w:tcPr>
            <w:tcW w:w="1247" w:type="dxa"/>
            <w:hideMark/>
          </w:tcPr>
          <w:p w14:paraId="356F521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32</w:t>
            </w:r>
          </w:p>
        </w:tc>
        <w:tc>
          <w:tcPr>
            <w:tcW w:w="1247" w:type="dxa"/>
            <w:hideMark/>
          </w:tcPr>
          <w:p w14:paraId="0AAD5D9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7ECB29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955</w:t>
            </w:r>
          </w:p>
        </w:tc>
        <w:tc>
          <w:tcPr>
            <w:tcW w:w="1247" w:type="dxa"/>
            <w:hideMark/>
          </w:tcPr>
          <w:p w14:paraId="0E8C15F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F324BD0"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987</w:t>
            </w:r>
          </w:p>
        </w:tc>
        <w:tc>
          <w:tcPr>
            <w:tcW w:w="1247" w:type="dxa"/>
            <w:hideMark/>
          </w:tcPr>
          <w:p w14:paraId="37934A2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906</w:t>
            </w:r>
          </w:p>
        </w:tc>
        <w:tc>
          <w:tcPr>
            <w:tcW w:w="1247" w:type="dxa"/>
            <w:hideMark/>
          </w:tcPr>
          <w:p w14:paraId="28914B2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8FC265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957</w:t>
            </w:r>
          </w:p>
        </w:tc>
        <w:tc>
          <w:tcPr>
            <w:tcW w:w="1247" w:type="dxa"/>
            <w:hideMark/>
          </w:tcPr>
          <w:p w14:paraId="2C57293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6D55F34"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1,863</w:t>
            </w:r>
          </w:p>
        </w:tc>
      </w:tr>
      <w:tr w:rsidR="00434512" w:rsidRPr="00434512" w14:paraId="05474ECA" w14:textId="77777777" w:rsidTr="00CF4E52">
        <w:trPr>
          <w:trHeight w:val="300"/>
        </w:trPr>
        <w:tc>
          <w:tcPr>
            <w:tcW w:w="2410" w:type="dxa"/>
            <w:hideMark/>
          </w:tcPr>
          <w:p w14:paraId="63893232"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City Of Port Phillip</w:t>
            </w:r>
          </w:p>
        </w:tc>
        <w:tc>
          <w:tcPr>
            <w:tcW w:w="1247" w:type="dxa"/>
            <w:hideMark/>
          </w:tcPr>
          <w:p w14:paraId="215795F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692</w:t>
            </w:r>
          </w:p>
        </w:tc>
        <w:tc>
          <w:tcPr>
            <w:tcW w:w="1247" w:type="dxa"/>
            <w:hideMark/>
          </w:tcPr>
          <w:p w14:paraId="381FCFA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76D639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861</w:t>
            </w:r>
          </w:p>
        </w:tc>
        <w:tc>
          <w:tcPr>
            <w:tcW w:w="1247" w:type="dxa"/>
            <w:hideMark/>
          </w:tcPr>
          <w:p w14:paraId="7A91E38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9D3A0AB"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1,553</w:t>
            </w:r>
          </w:p>
        </w:tc>
        <w:tc>
          <w:tcPr>
            <w:tcW w:w="1247" w:type="dxa"/>
            <w:hideMark/>
          </w:tcPr>
          <w:p w14:paraId="56C7911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1,153</w:t>
            </w:r>
          </w:p>
        </w:tc>
        <w:tc>
          <w:tcPr>
            <w:tcW w:w="1247" w:type="dxa"/>
            <w:hideMark/>
          </w:tcPr>
          <w:p w14:paraId="4117134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D4C3DE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864</w:t>
            </w:r>
          </w:p>
        </w:tc>
        <w:tc>
          <w:tcPr>
            <w:tcW w:w="1247" w:type="dxa"/>
            <w:hideMark/>
          </w:tcPr>
          <w:p w14:paraId="60F0757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3D7B4FF"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2,017</w:t>
            </w:r>
          </w:p>
        </w:tc>
      </w:tr>
      <w:tr w:rsidR="00434512" w:rsidRPr="00434512" w14:paraId="58C2414F" w14:textId="77777777" w:rsidTr="00CF4E52">
        <w:trPr>
          <w:trHeight w:val="300"/>
        </w:trPr>
        <w:tc>
          <w:tcPr>
            <w:tcW w:w="2410" w:type="dxa"/>
            <w:hideMark/>
          </w:tcPr>
          <w:p w14:paraId="1BA65F0C"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City Of Stonnington</w:t>
            </w:r>
          </w:p>
        </w:tc>
        <w:tc>
          <w:tcPr>
            <w:tcW w:w="1247" w:type="dxa"/>
            <w:hideMark/>
          </w:tcPr>
          <w:p w14:paraId="589903A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7" w:type="dxa"/>
            <w:hideMark/>
          </w:tcPr>
          <w:p w14:paraId="012E3BF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5C051B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684</w:t>
            </w:r>
          </w:p>
        </w:tc>
        <w:tc>
          <w:tcPr>
            <w:tcW w:w="1247" w:type="dxa"/>
            <w:hideMark/>
          </w:tcPr>
          <w:p w14:paraId="1E0AEC0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40D05EF"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684</w:t>
            </w:r>
          </w:p>
        </w:tc>
        <w:tc>
          <w:tcPr>
            <w:tcW w:w="1247" w:type="dxa"/>
            <w:hideMark/>
          </w:tcPr>
          <w:p w14:paraId="22A9694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506</w:t>
            </w:r>
          </w:p>
        </w:tc>
        <w:tc>
          <w:tcPr>
            <w:tcW w:w="1247" w:type="dxa"/>
            <w:hideMark/>
          </w:tcPr>
          <w:p w14:paraId="5839BA1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9A5D02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686</w:t>
            </w:r>
          </w:p>
        </w:tc>
        <w:tc>
          <w:tcPr>
            <w:tcW w:w="1247" w:type="dxa"/>
            <w:hideMark/>
          </w:tcPr>
          <w:p w14:paraId="292EB43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FC58D14"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1,191</w:t>
            </w:r>
          </w:p>
        </w:tc>
      </w:tr>
      <w:tr w:rsidR="00434512" w:rsidRPr="00434512" w14:paraId="1DBCCD51" w14:textId="77777777" w:rsidTr="00CF4E52">
        <w:trPr>
          <w:trHeight w:val="300"/>
        </w:trPr>
        <w:tc>
          <w:tcPr>
            <w:tcW w:w="2410" w:type="dxa"/>
            <w:hideMark/>
          </w:tcPr>
          <w:p w14:paraId="2F505615"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Frankston City Council</w:t>
            </w:r>
          </w:p>
        </w:tc>
        <w:tc>
          <w:tcPr>
            <w:tcW w:w="1247" w:type="dxa"/>
            <w:hideMark/>
          </w:tcPr>
          <w:p w14:paraId="38032A1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888</w:t>
            </w:r>
          </w:p>
        </w:tc>
        <w:tc>
          <w:tcPr>
            <w:tcW w:w="1247" w:type="dxa"/>
            <w:hideMark/>
          </w:tcPr>
          <w:p w14:paraId="6C7177C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80C466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1,887</w:t>
            </w:r>
          </w:p>
        </w:tc>
        <w:tc>
          <w:tcPr>
            <w:tcW w:w="1247" w:type="dxa"/>
            <w:hideMark/>
          </w:tcPr>
          <w:p w14:paraId="69F60A9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F00A0D7"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2,775</w:t>
            </w:r>
          </w:p>
        </w:tc>
        <w:tc>
          <w:tcPr>
            <w:tcW w:w="1247" w:type="dxa"/>
            <w:hideMark/>
          </w:tcPr>
          <w:p w14:paraId="7627201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909</w:t>
            </w:r>
          </w:p>
        </w:tc>
        <w:tc>
          <w:tcPr>
            <w:tcW w:w="1247" w:type="dxa"/>
            <w:hideMark/>
          </w:tcPr>
          <w:p w14:paraId="5607C15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291FBE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1,893</w:t>
            </w:r>
          </w:p>
        </w:tc>
        <w:tc>
          <w:tcPr>
            <w:tcW w:w="1247" w:type="dxa"/>
            <w:hideMark/>
          </w:tcPr>
          <w:p w14:paraId="3579B51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9243974"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2,801</w:t>
            </w:r>
          </w:p>
        </w:tc>
      </w:tr>
      <w:tr w:rsidR="00434512" w:rsidRPr="00434512" w14:paraId="4F180A61" w14:textId="77777777" w:rsidTr="00CF4E52">
        <w:trPr>
          <w:trHeight w:val="300"/>
        </w:trPr>
        <w:tc>
          <w:tcPr>
            <w:tcW w:w="2410" w:type="dxa"/>
            <w:hideMark/>
          </w:tcPr>
          <w:p w14:paraId="6F1D5C69"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Glen Eira City Council</w:t>
            </w:r>
          </w:p>
        </w:tc>
        <w:tc>
          <w:tcPr>
            <w:tcW w:w="1247" w:type="dxa"/>
            <w:hideMark/>
          </w:tcPr>
          <w:p w14:paraId="546F2CF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420</w:t>
            </w:r>
          </w:p>
        </w:tc>
        <w:tc>
          <w:tcPr>
            <w:tcW w:w="1247" w:type="dxa"/>
            <w:hideMark/>
          </w:tcPr>
          <w:p w14:paraId="481DE80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E5C74D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1,252</w:t>
            </w:r>
          </w:p>
        </w:tc>
        <w:tc>
          <w:tcPr>
            <w:tcW w:w="1247" w:type="dxa"/>
            <w:hideMark/>
          </w:tcPr>
          <w:p w14:paraId="7BFB63C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630876F"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1,672</w:t>
            </w:r>
          </w:p>
        </w:tc>
        <w:tc>
          <w:tcPr>
            <w:tcW w:w="1247" w:type="dxa"/>
            <w:hideMark/>
          </w:tcPr>
          <w:p w14:paraId="3EC8B71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1,314</w:t>
            </w:r>
          </w:p>
        </w:tc>
        <w:tc>
          <w:tcPr>
            <w:tcW w:w="1247" w:type="dxa"/>
            <w:hideMark/>
          </w:tcPr>
          <w:p w14:paraId="3525D53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77248C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1,255</w:t>
            </w:r>
          </w:p>
        </w:tc>
        <w:tc>
          <w:tcPr>
            <w:tcW w:w="1247" w:type="dxa"/>
            <w:hideMark/>
          </w:tcPr>
          <w:p w14:paraId="465D9B1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0134A5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2,569</w:t>
            </w:r>
          </w:p>
        </w:tc>
      </w:tr>
      <w:tr w:rsidR="00434512" w:rsidRPr="00434512" w14:paraId="5292B56D" w14:textId="77777777" w:rsidTr="00CF4E52">
        <w:trPr>
          <w:trHeight w:val="300"/>
        </w:trPr>
        <w:tc>
          <w:tcPr>
            <w:tcW w:w="2410" w:type="dxa"/>
            <w:hideMark/>
          </w:tcPr>
          <w:p w14:paraId="6853011B"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Golden Plains Shire Council</w:t>
            </w:r>
          </w:p>
        </w:tc>
        <w:tc>
          <w:tcPr>
            <w:tcW w:w="1247" w:type="dxa"/>
            <w:hideMark/>
          </w:tcPr>
          <w:p w14:paraId="535E48C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176</w:t>
            </w:r>
          </w:p>
        </w:tc>
        <w:tc>
          <w:tcPr>
            <w:tcW w:w="1247" w:type="dxa"/>
            <w:hideMark/>
          </w:tcPr>
          <w:p w14:paraId="631B615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C735A3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862</w:t>
            </w:r>
          </w:p>
        </w:tc>
        <w:tc>
          <w:tcPr>
            <w:tcW w:w="1247" w:type="dxa"/>
            <w:hideMark/>
          </w:tcPr>
          <w:p w14:paraId="6059E97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45E7E7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1,038</w:t>
            </w:r>
          </w:p>
        </w:tc>
        <w:tc>
          <w:tcPr>
            <w:tcW w:w="1247" w:type="dxa"/>
            <w:hideMark/>
          </w:tcPr>
          <w:p w14:paraId="6826FF0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166</w:t>
            </w:r>
          </w:p>
        </w:tc>
        <w:tc>
          <w:tcPr>
            <w:tcW w:w="1247" w:type="dxa"/>
            <w:hideMark/>
          </w:tcPr>
          <w:p w14:paraId="3B11F71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B4242B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874</w:t>
            </w:r>
          </w:p>
        </w:tc>
        <w:tc>
          <w:tcPr>
            <w:tcW w:w="1247" w:type="dxa"/>
            <w:hideMark/>
          </w:tcPr>
          <w:p w14:paraId="78065A3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6C0EEB7"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1,040</w:t>
            </w:r>
          </w:p>
        </w:tc>
      </w:tr>
      <w:tr w:rsidR="00434512" w:rsidRPr="00434512" w14:paraId="223DB3D6" w14:textId="77777777" w:rsidTr="00CF4E52">
        <w:trPr>
          <w:trHeight w:val="300"/>
        </w:trPr>
        <w:tc>
          <w:tcPr>
            <w:tcW w:w="2410" w:type="dxa"/>
            <w:hideMark/>
          </w:tcPr>
          <w:p w14:paraId="6146F35B"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Greater Bendigo City Council</w:t>
            </w:r>
          </w:p>
        </w:tc>
        <w:tc>
          <w:tcPr>
            <w:tcW w:w="1247" w:type="dxa"/>
            <w:hideMark/>
          </w:tcPr>
          <w:p w14:paraId="79F2E55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46</w:t>
            </w:r>
          </w:p>
        </w:tc>
        <w:tc>
          <w:tcPr>
            <w:tcW w:w="1247" w:type="dxa"/>
            <w:hideMark/>
          </w:tcPr>
          <w:p w14:paraId="7654268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557A5B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2,020</w:t>
            </w:r>
          </w:p>
        </w:tc>
        <w:tc>
          <w:tcPr>
            <w:tcW w:w="1247" w:type="dxa"/>
            <w:hideMark/>
          </w:tcPr>
          <w:p w14:paraId="5E7C799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851DDE9"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2,066</w:t>
            </w:r>
          </w:p>
        </w:tc>
        <w:tc>
          <w:tcPr>
            <w:tcW w:w="1247" w:type="dxa"/>
            <w:hideMark/>
          </w:tcPr>
          <w:p w14:paraId="27BB331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770</w:t>
            </w:r>
          </w:p>
        </w:tc>
        <w:tc>
          <w:tcPr>
            <w:tcW w:w="1247" w:type="dxa"/>
            <w:hideMark/>
          </w:tcPr>
          <w:p w14:paraId="53A41EC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A3E545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2,026</w:t>
            </w:r>
          </w:p>
        </w:tc>
        <w:tc>
          <w:tcPr>
            <w:tcW w:w="1247" w:type="dxa"/>
            <w:hideMark/>
          </w:tcPr>
          <w:p w14:paraId="2436A4D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F5D882B"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2,796</w:t>
            </w:r>
          </w:p>
        </w:tc>
      </w:tr>
      <w:tr w:rsidR="00434512" w:rsidRPr="00434512" w14:paraId="76D31464" w14:textId="77777777" w:rsidTr="00CF4E52">
        <w:trPr>
          <w:trHeight w:val="300"/>
        </w:trPr>
        <w:tc>
          <w:tcPr>
            <w:tcW w:w="2410" w:type="dxa"/>
            <w:hideMark/>
          </w:tcPr>
          <w:p w14:paraId="3428E6E5"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Greater Shepparton City Council</w:t>
            </w:r>
          </w:p>
        </w:tc>
        <w:tc>
          <w:tcPr>
            <w:tcW w:w="1247" w:type="dxa"/>
            <w:hideMark/>
          </w:tcPr>
          <w:p w14:paraId="202EA3F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94</w:t>
            </w:r>
          </w:p>
        </w:tc>
        <w:tc>
          <w:tcPr>
            <w:tcW w:w="1247" w:type="dxa"/>
            <w:hideMark/>
          </w:tcPr>
          <w:p w14:paraId="38557DE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2CC80E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1,250</w:t>
            </w:r>
          </w:p>
        </w:tc>
        <w:tc>
          <w:tcPr>
            <w:tcW w:w="1247" w:type="dxa"/>
            <w:hideMark/>
          </w:tcPr>
          <w:p w14:paraId="3A790FC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15F2F8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1,344</w:t>
            </w:r>
          </w:p>
        </w:tc>
        <w:tc>
          <w:tcPr>
            <w:tcW w:w="1247" w:type="dxa"/>
            <w:hideMark/>
          </w:tcPr>
          <w:p w14:paraId="4BAFB0B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96</w:t>
            </w:r>
          </w:p>
        </w:tc>
        <w:tc>
          <w:tcPr>
            <w:tcW w:w="1247" w:type="dxa"/>
            <w:hideMark/>
          </w:tcPr>
          <w:p w14:paraId="2E1AAEA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0AA03A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1,254</w:t>
            </w:r>
          </w:p>
        </w:tc>
        <w:tc>
          <w:tcPr>
            <w:tcW w:w="1247" w:type="dxa"/>
            <w:hideMark/>
          </w:tcPr>
          <w:p w14:paraId="255BA54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7DFFBFE"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1,351</w:t>
            </w:r>
          </w:p>
        </w:tc>
      </w:tr>
      <w:tr w:rsidR="00434512" w:rsidRPr="00434512" w14:paraId="796C4494" w14:textId="77777777" w:rsidTr="00CF4E52">
        <w:trPr>
          <w:trHeight w:val="300"/>
        </w:trPr>
        <w:tc>
          <w:tcPr>
            <w:tcW w:w="2410" w:type="dxa"/>
            <w:hideMark/>
          </w:tcPr>
          <w:p w14:paraId="1AC2275B"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Hobsons Bay City Council</w:t>
            </w:r>
          </w:p>
        </w:tc>
        <w:tc>
          <w:tcPr>
            <w:tcW w:w="1247" w:type="dxa"/>
            <w:hideMark/>
          </w:tcPr>
          <w:p w14:paraId="256C9E9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151</w:t>
            </w:r>
          </w:p>
        </w:tc>
        <w:tc>
          <w:tcPr>
            <w:tcW w:w="1247" w:type="dxa"/>
            <w:hideMark/>
          </w:tcPr>
          <w:p w14:paraId="530D844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897E40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1,109</w:t>
            </w:r>
          </w:p>
        </w:tc>
        <w:tc>
          <w:tcPr>
            <w:tcW w:w="1247" w:type="dxa"/>
            <w:hideMark/>
          </w:tcPr>
          <w:p w14:paraId="061359F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F6E99B8"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1,260</w:t>
            </w:r>
          </w:p>
        </w:tc>
        <w:tc>
          <w:tcPr>
            <w:tcW w:w="1247" w:type="dxa"/>
            <w:hideMark/>
          </w:tcPr>
          <w:p w14:paraId="410BE48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653</w:t>
            </w:r>
          </w:p>
        </w:tc>
        <w:tc>
          <w:tcPr>
            <w:tcW w:w="1247" w:type="dxa"/>
            <w:hideMark/>
          </w:tcPr>
          <w:p w14:paraId="004B3A8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1122AC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1,112</w:t>
            </w:r>
          </w:p>
        </w:tc>
        <w:tc>
          <w:tcPr>
            <w:tcW w:w="1247" w:type="dxa"/>
            <w:hideMark/>
          </w:tcPr>
          <w:p w14:paraId="11011D2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2C7E36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1,765</w:t>
            </w:r>
          </w:p>
        </w:tc>
      </w:tr>
      <w:tr w:rsidR="00434512" w:rsidRPr="00434512" w14:paraId="5E6BB8C4" w14:textId="77777777" w:rsidTr="00CF4E52">
        <w:trPr>
          <w:trHeight w:val="300"/>
        </w:trPr>
        <w:tc>
          <w:tcPr>
            <w:tcW w:w="2410" w:type="dxa"/>
            <w:hideMark/>
          </w:tcPr>
          <w:p w14:paraId="498FD155"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Hume City Council</w:t>
            </w:r>
          </w:p>
        </w:tc>
        <w:tc>
          <w:tcPr>
            <w:tcW w:w="1247" w:type="dxa"/>
            <w:hideMark/>
          </w:tcPr>
          <w:p w14:paraId="2D5E958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863</w:t>
            </w:r>
          </w:p>
        </w:tc>
        <w:tc>
          <w:tcPr>
            <w:tcW w:w="1247" w:type="dxa"/>
            <w:hideMark/>
          </w:tcPr>
          <w:p w14:paraId="209C1CB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007425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5,248</w:t>
            </w:r>
          </w:p>
        </w:tc>
        <w:tc>
          <w:tcPr>
            <w:tcW w:w="1247" w:type="dxa"/>
            <w:hideMark/>
          </w:tcPr>
          <w:p w14:paraId="51881E7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E0519BC"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6,111</w:t>
            </w:r>
          </w:p>
        </w:tc>
        <w:tc>
          <w:tcPr>
            <w:tcW w:w="1247" w:type="dxa"/>
            <w:hideMark/>
          </w:tcPr>
          <w:p w14:paraId="54B93A1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882</w:t>
            </w:r>
          </w:p>
        </w:tc>
        <w:tc>
          <w:tcPr>
            <w:tcW w:w="1247" w:type="dxa"/>
            <w:hideMark/>
          </w:tcPr>
          <w:p w14:paraId="60F609F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9E9873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5,264</w:t>
            </w:r>
          </w:p>
        </w:tc>
        <w:tc>
          <w:tcPr>
            <w:tcW w:w="1247" w:type="dxa"/>
            <w:hideMark/>
          </w:tcPr>
          <w:p w14:paraId="6EF47F0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4B9FEAB"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6,146</w:t>
            </w:r>
          </w:p>
        </w:tc>
      </w:tr>
      <w:tr w:rsidR="00434512" w:rsidRPr="00434512" w14:paraId="2DCF06BC" w14:textId="77777777" w:rsidTr="00CF4E52">
        <w:trPr>
          <w:trHeight w:val="300"/>
        </w:trPr>
        <w:tc>
          <w:tcPr>
            <w:tcW w:w="2410" w:type="dxa"/>
            <w:hideMark/>
          </w:tcPr>
          <w:p w14:paraId="659C1E74"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Knox City Council</w:t>
            </w:r>
          </w:p>
        </w:tc>
        <w:tc>
          <w:tcPr>
            <w:tcW w:w="1247" w:type="dxa"/>
            <w:hideMark/>
          </w:tcPr>
          <w:p w14:paraId="31492D8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46</w:t>
            </w:r>
          </w:p>
        </w:tc>
        <w:tc>
          <w:tcPr>
            <w:tcW w:w="1247" w:type="dxa"/>
            <w:hideMark/>
          </w:tcPr>
          <w:p w14:paraId="5F6417F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DF73D1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1,600</w:t>
            </w:r>
          </w:p>
        </w:tc>
        <w:tc>
          <w:tcPr>
            <w:tcW w:w="1247" w:type="dxa"/>
            <w:hideMark/>
          </w:tcPr>
          <w:p w14:paraId="30F03CB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B569872"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1,646</w:t>
            </w:r>
          </w:p>
        </w:tc>
        <w:tc>
          <w:tcPr>
            <w:tcW w:w="1247" w:type="dxa"/>
            <w:hideMark/>
          </w:tcPr>
          <w:p w14:paraId="1422FDF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784</w:t>
            </w:r>
          </w:p>
        </w:tc>
        <w:tc>
          <w:tcPr>
            <w:tcW w:w="1247" w:type="dxa"/>
            <w:hideMark/>
          </w:tcPr>
          <w:p w14:paraId="1D75E18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E5A722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1,605</w:t>
            </w:r>
          </w:p>
        </w:tc>
        <w:tc>
          <w:tcPr>
            <w:tcW w:w="1247" w:type="dxa"/>
            <w:hideMark/>
          </w:tcPr>
          <w:p w14:paraId="7EDA282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242F573"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2,389</w:t>
            </w:r>
          </w:p>
        </w:tc>
      </w:tr>
      <w:tr w:rsidR="00434512" w:rsidRPr="00434512" w14:paraId="6C7C1BE3" w14:textId="77777777" w:rsidTr="00CF4E52">
        <w:trPr>
          <w:trHeight w:val="300"/>
        </w:trPr>
        <w:tc>
          <w:tcPr>
            <w:tcW w:w="2410" w:type="dxa"/>
            <w:hideMark/>
          </w:tcPr>
          <w:p w14:paraId="7A42187C"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Latrobe City Council</w:t>
            </w:r>
          </w:p>
        </w:tc>
        <w:tc>
          <w:tcPr>
            <w:tcW w:w="1247" w:type="dxa"/>
            <w:hideMark/>
          </w:tcPr>
          <w:p w14:paraId="54B2441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743</w:t>
            </w:r>
          </w:p>
        </w:tc>
        <w:tc>
          <w:tcPr>
            <w:tcW w:w="1247" w:type="dxa"/>
            <w:hideMark/>
          </w:tcPr>
          <w:p w14:paraId="55EBB1C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E0FDD5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1,352</w:t>
            </w:r>
          </w:p>
        </w:tc>
        <w:tc>
          <w:tcPr>
            <w:tcW w:w="1247" w:type="dxa"/>
            <w:hideMark/>
          </w:tcPr>
          <w:p w14:paraId="51AAEF0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59FCD23"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2,095</w:t>
            </w:r>
          </w:p>
        </w:tc>
        <w:tc>
          <w:tcPr>
            <w:tcW w:w="1247" w:type="dxa"/>
            <w:hideMark/>
          </w:tcPr>
          <w:p w14:paraId="7E8D6E0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1,565</w:t>
            </w:r>
          </w:p>
        </w:tc>
        <w:tc>
          <w:tcPr>
            <w:tcW w:w="1247" w:type="dxa"/>
            <w:hideMark/>
          </w:tcPr>
          <w:p w14:paraId="12C3439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8039B3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1,356</w:t>
            </w:r>
          </w:p>
        </w:tc>
        <w:tc>
          <w:tcPr>
            <w:tcW w:w="1247" w:type="dxa"/>
            <w:hideMark/>
          </w:tcPr>
          <w:p w14:paraId="6D65834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A6980B9"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2,921</w:t>
            </w:r>
          </w:p>
        </w:tc>
      </w:tr>
      <w:tr w:rsidR="00434512" w:rsidRPr="00434512" w14:paraId="31E524D8" w14:textId="77777777" w:rsidTr="00CF4E52">
        <w:trPr>
          <w:trHeight w:val="300"/>
        </w:trPr>
        <w:tc>
          <w:tcPr>
            <w:tcW w:w="2410" w:type="dxa"/>
            <w:hideMark/>
          </w:tcPr>
          <w:p w14:paraId="7046B5C5"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Maribyrnong City Council</w:t>
            </w:r>
          </w:p>
        </w:tc>
        <w:tc>
          <w:tcPr>
            <w:tcW w:w="1247" w:type="dxa"/>
            <w:hideMark/>
          </w:tcPr>
          <w:p w14:paraId="63B82C6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95</w:t>
            </w:r>
          </w:p>
        </w:tc>
        <w:tc>
          <w:tcPr>
            <w:tcW w:w="1247" w:type="dxa"/>
            <w:hideMark/>
          </w:tcPr>
          <w:p w14:paraId="2B8BF2D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2EFD4E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1,033</w:t>
            </w:r>
          </w:p>
        </w:tc>
        <w:tc>
          <w:tcPr>
            <w:tcW w:w="1247" w:type="dxa"/>
            <w:hideMark/>
          </w:tcPr>
          <w:p w14:paraId="35C7A7F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78386D9"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1,128</w:t>
            </w:r>
          </w:p>
        </w:tc>
        <w:tc>
          <w:tcPr>
            <w:tcW w:w="1247" w:type="dxa"/>
            <w:hideMark/>
          </w:tcPr>
          <w:p w14:paraId="1BD8FDB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320</w:t>
            </w:r>
          </w:p>
        </w:tc>
        <w:tc>
          <w:tcPr>
            <w:tcW w:w="1247" w:type="dxa"/>
            <w:hideMark/>
          </w:tcPr>
          <w:p w14:paraId="6E890E0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AEBC1C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1,036</w:t>
            </w:r>
          </w:p>
        </w:tc>
        <w:tc>
          <w:tcPr>
            <w:tcW w:w="1247" w:type="dxa"/>
            <w:hideMark/>
          </w:tcPr>
          <w:p w14:paraId="6176327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E7B7932"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1,356</w:t>
            </w:r>
          </w:p>
        </w:tc>
      </w:tr>
      <w:tr w:rsidR="00434512" w:rsidRPr="00434512" w14:paraId="60211064" w14:textId="77777777" w:rsidTr="00CF4E52">
        <w:trPr>
          <w:trHeight w:val="300"/>
        </w:trPr>
        <w:tc>
          <w:tcPr>
            <w:tcW w:w="2410" w:type="dxa"/>
            <w:hideMark/>
          </w:tcPr>
          <w:p w14:paraId="3EC3365B"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Maroondah City Council</w:t>
            </w:r>
          </w:p>
        </w:tc>
        <w:tc>
          <w:tcPr>
            <w:tcW w:w="1247" w:type="dxa"/>
            <w:hideMark/>
          </w:tcPr>
          <w:p w14:paraId="62090A4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25</w:t>
            </w:r>
          </w:p>
        </w:tc>
        <w:tc>
          <w:tcPr>
            <w:tcW w:w="1247" w:type="dxa"/>
            <w:hideMark/>
          </w:tcPr>
          <w:p w14:paraId="0FDB97F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660A5B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1,301</w:t>
            </w:r>
          </w:p>
        </w:tc>
        <w:tc>
          <w:tcPr>
            <w:tcW w:w="1247" w:type="dxa"/>
            <w:hideMark/>
          </w:tcPr>
          <w:p w14:paraId="74C2E51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3DB0AB4"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1,326</w:t>
            </w:r>
          </w:p>
        </w:tc>
        <w:tc>
          <w:tcPr>
            <w:tcW w:w="1247" w:type="dxa"/>
            <w:hideMark/>
          </w:tcPr>
          <w:p w14:paraId="35367E8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538</w:t>
            </w:r>
          </w:p>
        </w:tc>
        <w:tc>
          <w:tcPr>
            <w:tcW w:w="1247" w:type="dxa"/>
            <w:hideMark/>
          </w:tcPr>
          <w:p w14:paraId="06A09A2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A46518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1,305</w:t>
            </w:r>
          </w:p>
        </w:tc>
        <w:tc>
          <w:tcPr>
            <w:tcW w:w="1247" w:type="dxa"/>
            <w:hideMark/>
          </w:tcPr>
          <w:p w14:paraId="56B1E0C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10962D4"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1,843</w:t>
            </w:r>
          </w:p>
        </w:tc>
      </w:tr>
      <w:tr w:rsidR="00434512" w:rsidRPr="00434512" w14:paraId="4692A2AA" w14:textId="77777777" w:rsidTr="00CF4E52">
        <w:trPr>
          <w:trHeight w:val="300"/>
        </w:trPr>
        <w:tc>
          <w:tcPr>
            <w:tcW w:w="2410" w:type="dxa"/>
            <w:hideMark/>
          </w:tcPr>
          <w:p w14:paraId="6F7EC111"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Melbourne City Council</w:t>
            </w:r>
          </w:p>
        </w:tc>
        <w:tc>
          <w:tcPr>
            <w:tcW w:w="1247" w:type="dxa"/>
            <w:hideMark/>
          </w:tcPr>
          <w:p w14:paraId="6CC18E5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7" w:type="dxa"/>
            <w:hideMark/>
          </w:tcPr>
          <w:p w14:paraId="587E0EB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708945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903</w:t>
            </w:r>
          </w:p>
        </w:tc>
        <w:tc>
          <w:tcPr>
            <w:tcW w:w="1247" w:type="dxa"/>
            <w:hideMark/>
          </w:tcPr>
          <w:p w14:paraId="1F2EECF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644F420"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903</w:t>
            </w:r>
          </w:p>
        </w:tc>
        <w:tc>
          <w:tcPr>
            <w:tcW w:w="1247" w:type="dxa"/>
            <w:hideMark/>
          </w:tcPr>
          <w:p w14:paraId="7E56654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226</w:t>
            </w:r>
          </w:p>
        </w:tc>
        <w:tc>
          <w:tcPr>
            <w:tcW w:w="1247" w:type="dxa"/>
            <w:hideMark/>
          </w:tcPr>
          <w:p w14:paraId="53779BE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EA58BD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906</w:t>
            </w:r>
          </w:p>
        </w:tc>
        <w:tc>
          <w:tcPr>
            <w:tcW w:w="1247" w:type="dxa"/>
            <w:hideMark/>
          </w:tcPr>
          <w:p w14:paraId="1FF1BE0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813B1A4"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1,131</w:t>
            </w:r>
          </w:p>
        </w:tc>
      </w:tr>
      <w:tr w:rsidR="00434512" w:rsidRPr="00434512" w14:paraId="60D4A1F3" w14:textId="77777777" w:rsidTr="00CF4E52">
        <w:trPr>
          <w:trHeight w:val="300"/>
        </w:trPr>
        <w:tc>
          <w:tcPr>
            <w:tcW w:w="2410" w:type="dxa"/>
            <w:hideMark/>
          </w:tcPr>
          <w:p w14:paraId="0277358B"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Melton City Council</w:t>
            </w:r>
          </w:p>
        </w:tc>
        <w:tc>
          <w:tcPr>
            <w:tcW w:w="1247" w:type="dxa"/>
            <w:hideMark/>
          </w:tcPr>
          <w:p w14:paraId="324DCA8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601</w:t>
            </w:r>
          </w:p>
        </w:tc>
        <w:tc>
          <w:tcPr>
            <w:tcW w:w="1247" w:type="dxa"/>
            <w:hideMark/>
          </w:tcPr>
          <w:p w14:paraId="6D60276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CD4F41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3,295</w:t>
            </w:r>
          </w:p>
        </w:tc>
        <w:tc>
          <w:tcPr>
            <w:tcW w:w="1247" w:type="dxa"/>
            <w:hideMark/>
          </w:tcPr>
          <w:p w14:paraId="30A4BD1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AF71809"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3,897</w:t>
            </w:r>
          </w:p>
        </w:tc>
        <w:tc>
          <w:tcPr>
            <w:tcW w:w="1247" w:type="dxa"/>
            <w:hideMark/>
          </w:tcPr>
          <w:p w14:paraId="3461F4B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615</w:t>
            </w:r>
          </w:p>
        </w:tc>
        <w:tc>
          <w:tcPr>
            <w:tcW w:w="1247" w:type="dxa"/>
            <w:hideMark/>
          </w:tcPr>
          <w:p w14:paraId="2CF5524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A62C3D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3,305</w:t>
            </w:r>
          </w:p>
        </w:tc>
        <w:tc>
          <w:tcPr>
            <w:tcW w:w="1247" w:type="dxa"/>
            <w:hideMark/>
          </w:tcPr>
          <w:p w14:paraId="1A00CD1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BC933C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3,920</w:t>
            </w:r>
          </w:p>
        </w:tc>
      </w:tr>
      <w:tr w:rsidR="00434512" w:rsidRPr="00434512" w14:paraId="1362D918" w14:textId="77777777" w:rsidTr="00CF4E52">
        <w:trPr>
          <w:trHeight w:val="300"/>
        </w:trPr>
        <w:tc>
          <w:tcPr>
            <w:tcW w:w="2410" w:type="dxa"/>
            <w:hideMark/>
          </w:tcPr>
          <w:p w14:paraId="5855D1C0"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Mildura Rural City Council</w:t>
            </w:r>
          </w:p>
        </w:tc>
        <w:tc>
          <w:tcPr>
            <w:tcW w:w="1247" w:type="dxa"/>
            <w:hideMark/>
          </w:tcPr>
          <w:p w14:paraId="6F5C90D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520</w:t>
            </w:r>
          </w:p>
        </w:tc>
        <w:tc>
          <w:tcPr>
            <w:tcW w:w="1247" w:type="dxa"/>
            <w:hideMark/>
          </w:tcPr>
          <w:p w14:paraId="4D2E272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EA0FE4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1,485</w:t>
            </w:r>
          </w:p>
        </w:tc>
        <w:tc>
          <w:tcPr>
            <w:tcW w:w="1247" w:type="dxa"/>
            <w:hideMark/>
          </w:tcPr>
          <w:p w14:paraId="0147ADF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5EA350D"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2,006</w:t>
            </w:r>
          </w:p>
        </w:tc>
        <w:tc>
          <w:tcPr>
            <w:tcW w:w="1247" w:type="dxa"/>
            <w:hideMark/>
          </w:tcPr>
          <w:p w14:paraId="7501F66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793</w:t>
            </w:r>
          </w:p>
        </w:tc>
        <w:tc>
          <w:tcPr>
            <w:tcW w:w="1247" w:type="dxa"/>
            <w:hideMark/>
          </w:tcPr>
          <w:p w14:paraId="6756F26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D9E7F1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1,213</w:t>
            </w:r>
          </w:p>
        </w:tc>
        <w:tc>
          <w:tcPr>
            <w:tcW w:w="1247" w:type="dxa"/>
            <w:hideMark/>
          </w:tcPr>
          <w:p w14:paraId="147E39C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97B1F0C"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2,006</w:t>
            </w:r>
          </w:p>
        </w:tc>
      </w:tr>
      <w:tr w:rsidR="00434512" w:rsidRPr="00434512" w14:paraId="3119E83A" w14:textId="77777777" w:rsidTr="00CF4E52">
        <w:trPr>
          <w:trHeight w:val="300"/>
        </w:trPr>
        <w:tc>
          <w:tcPr>
            <w:tcW w:w="2410" w:type="dxa"/>
            <w:hideMark/>
          </w:tcPr>
          <w:p w14:paraId="522F1701"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Monash City Council</w:t>
            </w:r>
          </w:p>
        </w:tc>
        <w:tc>
          <w:tcPr>
            <w:tcW w:w="1247" w:type="dxa"/>
            <w:hideMark/>
          </w:tcPr>
          <w:p w14:paraId="73925E6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7" w:type="dxa"/>
            <w:hideMark/>
          </w:tcPr>
          <w:p w14:paraId="513D460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6B3561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1,448</w:t>
            </w:r>
          </w:p>
        </w:tc>
        <w:tc>
          <w:tcPr>
            <w:tcW w:w="1247" w:type="dxa"/>
            <w:hideMark/>
          </w:tcPr>
          <w:p w14:paraId="18F9FC3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94D46E8"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1,448</w:t>
            </w:r>
          </w:p>
        </w:tc>
        <w:tc>
          <w:tcPr>
            <w:tcW w:w="1247" w:type="dxa"/>
            <w:hideMark/>
          </w:tcPr>
          <w:p w14:paraId="34A6215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1,285</w:t>
            </w:r>
          </w:p>
        </w:tc>
        <w:tc>
          <w:tcPr>
            <w:tcW w:w="1247" w:type="dxa"/>
            <w:hideMark/>
          </w:tcPr>
          <w:p w14:paraId="64594E5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11F034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1,452</w:t>
            </w:r>
          </w:p>
        </w:tc>
        <w:tc>
          <w:tcPr>
            <w:tcW w:w="1247" w:type="dxa"/>
            <w:hideMark/>
          </w:tcPr>
          <w:p w14:paraId="2DCD599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9F2C26F"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2,738</w:t>
            </w:r>
          </w:p>
        </w:tc>
      </w:tr>
      <w:tr w:rsidR="00434512" w:rsidRPr="00434512" w14:paraId="61994A14" w14:textId="77777777" w:rsidTr="00CF4E52">
        <w:trPr>
          <w:trHeight w:val="300"/>
        </w:trPr>
        <w:tc>
          <w:tcPr>
            <w:tcW w:w="2410" w:type="dxa"/>
            <w:hideMark/>
          </w:tcPr>
          <w:p w14:paraId="49EED2FC"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Moonee Valley City Council</w:t>
            </w:r>
          </w:p>
        </w:tc>
        <w:tc>
          <w:tcPr>
            <w:tcW w:w="1247" w:type="dxa"/>
            <w:hideMark/>
          </w:tcPr>
          <w:p w14:paraId="6A20E62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547</w:t>
            </w:r>
          </w:p>
        </w:tc>
        <w:tc>
          <w:tcPr>
            <w:tcW w:w="1247" w:type="dxa"/>
            <w:hideMark/>
          </w:tcPr>
          <w:p w14:paraId="0B2B94B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1F4B25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1,113</w:t>
            </w:r>
          </w:p>
        </w:tc>
        <w:tc>
          <w:tcPr>
            <w:tcW w:w="1247" w:type="dxa"/>
            <w:hideMark/>
          </w:tcPr>
          <w:p w14:paraId="436B154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E1C959D"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1,660</w:t>
            </w:r>
          </w:p>
        </w:tc>
        <w:tc>
          <w:tcPr>
            <w:tcW w:w="1247" w:type="dxa"/>
            <w:hideMark/>
          </w:tcPr>
          <w:p w14:paraId="29A4B12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1,048</w:t>
            </w:r>
          </w:p>
        </w:tc>
        <w:tc>
          <w:tcPr>
            <w:tcW w:w="1247" w:type="dxa"/>
            <w:hideMark/>
          </w:tcPr>
          <w:p w14:paraId="2E2D0E9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195A68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1,116</w:t>
            </w:r>
          </w:p>
        </w:tc>
        <w:tc>
          <w:tcPr>
            <w:tcW w:w="1247" w:type="dxa"/>
            <w:hideMark/>
          </w:tcPr>
          <w:p w14:paraId="352148B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8EEF0D0"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2,164</w:t>
            </w:r>
          </w:p>
        </w:tc>
      </w:tr>
      <w:tr w:rsidR="00434512" w:rsidRPr="00434512" w14:paraId="143A8BB0" w14:textId="77777777" w:rsidTr="00CF4E52">
        <w:trPr>
          <w:trHeight w:val="300"/>
        </w:trPr>
        <w:tc>
          <w:tcPr>
            <w:tcW w:w="2410" w:type="dxa"/>
            <w:hideMark/>
          </w:tcPr>
          <w:p w14:paraId="50BBDE65"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Moreland City Council</w:t>
            </w:r>
          </w:p>
        </w:tc>
        <w:tc>
          <w:tcPr>
            <w:tcW w:w="1247" w:type="dxa"/>
            <w:hideMark/>
          </w:tcPr>
          <w:p w14:paraId="524FAF9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573</w:t>
            </w:r>
          </w:p>
        </w:tc>
        <w:tc>
          <w:tcPr>
            <w:tcW w:w="1247" w:type="dxa"/>
            <w:hideMark/>
          </w:tcPr>
          <w:p w14:paraId="560F369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20AD8AA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2,047</w:t>
            </w:r>
          </w:p>
        </w:tc>
        <w:tc>
          <w:tcPr>
            <w:tcW w:w="1247" w:type="dxa"/>
            <w:hideMark/>
          </w:tcPr>
          <w:p w14:paraId="3CAC2B8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40F19EF"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2,620</w:t>
            </w:r>
          </w:p>
        </w:tc>
        <w:tc>
          <w:tcPr>
            <w:tcW w:w="1247" w:type="dxa"/>
            <w:hideMark/>
          </w:tcPr>
          <w:p w14:paraId="4262C6A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1,254</w:t>
            </w:r>
          </w:p>
        </w:tc>
        <w:tc>
          <w:tcPr>
            <w:tcW w:w="1247" w:type="dxa"/>
            <w:hideMark/>
          </w:tcPr>
          <w:p w14:paraId="626B026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E48032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2,053</w:t>
            </w:r>
          </w:p>
        </w:tc>
        <w:tc>
          <w:tcPr>
            <w:tcW w:w="1247" w:type="dxa"/>
            <w:hideMark/>
          </w:tcPr>
          <w:p w14:paraId="6BAEECC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0BE6BCE"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3,307</w:t>
            </w:r>
          </w:p>
        </w:tc>
      </w:tr>
      <w:tr w:rsidR="00434512" w:rsidRPr="00434512" w14:paraId="21F5D362" w14:textId="77777777" w:rsidTr="00CF4E52">
        <w:trPr>
          <w:trHeight w:val="420"/>
        </w:trPr>
        <w:tc>
          <w:tcPr>
            <w:tcW w:w="2410" w:type="dxa"/>
            <w:hideMark/>
          </w:tcPr>
          <w:p w14:paraId="250DAE37"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Mornington Peninsula Shire Council</w:t>
            </w:r>
          </w:p>
        </w:tc>
        <w:tc>
          <w:tcPr>
            <w:tcW w:w="1247" w:type="dxa"/>
            <w:hideMark/>
          </w:tcPr>
          <w:p w14:paraId="18E12E3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1,083</w:t>
            </w:r>
          </w:p>
        </w:tc>
        <w:tc>
          <w:tcPr>
            <w:tcW w:w="1247" w:type="dxa"/>
            <w:hideMark/>
          </w:tcPr>
          <w:p w14:paraId="11B6398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6CA22E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1,838</w:t>
            </w:r>
          </w:p>
        </w:tc>
        <w:tc>
          <w:tcPr>
            <w:tcW w:w="1247" w:type="dxa"/>
            <w:hideMark/>
          </w:tcPr>
          <w:p w14:paraId="63A99B2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CB14F6C"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2,921</w:t>
            </w:r>
          </w:p>
        </w:tc>
        <w:tc>
          <w:tcPr>
            <w:tcW w:w="1247" w:type="dxa"/>
            <w:hideMark/>
          </w:tcPr>
          <w:p w14:paraId="3940EDE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2,112</w:t>
            </w:r>
          </w:p>
        </w:tc>
        <w:tc>
          <w:tcPr>
            <w:tcW w:w="1247" w:type="dxa"/>
            <w:hideMark/>
          </w:tcPr>
          <w:p w14:paraId="0AF3809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A98501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1,843</w:t>
            </w:r>
          </w:p>
        </w:tc>
        <w:tc>
          <w:tcPr>
            <w:tcW w:w="1247" w:type="dxa"/>
            <w:hideMark/>
          </w:tcPr>
          <w:p w14:paraId="004516D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588F397"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3,955</w:t>
            </w:r>
          </w:p>
        </w:tc>
      </w:tr>
      <w:tr w:rsidR="00434512" w:rsidRPr="00434512" w14:paraId="411A3245" w14:textId="77777777" w:rsidTr="00CF4E52">
        <w:trPr>
          <w:trHeight w:val="300"/>
        </w:trPr>
        <w:tc>
          <w:tcPr>
            <w:tcW w:w="2410" w:type="dxa"/>
            <w:hideMark/>
          </w:tcPr>
          <w:p w14:paraId="6EBB0B46"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Municipal Association Of Victoria</w:t>
            </w:r>
          </w:p>
        </w:tc>
        <w:tc>
          <w:tcPr>
            <w:tcW w:w="1247" w:type="dxa"/>
            <w:hideMark/>
          </w:tcPr>
          <w:p w14:paraId="18AC70D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191</w:t>
            </w:r>
          </w:p>
        </w:tc>
        <w:tc>
          <w:tcPr>
            <w:tcW w:w="1247" w:type="dxa"/>
            <w:hideMark/>
          </w:tcPr>
          <w:p w14:paraId="2A72D8F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2FAD0F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214</w:t>
            </w:r>
          </w:p>
        </w:tc>
        <w:tc>
          <w:tcPr>
            <w:tcW w:w="1247" w:type="dxa"/>
            <w:hideMark/>
          </w:tcPr>
          <w:p w14:paraId="3B2FDEB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1,458</w:t>
            </w:r>
          </w:p>
        </w:tc>
        <w:tc>
          <w:tcPr>
            <w:tcW w:w="1248" w:type="dxa"/>
            <w:hideMark/>
          </w:tcPr>
          <w:p w14:paraId="367FC86E"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1,864</w:t>
            </w:r>
          </w:p>
        </w:tc>
        <w:tc>
          <w:tcPr>
            <w:tcW w:w="1247" w:type="dxa"/>
            <w:hideMark/>
          </w:tcPr>
          <w:p w14:paraId="5F38F56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196</w:t>
            </w:r>
          </w:p>
        </w:tc>
        <w:tc>
          <w:tcPr>
            <w:tcW w:w="1247" w:type="dxa"/>
            <w:hideMark/>
          </w:tcPr>
          <w:p w14:paraId="272B81A1"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B18D81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420</w:t>
            </w:r>
          </w:p>
        </w:tc>
        <w:tc>
          <w:tcPr>
            <w:tcW w:w="1247" w:type="dxa"/>
            <w:hideMark/>
          </w:tcPr>
          <w:p w14:paraId="132641E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1,591</w:t>
            </w:r>
          </w:p>
        </w:tc>
        <w:tc>
          <w:tcPr>
            <w:tcW w:w="1248" w:type="dxa"/>
            <w:hideMark/>
          </w:tcPr>
          <w:p w14:paraId="3DBAC4BC"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2,207</w:t>
            </w:r>
          </w:p>
        </w:tc>
      </w:tr>
      <w:tr w:rsidR="00434512" w:rsidRPr="00434512" w14:paraId="01BC79B7" w14:textId="77777777" w:rsidTr="00CF4E52">
        <w:trPr>
          <w:trHeight w:val="300"/>
        </w:trPr>
        <w:tc>
          <w:tcPr>
            <w:tcW w:w="2410" w:type="dxa"/>
            <w:hideMark/>
          </w:tcPr>
          <w:p w14:paraId="25074FF8"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lastRenderedPageBreak/>
              <w:t>The City Of Greater Dandenong</w:t>
            </w:r>
          </w:p>
        </w:tc>
        <w:tc>
          <w:tcPr>
            <w:tcW w:w="1247" w:type="dxa"/>
            <w:hideMark/>
          </w:tcPr>
          <w:p w14:paraId="24939AD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1,279</w:t>
            </w:r>
          </w:p>
        </w:tc>
        <w:tc>
          <w:tcPr>
            <w:tcW w:w="1247" w:type="dxa"/>
            <w:hideMark/>
          </w:tcPr>
          <w:p w14:paraId="4DA7D0F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139</w:t>
            </w:r>
          </w:p>
        </w:tc>
        <w:tc>
          <w:tcPr>
            <w:tcW w:w="1248" w:type="dxa"/>
            <w:hideMark/>
          </w:tcPr>
          <w:p w14:paraId="3A09848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2,564</w:t>
            </w:r>
          </w:p>
        </w:tc>
        <w:tc>
          <w:tcPr>
            <w:tcW w:w="1247" w:type="dxa"/>
            <w:hideMark/>
          </w:tcPr>
          <w:p w14:paraId="1A2E0A3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34B5571"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3,982</w:t>
            </w:r>
          </w:p>
        </w:tc>
        <w:tc>
          <w:tcPr>
            <w:tcW w:w="1247" w:type="dxa"/>
            <w:hideMark/>
          </w:tcPr>
          <w:p w14:paraId="2C19D25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2,375</w:t>
            </w:r>
          </w:p>
        </w:tc>
        <w:tc>
          <w:tcPr>
            <w:tcW w:w="1247" w:type="dxa"/>
            <w:hideMark/>
          </w:tcPr>
          <w:p w14:paraId="75A79BB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281</w:t>
            </w:r>
          </w:p>
        </w:tc>
        <w:tc>
          <w:tcPr>
            <w:tcW w:w="1248" w:type="dxa"/>
            <w:hideMark/>
          </w:tcPr>
          <w:p w14:paraId="3A0E81B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2,572</w:t>
            </w:r>
          </w:p>
        </w:tc>
        <w:tc>
          <w:tcPr>
            <w:tcW w:w="1247" w:type="dxa"/>
            <w:hideMark/>
          </w:tcPr>
          <w:p w14:paraId="5993449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1BB190B"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5,229</w:t>
            </w:r>
          </w:p>
        </w:tc>
      </w:tr>
      <w:tr w:rsidR="00434512" w:rsidRPr="00434512" w14:paraId="01E2B124" w14:textId="77777777" w:rsidTr="00CF4E52">
        <w:trPr>
          <w:trHeight w:val="300"/>
        </w:trPr>
        <w:tc>
          <w:tcPr>
            <w:tcW w:w="2410" w:type="dxa"/>
            <w:hideMark/>
          </w:tcPr>
          <w:p w14:paraId="3696163C"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Whitehorse City Council</w:t>
            </w:r>
          </w:p>
        </w:tc>
        <w:tc>
          <w:tcPr>
            <w:tcW w:w="1247" w:type="dxa"/>
            <w:hideMark/>
          </w:tcPr>
          <w:p w14:paraId="36DFC17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455</w:t>
            </w:r>
          </w:p>
        </w:tc>
        <w:tc>
          <w:tcPr>
            <w:tcW w:w="1247" w:type="dxa"/>
            <w:hideMark/>
          </w:tcPr>
          <w:p w14:paraId="410E34A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9076BA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1,341</w:t>
            </w:r>
          </w:p>
        </w:tc>
        <w:tc>
          <w:tcPr>
            <w:tcW w:w="1247" w:type="dxa"/>
            <w:hideMark/>
          </w:tcPr>
          <w:p w14:paraId="0CBA806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9DBA303"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1,795</w:t>
            </w:r>
          </w:p>
        </w:tc>
        <w:tc>
          <w:tcPr>
            <w:tcW w:w="1247" w:type="dxa"/>
            <w:hideMark/>
          </w:tcPr>
          <w:p w14:paraId="2A09968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1,250</w:t>
            </w:r>
          </w:p>
        </w:tc>
        <w:tc>
          <w:tcPr>
            <w:tcW w:w="1247" w:type="dxa"/>
            <w:hideMark/>
          </w:tcPr>
          <w:p w14:paraId="4CDFF30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67C6DA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1,345</w:t>
            </w:r>
          </w:p>
        </w:tc>
        <w:tc>
          <w:tcPr>
            <w:tcW w:w="1247" w:type="dxa"/>
            <w:hideMark/>
          </w:tcPr>
          <w:p w14:paraId="2E86718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6BE6983"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2,594</w:t>
            </w:r>
          </w:p>
        </w:tc>
      </w:tr>
      <w:tr w:rsidR="00434512" w:rsidRPr="00434512" w14:paraId="59307586" w14:textId="77777777" w:rsidTr="00CF4E52">
        <w:trPr>
          <w:trHeight w:val="300"/>
        </w:trPr>
        <w:tc>
          <w:tcPr>
            <w:tcW w:w="2410" w:type="dxa"/>
            <w:hideMark/>
          </w:tcPr>
          <w:p w14:paraId="70B270F1"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Whittlesea City Council</w:t>
            </w:r>
          </w:p>
        </w:tc>
        <w:tc>
          <w:tcPr>
            <w:tcW w:w="1247" w:type="dxa"/>
            <w:hideMark/>
          </w:tcPr>
          <w:p w14:paraId="08A3B69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807</w:t>
            </w:r>
          </w:p>
        </w:tc>
        <w:tc>
          <w:tcPr>
            <w:tcW w:w="1247" w:type="dxa"/>
            <w:hideMark/>
          </w:tcPr>
          <w:p w14:paraId="0BA115D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DCF1E5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3,858</w:t>
            </w:r>
          </w:p>
        </w:tc>
        <w:tc>
          <w:tcPr>
            <w:tcW w:w="1247" w:type="dxa"/>
            <w:hideMark/>
          </w:tcPr>
          <w:p w14:paraId="4DCCA00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E2479B2"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4,666</w:t>
            </w:r>
          </w:p>
        </w:tc>
        <w:tc>
          <w:tcPr>
            <w:tcW w:w="1247" w:type="dxa"/>
            <w:hideMark/>
          </w:tcPr>
          <w:p w14:paraId="185D883E"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1,712</w:t>
            </w:r>
          </w:p>
        </w:tc>
        <w:tc>
          <w:tcPr>
            <w:tcW w:w="1247" w:type="dxa"/>
            <w:hideMark/>
          </w:tcPr>
          <w:p w14:paraId="57407F8C"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06A139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3,869</w:t>
            </w:r>
          </w:p>
        </w:tc>
        <w:tc>
          <w:tcPr>
            <w:tcW w:w="1247" w:type="dxa"/>
            <w:hideMark/>
          </w:tcPr>
          <w:p w14:paraId="607DAF9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0C60EBE"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5,581</w:t>
            </w:r>
          </w:p>
        </w:tc>
      </w:tr>
      <w:tr w:rsidR="00434512" w:rsidRPr="00434512" w14:paraId="56802BFE" w14:textId="77777777" w:rsidTr="00CF4E52">
        <w:trPr>
          <w:trHeight w:val="300"/>
        </w:trPr>
        <w:tc>
          <w:tcPr>
            <w:tcW w:w="2410" w:type="dxa"/>
            <w:hideMark/>
          </w:tcPr>
          <w:p w14:paraId="3319821A"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Wyndham City Council</w:t>
            </w:r>
          </w:p>
        </w:tc>
        <w:tc>
          <w:tcPr>
            <w:tcW w:w="1247" w:type="dxa"/>
            <w:hideMark/>
          </w:tcPr>
          <w:p w14:paraId="74A0F2E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1,053</w:t>
            </w:r>
          </w:p>
        </w:tc>
        <w:tc>
          <w:tcPr>
            <w:tcW w:w="1247" w:type="dxa"/>
            <w:hideMark/>
          </w:tcPr>
          <w:p w14:paraId="5D93E22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D590390"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5,703</w:t>
            </w:r>
          </w:p>
        </w:tc>
        <w:tc>
          <w:tcPr>
            <w:tcW w:w="1247" w:type="dxa"/>
            <w:hideMark/>
          </w:tcPr>
          <w:p w14:paraId="2AEA60A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C8B19D1"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6,756</w:t>
            </w:r>
          </w:p>
        </w:tc>
        <w:tc>
          <w:tcPr>
            <w:tcW w:w="1247" w:type="dxa"/>
            <w:hideMark/>
          </w:tcPr>
          <w:p w14:paraId="7F6A72B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1,765</w:t>
            </w:r>
          </w:p>
        </w:tc>
        <w:tc>
          <w:tcPr>
            <w:tcW w:w="1247" w:type="dxa"/>
            <w:hideMark/>
          </w:tcPr>
          <w:p w14:paraId="31C0BAC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49C9BFA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5,720</w:t>
            </w:r>
          </w:p>
        </w:tc>
        <w:tc>
          <w:tcPr>
            <w:tcW w:w="1247" w:type="dxa"/>
            <w:hideMark/>
          </w:tcPr>
          <w:p w14:paraId="5BCA4A53"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A923820"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7,485</w:t>
            </w:r>
          </w:p>
        </w:tc>
      </w:tr>
      <w:tr w:rsidR="00434512" w:rsidRPr="00434512" w14:paraId="4A10B624" w14:textId="77777777" w:rsidTr="00CF4E52">
        <w:trPr>
          <w:trHeight w:val="300"/>
        </w:trPr>
        <w:tc>
          <w:tcPr>
            <w:tcW w:w="2410" w:type="dxa"/>
            <w:hideMark/>
          </w:tcPr>
          <w:p w14:paraId="0E249F98"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Yarra City Council</w:t>
            </w:r>
          </w:p>
        </w:tc>
        <w:tc>
          <w:tcPr>
            <w:tcW w:w="1247" w:type="dxa"/>
            <w:hideMark/>
          </w:tcPr>
          <w:p w14:paraId="2E0B486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563</w:t>
            </w:r>
          </w:p>
        </w:tc>
        <w:tc>
          <w:tcPr>
            <w:tcW w:w="1247" w:type="dxa"/>
            <w:hideMark/>
          </w:tcPr>
          <w:p w14:paraId="01E5B4D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4578DF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832</w:t>
            </w:r>
          </w:p>
        </w:tc>
        <w:tc>
          <w:tcPr>
            <w:tcW w:w="1247" w:type="dxa"/>
            <w:hideMark/>
          </w:tcPr>
          <w:p w14:paraId="0DEF4D1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06CAFC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1,395</w:t>
            </w:r>
          </w:p>
        </w:tc>
        <w:tc>
          <w:tcPr>
            <w:tcW w:w="1247" w:type="dxa"/>
            <w:hideMark/>
          </w:tcPr>
          <w:p w14:paraId="54A0A2B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748</w:t>
            </w:r>
          </w:p>
        </w:tc>
        <w:tc>
          <w:tcPr>
            <w:tcW w:w="1247" w:type="dxa"/>
            <w:hideMark/>
          </w:tcPr>
          <w:p w14:paraId="318F0127"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62BF14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835</w:t>
            </w:r>
          </w:p>
        </w:tc>
        <w:tc>
          <w:tcPr>
            <w:tcW w:w="1247" w:type="dxa"/>
            <w:hideMark/>
          </w:tcPr>
          <w:p w14:paraId="6ED364B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ECC98DA"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1,583</w:t>
            </w:r>
          </w:p>
        </w:tc>
      </w:tr>
      <w:tr w:rsidR="00434512" w:rsidRPr="00434512" w14:paraId="53C6D81C" w14:textId="77777777" w:rsidTr="00CF4E52">
        <w:trPr>
          <w:trHeight w:val="300"/>
        </w:trPr>
        <w:tc>
          <w:tcPr>
            <w:tcW w:w="2410" w:type="dxa"/>
            <w:hideMark/>
          </w:tcPr>
          <w:p w14:paraId="7E285FD6"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Yarra Ranges Shire Council</w:t>
            </w:r>
          </w:p>
        </w:tc>
        <w:tc>
          <w:tcPr>
            <w:tcW w:w="1247" w:type="dxa"/>
            <w:hideMark/>
          </w:tcPr>
          <w:p w14:paraId="6DF18FF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974</w:t>
            </w:r>
          </w:p>
        </w:tc>
        <w:tc>
          <w:tcPr>
            <w:tcW w:w="1247" w:type="dxa"/>
            <w:hideMark/>
          </w:tcPr>
          <w:p w14:paraId="672E223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6FE2BC0A"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2,112</w:t>
            </w:r>
          </w:p>
        </w:tc>
        <w:tc>
          <w:tcPr>
            <w:tcW w:w="1247" w:type="dxa"/>
            <w:hideMark/>
          </w:tcPr>
          <w:p w14:paraId="6854D0B4"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8D77A03"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3,086</w:t>
            </w:r>
          </w:p>
        </w:tc>
        <w:tc>
          <w:tcPr>
            <w:tcW w:w="1247" w:type="dxa"/>
            <w:hideMark/>
          </w:tcPr>
          <w:p w14:paraId="1D7078CB"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1,697</w:t>
            </w:r>
          </w:p>
        </w:tc>
        <w:tc>
          <w:tcPr>
            <w:tcW w:w="1247" w:type="dxa"/>
            <w:hideMark/>
          </w:tcPr>
          <w:p w14:paraId="7ED6C3F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1028816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2,117</w:t>
            </w:r>
          </w:p>
        </w:tc>
        <w:tc>
          <w:tcPr>
            <w:tcW w:w="1247" w:type="dxa"/>
            <w:hideMark/>
          </w:tcPr>
          <w:p w14:paraId="7CF8CF0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702B9A2E"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3,813</w:t>
            </w:r>
          </w:p>
        </w:tc>
      </w:tr>
      <w:tr w:rsidR="00434512" w:rsidRPr="00434512" w14:paraId="510FB9F1" w14:textId="77777777" w:rsidTr="00CF4E52">
        <w:trPr>
          <w:trHeight w:val="300"/>
        </w:trPr>
        <w:tc>
          <w:tcPr>
            <w:tcW w:w="2410" w:type="dxa"/>
            <w:hideMark/>
          </w:tcPr>
          <w:p w14:paraId="0E5D9EB0" w14:textId="77777777" w:rsidR="00434512" w:rsidRPr="00434512" w:rsidRDefault="00434512" w:rsidP="00434512">
            <w:pPr>
              <w:spacing w:after="0" w:line="240" w:lineRule="auto"/>
              <w:rPr>
                <w:rFonts w:cs="Arial"/>
                <w:color w:val="000000"/>
                <w:sz w:val="16"/>
                <w:szCs w:val="16"/>
                <w:lang w:eastAsia="en-AU"/>
              </w:rPr>
            </w:pPr>
            <w:r w:rsidRPr="00434512">
              <w:rPr>
                <w:rFonts w:cs="Arial"/>
                <w:color w:val="000000"/>
                <w:sz w:val="16"/>
                <w:szCs w:val="16"/>
                <w:lang w:eastAsia="en-AU"/>
              </w:rPr>
              <w:t>All other organisations (&lt;$1 m)</w:t>
            </w:r>
          </w:p>
        </w:tc>
        <w:tc>
          <w:tcPr>
            <w:tcW w:w="1247" w:type="dxa"/>
            <w:hideMark/>
          </w:tcPr>
          <w:p w14:paraId="389D8AB9"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3,854</w:t>
            </w:r>
          </w:p>
        </w:tc>
        <w:tc>
          <w:tcPr>
            <w:tcW w:w="1247" w:type="dxa"/>
            <w:hideMark/>
          </w:tcPr>
          <w:p w14:paraId="0EDFAB4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35BBAFD8"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15,276</w:t>
            </w:r>
          </w:p>
        </w:tc>
        <w:tc>
          <w:tcPr>
            <w:tcW w:w="1247" w:type="dxa"/>
            <w:hideMark/>
          </w:tcPr>
          <w:p w14:paraId="7C55C982"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02206A7B"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19,130</w:t>
            </w:r>
          </w:p>
        </w:tc>
        <w:tc>
          <w:tcPr>
            <w:tcW w:w="1247" w:type="dxa"/>
            <w:hideMark/>
          </w:tcPr>
          <w:p w14:paraId="30A193AD"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6,583</w:t>
            </w:r>
          </w:p>
        </w:tc>
        <w:tc>
          <w:tcPr>
            <w:tcW w:w="1247" w:type="dxa"/>
            <w:hideMark/>
          </w:tcPr>
          <w:p w14:paraId="41AB2705"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E04CD1F"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14,804</w:t>
            </w:r>
          </w:p>
        </w:tc>
        <w:tc>
          <w:tcPr>
            <w:tcW w:w="1247" w:type="dxa"/>
            <w:hideMark/>
          </w:tcPr>
          <w:p w14:paraId="793E0416" w14:textId="77777777" w:rsidR="00434512" w:rsidRPr="00434512" w:rsidRDefault="00434512" w:rsidP="00434512">
            <w:pPr>
              <w:spacing w:after="0" w:line="240" w:lineRule="auto"/>
              <w:jc w:val="right"/>
              <w:rPr>
                <w:rFonts w:cs="Arial"/>
                <w:color w:val="000000"/>
                <w:sz w:val="16"/>
                <w:szCs w:val="16"/>
                <w:lang w:eastAsia="en-AU"/>
              </w:rPr>
            </w:pPr>
            <w:r w:rsidRPr="00434512">
              <w:rPr>
                <w:rFonts w:cs="Arial"/>
                <w:color w:val="000000"/>
                <w:sz w:val="16"/>
                <w:szCs w:val="16"/>
                <w:lang w:eastAsia="en-AU"/>
              </w:rPr>
              <w:t>0</w:t>
            </w:r>
          </w:p>
        </w:tc>
        <w:tc>
          <w:tcPr>
            <w:tcW w:w="1248" w:type="dxa"/>
            <w:hideMark/>
          </w:tcPr>
          <w:p w14:paraId="5B2FBA6C" w14:textId="77777777" w:rsidR="00434512" w:rsidRPr="00434512" w:rsidRDefault="00434512" w:rsidP="00434512">
            <w:pPr>
              <w:spacing w:after="0" w:line="240" w:lineRule="auto"/>
              <w:jc w:val="right"/>
              <w:rPr>
                <w:rFonts w:cs="Arial"/>
                <w:b/>
                <w:bCs/>
                <w:color w:val="000000"/>
                <w:sz w:val="16"/>
                <w:szCs w:val="16"/>
                <w:lang w:eastAsia="en-AU"/>
              </w:rPr>
            </w:pPr>
            <w:r w:rsidRPr="00434512">
              <w:rPr>
                <w:rFonts w:cs="Arial"/>
                <w:b/>
                <w:bCs/>
                <w:color w:val="000000"/>
                <w:sz w:val="16"/>
                <w:szCs w:val="16"/>
                <w:lang w:eastAsia="en-AU"/>
              </w:rPr>
              <w:t>21,387</w:t>
            </w:r>
          </w:p>
        </w:tc>
      </w:tr>
      <w:tr w:rsidR="00434512" w:rsidRPr="00434512" w14:paraId="5743DE31" w14:textId="77777777" w:rsidTr="00CF4E52">
        <w:trPr>
          <w:trHeight w:val="300"/>
        </w:trPr>
        <w:tc>
          <w:tcPr>
            <w:tcW w:w="2410" w:type="dxa"/>
            <w:shd w:val="clear" w:color="auto" w:fill="201547"/>
            <w:hideMark/>
          </w:tcPr>
          <w:p w14:paraId="635D444A" w14:textId="77777777" w:rsidR="00434512" w:rsidRPr="00434512" w:rsidRDefault="00434512" w:rsidP="00434512">
            <w:pPr>
              <w:spacing w:after="0" w:line="240" w:lineRule="auto"/>
              <w:rPr>
                <w:rFonts w:cs="Arial"/>
                <w:b/>
                <w:bCs/>
                <w:color w:val="FFFFFF"/>
                <w:sz w:val="16"/>
                <w:szCs w:val="16"/>
                <w:lang w:eastAsia="en-AU"/>
              </w:rPr>
            </w:pPr>
            <w:r w:rsidRPr="00434512">
              <w:rPr>
                <w:rFonts w:cs="Arial"/>
                <w:b/>
                <w:bCs/>
                <w:color w:val="FFFFFF"/>
                <w:sz w:val="16"/>
                <w:szCs w:val="16"/>
                <w:lang w:eastAsia="en-AU"/>
              </w:rPr>
              <w:t>Grand Total</w:t>
            </w:r>
          </w:p>
        </w:tc>
        <w:tc>
          <w:tcPr>
            <w:tcW w:w="1247" w:type="dxa"/>
            <w:shd w:val="clear" w:color="auto" w:fill="201547"/>
            <w:hideMark/>
          </w:tcPr>
          <w:p w14:paraId="0C11C0C0"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23,867</w:t>
            </w:r>
          </w:p>
        </w:tc>
        <w:tc>
          <w:tcPr>
            <w:tcW w:w="1247" w:type="dxa"/>
            <w:shd w:val="clear" w:color="auto" w:fill="201547"/>
            <w:hideMark/>
          </w:tcPr>
          <w:p w14:paraId="201C2E83"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139</w:t>
            </w:r>
          </w:p>
        </w:tc>
        <w:tc>
          <w:tcPr>
            <w:tcW w:w="1248" w:type="dxa"/>
            <w:shd w:val="clear" w:color="auto" w:fill="201547"/>
            <w:hideMark/>
          </w:tcPr>
          <w:p w14:paraId="74312A3C"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89,168</w:t>
            </w:r>
          </w:p>
        </w:tc>
        <w:tc>
          <w:tcPr>
            <w:tcW w:w="1247" w:type="dxa"/>
            <w:shd w:val="clear" w:color="auto" w:fill="201547"/>
            <w:hideMark/>
          </w:tcPr>
          <w:p w14:paraId="1D2E270D"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1,520</w:t>
            </w:r>
          </w:p>
        </w:tc>
        <w:tc>
          <w:tcPr>
            <w:tcW w:w="1248" w:type="dxa"/>
            <w:shd w:val="clear" w:color="auto" w:fill="201547"/>
            <w:hideMark/>
          </w:tcPr>
          <w:p w14:paraId="0E9CDCE4"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114,694</w:t>
            </w:r>
          </w:p>
        </w:tc>
        <w:tc>
          <w:tcPr>
            <w:tcW w:w="1247" w:type="dxa"/>
            <w:shd w:val="clear" w:color="auto" w:fill="201547"/>
            <w:hideMark/>
          </w:tcPr>
          <w:p w14:paraId="32D2CF07"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49,617</w:t>
            </w:r>
          </w:p>
        </w:tc>
        <w:tc>
          <w:tcPr>
            <w:tcW w:w="1247" w:type="dxa"/>
            <w:shd w:val="clear" w:color="auto" w:fill="201547"/>
            <w:hideMark/>
          </w:tcPr>
          <w:p w14:paraId="5C5CFBDC"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281</w:t>
            </w:r>
          </w:p>
        </w:tc>
        <w:tc>
          <w:tcPr>
            <w:tcW w:w="1248" w:type="dxa"/>
            <w:shd w:val="clear" w:color="auto" w:fill="201547"/>
            <w:hideMark/>
          </w:tcPr>
          <w:p w14:paraId="7637093A"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88,856</w:t>
            </w:r>
          </w:p>
        </w:tc>
        <w:tc>
          <w:tcPr>
            <w:tcW w:w="1247" w:type="dxa"/>
            <w:shd w:val="clear" w:color="auto" w:fill="201547"/>
            <w:hideMark/>
          </w:tcPr>
          <w:p w14:paraId="3869DBE6"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1,655</w:t>
            </w:r>
          </w:p>
        </w:tc>
        <w:tc>
          <w:tcPr>
            <w:tcW w:w="1248" w:type="dxa"/>
            <w:shd w:val="clear" w:color="auto" w:fill="201547"/>
            <w:hideMark/>
          </w:tcPr>
          <w:p w14:paraId="5025DAB3" w14:textId="77777777" w:rsidR="00434512" w:rsidRPr="00434512" w:rsidRDefault="00434512" w:rsidP="00434512">
            <w:pPr>
              <w:spacing w:after="0" w:line="240" w:lineRule="auto"/>
              <w:jc w:val="right"/>
              <w:rPr>
                <w:rFonts w:cs="Arial"/>
                <w:b/>
                <w:bCs/>
                <w:color w:val="FFFFFF"/>
                <w:sz w:val="16"/>
                <w:szCs w:val="16"/>
                <w:lang w:eastAsia="en-AU"/>
              </w:rPr>
            </w:pPr>
            <w:r w:rsidRPr="00434512">
              <w:rPr>
                <w:rFonts w:cs="Arial"/>
                <w:b/>
                <w:bCs/>
                <w:color w:val="FFFFFF"/>
                <w:sz w:val="16"/>
                <w:szCs w:val="16"/>
                <w:lang w:eastAsia="en-AU"/>
              </w:rPr>
              <w:t>140,409</w:t>
            </w:r>
          </w:p>
        </w:tc>
      </w:tr>
    </w:tbl>
    <w:p w14:paraId="4C29BC70" w14:textId="77777777" w:rsidR="004756B4" w:rsidRPr="00412D81" w:rsidRDefault="004756B4" w:rsidP="00B92CD4">
      <w:pPr>
        <w:pStyle w:val="Body"/>
      </w:pPr>
    </w:p>
    <w:p w14:paraId="0E14F24A" w14:textId="504F64FB" w:rsidR="000B27B9" w:rsidRPr="00494D61" w:rsidRDefault="000B27B9" w:rsidP="009375E0">
      <w:pPr>
        <w:pStyle w:val="Heading3"/>
        <w:spacing w:before="240"/>
      </w:pPr>
      <w:bookmarkStart w:id="1199" w:name="_Toc111713623"/>
      <w:bookmarkStart w:id="1200" w:name="_Toc111713624"/>
      <w:bookmarkStart w:id="1201" w:name="_Toc12780662"/>
      <w:bookmarkStart w:id="1202" w:name="_Toc14172303"/>
      <w:bookmarkStart w:id="1203" w:name="_Toc33703977"/>
      <w:bookmarkStart w:id="1204" w:name="_Toc55381165"/>
      <w:bookmarkStart w:id="1205" w:name="_Toc100263371"/>
      <w:bookmarkStart w:id="1206" w:name="_Toc127192019"/>
      <w:bookmarkEnd w:id="1199"/>
      <w:bookmarkEnd w:id="1200"/>
      <w:r w:rsidRPr="00494D61">
        <w:t>Non-</w:t>
      </w:r>
      <w:r w:rsidR="00331D5D" w:rsidRPr="00494D61">
        <w:t>G</w:t>
      </w:r>
      <w:r w:rsidRPr="00494D61">
        <w:t xml:space="preserve">overnment </w:t>
      </w:r>
      <w:r w:rsidR="00331D5D" w:rsidRPr="00494D61">
        <w:t>P</w:t>
      </w:r>
      <w:r w:rsidRPr="00494D61">
        <w:t xml:space="preserve">roviders </w:t>
      </w:r>
      <w:bookmarkEnd w:id="1201"/>
      <w:bookmarkEnd w:id="1202"/>
      <w:bookmarkEnd w:id="1203"/>
      <w:bookmarkEnd w:id="1204"/>
      <w:r w:rsidR="005D1FCB" w:rsidRPr="00494D61">
        <w:t>2021</w:t>
      </w:r>
      <w:r w:rsidR="00AB0330" w:rsidRPr="00494D61">
        <w:t>–</w:t>
      </w:r>
      <w:r w:rsidR="005D1FCB" w:rsidRPr="00494D61">
        <w:t>22 and 2022</w:t>
      </w:r>
      <w:r w:rsidR="00AB0330" w:rsidRPr="00494D61">
        <w:t>–</w:t>
      </w:r>
      <w:r w:rsidR="005D1FCB" w:rsidRPr="00494D61">
        <w:t>23</w:t>
      </w:r>
      <w:bookmarkEnd w:id="1205"/>
      <w:bookmarkEnd w:id="1206"/>
    </w:p>
    <w:p w14:paraId="549FC49E" w14:textId="77777777" w:rsidR="000B27B9" w:rsidRPr="00494D61" w:rsidRDefault="000B27B9" w:rsidP="0064265C">
      <w:pPr>
        <w:pStyle w:val="Tablefigurenote9pt"/>
      </w:pPr>
      <w:r w:rsidRPr="00494D61">
        <w:t>Notes:</w:t>
      </w:r>
    </w:p>
    <w:p w14:paraId="05B4D763" w14:textId="77777777" w:rsidR="000B27B9" w:rsidRPr="00494D61" w:rsidRDefault="000B27B9" w:rsidP="003C01AD">
      <w:pPr>
        <w:pStyle w:val="Tablenoteroman"/>
        <w:numPr>
          <w:ilvl w:val="0"/>
          <w:numId w:val="7"/>
        </w:numPr>
      </w:pPr>
      <w:r w:rsidRPr="00494D61">
        <w:t>This table shows the health funding to non-government organisations that receive &gt; $1 million from specific health outputs.</w:t>
      </w:r>
    </w:p>
    <w:p w14:paraId="05B79D67" w14:textId="77777777" w:rsidR="000B27B9" w:rsidRPr="00494D61" w:rsidRDefault="000B27B9" w:rsidP="003C01AD">
      <w:pPr>
        <w:pStyle w:val="Tablenoteroman"/>
        <w:numPr>
          <w:ilvl w:val="0"/>
          <w:numId w:val="7"/>
        </w:numPr>
        <w:rPr>
          <w:lang w:eastAsia="en-AU"/>
        </w:rPr>
      </w:pPr>
      <w:r w:rsidRPr="00494D61">
        <w:rPr>
          <w:lang w:eastAsia="en-AU"/>
        </w:rPr>
        <w:t>Subtotals and totals may not add up due to rounding.</w:t>
      </w:r>
    </w:p>
    <w:p w14:paraId="701E20E0" w14:textId="7E864197" w:rsidR="000B27B9" w:rsidRDefault="000B27B9" w:rsidP="000E08EF">
      <w:pPr>
        <w:pStyle w:val="Tablecaption"/>
      </w:pPr>
      <w:bookmarkStart w:id="1207" w:name="_Toc12780566"/>
      <w:bookmarkStart w:id="1208" w:name="_Toc14194822"/>
      <w:bookmarkStart w:id="1209" w:name="_Toc33704003"/>
      <w:bookmarkStart w:id="1210" w:name="_Toc109894133"/>
      <w:bookmarkStart w:id="1211" w:name="_Toc119500914"/>
      <w:r w:rsidRPr="00494D61">
        <w:t xml:space="preserve">Table </w:t>
      </w:r>
      <w:r>
        <w:fldChar w:fldCharType="begin"/>
      </w:r>
      <w:r>
        <w:instrText>STYLEREF 1 \s</w:instrText>
      </w:r>
      <w:r>
        <w:fldChar w:fldCharType="separate"/>
      </w:r>
      <w:r w:rsidR="006D0756" w:rsidRPr="00494D61">
        <w:rPr>
          <w:noProof/>
        </w:rPr>
        <w:t>2</w:t>
      </w:r>
      <w:r>
        <w:fldChar w:fldCharType="end"/>
      </w:r>
      <w:r w:rsidR="00EC6300" w:rsidRPr="00494D61">
        <w:t>.</w:t>
      </w:r>
      <w:r>
        <w:fldChar w:fldCharType="begin"/>
      </w:r>
      <w:r>
        <w:instrText>SEQ Table \* ARABIC \s 1</w:instrText>
      </w:r>
      <w:r>
        <w:fldChar w:fldCharType="separate"/>
      </w:r>
      <w:r w:rsidR="006D0756" w:rsidRPr="00494D61">
        <w:rPr>
          <w:noProof/>
        </w:rPr>
        <w:t>7</w:t>
      </w:r>
      <w:r>
        <w:fldChar w:fldCharType="end"/>
      </w:r>
      <w:r w:rsidRPr="00494D61">
        <w:t xml:space="preserve">: Non-government providers </w:t>
      </w:r>
      <w:bookmarkEnd w:id="1207"/>
      <w:bookmarkEnd w:id="1208"/>
      <w:bookmarkEnd w:id="1209"/>
      <w:r w:rsidR="005D1FCB" w:rsidRPr="00494D61">
        <w:t>2021</w:t>
      </w:r>
      <w:r w:rsidR="00AB0330" w:rsidRPr="00494D61">
        <w:t>–</w:t>
      </w:r>
      <w:r w:rsidR="005D1FCB" w:rsidRPr="00494D61">
        <w:t>22 and 2022</w:t>
      </w:r>
      <w:r w:rsidR="00AB0330" w:rsidRPr="00494D61">
        <w:t>–</w:t>
      </w:r>
      <w:r w:rsidR="005D1FCB" w:rsidRPr="00494D61">
        <w:t>23</w:t>
      </w:r>
      <w:bookmarkEnd w:id="1210"/>
      <w:bookmarkEnd w:id="1211"/>
    </w:p>
    <w:tbl>
      <w:tblPr>
        <w:tblStyle w:val="TableGrid1"/>
        <w:tblW w:w="14910" w:type="dxa"/>
        <w:tblLook w:val="04A0" w:firstRow="1" w:lastRow="0" w:firstColumn="1" w:lastColumn="0" w:noHBand="0" w:noVBand="1"/>
      </w:tblPr>
      <w:tblGrid>
        <w:gridCol w:w="2115"/>
        <w:gridCol w:w="913"/>
        <w:gridCol w:w="914"/>
        <w:gridCol w:w="914"/>
        <w:gridCol w:w="914"/>
        <w:gridCol w:w="914"/>
        <w:gridCol w:w="914"/>
        <w:gridCol w:w="914"/>
        <w:gridCol w:w="914"/>
        <w:gridCol w:w="914"/>
        <w:gridCol w:w="914"/>
        <w:gridCol w:w="914"/>
        <w:gridCol w:w="914"/>
        <w:gridCol w:w="914"/>
        <w:gridCol w:w="914"/>
      </w:tblGrid>
      <w:tr w:rsidR="00494D61" w:rsidRPr="007D2325" w14:paraId="6D2067F3" w14:textId="77777777" w:rsidTr="00906968">
        <w:trPr>
          <w:cnfStyle w:val="100000000000" w:firstRow="1" w:lastRow="0" w:firstColumn="0" w:lastColumn="0" w:oddVBand="0" w:evenVBand="0" w:oddHBand="0" w:evenHBand="0" w:firstRowFirstColumn="0" w:firstRowLastColumn="0" w:lastRowFirstColumn="0" w:lastRowLastColumn="0"/>
          <w:trHeight w:val="284"/>
          <w:tblHeader/>
        </w:trPr>
        <w:tc>
          <w:tcPr>
            <w:tcW w:w="2115" w:type="dxa"/>
            <w:vMerge w:val="restart"/>
            <w:hideMark/>
          </w:tcPr>
          <w:p w14:paraId="6A453756" w14:textId="77777777" w:rsidR="007D2325" w:rsidRPr="007D2325" w:rsidRDefault="007D2325" w:rsidP="007D2325">
            <w:pPr>
              <w:spacing w:after="0" w:line="240" w:lineRule="auto"/>
              <w:rPr>
                <w:rFonts w:cs="Arial"/>
                <w:b/>
                <w:bCs/>
                <w:color w:val="FFFFFF"/>
                <w:sz w:val="16"/>
                <w:szCs w:val="16"/>
                <w:lang w:eastAsia="en-AU"/>
              </w:rPr>
            </w:pPr>
            <w:bookmarkStart w:id="1212" w:name="_Toc12780663"/>
            <w:r w:rsidRPr="007D2325">
              <w:rPr>
                <w:rFonts w:cs="Arial"/>
                <w:b/>
                <w:bCs/>
                <w:color w:val="FFFFFF"/>
                <w:sz w:val="16"/>
                <w:szCs w:val="16"/>
                <w:lang w:eastAsia="en-AU"/>
              </w:rPr>
              <w:t>Health Service</w:t>
            </w:r>
          </w:p>
        </w:tc>
        <w:tc>
          <w:tcPr>
            <w:tcW w:w="6397" w:type="dxa"/>
            <w:gridSpan w:val="7"/>
            <w:hideMark/>
          </w:tcPr>
          <w:p w14:paraId="7C68BC93" w14:textId="3D748B24" w:rsidR="007D2325" w:rsidRPr="007D2325" w:rsidRDefault="007D2325" w:rsidP="007D2325">
            <w:pPr>
              <w:spacing w:after="0" w:line="240" w:lineRule="auto"/>
              <w:jc w:val="center"/>
              <w:rPr>
                <w:rFonts w:cs="Arial"/>
                <w:b/>
                <w:bCs/>
                <w:color w:val="FFFFFF"/>
                <w:sz w:val="16"/>
                <w:szCs w:val="16"/>
                <w:lang w:eastAsia="en-AU"/>
              </w:rPr>
            </w:pPr>
            <w:r w:rsidRPr="007D2325">
              <w:rPr>
                <w:rFonts w:cs="Arial"/>
                <w:b/>
                <w:bCs/>
                <w:color w:val="FFFFFF"/>
                <w:sz w:val="16"/>
                <w:szCs w:val="16"/>
                <w:lang w:eastAsia="en-AU"/>
              </w:rPr>
              <w:t>2021</w:t>
            </w:r>
            <w:r w:rsidR="00425C59" w:rsidRPr="005353E5">
              <w:rPr>
                <w:rFonts w:cs="Arial"/>
                <w:b/>
                <w:bCs/>
                <w:color w:val="FFFFFF"/>
                <w:sz w:val="16"/>
                <w:szCs w:val="16"/>
                <w:lang w:eastAsia="en-AU"/>
              </w:rPr>
              <w:t>–</w:t>
            </w:r>
            <w:r w:rsidRPr="007D2325">
              <w:rPr>
                <w:rFonts w:cs="Arial"/>
                <w:b/>
                <w:bCs/>
                <w:color w:val="FFFFFF"/>
                <w:sz w:val="16"/>
                <w:szCs w:val="16"/>
                <w:lang w:eastAsia="en-AU"/>
              </w:rPr>
              <w:t>2022</w:t>
            </w:r>
          </w:p>
        </w:tc>
        <w:tc>
          <w:tcPr>
            <w:tcW w:w="6398" w:type="dxa"/>
            <w:gridSpan w:val="7"/>
            <w:hideMark/>
          </w:tcPr>
          <w:p w14:paraId="5917478A" w14:textId="228A0C3F" w:rsidR="007D2325" w:rsidRPr="007D2325" w:rsidRDefault="007D2325" w:rsidP="007D2325">
            <w:pPr>
              <w:spacing w:after="0" w:line="240" w:lineRule="auto"/>
              <w:jc w:val="center"/>
              <w:rPr>
                <w:rFonts w:cs="Arial"/>
                <w:b/>
                <w:bCs/>
                <w:color w:val="FFFFFF"/>
                <w:sz w:val="16"/>
                <w:szCs w:val="16"/>
                <w:lang w:eastAsia="en-AU"/>
              </w:rPr>
            </w:pPr>
            <w:r w:rsidRPr="007D2325">
              <w:rPr>
                <w:rFonts w:cs="Arial"/>
                <w:b/>
                <w:bCs/>
                <w:color w:val="FFFFFF"/>
                <w:sz w:val="16"/>
                <w:szCs w:val="16"/>
                <w:lang w:eastAsia="en-AU"/>
              </w:rPr>
              <w:t>2022</w:t>
            </w:r>
            <w:r w:rsidR="00425C59" w:rsidRPr="005353E5">
              <w:rPr>
                <w:rFonts w:cs="Arial"/>
                <w:b/>
                <w:bCs/>
                <w:color w:val="FFFFFF"/>
                <w:sz w:val="16"/>
                <w:szCs w:val="16"/>
                <w:lang w:eastAsia="en-AU"/>
              </w:rPr>
              <w:t>–</w:t>
            </w:r>
            <w:r w:rsidRPr="007D2325">
              <w:rPr>
                <w:rFonts w:cs="Arial"/>
                <w:b/>
                <w:bCs/>
                <w:color w:val="FFFFFF"/>
                <w:sz w:val="16"/>
                <w:szCs w:val="16"/>
                <w:lang w:eastAsia="en-AU"/>
              </w:rPr>
              <w:t>2023</w:t>
            </w:r>
          </w:p>
        </w:tc>
      </w:tr>
      <w:tr w:rsidR="00906968" w:rsidRPr="007D2325" w14:paraId="725C86FD" w14:textId="77777777" w:rsidTr="00906968">
        <w:trPr>
          <w:trHeight w:val="284"/>
        </w:trPr>
        <w:tc>
          <w:tcPr>
            <w:tcW w:w="2115" w:type="dxa"/>
            <w:vMerge/>
            <w:hideMark/>
          </w:tcPr>
          <w:p w14:paraId="0F40C7EC" w14:textId="77777777" w:rsidR="007D2325" w:rsidRPr="007D2325" w:rsidRDefault="007D2325" w:rsidP="007D2325">
            <w:pPr>
              <w:spacing w:after="0" w:line="240" w:lineRule="auto"/>
              <w:rPr>
                <w:rFonts w:cs="Arial"/>
                <w:b/>
                <w:bCs/>
                <w:color w:val="FFFFFF"/>
                <w:sz w:val="16"/>
                <w:szCs w:val="16"/>
                <w:lang w:eastAsia="en-AU"/>
              </w:rPr>
            </w:pPr>
          </w:p>
        </w:tc>
        <w:tc>
          <w:tcPr>
            <w:tcW w:w="913" w:type="dxa"/>
            <w:shd w:val="clear" w:color="auto" w:fill="201547"/>
            <w:hideMark/>
          </w:tcPr>
          <w:p w14:paraId="434258EA"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Acute Health Services</w:t>
            </w:r>
          </w:p>
        </w:tc>
        <w:tc>
          <w:tcPr>
            <w:tcW w:w="914" w:type="dxa"/>
            <w:shd w:val="clear" w:color="auto" w:fill="201547"/>
            <w:hideMark/>
          </w:tcPr>
          <w:p w14:paraId="6359DAFA"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Ageing, aged and home care</w:t>
            </w:r>
          </w:p>
        </w:tc>
        <w:tc>
          <w:tcPr>
            <w:tcW w:w="914" w:type="dxa"/>
            <w:shd w:val="clear" w:color="auto" w:fill="201547"/>
            <w:hideMark/>
          </w:tcPr>
          <w:p w14:paraId="09329E16"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Drugs Services</w:t>
            </w:r>
          </w:p>
        </w:tc>
        <w:tc>
          <w:tcPr>
            <w:tcW w:w="914" w:type="dxa"/>
            <w:shd w:val="clear" w:color="auto" w:fill="201547"/>
            <w:hideMark/>
          </w:tcPr>
          <w:p w14:paraId="75E76FBB"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Mental Health</w:t>
            </w:r>
          </w:p>
        </w:tc>
        <w:tc>
          <w:tcPr>
            <w:tcW w:w="914" w:type="dxa"/>
            <w:shd w:val="clear" w:color="auto" w:fill="201547"/>
            <w:hideMark/>
          </w:tcPr>
          <w:p w14:paraId="4AB64C8C"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Primary and Dental Health</w:t>
            </w:r>
          </w:p>
        </w:tc>
        <w:tc>
          <w:tcPr>
            <w:tcW w:w="914" w:type="dxa"/>
            <w:shd w:val="clear" w:color="auto" w:fill="201547"/>
            <w:hideMark/>
          </w:tcPr>
          <w:p w14:paraId="4EA37B30"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Public Health</w:t>
            </w:r>
          </w:p>
        </w:tc>
        <w:tc>
          <w:tcPr>
            <w:tcW w:w="914" w:type="dxa"/>
            <w:shd w:val="clear" w:color="auto" w:fill="201547"/>
            <w:hideMark/>
          </w:tcPr>
          <w:p w14:paraId="70B9C297"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Total</w:t>
            </w:r>
          </w:p>
        </w:tc>
        <w:tc>
          <w:tcPr>
            <w:tcW w:w="914" w:type="dxa"/>
            <w:shd w:val="clear" w:color="auto" w:fill="201547"/>
            <w:hideMark/>
          </w:tcPr>
          <w:p w14:paraId="216B191D"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Acute Health Services</w:t>
            </w:r>
          </w:p>
        </w:tc>
        <w:tc>
          <w:tcPr>
            <w:tcW w:w="914" w:type="dxa"/>
            <w:shd w:val="clear" w:color="auto" w:fill="201547"/>
            <w:hideMark/>
          </w:tcPr>
          <w:p w14:paraId="24AF238F"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Ageing, aged and home care</w:t>
            </w:r>
          </w:p>
        </w:tc>
        <w:tc>
          <w:tcPr>
            <w:tcW w:w="914" w:type="dxa"/>
            <w:shd w:val="clear" w:color="auto" w:fill="201547"/>
            <w:hideMark/>
          </w:tcPr>
          <w:p w14:paraId="6DF3FD5D"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Drugs Services</w:t>
            </w:r>
          </w:p>
        </w:tc>
        <w:tc>
          <w:tcPr>
            <w:tcW w:w="914" w:type="dxa"/>
            <w:shd w:val="clear" w:color="auto" w:fill="201547"/>
            <w:hideMark/>
          </w:tcPr>
          <w:p w14:paraId="444BBF83"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Mental Health</w:t>
            </w:r>
          </w:p>
        </w:tc>
        <w:tc>
          <w:tcPr>
            <w:tcW w:w="914" w:type="dxa"/>
            <w:shd w:val="clear" w:color="auto" w:fill="201547"/>
            <w:hideMark/>
          </w:tcPr>
          <w:p w14:paraId="28FEDFA1"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Primary and Dental Health</w:t>
            </w:r>
          </w:p>
        </w:tc>
        <w:tc>
          <w:tcPr>
            <w:tcW w:w="914" w:type="dxa"/>
            <w:shd w:val="clear" w:color="auto" w:fill="201547"/>
            <w:hideMark/>
          </w:tcPr>
          <w:p w14:paraId="54D5F190"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Public Health</w:t>
            </w:r>
          </w:p>
        </w:tc>
        <w:tc>
          <w:tcPr>
            <w:tcW w:w="914" w:type="dxa"/>
            <w:shd w:val="clear" w:color="auto" w:fill="201547"/>
            <w:hideMark/>
          </w:tcPr>
          <w:p w14:paraId="2EA1057E"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Total</w:t>
            </w:r>
          </w:p>
        </w:tc>
      </w:tr>
      <w:tr w:rsidR="00906968" w:rsidRPr="007D2325" w14:paraId="14EDD952" w14:textId="77777777" w:rsidTr="00906968">
        <w:trPr>
          <w:trHeight w:val="284"/>
        </w:trPr>
        <w:tc>
          <w:tcPr>
            <w:tcW w:w="2115" w:type="dxa"/>
            <w:vMerge/>
            <w:hideMark/>
          </w:tcPr>
          <w:p w14:paraId="62B39E68" w14:textId="77777777" w:rsidR="007D2325" w:rsidRPr="007D2325" w:rsidRDefault="007D2325" w:rsidP="007D2325">
            <w:pPr>
              <w:spacing w:after="0" w:line="240" w:lineRule="auto"/>
              <w:rPr>
                <w:rFonts w:cs="Arial"/>
                <w:b/>
                <w:bCs/>
                <w:color w:val="FFFFFF"/>
                <w:sz w:val="16"/>
                <w:szCs w:val="16"/>
                <w:lang w:eastAsia="en-AU"/>
              </w:rPr>
            </w:pPr>
          </w:p>
        </w:tc>
        <w:tc>
          <w:tcPr>
            <w:tcW w:w="913" w:type="dxa"/>
            <w:shd w:val="clear" w:color="auto" w:fill="201547"/>
            <w:hideMark/>
          </w:tcPr>
          <w:p w14:paraId="1FD0D76C"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29E50355"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51BD9717"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715A2492"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2A39DF5D"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093AC309"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2E58F85A"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263C647F"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75E820C5"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653E0E17"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18AF712F"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1D95CFF9"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17584A44"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c>
          <w:tcPr>
            <w:tcW w:w="914" w:type="dxa"/>
            <w:shd w:val="clear" w:color="auto" w:fill="201547"/>
            <w:hideMark/>
          </w:tcPr>
          <w:p w14:paraId="3125DF22" w14:textId="77777777" w:rsidR="007D2325" w:rsidRPr="007D2325" w:rsidRDefault="007D2325" w:rsidP="00000DA0">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$'000s</w:t>
            </w:r>
          </w:p>
        </w:tc>
      </w:tr>
      <w:tr w:rsidR="007D2325" w:rsidRPr="007D2325" w14:paraId="14D125B8" w14:textId="77777777" w:rsidTr="00906968">
        <w:trPr>
          <w:trHeight w:val="284"/>
        </w:trPr>
        <w:tc>
          <w:tcPr>
            <w:tcW w:w="2115" w:type="dxa"/>
            <w:hideMark/>
          </w:tcPr>
          <w:p w14:paraId="03B6DA96"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Aboriginal Community Elders Services Inc</w:t>
            </w:r>
          </w:p>
        </w:tc>
        <w:tc>
          <w:tcPr>
            <w:tcW w:w="913" w:type="dxa"/>
            <w:hideMark/>
          </w:tcPr>
          <w:p w14:paraId="18EC5E0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EDFC22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154</w:t>
            </w:r>
          </w:p>
        </w:tc>
        <w:tc>
          <w:tcPr>
            <w:tcW w:w="914" w:type="dxa"/>
            <w:hideMark/>
          </w:tcPr>
          <w:p w14:paraId="29273D7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16CB62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95909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284</w:t>
            </w:r>
          </w:p>
        </w:tc>
        <w:tc>
          <w:tcPr>
            <w:tcW w:w="914" w:type="dxa"/>
            <w:hideMark/>
          </w:tcPr>
          <w:p w14:paraId="5ED8220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49E637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438</w:t>
            </w:r>
          </w:p>
        </w:tc>
        <w:tc>
          <w:tcPr>
            <w:tcW w:w="914" w:type="dxa"/>
            <w:hideMark/>
          </w:tcPr>
          <w:p w14:paraId="6B5A04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77508A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158</w:t>
            </w:r>
          </w:p>
        </w:tc>
        <w:tc>
          <w:tcPr>
            <w:tcW w:w="914" w:type="dxa"/>
            <w:hideMark/>
          </w:tcPr>
          <w:p w14:paraId="5FD9AC7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CBAE55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8FD21B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1,163</w:t>
            </w:r>
          </w:p>
        </w:tc>
        <w:tc>
          <w:tcPr>
            <w:tcW w:w="914" w:type="dxa"/>
            <w:hideMark/>
          </w:tcPr>
          <w:p w14:paraId="5202F43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5EFB0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1,322</w:t>
            </w:r>
          </w:p>
        </w:tc>
      </w:tr>
      <w:tr w:rsidR="007D2325" w:rsidRPr="007D2325" w14:paraId="4BF0E7DA" w14:textId="77777777" w:rsidTr="00906968">
        <w:trPr>
          <w:trHeight w:val="284"/>
        </w:trPr>
        <w:tc>
          <w:tcPr>
            <w:tcW w:w="2115" w:type="dxa"/>
            <w:hideMark/>
          </w:tcPr>
          <w:p w14:paraId="36A0C61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Anglican Aged Care Services Group</w:t>
            </w:r>
          </w:p>
        </w:tc>
        <w:tc>
          <w:tcPr>
            <w:tcW w:w="913" w:type="dxa"/>
            <w:hideMark/>
          </w:tcPr>
          <w:p w14:paraId="50DBDCF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DB982B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438</w:t>
            </w:r>
          </w:p>
        </w:tc>
        <w:tc>
          <w:tcPr>
            <w:tcW w:w="914" w:type="dxa"/>
            <w:hideMark/>
          </w:tcPr>
          <w:p w14:paraId="70D8982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051B25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33607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707</w:t>
            </w:r>
          </w:p>
        </w:tc>
        <w:tc>
          <w:tcPr>
            <w:tcW w:w="914" w:type="dxa"/>
            <w:hideMark/>
          </w:tcPr>
          <w:p w14:paraId="63096DA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BC196F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1,145</w:t>
            </w:r>
          </w:p>
        </w:tc>
        <w:tc>
          <w:tcPr>
            <w:tcW w:w="914" w:type="dxa"/>
            <w:hideMark/>
          </w:tcPr>
          <w:p w14:paraId="4CCA152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F9AE15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448</w:t>
            </w:r>
          </w:p>
        </w:tc>
        <w:tc>
          <w:tcPr>
            <w:tcW w:w="914" w:type="dxa"/>
            <w:hideMark/>
          </w:tcPr>
          <w:p w14:paraId="73C4CFA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0601BD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196BB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727</w:t>
            </w:r>
          </w:p>
        </w:tc>
        <w:tc>
          <w:tcPr>
            <w:tcW w:w="914" w:type="dxa"/>
            <w:hideMark/>
          </w:tcPr>
          <w:p w14:paraId="0446061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D63E26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1,175</w:t>
            </w:r>
          </w:p>
        </w:tc>
      </w:tr>
      <w:tr w:rsidR="007D2325" w:rsidRPr="007D2325" w14:paraId="5506CB9D" w14:textId="77777777" w:rsidTr="00906968">
        <w:trPr>
          <w:trHeight w:val="284"/>
        </w:trPr>
        <w:tc>
          <w:tcPr>
            <w:tcW w:w="2115" w:type="dxa"/>
            <w:hideMark/>
          </w:tcPr>
          <w:p w14:paraId="73FB61A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Anglicare Victoria</w:t>
            </w:r>
          </w:p>
        </w:tc>
        <w:tc>
          <w:tcPr>
            <w:tcW w:w="913" w:type="dxa"/>
            <w:hideMark/>
          </w:tcPr>
          <w:p w14:paraId="0DDDF3C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6DDBE1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D20C9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1,188</w:t>
            </w:r>
          </w:p>
        </w:tc>
        <w:tc>
          <w:tcPr>
            <w:tcW w:w="914" w:type="dxa"/>
            <w:hideMark/>
          </w:tcPr>
          <w:p w14:paraId="3C39B1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210</w:t>
            </w:r>
          </w:p>
        </w:tc>
        <w:tc>
          <w:tcPr>
            <w:tcW w:w="914" w:type="dxa"/>
            <w:hideMark/>
          </w:tcPr>
          <w:p w14:paraId="0C6DBBB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8C6DA3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FADF9B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1,398</w:t>
            </w:r>
          </w:p>
        </w:tc>
        <w:tc>
          <w:tcPr>
            <w:tcW w:w="914" w:type="dxa"/>
            <w:hideMark/>
          </w:tcPr>
          <w:p w14:paraId="4051F93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3D25FA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8ABD3F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1,218</w:t>
            </w:r>
          </w:p>
        </w:tc>
        <w:tc>
          <w:tcPr>
            <w:tcW w:w="914" w:type="dxa"/>
            <w:hideMark/>
          </w:tcPr>
          <w:p w14:paraId="52EEBBB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215</w:t>
            </w:r>
          </w:p>
        </w:tc>
        <w:tc>
          <w:tcPr>
            <w:tcW w:w="914" w:type="dxa"/>
            <w:hideMark/>
          </w:tcPr>
          <w:p w14:paraId="2BA3216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4678A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68EF2D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1,433</w:t>
            </w:r>
          </w:p>
        </w:tc>
      </w:tr>
      <w:tr w:rsidR="007D2325" w:rsidRPr="007D2325" w14:paraId="7A6D6B55" w14:textId="77777777" w:rsidTr="00906968">
        <w:trPr>
          <w:trHeight w:val="284"/>
        </w:trPr>
        <w:tc>
          <w:tcPr>
            <w:tcW w:w="2115" w:type="dxa"/>
            <w:hideMark/>
          </w:tcPr>
          <w:p w14:paraId="00BE380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Arbias Limited</w:t>
            </w:r>
          </w:p>
        </w:tc>
        <w:tc>
          <w:tcPr>
            <w:tcW w:w="913" w:type="dxa"/>
            <w:hideMark/>
          </w:tcPr>
          <w:p w14:paraId="1C773C6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555248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572</w:t>
            </w:r>
          </w:p>
        </w:tc>
        <w:tc>
          <w:tcPr>
            <w:tcW w:w="914" w:type="dxa"/>
            <w:hideMark/>
          </w:tcPr>
          <w:p w14:paraId="4E67C7C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E67958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340</w:t>
            </w:r>
          </w:p>
        </w:tc>
        <w:tc>
          <w:tcPr>
            <w:tcW w:w="914" w:type="dxa"/>
            <w:hideMark/>
          </w:tcPr>
          <w:p w14:paraId="66E09D8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2075E1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FB083D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912</w:t>
            </w:r>
          </w:p>
        </w:tc>
        <w:tc>
          <w:tcPr>
            <w:tcW w:w="914" w:type="dxa"/>
            <w:hideMark/>
          </w:tcPr>
          <w:p w14:paraId="31BEF53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5D25A0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585</w:t>
            </w:r>
          </w:p>
        </w:tc>
        <w:tc>
          <w:tcPr>
            <w:tcW w:w="914" w:type="dxa"/>
            <w:hideMark/>
          </w:tcPr>
          <w:p w14:paraId="71D3D17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616F0A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524</w:t>
            </w:r>
          </w:p>
        </w:tc>
        <w:tc>
          <w:tcPr>
            <w:tcW w:w="914" w:type="dxa"/>
            <w:hideMark/>
          </w:tcPr>
          <w:p w14:paraId="191A58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B5DB0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5A0F1E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1,108</w:t>
            </w:r>
          </w:p>
        </w:tc>
      </w:tr>
      <w:tr w:rsidR="007D2325" w:rsidRPr="007D2325" w14:paraId="73241B4E" w14:textId="77777777" w:rsidTr="00906968">
        <w:trPr>
          <w:trHeight w:val="284"/>
        </w:trPr>
        <w:tc>
          <w:tcPr>
            <w:tcW w:w="2115" w:type="dxa"/>
            <w:hideMark/>
          </w:tcPr>
          <w:p w14:paraId="52BB871A"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Australian Centre For Grief And Bereavement Inc</w:t>
            </w:r>
          </w:p>
        </w:tc>
        <w:tc>
          <w:tcPr>
            <w:tcW w:w="913" w:type="dxa"/>
            <w:hideMark/>
          </w:tcPr>
          <w:p w14:paraId="7F3AC79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1,974</w:t>
            </w:r>
          </w:p>
        </w:tc>
        <w:tc>
          <w:tcPr>
            <w:tcW w:w="914" w:type="dxa"/>
            <w:hideMark/>
          </w:tcPr>
          <w:p w14:paraId="0D07A8D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9E5614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FD1AF7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A455DF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231CE2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BF763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1,974</w:t>
            </w:r>
          </w:p>
        </w:tc>
        <w:tc>
          <w:tcPr>
            <w:tcW w:w="914" w:type="dxa"/>
            <w:hideMark/>
          </w:tcPr>
          <w:p w14:paraId="3B268B4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2,020</w:t>
            </w:r>
          </w:p>
        </w:tc>
        <w:tc>
          <w:tcPr>
            <w:tcW w:w="914" w:type="dxa"/>
            <w:hideMark/>
          </w:tcPr>
          <w:p w14:paraId="50B9C2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75683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2C985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DE2E6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BA826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CEB8A4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2,020</w:t>
            </w:r>
          </w:p>
        </w:tc>
      </w:tr>
      <w:tr w:rsidR="007D2325" w:rsidRPr="007D2325" w14:paraId="043051AD" w14:textId="77777777" w:rsidTr="00906968">
        <w:trPr>
          <w:trHeight w:val="284"/>
        </w:trPr>
        <w:tc>
          <w:tcPr>
            <w:tcW w:w="2115" w:type="dxa"/>
            <w:hideMark/>
          </w:tcPr>
          <w:p w14:paraId="4B387FFD"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lastRenderedPageBreak/>
              <w:t>Australian College Of Optometry</w:t>
            </w:r>
          </w:p>
        </w:tc>
        <w:tc>
          <w:tcPr>
            <w:tcW w:w="913" w:type="dxa"/>
            <w:hideMark/>
          </w:tcPr>
          <w:p w14:paraId="5192E21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AF8ED7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7,328</w:t>
            </w:r>
          </w:p>
        </w:tc>
        <w:tc>
          <w:tcPr>
            <w:tcW w:w="914" w:type="dxa"/>
            <w:hideMark/>
          </w:tcPr>
          <w:p w14:paraId="0AB9D46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61650C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125C89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8C608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161076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7,328</w:t>
            </w:r>
          </w:p>
        </w:tc>
        <w:tc>
          <w:tcPr>
            <w:tcW w:w="914" w:type="dxa"/>
            <w:hideMark/>
          </w:tcPr>
          <w:p w14:paraId="526679E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0603BB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7,514</w:t>
            </w:r>
          </w:p>
        </w:tc>
        <w:tc>
          <w:tcPr>
            <w:tcW w:w="914" w:type="dxa"/>
            <w:hideMark/>
          </w:tcPr>
          <w:p w14:paraId="46DF7AF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7CA13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6413B6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F91C83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BBF84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7,514</w:t>
            </w:r>
          </w:p>
        </w:tc>
      </w:tr>
      <w:tr w:rsidR="007D2325" w:rsidRPr="007D2325" w14:paraId="5E3B4230" w14:textId="77777777" w:rsidTr="00906968">
        <w:trPr>
          <w:trHeight w:val="284"/>
        </w:trPr>
        <w:tc>
          <w:tcPr>
            <w:tcW w:w="2115" w:type="dxa"/>
            <w:hideMark/>
          </w:tcPr>
          <w:p w14:paraId="4CBA0ED2"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Australian Community Support Organisation Inc</w:t>
            </w:r>
          </w:p>
        </w:tc>
        <w:tc>
          <w:tcPr>
            <w:tcW w:w="913" w:type="dxa"/>
            <w:hideMark/>
          </w:tcPr>
          <w:p w14:paraId="18D7783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D2C8F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979A4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14,642</w:t>
            </w:r>
          </w:p>
        </w:tc>
        <w:tc>
          <w:tcPr>
            <w:tcW w:w="914" w:type="dxa"/>
            <w:hideMark/>
          </w:tcPr>
          <w:p w14:paraId="400667D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3,501</w:t>
            </w:r>
          </w:p>
        </w:tc>
        <w:tc>
          <w:tcPr>
            <w:tcW w:w="914" w:type="dxa"/>
            <w:hideMark/>
          </w:tcPr>
          <w:p w14:paraId="50CA78F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28FC87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10964A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18,142</w:t>
            </w:r>
          </w:p>
        </w:tc>
        <w:tc>
          <w:tcPr>
            <w:tcW w:w="914" w:type="dxa"/>
            <w:hideMark/>
          </w:tcPr>
          <w:p w14:paraId="4068219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5DD2EB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55F74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15,014</w:t>
            </w:r>
          </w:p>
        </w:tc>
        <w:tc>
          <w:tcPr>
            <w:tcW w:w="914" w:type="dxa"/>
            <w:hideMark/>
          </w:tcPr>
          <w:p w14:paraId="19FD102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3,590</w:t>
            </w:r>
          </w:p>
        </w:tc>
        <w:tc>
          <w:tcPr>
            <w:tcW w:w="914" w:type="dxa"/>
            <w:hideMark/>
          </w:tcPr>
          <w:p w14:paraId="1C607C9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C983B9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733EDE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18,603</w:t>
            </w:r>
          </w:p>
        </w:tc>
      </w:tr>
      <w:tr w:rsidR="007D2325" w:rsidRPr="007D2325" w14:paraId="407160CE" w14:textId="77777777" w:rsidTr="00906968">
        <w:trPr>
          <w:trHeight w:val="284"/>
        </w:trPr>
        <w:tc>
          <w:tcPr>
            <w:tcW w:w="2115" w:type="dxa"/>
            <w:hideMark/>
          </w:tcPr>
          <w:p w14:paraId="226701E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Australian Drug Foundation Inc</w:t>
            </w:r>
          </w:p>
        </w:tc>
        <w:tc>
          <w:tcPr>
            <w:tcW w:w="913" w:type="dxa"/>
            <w:hideMark/>
          </w:tcPr>
          <w:p w14:paraId="64C0EC4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8357F8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6AB4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1,572</w:t>
            </w:r>
          </w:p>
        </w:tc>
        <w:tc>
          <w:tcPr>
            <w:tcW w:w="914" w:type="dxa"/>
            <w:hideMark/>
          </w:tcPr>
          <w:p w14:paraId="73A9530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E438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B69754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7C5FF9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1,572</w:t>
            </w:r>
          </w:p>
        </w:tc>
        <w:tc>
          <w:tcPr>
            <w:tcW w:w="914" w:type="dxa"/>
            <w:hideMark/>
          </w:tcPr>
          <w:p w14:paraId="11EA031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9846F2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A90C0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1,612</w:t>
            </w:r>
          </w:p>
        </w:tc>
        <w:tc>
          <w:tcPr>
            <w:tcW w:w="914" w:type="dxa"/>
            <w:hideMark/>
          </w:tcPr>
          <w:p w14:paraId="1840233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F94D72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C0F57B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3A4482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1,612</w:t>
            </w:r>
          </w:p>
        </w:tc>
      </w:tr>
      <w:tr w:rsidR="007D2325" w:rsidRPr="007D2325" w14:paraId="26ABDCE5" w14:textId="77777777" w:rsidTr="00906968">
        <w:trPr>
          <w:trHeight w:val="284"/>
        </w:trPr>
        <w:tc>
          <w:tcPr>
            <w:tcW w:w="2115" w:type="dxa"/>
            <w:hideMark/>
          </w:tcPr>
          <w:p w14:paraId="589B87BD"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Australian Red Cross Blood Service</w:t>
            </w:r>
          </w:p>
        </w:tc>
        <w:tc>
          <w:tcPr>
            <w:tcW w:w="913" w:type="dxa"/>
            <w:hideMark/>
          </w:tcPr>
          <w:p w14:paraId="61B353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13,837</w:t>
            </w:r>
          </w:p>
        </w:tc>
        <w:tc>
          <w:tcPr>
            <w:tcW w:w="914" w:type="dxa"/>
            <w:hideMark/>
          </w:tcPr>
          <w:p w14:paraId="37A0AA6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9B6912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BEB6D8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1D6484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A0DE3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A7A6E0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13,837</w:t>
            </w:r>
          </w:p>
        </w:tc>
        <w:tc>
          <w:tcPr>
            <w:tcW w:w="914" w:type="dxa"/>
            <w:hideMark/>
          </w:tcPr>
          <w:p w14:paraId="75DCC2C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14,179</w:t>
            </w:r>
          </w:p>
        </w:tc>
        <w:tc>
          <w:tcPr>
            <w:tcW w:w="914" w:type="dxa"/>
            <w:hideMark/>
          </w:tcPr>
          <w:p w14:paraId="31297F9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010DDA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21558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00064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3FCED3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926202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14,179</w:t>
            </w:r>
          </w:p>
        </w:tc>
      </w:tr>
      <w:tr w:rsidR="007D2325" w:rsidRPr="007D2325" w14:paraId="3B9A916E" w14:textId="77777777" w:rsidTr="00906968">
        <w:trPr>
          <w:trHeight w:val="284"/>
        </w:trPr>
        <w:tc>
          <w:tcPr>
            <w:tcW w:w="2115" w:type="dxa"/>
            <w:hideMark/>
          </w:tcPr>
          <w:p w14:paraId="2A461289"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Ballarat And District Aboriginal Co-Operative Limited</w:t>
            </w:r>
          </w:p>
        </w:tc>
        <w:tc>
          <w:tcPr>
            <w:tcW w:w="913" w:type="dxa"/>
            <w:hideMark/>
          </w:tcPr>
          <w:p w14:paraId="5D41E75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54B8B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57</w:t>
            </w:r>
          </w:p>
        </w:tc>
        <w:tc>
          <w:tcPr>
            <w:tcW w:w="914" w:type="dxa"/>
            <w:hideMark/>
          </w:tcPr>
          <w:p w14:paraId="013F229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466</w:t>
            </w:r>
          </w:p>
        </w:tc>
        <w:tc>
          <w:tcPr>
            <w:tcW w:w="914" w:type="dxa"/>
            <w:hideMark/>
          </w:tcPr>
          <w:p w14:paraId="6E1EDA1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72</w:t>
            </w:r>
          </w:p>
        </w:tc>
        <w:tc>
          <w:tcPr>
            <w:tcW w:w="914" w:type="dxa"/>
            <w:hideMark/>
          </w:tcPr>
          <w:p w14:paraId="30A1790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102</w:t>
            </w:r>
          </w:p>
        </w:tc>
        <w:tc>
          <w:tcPr>
            <w:tcW w:w="914" w:type="dxa"/>
            <w:hideMark/>
          </w:tcPr>
          <w:p w14:paraId="3DACCA4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8D9ADC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696</w:t>
            </w:r>
          </w:p>
        </w:tc>
        <w:tc>
          <w:tcPr>
            <w:tcW w:w="914" w:type="dxa"/>
            <w:hideMark/>
          </w:tcPr>
          <w:p w14:paraId="41EBD7C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FC0A64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58</w:t>
            </w:r>
          </w:p>
        </w:tc>
        <w:tc>
          <w:tcPr>
            <w:tcW w:w="914" w:type="dxa"/>
            <w:hideMark/>
          </w:tcPr>
          <w:p w14:paraId="6CB8079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477</w:t>
            </w:r>
          </w:p>
        </w:tc>
        <w:tc>
          <w:tcPr>
            <w:tcW w:w="914" w:type="dxa"/>
            <w:hideMark/>
          </w:tcPr>
          <w:p w14:paraId="6B07700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74</w:t>
            </w:r>
          </w:p>
        </w:tc>
        <w:tc>
          <w:tcPr>
            <w:tcW w:w="914" w:type="dxa"/>
            <w:hideMark/>
          </w:tcPr>
          <w:p w14:paraId="1762F1C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472</w:t>
            </w:r>
          </w:p>
        </w:tc>
        <w:tc>
          <w:tcPr>
            <w:tcW w:w="914" w:type="dxa"/>
            <w:hideMark/>
          </w:tcPr>
          <w:p w14:paraId="49E127C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DC076C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1,082</w:t>
            </w:r>
          </w:p>
        </w:tc>
      </w:tr>
      <w:tr w:rsidR="007D2325" w:rsidRPr="007D2325" w14:paraId="69972306" w14:textId="77777777" w:rsidTr="00906968">
        <w:trPr>
          <w:trHeight w:val="284"/>
        </w:trPr>
        <w:tc>
          <w:tcPr>
            <w:tcW w:w="2115" w:type="dxa"/>
            <w:hideMark/>
          </w:tcPr>
          <w:p w14:paraId="33CA0593"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Ballarat Hospice Care Inc</w:t>
            </w:r>
          </w:p>
        </w:tc>
        <w:tc>
          <w:tcPr>
            <w:tcW w:w="913" w:type="dxa"/>
            <w:hideMark/>
          </w:tcPr>
          <w:p w14:paraId="68449F5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2,795</w:t>
            </w:r>
          </w:p>
        </w:tc>
        <w:tc>
          <w:tcPr>
            <w:tcW w:w="914" w:type="dxa"/>
            <w:hideMark/>
          </w:tcPr>
          <w:p w14:paraId="2BA266C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4E091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CC033B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48CC45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754A3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523A96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2,795</w:t>
            </w:r>
          </w:p>
        </w:tc>
        <w:tc>
          <w:tcPr>
            <w:tcW w:w="914" w:type="dxa"/>
            <w:hideMark/>
          </w:tcPr>
          <w:p w14:paraId="4425B5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2,859</w:t>
            </w:r>
          </w:p>
        </w:tc>
        <w:tc>
          <w:tcPr>
            <w:tcW w:w="914" w:type="dxa"/>
            <w:hideMark/>
          </w:tcPr>
          <w:p w14:paraId="75C1D83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8914F0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91F2F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F23FB9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2780A0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2267D0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2,859</w:t>
            </w:r>
          </w:p>
        </w:tc>
      </w:tr>
      <w:tr w:rsidR="007D2325" w:rsidRPr="007D2325" w14:paraId="368FAE98" w14:textId="77777777" w:rsidTr="00906968">
        <w:trPr>
          <w:trHeight w:val="284"/>
        </w:trPr>
        <w:tc>
          <w:tcPr>
            <w:tcW w:w="2115" w:type="dxa"/>
            <w:hideMark/>
          </w:tcPr>
          <w:p w14:paraId="662780D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Banksia Palliative Care Service Inc</w:t>
            </w:r>
          </w:p>
        </w:tc>
        <w:tc>
          <w:tcPr>
            <w:tcW w:w="913" w:type="dxa"/>
            <w:hideMark/>
          </w:tcPr>
          <w:p w14:paraId="14865B8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4,129</w:t>
            </w:r>
          </w:p>
        </w:tc>
        <w:tc>
          <w:tcPr>
            <w:tcW w:w="914" w:type="dxa"/>
            <w:hideMark/>
          </w:tcPr>
          <w:p w14:paraId="0172E07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F1A814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6DDB21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0718E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552481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0A576F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4,129</w:t>
            </w:r>
          </w:p>
        </w:tc>
        <w:tc>
          <w:tcPr>
            <w:tcW w:w="914" w:type="dxa"/>
            <w:hideMark/>
          </w:tcPr>
          <w:p w14:paraId="26D1853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4,224</w:t>
            </w:r>
          </w:p>
        </w:tc>
        <w:tc>
          <w:tcPr>
            <w:tcW w:w="914" w:type="dxa"/>
            <w:hideMark/>
          </w:tcPr>
          <w:p w14:paraId="4EF02F8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F5B14E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43D756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4CDAC9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162CA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0D47FE"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4,224</w:t>
            </w:r>
          </w:p>
        </w:tc>
      </w:tr>
      <w:tr w:rsidR="007D2325" w:rsidRPr="007D2325" w14:paraId="736D026B" w14:textId="77777777" w:rsidTr="00906968">
        <w:trPr>
          <w:trHeight w:val="284"/>
        </w:trPr>
        <w:tc>
          <w:tcPr>
            <w:tcW w:w="2115" w:type="dxa"/>
            <w:hideMark/>
          </w:tcPr>
          <w:p w14:paraId="4129D67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Bendigo And District Aboriginal Co-Operative Ltd</w:t>
            </w:r>
          </w:p>
        </w:tc>
        <w:tc>
          <w:tcPr>
            <w:tcW w:w="913" w:type="dxa"/>
            <w:hideMark/>
          </w:tcPr>
          <w:p w14:paraId="7D152D2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0722B8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87</w:t>
            </w:r>
          </w:p>
        </w:tc>
        <w:tc>
          <w:tcPr>
            <w:tcW w:w="914" w:type="dxa"/>
            <w:hideMark/>
          </w:tcPr>
          <w:p w14:paraId="26FCA55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309</w:t>
            </w:r>
          </w:p>
        </w:tc>
        <w:tc>
          <w:tcPr>
            <w:tcW w:w="914" w:type="dxa"/>
            <w:hideMark/>
          </w:tcPr>
          <w:p w14:paraId="45600F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72</w:t>
            </w:r>
          </w:p>
        </w:tc>
        <w:tc>
          <w:tcPr>
            <w:tcW w:w="914" w:type="dxa"/>
            <w:hideMark/>
          </w:tcPr>
          <w:p w14:paraId="114D648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265</w:t>
            </w:r>
          </w:p>
        </w:tc>
        <w:tc>
          <w:tcPr>
            <w:tcW w:w="914" w:type="dxa"/>
            <w:hideMark/>
          </w:tcPr>
          <w:p w14:paraId="611687A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85FE29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733</w:t>
            </w:r>
          </w:p>
        </w:tc>
        <w:tc>
          <w:tcPr>
            <w:tcW w:w="914" w:type="dxa"/>
            <w:hideMark/>
          </w:tcPr>
          <w:p w14:paraId="5185C16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589B5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90</w:t>
            </w:r>
          </w:p>
        </w:tc>
        <w:tc>
          <w:tcPr>
            <w:tcW w:w="914" w:type="dxa"/>
            <w:hideMark/>
          </w:tcPr>
          <w:p w14:paraId="494CA1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317</w:t>
            </w:r>
          </w:p>
        </w:tc>
        <w:tc>
          <w:tcPr>
            <w:tcW w:w="914" w:type="dxa"/>
            <w:hideMark/>
          </w:tcPr>
          <w:p w14:paraId="1BEA70C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73</w:t>
            </w:r>
          </w:p>
        </w:tc>
        <w:tc>
          <w:tcPr>
            <w:tcW w:w="914" w:type="dxa"/>
            <w:hideMark/>
          </w:tcPr>
          <w:p w14:paraId="0BF565C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741</w:t>
            </w:r>
          </w:p>
        </w:tc>
        <w:tc>
          <w:tcPr>
            <w:tcW w:w="914" w:type="dxa"/>
            <w:hideMark/>
          </w:tcPr>
          <w:p w14:paraId="604F255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58597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1,221</w:t>
            </w:r>
          </w:p>
        </w:tc>
      </w:tr>
      <w:tr w:rsidR="007D2325" w:rsidRPr="007D2325" w14:paraId="27AF7BC3" w14:textId="77777777" w:rsidTr="00906968">
        <w:trPr>
          <w:trHeight w:val="284"/>
        </w:trPr>
        <w:tc>
          <w:tcPr>
            <w:tcW w:w="2115" w:type="dxa"/>
            <w:hideMark/>
          </w:tcPr>
          <w:p w14:paraId="3802BB0F"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Beyond Blue Limited</w:t>
            </w:r>
          </w:p>
        </w:tc>
        <w:tc>
          <w:tcPr>
            <w:tcW w:w="913" w:type="dxa"/>
            <w:hideMark/>
          </w:tcPr>
          <w:p w14:paraId="5BCEEF6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C37B7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655D4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5B831B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2,233</w:t>
            </w:r>
          </w:p>
        </w:tc>
        <w:tc>
          <w:tcPr>
            <w:tcW w:w="914" w:type="dxa"/>
            <w:hideMark/>
          </w:tcPr>
          <w:p w14:paraId="66588A9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CA349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4FC43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2,233</w:t>
            </w:r>
          </w:p>
        </w:tc>
        <w:tc>
          <w:tcPr>
            <w:tcW w:w="914" w:type="dxa"/>
            <w:hideMark/>
          </w:tcPr>
          <w:p w14:paraId="6C266F1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8045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08986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9CB7D7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2,284</w:t>
            </w:r>
          </w:p>
        </w:tc>
        <w:tc>
          <w:tcPr>
            <w:tcW w:w="914" w:type="dxa"/>
            <w:hideMark/>
          </w:tcPr>
          <w:p w14:paraId="5E97F93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741AB4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D54578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2,284</w:t>
            </w:r>
          </w:p>
        </w:tc>
      </w:tr>
      <w:tr w:rsidR="007D2325" w:rsidRPr="007D2325" w14:paraId="4AA04B55" w14:textId="77777777" w:rsidTr="00906968">
        <w:trPr>
          <w:trHeight w:val="284"/>
        </w:trPr>
        <w:tc>
          <w:tcPr>
            <w:tcW w:w="2115" w:type="dxa"/>
            <w:hideMark/>
          </w:tcPr>
          <w:p w14:paraId="122BC2E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Breastscreen Victoria Inc.</w:t>
            </w:r>
          </w:p>
        </w:tc>
        <w:tc>
          <w:tcPr>
            <w:tcW w:w="913" w:type="dxa"/>
            <w:hideMark/>
          </w:tcPr>
          <w:p w14:paraId="33DFFFD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365B2B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F86F73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C7E5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AC2399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82854B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48,051</w:t>
            </w:r>
          </w:p>
        </w:tc>
        <w:tc>
          <w:tcPr>
            <w:tcW w:w="914" w:type="dxa"/>
            <w:hideMark/>
          </w:tcPr>
          <w:p w14:paraId="3E46917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48,051</w:t>
            </w:r>
          </w:p>
        </w:tc>
        <w:tc>
          <w:tcPr>
            <w:tcW w:w="914" w:type="dxa"/>
            <w:hideMark/>
          </w:tcPr>
          <w:p w14:paraId="3446BF9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31FE3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DF3754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FE7F09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0051CE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F33B51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49,272</w:t>
            </w:r>
          </w:p>
        </w:tc>
        <w:tc>
          <w:tcPr>
            <w:tcW w:w="914" w:type="dxa"/>
            <w:hideMark/>
          </w:tcPr>
          <w:p w14:paraId="0DB7435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49,272</w:t>
            </w:r>
          </w:p>
        </w:tc>
      </w:tr>
      <w:tr w:rsidR="007D2325" w:rsidRPr="007D2325" w14:paraId="497A64C1" w14:textId="77777777" w:rsidTr="00906968">
        <w:trPr>
          <w:trHeight w:val="284"/>
        </w:trPr>
        <w:tc>
          <w:tcPr>
            <w:tcW w:w="2115" w:type="dxa"/>
            <w:hideMark/>
          </w:tcPr>
          <w:p w14:paraId="0276E216"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Cancer Council Victoria</w:t>
            </w:r>
          </w:p>
        </w:tc>
        <w:tc>
          <w:tcPr>
            <w:tcW w:w="913" w:type="dxa"/>
            <w:hideMark/>
          </w:tcPr>
          <w:p w14:paraId="25CC102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6,188</w:t>
            </w:r>
          </w:p>
        </w:tc>
        <w:tc>
          <w:tcPr>
            <w:tcW w:w="914" w:type="dxa"/>
            <w:hideMark/>
          </w:tcPr>
          <w:p w14:paraId="2095724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04EF0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F731A1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DBD0C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88F6E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9,192</w:t>
            </w:r>
          </w:p>
        </w:tc>
        <w:tc>
          <w:tcPr>
            <w:tcW w:w="914" w:type="dxa"/>
            <w:hideMark/>
          </w:tcPr>
          <w:p w14:paraId="61A0381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15,379</w:t>
            </w:r>
          </w:p>
        </w:tc>
        <w:tc>
          <w:tcPr>
            <w:tcW w:w="914" w:type="dxa"/>
            <w:hideMark/>
          </w:tcPr>
          <w:p w14:paraId="5A94C61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2,696</w:t>
            </w:r>
          </w:p>
        </w:tc>
        <w:tc>
          <w:tcPr>
            <w:tcW w:w="914" w:type="dxa"/>
            <w:hideMark/>
          </w:tcPr>
          <w:p w14:paraId="187F296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16358B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4F1C3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4FABC4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216D10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9,430</w:t>
            </w:r>
          </w:p>
        </w:tc>
        <w:tc>
          <w:tcPr>
            <w:tcW w:w="914" w:type="dxa"/>
            <w:hideMark/>
          </w:tcPr>
          <w:p w14:paraId="405CF6F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12,127</w:t>
            </w:r>
          </w:p>
        </w:tc>
      </w:tr>
      <w:tr w:rsidR="007D2325" w:rsidRPr="007D2325" w14:paraId="72015FEA" w14:textId="77777777" w:rsidTr="00906968">
        <w:trPr>
          <w:trHeight w:val="284"/>
        </w:trPr>
        <w:tc>
          <w:tcPr>
            <w:tcW w:w="2115" w:type="dxa"/>
            <w:hideMark/>
          </w:tcPr>
          <w:p w14:paraId="77780B7D"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Caraniche Pty Ltd</w:t>
            </w:r>
          </w:p>
        </w:tc>
        <w:tc>
          <w:tcPr>
            <w:tcW w:w="913" w:type="dxa"/>
            <w:hideMark/>
          </w:tcPr>
          <w:p w14:paraId="535DB04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C403CA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62C61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2,043</w:t>
            </w:r>
          </w:p>
        </w:tc>
        <w:tc>
          <w:tcPr>
            <w:tcW w:w="914" w:type="dxa"/>
            <w:hideMark/>
          </w:tcPr>
          <w:p w14:paraId="0356B69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0A70B2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63CAA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6617F2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2,043</w:t>
            </w:r>
          </w:p>
        </w:tc>
        <w:tc>
          <w:tcPr>
            <w:tcW w:w="914" w:type="dxa"/>
            <w:hideMark/>
          </w:tcPr>
          <w:p w14:paraId="1558780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E02660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D12376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2,095</w:t>
            </w:r>
          </w:p>
        </w:tc>
        <w:tc>
          <w:tcPr>
            <w:tcW w:w="914" w:type="dxa"/>
            <w:hideMark/>
          </w:tcPr>
          <w:p w14:paraId="7EE417E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F75B63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1DBFF9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FE8689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2,095</w:t>
            </w:r>
          </w:p>
        </w:tc>
      </w:tr>
      <w:tr w:rsidR="007D2325" w:rsidRPr="007D2325" w14:paraId="4D941A72" w14:textId="77777777" w:rsidTr="00906968">
        <w:trPr>
          <w:trHeight w:val="284"/>
        </w:trPr>
        <w:tc>
          <w:tcPr>
            <w:tcW w:w="2115" w:type="dxa"/>
            <w:hideMark/>
          </w:tcPr>
          <w:p w14:paraId="39C985E6"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Dandenong &amp; District Aborigines Co-Operative Limited</w:t>
            </w:r>
          </w:p>
        </w:tc>
        <w:tc>
          <w:tcPr>
            <w:tcW w:w="913" w:type="dxa"/>
            <w:hideMark/>
          </w:tcPr>
          <w:p w14:paraId="0322A5F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272</w:t>
            </w:r>
          </w:p>
        </w:tc>
        <w:tc>
          <w:tcPr>
            <w:tcW w:w="914" w:type="dxa"/>
            <w:hideMark/>
          </w:tcPr>
          <w:p w14:paraId="6346C82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79</w:t>
            </w:r>
          </w:p>
        </w:tc>
        <w:tc>
          <w:tcPr>
            <w:tcW w:w="914" w:type="dxa"/>
            <w:hideMark/>
          </w:tcPr>
          <w:p w14:paraId="2D7979E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161</w:t>
            </w:r>
          </w:p>
        </w:tc>
        <w:tc>
          <w:tcPr>
            <w:tcW w:w="914" w:type="dxa"/>
            <w:hideMark/>
          </w:tcPr>
          <w:p w14:paraId="2847704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144</w:t>
            </w:r>
          </w:p>
        </w:tc>
        <w:tc>
          <w:tcPr>
            <w:tcW w:w="914" w:type="dxa"/>
            <w:hideMark/>
          </w:tcPr>
          <w:p w14:paraId="57AC602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315</w:t>
            </w:r>
          </w:p>
        </w:tc>
        <w:tc>
          <w:tcPr>
            <w:tcW w:w="914" w:type="dxa"/>
            <w:hideMark/>
          </w:tcPr>
          <w:p w14:paraId="0AF2007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0829C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971</w:t>
            </w:r>
          </w:p>
        </w:tc>
        <w:tc>
          <w:tcPr>
            <w:tcW w:w="914" w:type="dxa"/>
            <w:hideMark/>
          </w:tcPr>
          <w:p w14:paraId="31375D4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279</w:t>
            </w:r>
          </w:p>
        </w:tc>
        <w:tc>
          <w:tcPr>
            <w:tcW w:w="914" w:type="dxa"/>
            <w:hideMark/>
          </w:tcPr>
          <w:p w14:paraId="340270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81</w:t>
            </w:r>
          </w:p>
        </w:tc>
        <w:tc>
          <w:tcPr>
            <w:tcW w:w="914" w:type="dxa"/>
            <w:hideMark/>
          </w:tcPr>
          <w:p w14:paraId="5CA369B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165</w:t>
            </w:r>
          </w:p>
        </w:tc>
        <w:tc>
          <w:tcPr>
            <w:tcW w:w="914" w:type="dxa"/>
            <w:hideMark/>
          </w:tcPr>
          <w:p w14:paraId="041C111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148</w:t>
            </w:r>
          </w:p>
        </w:tc>
        <w:tc>
          <w:tcPr>
            <w:tcW w:w="914" w:type="dxa"/>
            <w:hideMark/>
          </w:tcPr>
          <w:p w14:paraId="43C8CC4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828</w:t>
            </w:r>
          </w:p>
        </w:tc>
        <w:tc>
          <w:tcPr>
            <w:tcW w:w="914" w:type="dxa"/>
            <w:hideMark/>
          </w:tcPr>
          <w:p w14:paraId="0952156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D0C57E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1,502</w:t>
            </w:r>
          </w:p>
        </w:tc>
      </w:tr>
      <w:tr w:rsidR="007D2325" w:rsidRPr="007D2325" w14:paraId="414DDE5B" w14:textId="77777777" w:rsidTr="00906968">
        <w:trPr>
          <w:trHeight w:val="284"/>
        </w:trPr>
        <w:tc>
          <w:tcPr>
            <w:tcW w:w="2115" w:type="dxa"/>
            <w:hideMark/>
          </w:tcPr>
          <w:p w14:paraId="45C75ABC"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Darlingford Upper Goulburn Nursing Home Inc</w:t>
            </w:r>
          </w:p>
        </w:tc>
        <w:tc>
          <w:tcPr>
            <w:tcW w:w="913" w:type="dxa"/>
            <w:hideMark/>
          </w:tcPr>
          <w:p w14:paraId="0BF0B78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BDE96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1,299</w:t>
            </w:r>
          </w:p>
        </w:tc>
        <w:tc>
          <w:tcPr>
            <w:tcW w:w="914" w:type="dxa"/>
            <w:hideMark/>
          </w:tcPr>
          <w:p w14:paraId="0CB0A83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032AAA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C9FD5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A080A3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17D524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1,299</w:t>
            </w:r>
          </w:p>
        </w:tc>
        <w:tc>
          <w:tcPr>
            <w:tcW w:w="914" w:type="dxa"/>
            <w:hideMark/>
          </w:tcPr>
          <w:p w14:paraId="5FCB17E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D61FC0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1,336</w:t>
            </w:r>
          </w:p>
        </w:tc>
        <w:tc>
          <w:tcPr>
            <w:tcW w:w="914" w:type="dxa"/>
            <w:hideMark/>
          </w:tcPr>
          <w:p w14:paraId="030D4D1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054257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72DBDC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0D5E4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BACCC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1,336</w:t>
            </w:r>
          </w:p>
        </w:tc>
      </w:tr>
      <w:tr w:rsidR="007D2325" w:rsidRPr="007D2325" w14:paraId="1829D2DE" w14:textId="77777777" w:rsidTr="00906968">
        <w:trPr>
          <w:trHeight w:val="284"/>
        </w:trPr>
        <w:tc>
          <w:tcPr>
            <w:tcW w:w="2115" w:type="dxa"/>
            <w:hideMark/>
          </w:tcPr>
          <w:p w14:paraId="6358258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Dementia Australia Limited</w:t>
            </w:r>
          </w:p>
        </w:tc>
        <w:tc>
          <w:tcPr>
            <w:tcW w:w="913" w:type="dxa"/>
            <w:hideMark/>
          </w:tcPr>
          <w:p w14:paraId="47A43EB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3063BA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3,725</w:t>
            </w:r>
          </w:p>
        </w:tc>
        <w:tc>
          <w:tcPr>
            <w:tcW w:w="914" w:type="dxa"/>
            <w:hideMark/>
          </w:tcPr>
          <w:p w14:paraId="212A913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910C8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E468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C900E6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D85A50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3,725</w:t>
            </w:r>
          </w:p>
        </w:tc>
        <w:tc>
          <w:tcPr>
            <w:tcW w:w="914" w:type="dxa"/>
            <w:hideMark/>
          </w:tcPr>
          <w:p w14:paraId="0B18604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3129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3,820</w:t>
            </w:r>
          </w:p>
        </w:tc>
        <w:tc>
          <w:tcPr>
            <w:tcW w:w="914" w:type="dxa"/>
            <w:hideMark/>
          </w:tcPr>
          <w:p w14:paraId="1624348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00480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D73F3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3A09C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3AE7E2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3,820</w:t>
            </w:r>
          </w:p>
        </w:tc>
      </w:tr>
      <w:tr w:rsidR="007D2325" w:rsidRPr="007D2325" w14:paraId="7D9060F7" w14:textId="77777777" w:rsidTr="00906968">
        <w:trPr>
          <w:trHeight w:val="284"/>
        </w:trPr>
        <w:tc>
          <w:tcPr>
            <w:tcW w:w="2115" w:type="dxa"/>
            <w:hideMark/>
          </w:tcPr>
          <w:p w14:paraId="178B536F"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Diabetes Australia - Victoria</w:t>
            </w:r>
          </w:p>
        </w:tc>
        <w:tc>
          <w:tcPr>
            <w:tcW w:w="913" w:type="dxa"/>
            <w:hideMark/>
          </w:tcPr>
          <w:p w14:paraId="570C996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66A4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1CAE51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FC2811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DE0C0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2,219</w:t>
            </w:r>
          </w:p>
        </w:tc>
        <w:tc>
          <w:tcPr>
            <w:tcW w:w="914" w:type="dxa"/>
            <w:hideMark/>
          </w:tcPr>
          <w:p w14:paraId="087FE10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5,348</w:t>
            </w:r>
          </w:p>
        </w:tc>
        <w:tc>
          <w:tcPr>
            <w:tcW w:w="914" w:type="dxa"/>
            <w:hideMark/>
          </w:tcPr>
          <w:p w14:paraId="2CE9834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7,567</w:t>
            </w:r>
          </w:p>
        </w:tc>
        <w:tc>
          <w:tcPr>
            <w:tcW w:w="914" w:type="dxa"/>
            <w:hideMark/>
          </w:tcPr>
          <w:p w14:paraId="155DB5D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716201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DB1A6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E8FE24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0E81B2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2,270</w:t>
            </w:r>
          </w:p>
        </w:tc>
        <w:tc>
          <w:tcPr>
            <w:tcW w:w="914" w:type="dxa"/>
            <w:hideMark/>
          </w:tcPr>
          <w:p w14:paraId="23676A5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5,517</w:t>
            </w:r>
          </w:p>
        </w:tc>
        <w:tc>
          <w:tcPr>
            <w:tcW w:w="914" w:type="dxa"/>
            <w:hideMark/>
          </w:tcPr>
          <w:p w14:paraId="516728A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7,786</w:t>
            </w:r>
          </w:p>
        </w:tc>
      </w:tr>
      <w:tr w:rsidR="007D2325" w:rsidRPr="007D2325" w14:paraId="3D55F8C5" w14:textId="77777777" w:rsidTr="00906968">
        <w:trPr>
          <w:trHeight w:val="284"/>
        </w:trPr>
        <w:tc>
          <w:tcPr>
            <w:tcW w:w="2115" w:type="dxa"/>
            <w:hideMark/>
          </w:tcPr>
          <w:p w14:paraId="26E4E80E"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Eastern Palliative Care Association Inc.</w:t>
            </w:r>
          </w:p>
        </w:tc>
        <w:tc>
          <w:tcPr>
            <w:tcW w:w="913" w:type="dxa"/>
            <w:hideMark/>
          </w:tcPr>
          <w:p w14:paraId="36A7328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12,786</w:t>
            </w:r>
          </w:p>
        </w:tc>
        <w:tc>
          <w:tcPr>
            <w:tcW w:w="914" w:type="dxa"/>
            <w:hideMark/>
          </w:tcPr>
          <w:p w14:paraId="474A764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EA7763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96E73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D528B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2CC48E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215481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12,786</w:t>
            </w:r>
          </w:p>
        </w:tc>
        <w:tc>
          <w:tcPr>
            <w:tcW w:w="914" w:type="dxa"/>
            <w:hideMark/>
          </w:tcPr>
          <w:p w14:paraId="057B7E7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13,060</w:t>
            </w:r>
          </w:p>
        </w:tc>
        <w:tc>
          <w:tcPr>
            <w:tcW w:w="914" w:type="dxa"/>
            <w:hideMark/>
          </w:tcPr>
          <w:p w14:paraId="6DAF421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788742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DC98B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DB864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BA93C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9C31DA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13,060</w:t>
            </w:r>
          </w:p>
        </w:tc>
      </w:tr>
      <w:tr w:rsidR="007D2325" w:rsidRPr="007D2325" w14:paraId="4956168B" w14:textId="77777777" w:rsidTr="00906968">
        <w:trPr>
          <w:trHeight w:val="284"/>
        </w:trPr>
        <w:tc>
          <w:tcPr>
            <w:tcW w:w="2115" w:type="dxa"/>
            <w:hideMark/>
          </w:tcPr>
          <w:p w14:paraId="26357AA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Family Planning Victoria Inc</w:t>
            </w:r>
          </w:p>
        </w:tc>
        <w:tc>
          <w:tcPr>
            <w:tcW w:w="913" w:type="dxa"/>
            <w:hideMark/>
          </w:tcPr>
          <w:p w14:paraId="6CAE3C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362DED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30B495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09CF8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A6BFD2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3,711</w:t>
            </w:r>
          </w:p>
        </w:tc>
        <w:tc>
          <w:tcPr>
            <w:tcW w:w="914" w:type="dxa"/>
            <w:hideMark/>
          </w:tcPr>
          <w:p w14:paraId="5BDAE1E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869</w:t>
            </w:r>
          </w:p>
        </w:tc>
        <w:tc>
          <w:tcPr>
            <w:tcW w:w="914" w:type="dxa"/>
            <w:hideMark/>
          </w:tcPr>
          <w:p w14:paraId="771A6CD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4,580</w:t>
            </w:r>
          </w:p>
        </w:tc>
        <w:tc>
          <w:tcPr>
            <w:tcW w:w="914" w:type="dxa"/>
            <w:hideMark/>
          </w:tcPr>
          <w:p w14:paraId="4BCE0D8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AE8FDE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608FC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E78CCD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B571E2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3,797</w:t>
            </w:r>
          </w:p>
        </w:tc>
        <w:tc>
          <w:tcPr>
            <w:tcW w:w="914" w:type="dxa"/>
            <w:hideMark/>
          </w:tcPr>
          <w:p w14:paraId="482BE9E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891</w:t>
            </w:r>
          </w:p>
        </w:tc>
        <w:tc>
          <w:tcPr>
            <w:tcW w:w="914" w:type="dxa"/>
            <w:hideMark/>
          </w:tcPr>
          <w:p w14:paraId="57B802F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4,687</w:t>
            </w:r>
          </w:p>
        </w:tc>
      </w:tr>
      <w:tr w:rsidR="007D2325" w:rsidRPr="007D2325" w14:paraId="250C85CF" w14:textId="77777777" w:rsidTr="00906968">
        <w:trPr>
          <w:trHeight w:val="284"/>
        </w:trPr>
        <w:tc>
          <w:tcPr>
            <w:tcW w:w="2115" w:type="dxa"/>
            <w:hideMark/>
          </w:tcPr>
          <w:p w14:paraId="06ABAC6A"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Gay And Lesbian Switchboard (Victoria) Inc.</w:t>
            </w:r>
          </w:p>
        </w:tc>
        <w:tc>
          <w:tcPr>
            <w:tcW w:w="913" w:type="dxa"/>
            <w:hideMark/>
          </w:tcPr>
          <w:p w14:paraId="030210C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4AC44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59197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133894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1,289</w:t>
            </w:r>
          </w:p>
        </w:tc>
        <w:tc>
          <w:tcPr>
            <w:tcW w:w="914" w:type="dxa"/>
            <w:hideMark/>
          </w:tcPr>
          <w:p w14:paraId="61262A5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324C9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46</w:t>
            </w:r>
          </w:p>
        </w:tc>
        <w:tc>
          <w:tcPr>
            <w:tcW w:w="914" w:type="dxa"/>
            <w:hideMark/>
          </w:tcPr>
          <w:p w14:paraId="74B18E5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1,335</w:t>
            </w:r>
          </w:p>
        </w:tc>
        <w:tc>
          <w:tcPr>
            <w:tcW w:w="914" w:type="dxa"/>
            <w:hideMark/>
          </w:tcPr>
          <w:p w14:paraId="5AAF0DC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8B15C1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26F0C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EF663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1,349</w:t>
            </w:r>
          </w:p>
        </w:tc>
        <w:tc>
          <w:tcPr>
            <w:tcW w:w="914" w:type="dxa"/>
            <w:hideMark/>
          </w:tcPr>
          <w:p w14:paraId="3A30619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1C6D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47</w:t>
            </w:r>
          </w:p>
        </w:tc>
        <w:tc>
          <w:tcPr>
            <w:tcW w:w="914" w:type="dxa"/>
            <w:hideMark/>
          </w:tcPr>
          <w:p w14:paraId="76A7F91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1,396</w:t>
            </w:r>
          </w:p>
        </w:tc>
      </w:tr>
      <w:tr w:rsidR="007D2325" w:rsidRPr="007D2325" w14:paraId="4E606858" w14:textId="77777777" w:rsidTr="00906968">
        <w:trPr>
          <w:trHeight w:val="284"/>
        </w:trPr>
        <w:tc>
          <w:tcPr>
            <w:tcW w:w="2115" w:type="dxa"/>
            <w:hideMark/>
          </w:tcPr>
          <w:p w14:paraId="6C76198F"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Gegac</w:t>
            </w:r>
          </w:p>
        </w:tc>
        <w:tc>
          <w:tcPr>
            <w:tcW w:w="913" w:type="dxa"/>
            <w:hideMark/>
          </w:tcPr>
          <w:p w14:paraId="09BF681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214</w:t>
            </w:r>
          </w:p>
        </w:tc>
        <w:tc>
          <w:tcPr>
            <w:tcW w:w="914" w:type="dxa"/>
            <w:hideMark/>
          </w:tcPr>
          <w:p w14:paraId="0F098FA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176</w:t>
            </w:r>
          </w:p>
        </w:tc>
        <w:tc>
          <w:tcPr>
            <w:tcW w:w="914" w:type="dxa"/>
            <w:hideMark/>
          </w:tcPr>
          <w:p w14:paraId="7CD9BEB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476</w:t>
            </w:r>
          </w:p>
        </w:tc>
        <w:tc>
          <w:tcPr>
            <w:tcW w:w="914" w:type="dxa"/>
            <w:hideMark/>
          </w:tcPr>
          <w:p w14:paraId="4875FD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39</w:t>
            </w:r>
          </w:p>
        </w:tc>
        <w:tc>
          <w:tcPr>
            <w:tcW w:w="914" w:type="dxa"/>
            <w:hideMark/>
          </w:tcPr>
          <w:p w14:paraId="719BFEC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155</w:t>
            </w:r>
          </w:p>
        </w:tc>
        <w:tc>
          <w:tcPr>
            <w:tcW w:w="914" w:type="dxa"/>
            <w:hideMark/>
          </w:tcPr>
          <w:p w14:paraId="088B397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0297EF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1,060</w:t>
            </w:r>
          </w:p>
        </w:tc>
        <w:tc>
          <w:tcPr>
            <w:tcW w:w="914" w:type="dxa"/>
            <w:hideMark/>
          </w:tcPr>
          <w:p w14:paraId="32F9EFE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220</w:t>
            </w:r>
          </w:p>
        </w:tc>
        <w:tc>
          <w:tcPr>
            <w:tcW w:w="914" w:type="dxa"/>
            <w:hideMark/>
          </w:tcPr>
          <w:p w14:paraId="39744C2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181</w:t>
            </w:r>
          </w:p>
        </w:tc>
        <w:tc>
          <w:tcPr>
            <w:tcW w:w="914" w:type="dxa"/>
            <w:hideMark/>
          </w:tcPr>
          <w:p w14:paraId="3D9A3D9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1,660</w:t>
            </w:r>
          </w:p>
        </w:tc>
        <w:tc>
          <w:tcPr>
            <w:tcW w:w="914" w:type="dxa"/>
            <w:hideMark/>
          </w:tcPr>
          <w:p w14:paraId="6139F0B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40</w:t>
            </w:r>
          </w:p>
        </w:tc>
        <w:tc>
          <w:tcPr>
            <w:tcW w:w="914" w:type="dxa"/>
            <w:hideMark/>
          </w:tcPr>
          <w:p w14:paraId="06D4B06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159</w:t>
            </w:r>
          </w:p>
        </w:tc>
        <w:tc>
          <w:tcPr>
            <w:tcW w:w="914" w:type="dxa"/>
            <w:hideMark/>
          </w:tcPr>
          <w:p w14:paraId="287FB53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6588E8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2,258</w:t>
            </w:r>
          </w:p>
        </w:tc>
      </w:tr>
      <w:tr w:rsidR="007D2325" w:rsidRPr="007D2325" w14:paraId="3C1735D8" w14:textId="77777777" w:rsidTr="00906968">
        <w:trPr>
          <w:trHeight w:val="284"/>
        </w:trPr>
        <w:tc>
          <w:tcPr>
            <w:tcW w:w="2115" w:type="dxa"/>
            <w:hideMark/>
          </w:tcPr>
          <w:p w14:paraId="638FE49D"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Gunditjmara Aboriginal Co-Operative Limited</w:t>
            </w:r>
          </w:p>
        </w:tc>
        <w:tc>
          <w:tcPr>
            <w:tcW w:w="913" w:type="dxa"/>
            <w:hideMark/>
          </w:tcPr>
          <w:p w14:paraId="2242436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262</w:t>
            </w:r>
          </w:p>
        </w:tc>
        <w:tc>
          <w:tcPr>
            <w:tcW w:w="914" w:type="dxa"/>
            <w:hideMark/>
          </w:tcPr>
          <w:p w14:paraId="6320ED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123</w:t>
            </w:r>
          </w:p>
        </w:tc>
        <w:tc>
          <w:tcPr>
            <w:tcW w:w="914" w:type="dxa"/>
            <w:hideMark/>
          </w:tcPr>
          <w:p w14:paraId="0155AF8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441</w:t>
            </w:r>
          </w:p>
        </w:tc>
        <w:tc>
          <w:tcPr>
            <w:tcW w:w="914" w:type="dxa"/>
            <w:hideMark/>
          </w:tcPr>
          <w:p w14:paraId="4F3C0B5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71</w:t>
            </w:r>
          </w:p>
        </w:tc>
        <w:tc>
          <w:tcPr>
            <w:tcW w:w="914" w:type="dxa"/>
            <w:hideMark/>
          </w:tcPr>
          <w:p w14:paraId="4D8ACF2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467</w:t>
            </w:r>
          </w:p>
        </w:tc>
        <w:tc>
          <w:tcPr>
            <w:tcW w:w="914" w:type="dxa"/>
            <w:hideMark/>
          </w:tcPr>
          <w:p w14:paraId="613A27B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F119C4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1,364</w:t>
            </w:r>
          </w:p>
        </w:tc>
        <w:tc>
          <w:tcPr>
            <w:tcW w:w="914" w:type="dxa"/>
            <w:hideMark/>
          </w:tcPr>
          <w:p w14:paraId="31A5F82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269</w:t>
            </w:r>
          </w:p>
        </w:tc>
        <w:tc>
          <w:tcPr>
            <w:tcW w:w="914" w:type="dxa"/>
            <w:hideMark/>
          </w:tcPr>
          <w:p w14:paraId="472D191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126</w:t>
            </w:r>
          </w:p>
        </w:tc>
        <w:tc>
          <w:tcPr>
            <w:tcW w:w="914" w:type="dxa"/>
            <w:hideMark/>
          </w:tcPr>
          <w:p w14:paraId="2828D1B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452</w:t>
            </w:r>
          </w:p>
        </w:tc>
        <w:tc>
          <w:tcPr>
            <w:tcW w:w="914" w:type="dxa"/>
            <w:hideMark/>
          </w:tcPr>
          <w:p w14:paraId="41030A9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73</w:t>
            </w:r>
          </w:p>
        </w:tc>
        <w:tc>
          <w:tcPr>
            <w:tcW w:w="914" w:type="dxa"/>
            <w:hideMark/>
          </w:tcPr>
          <w:p w14:paraId="2CBA0EE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972</w:t>
            </w:r>
          </w:p>
        </w:tc>
        <w:tc>
          <w:tcPr>
            <w:tcW w:w="914" w:type="dxa"/>
            <w:hideMark/>
          </w:tcPr>
          <w:p w14:paraId="78DAC22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B5662B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1,892</w:t>
            </w:r>
          </w:p>
        </w:tc>
      </w:tr>
      <w:tr w:rsidR="007D2325" w:rsidRPr="007D2325" w14:paraId="742C2877" w14:textId="77777777" w:rsidTr="00906968">
        <w:trPr>
          <w:trHeight w:val="284"/>
        </w:trPr>
        <w:tc>
          <w:tcPr>
            <w:tcW w:w="2115" w:type="dxa"/>
            <w:hideMark/>
          </w:tcPr>
          <w:p w14:paraId="61796E1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Harm Reduction Victoria Inc</w:t>
            </w:r>
          </w:p>
        </w:tc>
        <w:tc>
          <w:tcPr>
            <w:tcW w:w="913" w:type="dxa"/>
            <w:hideMark/>
          </w:tcPr>
          <w:p w14:paraId="0A8070C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C73134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5B853B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546</w:t>
            </w:r>
          </w:p>
        </w:tc>
        <w:tc>
          <w:tcPr>
            <w:tcW w:w="914" w:type="dxa"/>
            <w:hideMark/>
          </w:tcPr>
          <w:p w14:paraId="6B70EFF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460</w:t>
            </w:r>
          </w:p>
        </w:tc>
        <w:tc>
          <w:tcPr>
            <w:tcW w:w="914" w:type="dxa"/>
            <w:hideMark/>
          </w:tcPr>
          <w:p w14:paraId="66B3D2E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BAF4DB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840</w:t>
            </w:r>
          </w:p>
        </w:tc>
        <w:tc>
          <w:tcPr>
            <w:tcW w:w="914" w:type="dxa"/>
            <w:hideMark/>
          </w:tcPr>
          <w:p w14:paraId="2F458F9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1,846</w:t>
            </w:r>
          </w:p>
        </w:tc>
        <w:tc>
          <w:tcPr>
            <w:tcW w:w="914" w:type="dxa"/>
            <w:hideMark/>
          </w:tcPr>
          <w:p w14:paraId="1AA193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3B5CF2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0D9115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560</w:t>
            </w:r>
          </w:p>
        </w:tc>
        <w:tc>
          <w:tcPr>
            <w:tcW w:w="914" w:type="dxa"/>
            <w:hideMark/>
          </w:tcPr>
          <w:p w14:paraId="127C02D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512</w:t>
            </w:r>
          </w:p>
        </w:tc>
        <w:tc>
          <w:tcPr>
            <w:tcW w:w="914" w:type="dxa"/>
            <w:hideMark/>
          </w:tcPr>
          <w:p w14:paraId="3A85B4B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72BCA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861</w:t>
            </w:r>
          </w:p>
        </w:tc>
        <w:tc>
          <w:tcPr>
            <w:tcW w:w="914" w:type="dxa"/>
            <w:hideMark/>
          </w:tcPr>
          <w:p w14:paraId="6ABD1DC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1,933</w:t>
            </w:r>
          </w:p>
        </w:tc>
      </w:tr>
      <w:tr w:rsidR="007D2325" w:rsidRPr="007D2325" w14:paraId="1CEE92C8" w14:textId="77777777" w:rsidTr="00906968">
        <w:trPr>
          <w:trHeight w:val="284"/>
        </w:trPr>
        <w:tc>
          <w:tcPr>
            <w:tcW w:w="2115" w:type="dxa"/>
            <w:hideMark/>
          </w:tcPr>
          <w:p w14:paraId="5D1960E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lastRenderedPageBreak/>
              <w:t>Hepatitis Victoria Inc</w:t>
            </w:r>
          </w:p>
        </w:tc>
        <w:tc>
          <w:tcPr>
            <w:tcW w:w="913" w:type="dxa"/>
            <w:hideMark/>
          </w:tcPr>
          <w:p w14:paraId="31A6772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A34C2D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52499F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834427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7E7D5D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03221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1,509</w:t>
            </w:r>
          </w:p>
        </w:tc>
        <w:tc>
          <w:tcPr>
            <w:tcW w:w="914" w:type="dxa"/>
            <w:hideMark/>
          </w:tcPr>
          <w:p w14:paraId="473FEB2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1,509</w:t>
            </w:r>
          </w:p>
        </w:tc>
        <w:tc>
          <w:tcPr>
            <w:tcW w:w="914" w:type="dxa"/>
            <w:hideMark/>
          </w:tcPr>
          <w:p w14:paraId="7A2C26D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ADB7F8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1B8C53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71F6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18651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DEBC16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1,547</w:t>
            </w:r>
          </w:p>
        </w:tc>
        <w:tc>
          <w:tcPr>
            <w:tcW w:w="914" w:type="dxa"/>
            <w:hideMark/>
          </w:tcPr>
          <w:p w14:paraId="3868862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1,547</w:t>
            </w:r>
          </w:p>
        </w:tc>
      </w:tr>
      <w:tr w:rsidR="007D2325" w:rsidRPr="007D2325" w14:paraId="19DD362E" w14:textId="77777777" w:rsidTr="00906968">
        <w:trPr>
          <w:trHeight w:val="284"/>
        </w:trPr>
        <w:tc>
          <w:tcPr>
            <w:tcW w:w="2115" w:type="dxa"/>
            <w:hideMark/>
          </w:tcPr>
          <w:p w14:paraId="0781C0A0"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Indigo North Health Inc</w:t>
            </w:r>
          </w:p>
        </w:tc>
        <w:tc>
          <w:tcPr>
            <w:tcW w:w="913" w:type="dxa"/>
            <w:hideMark/>
          </w:tcPr>
          <w:p w14:paraId="17C775E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A03904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1,228</w:t>
            </w:r>
          </w:p>
        </w:tc>
        <w:tc>
          <w:tcPr>
            <w:tcW w:w="914" w:type="dxa"/>
            <w:hideMark/>
          </w:tcPr>
          <w:p w14:paraId="55C236A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6B7761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3B21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578</w:t>
            </w:r>
          </w:p>
        </w:tc>
        <w:tc>
          <w:tcPr>
            <w:tcW w:w="914" w:type="dxa"/>
            <w:hideMark/>
          </w:tcPr>
          <w:p w14:paraId="527C87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E5B2D6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1,806</w:t>
            </w:r>
          </w:p>
        </w:tc>
        <w:tc>
          <w:tcPr>
            <w:tcW w:w="914" w:type="dxa"/>
            <w:hideMark/>
          </w:tcPr>
          <w:p w14:paraId="5AEAAB8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7C245D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1,244</w:t>
            </w:r>
          </w:p>
        </w:tc>
        <w:tc>
          <w:tcPr>
            <w:tcW w:w="914" w:type="dxa"/>
            <w:hideMark/>
          </w:tcPr>
          <w:p w14:paraId="72FDF1A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2C04C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ABF5AC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578</w:t>
            </w:r>
          </w:p>
        </w:tc>
        <w:tc>
          <w:tcPr>
            <w:tcW w:w="914" w:type="dxa"/>
            <w:hideMark/>
          </w:tcPr>
          <w:p w14:paraId="3A0A1EA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1475D9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1,823</w:t>
            </w:r>
          </w:p>
        </w:tc>
      </w:tr>
      <w:tr w:rsidR="007D2325" w:rsidRPr="007D2325" w14:paraId="3CA247A1" w14:textId="77777777" w:rsidTr="00906968">
        <w:trPr>
          <w:trHeight w:val="284"/>
        </w:trPr>
        <w:tc>
          <w:tcPr>
            <w:tcW w:w="2115" w:type="dxa"/>
            <w:hideMark/>
          </w:tcPr>
          <w:p w14:paraId="5674468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Integrated Clinical Oncology Network Pty Ltd</w:t>
            </w:r>
          </w:p>
        </w:tc>
        <w:tc>
          <w:tcPr>
            <w:tcW w:w="913" w:type="dxa"/>
            <w:hideMark/>
          </w:tcPr>
          <w:p w14:paraId="45C244E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1,466</w:t>
            </w:r>
          </w:p>
        </w:tc>
        <w:tc>
          <w:tcPr>
            <w:tcW w:w="914" w:type="dxa"/>
            <w:hideMark/>
          </w:tcPr>
          <w:p w14:paraId="48DAB4B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95416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9F9425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A72590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FCEF49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8AB09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1,466</w:t>
            </w:r>
          </w:p>
        </w:tc>
        <w:tc>
          <w:tcPr>
            <w:tcW w:w="914" w:type="dxa"/>
            <w:hideMark/>
          </w:tcPr>
          <w:p w14:paraId="40A5088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w:t>
            </w:r>
          </w:p>
        </w:tc>
        <w:tc>
          <w:tcPr>
            <w:tcW w:w="914" w:type="dxa"/>
            <w:hideMark/>
          </w:tcPr>
          <w:p w14:paraId="164569C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FF6EB5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EAEC3A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953B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52AE34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95CEAA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16</w:t>
            </w:r>
          </w:p>
        </w:tc>
      </w:tr>
      <w:tr w:rsidR="007D2325" w:rsidRPr="007D2325" w14:paraId="49569138" w14:textId="77777777" w:rsidTr="00906968">
        <w:trPr>
          <w:trHeight w:val="284"/>
        </w:trPr>
        <w:tc>
          <w:tcPr>
            <w:tcW w:w="2115" w:type="dxa"/>
            <w:hideMark/>
          </w:tcPr>
          <w:p w14:paraId="38A2D237"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La Trobe University</w:t>
            </w:r>
          </w:p>
        </w:tc>
        <w:tc>
          <w:tcPr>
            <w:tcW w:w="913" w:type="dxa"/>
            <w:hideMark/>
          </w:tcPr>
          <w:p w14:paraId="596762F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4,995</w:t>
            </w:r>
          </w:p>
        </w:tc>
        <w:tc>
          <w:tcPr>
            <w:tcW w:w="914" w:type="dxa"/>
            <w:hideMark/>
          </w:tcPr>
          <w:p w14:paraId="6E4BA50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800</w:t>
            </w:r>
          </w:p>
        </w:tc>
        <w:tc>
          <w:tcPr>
            <w:tcW w:w="914" w:type="dxa"/>
            <w:hideMark/>
          </w:tcPr>
          <w:p w14:paraId="6706991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128</w:t>
            </w:r>
          </w:p>
        </w:tc>
        <w:tc>
          <w:tcPr>
            <w:tcW w:w="914" w:type="dxa"/>
            <w:hideMark/>
          </w:tcPr>
          <w:p w14:paraId="032CE7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2,520</w:t>
            </w:r>
          </w:p>
        </w:tc>
        <w:tc>
          <w:tcPr>
            <w:tcW w:w="914" w:type="dxa"/>
            <w:hideMark/>
          </w:tcPr>
          <w:p w14:paraId="6CC347A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740</w:t>
            </w:r>
          </w:p>
        </w:tc>
        <w:tc>
          <w:tcPr>
            <w:tcW w:w="914" w:type="dxa"/>
            <w:hideMark/>
          </w:tcPr>
          <w:p w14:paraId="1AA1A80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567</w:t>
            </w:r>
          </w:p>
        </w:tc>
        <w:tc>
          <w:tcPr>
            <w:tcW w:w="914" w:type="dxa"/>
            <w:hideMark/>
          </w:tcPr>
          <w:p w14:paraId="46B78F1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9,749</w:t>
            </w:r>
          </w:p>
        </w:tc>
        <w:tc>
          <w:tcPr>
            <w:tcW w:w="914" w:type="dxa"/>
            <w:hideMark/>
          </w:tcPr>
          <w:p w14:paraId="0AF89BC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1,361</w:t>
            </w:r>
          </w:p>
        </w:tc>
        <w:tc>
          <w:tcPr>
            <w:tcW w:w="914" w:type="dxa"/>
            <w:hideMark/>
          </w:tcPr>
          <w:p w14:paraId="7E7CEC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1,279</w:t>
            </w:r>
          </w:p>
        </w:tc>
        <w:tc>
          <w:tcPr>
            <w:tcW w:w="914" w:type="dxa"/>
            <w:hideMark/>
          </w:tcPr>
          <w:p w14:paraId="1998F19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131</w:t>
            </w:r>
          </w:p>
        </w:tc>
        <w:tc>
          <w:tcPr>
            <w:tcW w:w="914" w:type="dxa"/>
            <w:hideMark/>
          </w:tcPr>
          <w:p w14:paraId="1B793D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2,720</w:t>
            </w:r>
          </w:p>
        </w:tc>
        <w:tc>
          <w:tcPr>
            <w:tcW w:w="914" w:type="dxa"/>
            <w:hideMark/>
          </w:tcPr>
          <w:p w14:paraId="15332CB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757</w:t>
            </w:r>
          </w:p>
        </w:tc>
        <w:tc>
          <w:tcPr>
            <w:tcW w:w="914" w:type="dxa"/>
            <w:hideMark/>
          </w:tcPr>
          <w:p w14:paraId="67482B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409</w:t>
            </w:r>
          </w:p>
        </w:tc>
        <w:tc>
          <w:tcPr>
            <w:tcW w:w="914" w:type="dxa"/>
            <w:hideMark/>
          </w:tcPr>
          <w:p w14:paraId="56B3C34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6,656</w:t>
            </w:r>
          </w:p>
        </w:tc>
      </w:tr>
      <w:tr w:rsidR="007D2325" w:rsidRPr="007D2325" w14:paraId="26239227" w14:textId="77777777" w:rsidTr="00906968">
        <w:trPr>
          <w:trHeight w:val="284"/>
        </w:trPr>
        <w:tc>
          <w:tcPr>
            <w:tcW w:w="2115" w:type="dxa"/>
            <w:hideMark/>
          </w:tcPr>
          <w:p w14:paraId="190DEDCF"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Mcauley Community Services For Women</w:t>
            </w:r>
          </w:p>
        </w:tc>
        <w:tc>
          <w:tcPr>
            <w:tcW w:w="913" w:type="dxa"/>
            <w:hideMark/>
          </w:tcPr>
          <w:p w14:paraId="4668D73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F1561F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378</w:t>
            </w:r>
          </w:p>
        </w:tc>
        <w:tc>
          <w:tcPr>
            <w:tcW w:w="914" w:type="dxa"/>
            <w:hideMark/>
          </w:tcPr>
          <w:p w14:paraId="325B829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BAEAA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988</w:t>
            </w:r>
          </w:p>
        </w:tc>
        <w:tc>
          <w:tcPr>
            <w:tcW w:w="914" w:type="dxa"/>
            <w:hideMark/>
          </w:tcPr>
          <w:p w14:paraId="76E2593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486755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54F7D8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1,366</w:t>
            </w:r>
          </w:p>
        </w:tc>
        <w:tc>
          <w:tcPr>
            <w:tcW w:w="914" w:type="dxa"/>
            <w:hideMark/>
          </w:tcPr>
          <w:p w14:paraId="258F09A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B72C15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387</w:t>
            </w:r>
          </w:p>
        </w:tc>
        <w:tc>
          <w:tcPr>
            <w:tcW w:w="914" w:type="dxa"/>
            <w:hideMark/>
          </w:tcPr>
          <w:p w14:paraId="7C70B0E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A3F56A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1,013</w:t>
            </w:r>
          </w:p>
        </w:tc>
        <w:tc>
          <w:tcPr>
            <w:tcW w:w="914" w:type="dxa"/>
            <w:hideMark/>
          </w:tcPr>
          <w:p w14:paraId="3AECECB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E41CEF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DAECE0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1,400</w:t>
            </w:r>
          </w:p>
        </w:tc>
      </w:tr>
      <w:tr w:rsidR="007D2325" w:rsidRPr="007D2325" w14:paraId="3008DB95" w14:textId="77777777" w:rsidTr="00906968">
        <w:trPr>
          <w:trHeight w:val="284"/>
        </w:trPr>
        <w:tc>
          <w:tcPr>
            <w:tcW w:w="2115" w:type="dxa"/>
            <w:hideMark/>
          </w:tcPr>
          <w:p w14:paraId="3DAABC4F"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Mecwa</w:t>
            </w:r>
          </w:p>
        </w:tc>
        <w:tc>
          <w:tcPr>
            <w:tcW w:w="913" w:type="dxa"/>
            <w:hideMark/>
          </w:tcPr>
          <w:p w14:paraId="5A06E9E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474C0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8,733</w:t>
            </w:r>
          </w:p>
        </w:tc>
        <w:tc>
          <w:tcPr>
            <w:tcW w:w="914" w:type="dxa"/>
            <w:hideMark/>
          </w:tcPr>
          <w:p w14:paraId="083BB87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61FF7C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372867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B9E053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83AAB0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8,733</w:t>
            </w:r>
          </w:p>
        </w:tc>
        <w:tc>
          <w:tcPr>
            <w:tcW w:w="914" w:type="dxa"/>
            <w:hideMark/>
          </w:tcPr>
          <w:p w14:paraId="1DBF1C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7BB23F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11,833</w:t>
            </w:r>
          </w:p>
        </w:tc>
        <w:tc>
          <w:tcPr>
            <w:tcW w:w="914" w:type="dxa"/>
            <w:hideMark/>
          </w:tcPr>
          <w:p w14:paraId="715F606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302D0B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E0E19C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DFEE52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A982B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11,833</w:t>
            </w:r>
          </w:p>
        </w:tc>
      </w:tr>
      <w:tr w:rsidR="007D2325" w:rsidRPr="007D2325" w14:paraId="4A4D3B60" w14:textId="77777777" w:rsidTr="00906968">
        <w:trPr>
          <w:trHeight w:val="284"/>
        </w:trPr>
        <w:tc>
          <w:tcPr>
            <w:tcW w:w="2115" w:type="dxa"/>
            <w:hideMark/>
          </w:tcPr>
          <w:p w14:paraId="5EDCBDF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Melbourne City Mission</w:t>
            </w:r>
          </w:p>
        </w:tc>
        <w:tc>
          <w:tcPr>
            <w:tcW w:w="913" w:type="dxa"/>
            <w:hideMark/>
          </w:tcPr>
          <w:p w14:paraId="556FA61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6,824</w:t>
            </w:r>
          </w:p>
        </w:tc>
        <w:tc>
          <w:tcPr>
            <w:tcW w:w="914" w:type="dxa"/>
            <w:hideMark/>
          </w:tcPr>
          <w:p w14:paraId="3743642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202</w:t>
            </w:r>
          </w:p>
        </w:tc>
        <w:tc>
          <w:tcPr>
            <w:tcW w:w="914" w:type="dxa"/>
            <w:hideMark/>
          </w:tcPr>
          <w:p w14:paraId="2F66BF1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BD4CF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03E6C6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5D0BE7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27FDC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7,026</w:t>
            </w:r>
          </w:p>
        </w:tc>
        <w:tc>
          <w:tcPr>
            <w:tcW w:w="914" w:type="dxa"/>
            <w:hideMark/>
          </w:tcPr>
          <w:p w14:paraId="4D3E87C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6,981</w:t>
            </w:r>
          </w:p>
        </w:tc>
        <w:tc>
          <w:tcPr>
            <w:tcW w:w="914" w:type="dxa"/>
            <w:hideMark/>
          </w:tcPr>
          <w:p w14:paraId="72EB3B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206</w:t>
            </w:r>
          </w:p>
        </w:tc>
        <w:tc>
          <w:tcPr>
            <w:tcW w:w="914" w:type="dxa"/>
            <w:hideMark/>
          </w:tcPr>
          <w:p w14:paraId="4567B9A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7496C7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6D311A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A59409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D106DB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7,188</w:t>
            </w:r>
          </w:p>
        </w:tc>
      </w:tr>
      <w:tr w:rsidR="007D2325" w:rsidRPr="007D2325" w14:paraId="00E8773E" w14:textId="77777777" w:rsidTr="00906968">
        <w:trPr>
          <w:trHeight w:val="284"/>
        </w:trPr>
        <w:tc>
          <w:tcPr>
            <w:tcW w:w="2115" w:type="dxa"/>
            <w:hideMark/>
          </w:tcPr>
          <w:p w14:paraId="0FEBB96E"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Mercy Palliative Care Ltd</w:t>
            </w:r>
          </w:p>
        </w:tc>
        <w:tc>
          <w:tcPr>
            <w:tcW w:w="913" w:type="dxa"/>
            <w:hideMark/>
          </w:tcPr>
          <w:p w14:paraId="6135657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8,637</w:t>
            </w:r>
          </w:p>
        </w:tc>
        <w:tc>
          <w:tcPr>
            <w:tcW w:w="914" w:type="dxa"/>
            <w:hideMark/>
          </w:tcPr>
          <w:p w14:paraId="58832C8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50E34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92C14A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B20254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43D96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4F7595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8,637</w:t>
            </w:r>
          </w:p>
        </w:tc>
        <w:tc>
          <w:tcPr>
            <w:tcW w:w="914" w:type="dxa"/>
            <w:hideMark/>
          </w:tcPr>
          <w:p w14:paraId="102B6F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8,836</w:t>
            </w:r>
          </w:p>
        </w:tc>
        <w:tc>
          <w:tcPr>
            <w:tcW w:w="914" w:type="dxa"/>
            <w:hideMark/>
          </w:tcPr>
          <w:p w14:paraId="6D62000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3A80E0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2EAA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5D99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FE906C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B5DCE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8,836</w:t>
            </w:r>
          </w:p>
        </w:tc>
      </w:tr>
      <w:tr w:rsidR="007D2325" w:rsidRPr="007D2325" w14:paraId="15D6A436" w14:textId="77777777" w:rsidTr="00906968">
        <w:trPr>
          <w:trHeight w:val="284"/>
        </w:trPr>
        <w:tc>
          <w:tcPr>
            <w:tcW w:w="2115" w:type="dxa"/>
            <w:hideMark/>
          </w:tcPr>
          <w:p w14:paraId="7133398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Merri Outreach Support Service Inc</w:t>
            </w:r>
          </w:p>
        </w:tc>
        <w:tc>
          <w:tcPr>
            <w:tcW w:w="913" w:type="dxa"/>
            <w:hideMark/>
          </w:tcPr>
          <w:p w14:paraId="5532A5C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0E3EB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1,585</w:t>
            </w:r>
          </w:p>
        </w:tc>
        <w:tc>
          <w:tcPr>
            <w:tcW w:w="914" w:type="dxa"/>
            <w:hideMark/>
          </w:tcPr>
          <w:p w14:paraId="248915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A1CD85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FA41DC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1740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513177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1,585</w:t>
            </w:r>
          </w:p>
        </w:tc>
        <w:tc>
          <w:tcPr>
            <w:tcW w:w="914" w:type="dxa"/>
            <w:hideMark/>
          </w:tcPr>
          <w:p w14:paraId="58771DD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BFDDF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1,624</w:t>
            </w:r>
          </w:p>
        </w:tc>
        <w:tc>
          <w:tcPr>
            <w:tcW w:w="914" w:type="dxa"/>
            <w:hideMark/>
          </w:tcPr>
          <w:p w14:paraId="17B38DC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E51AEA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EA532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A073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081FD1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1,624</w:t>
            </w:r>
          </w:p>
        </w:tc>
      </w:tr>
      <w:tr w:rsidR="007D2325" w:rsidRPr="007D2325" w14:paraId="41EE413D" w14:textId="77777777" w:rsidTr="00906968">
        <w:trPr>
          <w:trHeight w:val="284"/>
        </w:trPr>
        <w:tc>
          <w:tcPr>
            <w:tcW w:w="2115" w:type="dxa"/>
            <w:hideMark/>
          </w:tcPr>
          <w:p w14:paraId="66666B1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Mind Australia</w:t>
            </w:r>
          </w:p>
        </w:tc>
        <w:tc>
          <w:tcPr>
            <w:tcW w:w="913" w:type="dxa"/>
            <w:hideMark/>
          </w:tcPr>
          <w:p w14:paraId="0226E43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90D595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02905C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0D02D8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5,276</w:t>
            </w:r>
          </w:p>
        </w:tc>
        <w:tc>
          <w:tcPr>
            <w:tcW w:w="914" w:type="dxa"/>
            <w:hideMark/>
          </w:tcPr>
          <w:p w14:paraId="0D6EE29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1F7A79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E4A1B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5,276</w:t>
            </w:r>
          </w:p>
        </w:tc>
        <w:tc>
          <w:tcPr>
            <w:tcW w:w="914" w:type="dxa"/>
            <w:hideMark/>
          </w:tcPr>
          <w:p w14:paraId="121DF33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08E5E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A6926C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F01D29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5,410</w:t>
            </w:r>
          </w:p>
        </w:tc>
        <w:tc>
          <w:tcPr>
            <w:tcW w:w="914" w:type="dxa"/>
            <w:hideMark/>
          </w:tcPr>
          <w:p w14:paraId="43FA034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5D0C7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1B32DB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5,410</w:t>
            </w:r>
          </w:p>
        </w:tc>
      </w:tr>
      <w:tr w:rsidR="007D2325" w:rsidRPr="007D2325" w14:paraId="42EAAB64" w14:textId="77777777" w:rsidTr="00906968">
        <w:trPr>
          <w:trHeight w:val="284"/>
        </w:trPr>
        <w:tc>
          <w:tcPr>
            <w:tcW w:w="2115" w:type="dxa"/>
            <w:hideMark/>
          </w:tcPr>
          <w:p w14:paraId="6C49A6FC"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Moira Inc.</w:t>
            </w:r>
          </w:p>
        </w:tc>
        <w:tc>
          <w:tcPr>
            <w:tcW w:w="913" w:type="dxa"/>
            <w:hideMark/>
          </w:tcPr>
          <w:p w14:paraId="60980B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106E8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1,148</w:t>
            </w:r>
          </w:p>
        </w:tc>
        <w:tc>
          <w:tcPr>
            <w:tcW w:w="914" w:type="dxa"/>
            <w:hideMark/>
          </w:tcPr>
          <w:p w14:paraId="456D22C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DC488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D6E57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E2CF2B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677DE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1,148</w:t>
            </w:r>
          </w:p>
        </w:tc>
        <w:tc>
          <w:tcPr>
            <w:tcW w:w="914" w:type="dxa"/>
            <w:hideMark/>
          </w:tcPr>
          <w:p w14:paraId="36565F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A9629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1,175</w:t>
            </w:r>
          </w:p>
        </w:tc>
        <w:tc>
          <w:tcPr>
            <w:tcW w:w="914" w:type="dxa"/>
            <w:hideMark/>
          </w:tcPr>
          <w:p w14:paraId="5DC92A4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9680F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838F0E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7E07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00633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1,175</w:t>
            </w:r>
          </w:p>
        </w:tc>
      </w:tr>
      <w:tr w:rsidR="007D2325" w:rsidRPr="007D2325" w14:paraId="4DE0713C" w14:textId="77777777" w:rsidTr="00906968">
        <w:trPr>
          <w:trHeight w:val="284"/>
        </w:trPr>
        <w:tc>
          <w:tcPr>
            <w:tcW w:w="2115" w:type="dxa"/>
            <w:hideMark/>
          </w:tcPr>
          <w:p w14:paraId="3FBDEB9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Monash University</w:t>
            </w:r>
          </w:p>
        </w:tc>
        <w:tc>
          <w:tcPr>
            <w:tcW w:w="913" w:type="dxa"/>
            <w:hideMark/>
          </w:tcPr>
          <w:p w14:paraId="740354D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3,333</w:t>
            </w:r>
          </w:p>
        </w:tc>
        <w:tc>
          <w:tcPr>
            <w:tcW w:w="914" w:type="dxa"/>
            <w:hideMark/>
          </w:tcPr>
          <w:p w14:paraId="3EDAD8A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B5838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A84F47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9A277A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8D625E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50</w:t>
            </w:r>
          </w:p>
        </w:tc>
        <w:tc>
          <w:tcPr>
            <w:tcW w:w="914" w:type="dxa"/>
            <w:hideMark/>
          </w:tcPr>
          <w:p w14:paraId="2A77F02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3,383</w:t>
            </w:r>
          </w:p>
        </w:tc>
        <w:tc>
          <w:tcPr>
            <w:tcW w:w="914" w:type="dxa"/>
            <w:hideMark/>
          </w:tcPr>
          <w:p w14:paraId="5644994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1,653</w:t>
            </w:r>
          </w:p>
        </w:tc>
        <w:tc>
          <w:tcPr>
            <w:tcW w:w="914" w:type="dxa"/>
            <w:hideMark/>
          </w:tcPr>
          <w:p w14:paraId="20B815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2FD69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34900C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2AEBD0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496E2B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414</w:t>
            </w:r>
          </w:p>
        </w:tc>
        <w:tc>
          <w:tcPr>
            <w:tcW w:w="914" w:type="dxa"/>
            <w:hideMark/>
          </w:tcPr>
          <w:p w14:paraId="3B83E47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2,067</w:t>
            </w:r>
          </w:p>
        </w:tc>
      </w:tr>
      <w:tr w:rsidR="007D2325" w:rsidRPr="007D2325" w14:paraId="0D685A56" w14:textId="77777777" w:rsidTr="00906968">
        <w:trPr>
          <w:trHeight w:val="284"/>
        </w:trPr>
        <w:tc>
          <w:tcPr>
            <w:tcW w:w="2115" w:type="dxa"/>
            <w:hideMark/>
          </w:tcPr>
          <w:p w14:paraId="3664F9FE"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Mungabareena Aboriginal Corporation</w:t>
            </w:r>
          </w:p>
        </w:tc>
        <w:tc>
          <w:tcPr>
            <w:tcW w:w="913" w:type="dxa"/>
            <w:hideMark/>
          </w:tcPr>
          <w:p w14:paraId="5AD74E0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233</w:t>
            </w:r>
          </w:p>
        </w:tc>
        <w:tc>
          <w:tcPr>
            <w:tcW w:w="914" w:type="dxa"/>
            <w:hideMark/>
          </w:tcPr>
          <w:p w14:paraId="10D94AB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39</w:t>
            </w:r>
          </w:p>
        </w:tc>
        <w:tc>
          <w:tcPr>
            <w:tcW w:w="914" w:type="dxa"/>
            <w:hideMark/>
          </w:tcPr>
          <w:p w14:paraId="7B13549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161</w:t>
            </w:r>
          </w:p>
        </w:tc>
        <w:tc>
          <w:tcPr>
            <w:tcW w:w="914" w:type="dxa"/>
            <w:hideMark/>
          </w:tcPr>
          <w:p w14:paraId="2FA050F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72</w:t>
            </w:r>
          </w:p>
        </w:tc>
        <w:tc>
          <w:tcPr>
            <w:tcW w:w="914" w:type="dxa"/>
            <w:hideMark/>
          </w:tcPr>
          <w:p w14:paraId="344DD03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231</w:t>
            </w:r>
          </w:p>
        </w:tc>
        <w:tc>
          <w:tcPr>
            <w:tcW w:w="914" w:type="dxa"/>
            <w:hideMark/>
          </w:tcPr>
          <w:p w14:paraId="283AB8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FB8BED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736</w:t>
            </w:r>
          </w:p>
        </w:tc>
        <w:tc>
          <w:tcPr>
            <w:tcW w:w="914" w:type="dxa"/>
            <w:hideMark/>
          </w:tcPr>
          <w:p w14:paraId="1D7EEB5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239</w:t>
            </w:r>
          </w:p>
        </w:tc>
        <w:tc>
          <w:tcPr>
            <w:tcW w:w="914" w:type="dxa"/>
            <w:hideMark/>
          </w:tcPr>
          <w:p w14:paraId="291663C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40</w:t>
            </w:r>
          </w:p>
        </w:tc>
        <w:tc>
          <w:tcPr>
            <w:tcW w:w="914" w:type="dxa"/>
            <w:hideMark/>
          </w:tcPr>
          <w:p w14:paraId="5AFDE17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165</w:t>
            </w:r>
          </w:p>
        </w:tc>
        <w:tc>
          <w:tcPr>
            <w:tcW w:w="914" w:type="dxa"/>
            <w:hideMark/>
          </w:tcPr>
          <w:p w14:paraId="58BE8F5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74</w:t>
            </w:r>
          </w:p>
        </w:tc>
        <w:tc>
          <w:tcPr>
            <w:tcW w:w="914" w:type="dxa"/>
            <w:hideMark/>
          </w:tcPr>
          <w:p w14:paraId="218D7D3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515</w:t>
            </w:r>
          </w:p>
        </w:tc>
        <w:tc>
          <w:tcPr>
            <w:tcW w:w="914" w:type="dxa"/>
            <w:hideMark/>
          </w:tcPr>
          <w:p w14:paraId="4C091F1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4FB729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1,033</w:t>
            </w:r>
          </w:p>
        </w:tc>
      </w:tr>
      <w:tr w:rsidR="007D2325" w:rsidRPr="007D2325" w14:paraId="3F1CB7F6" w14:textId="77777777" w:rsidTr="00906968">
        <w:trPr>
          <w:trHeight w:val="284"/>
        </w:trPr>
        <w:tc>
          <w:tcPr>
            <w:tcW w:w="2115" w:type="dxa"/>
            <w:hideMark/>
          </w:tcPr>
          <w:p w14:paraId="775E474B"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National Ageing Research Institute Ltd</w:t>
            </w:r>
          </w:p>
        </w:tc>
        <w:tc>
          <w:tcPr>
            <w:tcW w:w="913" w:type="dxa"/>
            <w:hideMark/>
          </w:tcPr>
          <w:p w14:paraId="76E1EEF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385</w:t>
            </w:r>
          </w:p>
        </w:tc>
        <w:tc>
          <w:tcPr>
            <w:tcW w:w="914" w:type="dxa"/>
            <w:hideMark/>
          </w:tcPr>
          <w:p w14:paraId="5499A17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836</w:t>
            </w:r>
          </w:p>
        </w:tc>
        <w:tc>
          <w:tcPr>
            <w:tcW w:w="914" w:type="dxa"/>
            <w:hideMark/>
          </w:tcPr>
          <w:p w14:paraId="24D5534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6E902A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4182A3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E1886D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DFA313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1,221</w:t>
            </w:r>
          </w:p>
        </w:tc>
        <w:tc>
          <w:tcPr>
            <w:tcW w:w="914" w:type="dxa"/>
            <w:hideMark/>
          </w:tcPr>
          <w:p w14:paraId="123FB50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394</w:t>
            </w:r>
          </w:p>
        </w:tc>
        <w:tc>
          <w:tcPr>
            <w:tcW w:w="914" w:type="dxa"/>
            <w:hideMark/>
          </w:tcPr>
          <w:p w14:paraId="3111569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845</w:t>
            </w:r>
          </w:p>
        </w:tc>
        <w:tc>
          <w:tcPr>
            <w:tcW w:w="914" w:type="dxa"/>
            <w:hideMark/>
          </w:tcPr>
          <w:p w14:paraId="0132BDE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2AC673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AFF8A9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8745BE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F72A4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1,239</w:t>
            </w:r>
          </w:p>
        </w:tc>
      </w:tr>
      <w:tr w:rsidR="007D2325" w:rsidRPr="007D2325" w14:paraId="4BDBA358" w14:textId="77777777" w:rsidTr="00906968">
        <w:trPr>
          <w:trHeight w:val="284"/>
        </w:trPr>
        <w:tc>
          <w:tcPr>
            <w:tcW w:w="2115" w:type="dxa"/>
            <w:hideMark/>
          </w:tcPr>
          <w:p w14:paraId="4BCA229F"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Neami Limited</w:t>
            </w:r>
          </w:p>
        </w:tc>
        <w:tc>
          <w:tcPr>
            <w:tcW w:w="913" w:type="dxa"/>
            <w:hideMark/>
          </w:tcPr>
          <w:p w14:paraId="249F07D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3FC103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807747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0BA23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6,680</w:t>
            </w:r>
          </w:p>
        </w:tc>
        <w:tc>
          <w:tcPr>
            <w:tcW w:w="914" w:type="dxa"/>
            <w:hideMark/>
          </w:tcPr>
          <w:p w14:paraId="465AFF9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0CBF2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00E90A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6,680</w:t>
            </w:r>
          </w:p>
        </w:tc>
        <w:tc>
          <w:tcPr>
            <w:tcW w:w="914" w:type="dxa"/>
            <w:hideMark/>
          </w:tcPr>
          <w:p w14:paraId="49CFAA0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EBA050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6030D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3E8AA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6,823</w:t>
            </w:r>
          </w:p>
        </w:tc>
        <w:tc>
          <w:tcPr>
            <w:tcW w:w="914" w:type="dxa"/>
            <w:hideMark/>
          </w:tcPr>
          <w:p w14:paraId="1459639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4E44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9ACF91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6,823</w:t>
            </w:r>
          </w:p>
        </w:tc>
      </w:tr>
      <w:tr w:rsidR="007D2325" w:rsidRPr="007D2325" w14:paraId="2344A0C2" w14:textId="77777777" w:rsidTr="00906968">
        <w:trPr>
          <w:trHeight w:val="284"/>
        </w:trPr>
        <w:tc>
          <w:tcPr>
            <w:tcW w:w="2115" w:type="dxa"/>
            <w:hideMark/>
          </w:tcPr>
          <w:p w14:paraId="44163A37"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Njernda Aboriginal Corporation</w:t>
            </w:r>
          </w:p>
        </w:tc>
        <w:tc>
          <w:tcPr>
            <w:tcW w:w="913" w:type="dxa"/>
            <w:hideMark/>
          </w:tcPr>
          <w:p w14:paraId="23C4224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270</w:t>
            </w:r>
          </w:p>
        </w:tc>
        <w:tc>
          <w:tcPr>
            <w:tcW w:w="914" w:type="dxa"/>
            <w:hideMark/>
          </w:tcPr>
          <w:p w14:paraId="3662DC0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178</w:t>
            </w:r>
          </w:p>
        </w:tc>
        <w:tc>
          <w:tcPr>
            <w:tcW w:w="914" w:type="dxa"/>
            <w:hideMark/>
          </w:tcPr>
          <w:p w14:paraId="099FA5C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666</w:t>
            </w:r>
          </w:p>
        </w:tc>
        <w:tc>
          <w:tcPr>
            <w:tcW w:w="914" w:type="dxa"/>
            <w:hideMark/>
          </w:tcPr>
          <w:p w14:paraId="4CA8783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72</w:t>
            </w:r>
          </w:p>
        </w:tc>
        <w:tc>
          <w:tcPr>
            <w:tcW w:w="914" w:type="dxa"/>
            <w:hideMark/>
          </w:tcPr>
          <w:p w14:paraId="7618F8D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189</w:t>
            </w:r>
          </w:p>
        </w:tc>
        <w:tc>
          <w:tcPr>
            <w:tcW w:w="914" w:type="dxa"/>
            <w:hideMark/>
          </w:tcPr>
          <w:p w14:paraId="37107ED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EDFEE3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1,375</w:t>
            </w:r>
          </w:p>
        </w:tc>
        <w:tc>
          <w:tcPr>
            <w:tcW w:w="914" w:type="dxa"/>
            <w:hideMark/>
          </w:tcPr>
          <w:p w14:paraId="3FC3104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283</w:t>
            </w:r>
          </w:p>
        </w:tc>
        <w:tc>
          <w:tcPr>
            <w:tcW w:w="914" w:type="dxa"/>
            <w:hideMark/>
          </w:tcPr>
          <w:p w14:paraId="395401C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186</w:t>
            </w:r>
          </w:p>
        </w:tc>
        <w:tc>
          <w:tcPr>
            <w:tcW w:w="914" w:type="dxa"/>
            <w:hideMark/>
          </w:tcPr>
          <w:p w14:paraId="66D6146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697</w:t>
            </w:r>
          </w:p>
        </w:tc>
        <w:tc>
          <w:tcPr>
            <w:tcW w:w="914" w:type="dxa"/>
            <w:hideMark/>
          </w:tcPr>
          <w:p w14:paraId="3DD981B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75</w:t>
            </w:r>
          </w:p>
        </w:tc>
        <w:tc>
          <w:tcPr>
            <w:tcW w:w="914" w:type="dxa"/>
            <w:hideMark/>
          </w:tcPr>
          <w:p w14:paraId="5C52429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748</w:t>
            </w:r>
          </w:p>
        </w:tc>
        <w:tc>
          <w:tcPr>
            <w:tcW w:w="914" w:type="dxa"/>
            <w:hideMark/>
          </w:tcPr>
          <w:p w14:paraId="5AD07C8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B464EA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1,989</w:t>
            </w:r>
          </w:p>
        </w:tc>
      </w:tr>
      <w:tr w:rsidR="007D2325" w:rsidRPr="007D2325" w14:paraId="0EEB774B" w14:textId="77777777" w:rsidTr="00906968">
        <w:trPr>
          <w:trHeight w:val="284"/>
        </w:trPr>
        <w:tc>
          <w:tcPr>
            <w:tcW w:w="2115" w:type="dxa"/>
            <w:hideMark/>
          </w:tcPr>
          <w:p w14:paraId="1AD7F38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Northern District Community Health Service</w:t>
            </w:r>
          </w:p>
        </w:tc>
        <w:tc>
          <w:tcPr>
            <w:tcW w:w="913" w:type="dxa"/>
            <w:hideMark/>
          </w:tcPr>
          <w:p w14:paraId="69A5DBE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AF21B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117</w:t>
            </w:r>
          </w:p>
        </w:tc>
        <w:tc>
          <w:tcPr>
            <w:tcW w:w="914" w:type="dxa"/>
            <w:hideMark/>
          </w:tcPr>
          <w:p w14:paraId="551C0E1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0547CB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44055F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1,467</w:t>
            </w:r>
          </w:p>
        </w:tc>
        <w:tc>
          <w:tcPr>
            <w:tcW w:w="914" w:type="dxa"/>
            <w:hideMark/>
          </w:tcPr>
          <w:p w14:paraId="232E990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DB1998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1,584</w:t>
            </w:r>
          </w:p>
        </w:tc>
        <w:tc>
          <w:tcPr>
            <w:tcW w:w="914" w:type="dxa"/>
            <w:hideMark/>
          </w:tcPr>
          <w:p w14:paraId="315ABC4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0F60ED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117</w:t>
            </w:r>
          </w:p>
        </w:tc>
        <w:tc>
          <w:tcPr>
            <w:tcW w:w="914" w:type="dxa"/>
            <w:hideMark/>
          </w:tcPr>
          <w:p w14:paraId="7AA5260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B0AA0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7842B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1,474</w:t>
            </w:r>
          </w:p>
        </w:tc>
        <w:tc>
          <w:tcPr>
            <w:tcW w:w="914" w:type="dxa"/>
            <w:hideMark/>
          </w:tcPr>
          <w:p w14:paraId="70A4FE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4D2329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1,592</w:t>
            </w:r>
          </w:p>
        </w:tc>
      </w:tr>
      <w:tr w:rsidR="007D2325" w:rsidRPr="007D2325" w14:paraId="1F584479" w14:textId="77777777" w:rsidTr="00906968">
        <w:trPr>
          <w:trHeight w:val="284"/>
        </w:trPr>
        <w:tc>
          <w:tcPr>
            <w:tcW w:w="2115" w:type="dxa"/>
            <w:hideMark/>
          </w:tcPr>
          <w:p w14:paraId="7A4C20B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Odyssey House, Victoria</w:t>
            </w:r>
          </w:p>
        </w:tc>
        <w:tc>
          <w:tcPr>
            <w:tcW w:w="913" w:type="dxa"/>
            <w:hideMark/>
          </w:tcPr>
          <w:p w14:paraId="558F9C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82A84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C7E704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22,153</w:t>
            </w:r>
          </w:p>
        </w:tc>
        <w:tc>
          <w:tcPr>
            <w:tcW w:w="914" w:type="dxa"/>
            <w:hideMark/>
          </w:tcPr>
          <w:p w14:paraId="69A62E6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74E3BB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F565A1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ECAE01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22,153</w:t>
            </w:r>
          </w:p>
        </w:tc>
        <w:tc>
          <w:tcPr>
            <w:tcW w:w="914" w:type="dxa"/>
            <w:hideMark/>
          </w:tcPr>
          <w:p w14:paraId="380309E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79FA3F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261BAF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22,716</w:t>
            </w:r>
          </w:p>
        </w:tc>
        <w:tc>
          <w:tcPr>
            <w:tcW w:w="914" w:type="dxa"/>
            <w:hideMark/>
          </w:tcPr>
          <w:p w14:paraId="2A4E11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FFDC86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5FEBFB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0C7E5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22,716</w:t>
            </w:r>
          </w:p>
        </w:tc>
      </w:tr>
      <w:tr w:rsidR="007D2325" w:rsidRPr="007D2325" w14:paraId="5C5CF474" w14:textId="77777777" w:rsidTr="00906968">
        <w:trPr>
          <w:trHeight w:val="284"/>
        </w:trPr>
        <w:tc>
          <w:tcPr>
            <w:tcW w:w="2115" w:type="dxa"/>
            <w:hideMark/>
          </w:tcPr>
          <w:p w14:paraId="1847A083"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On The Line Australia Limited</w:t>
            </w:r>
          </w:p>
        </w:tc>
        <w:tc>
          <w:tcPr>
            <w:tcW w:w="913" w:type="dxa"/>
            <w:hideMark/>
          </w:tcPr>
          <w:p w14:paraId="0EE5912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FECE5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53F213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EA48F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1,039</w:t>
            </w:r>
          </w:p>
        </w:tc>
        <w:tc>
          <w:tcPr>
            <w:tcW w:w="914" w:type="dxa"/>
            <w:hideMark/>
          </w:tcPr>
          <w:p w14:paraId="13FE33F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A1BD3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893D7D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1,039</w:t>
            </w:r>
          </w:p>
        </w:tc>
        <w:tc>
          <w:tcPr>
            <w:tcW w:w="914" w:type="dxa"/>
            <w:hideMark/>
          </w:tcPr>
          <w:p w14:paraId="1ACBCD4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8E56B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AA24A8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F11196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1,062</w:t>
            </w:r>
          </w:p>
        </w:tc>
        <w:tc>
          <w:tcPr>
            <w:tcW w:w="914" w:type="dxa"/>
            <w:hideMark/>
          </w:tcPr>
          <w:p w14:paraId="5E080C0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5C3898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7F86A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1,062</w:t>
            </w:r>
          </w:p>
        </w:tc>
      </w:tr>
      <w:tr w:rsidR="007D2325" w:rsidRPr="007D2325" w14:paraId="7FE8DCC0" w14:textId="77777777" w:rsidTr="00906968">
        <w:trPr>
          <w:trHeight w:val="284"/>
        </w:trPr>
        <w:tc>
          <w:tcPr>
            <w:tcW w:w="2115" w:type="dxa"/>
            <w:hideMark/>
          </w:tcPr>
          <w:p w14:paraId="751AECCA"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Penington Institute</w:t>
            </w:r>
          </w:p>
        </w:tc>
        <w:tc>
          <w:tcPr>
            <w:tcW w:w="913" w:type="dxa"/>
            <w:hideMark/>
          </w:tcPr>
          <w:p w14:paraId="24FAFBB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98735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28D260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1,015</w:t>
            </w:r>
          </w:p>
        </w:tc>
        <w:tc>
          <w:tcPr>
            <w:tcW w:w="914" w:type="dxa"/>
            <w:hideMark/>
          </w:tcPr>
          <w:p w14:paraId="6BF96D9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AEEA59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5309B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CA7867E"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1,015</w:t>
            </w:r>
          </w:p>
        </w:tc>
        <w:tc>
          <w:tcPr>
            <w:tcW w:w="914" w:type="dxa"/>
            <w:hideMark/>
          </w:tcPr>
          <w:p w14:paraId="21DF7CA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5BD9C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637726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1,041</w:t>
            </w:r>
          </w:p>
        </w:tc>
        <w:tc>
          <w:tcPr>
            <w:tcW w:w="914" w:type="dxa"/>
            <w:hideMark/>
          </w:tcPr>
          <w:p w14:paraId="382B872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8ED629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5EC699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9B8FD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1,041</w:t>
            </w:r>
          </w:p>
        </w:tc>
      </w:tr>
      <w:tr w:rsidR="007D2325" w:rsidRPr="007D2325" w14:paraId="127AA758" w14:textId="77777777" w:rsidTr="00906968">
        <w:trPr>
          <w:trHeight w:val="284"/>
        </w:trPr>
        <w:tc>
          <w:tcPr>
            <w:tcW w:w="2115" w:type="dxa"/>
            <w:hideMark/>
          </w:tcPr>
          <w:p w14:paraId="2369A8D0"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Peninsula Home Hospice</w:t>
            </w:r>
          </w:p>
        </w:tc>
        <w:tc>
          <w:tcPr>
            <w:tcW w:w="913" w:type="dxa"/>
            <w:hideMark/>
          </w:tcPr>
          <w:p w14:paraId="277DFF2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4,589</w:t>
            </w:r>
          </w:p>
        </w:tc>
        <w:tc>
          <w:tcPr>
            <w:tcW w:w="914" w:type="dxa"/>
            <w:hideMark/>
          </w:tcPr>
          <w:p w14:paraId="27B2D2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248868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35D701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2A1D8A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02592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32269F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4,589</w:t>
            </w:r>
          </w:p>
        </w:tc>
        <w:tc>
          <w:tcPr>
            <w:tcW w:w="914" w:type="dxa"/>
            <w:hideMark/>
          </w:tcPr>
          <w:p w14:paraId="7A47B87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4,682</w:t>
            </w:r>
          </w:p>
        </w:tc>
        <w:tc>
          <w:tcPr>
            <w:tcW w:w="914" w:type="dxa"/>
            <w:hideMark/>
          </w:tcPr>
          <w:p w14:paraId="2C7C8C9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2B45B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41E5FC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C4D87D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56163E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442671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4,682</w:t>
            </w:r>
          </w:p>
        </w:tc>
      </w:tr>
      <w:tr w:rsidR="007D2325" w:rsidRPr="007D2325" w14:paraId="7D897773" w14:textId="77777777" w:rsidTr="00906968">
        <w:trPr>
          <w:trHeight w:val="284"/>
        </w:trPr>
        <w:tc>
          <w:tcPr>
            <w:tcW w:w="2115" w:type="dxa"/>
            <w:hideMark/>
          </w:tcPr>
          <w:p w14:paraId="06728C5A" w14:textId="7CC032B3"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People Living With H</w:t>
            </w:r>
            <w:r w:rsidR="00967227">
              <w:rPr>
                <w:rFonts w:cs="Arial"/>
                <w:color w:val="000000"/>
                <w:sz w:val="16"/>
                <w:szCs w:val="16"/>
                <w:lang w:eastAsia="en-AU"/>
              </w:rPr>
              <w:t>IV</w:t>
            </w:r>
            <w:r w:rsidRPr="007D2325">
              <w:rPr>
                <w:rFonts w:cs="Arial"/>
                <w:color w:val="000000"/>
                <w:sz w:val="16"/>
                <w:szCs w:val="16"/>
                <w:lang w:eastAsia="en-AU"/>
              </w:rPr>
              <w:t>/Aids Victoria Inc</w:t>
            </w:r>
          </w:p>
        </w:tc>
        <w:tc>
          <w:tcPr>
            <w:tcW w:w="913" w:type="dxa"/>
            <w:hideMark/>
          </w:tcPr>
          <w:p w14:paraId="737F00B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A4AF97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9504E3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8D5C94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C98A50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700DD5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1,828</w:t>
            </w:r>
          </w:p>
        </w:tc>
        <w:tc>
          <w:tcPr>
            <w:tcW w:w="914" w:type="dxa"/>
            <w:hideMark/>
          </w:tcPr>
          <w:p w14:paraId="0737D82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1,828</w:t>
            </w:r>
          </w:p>
        </w:tc>
        <w:tc>
          <w:tcPr>
            <w:tcW w:w="914" w:type="dxa"/>
            <w:hideMark/>
          </w:tcPr>
          <w:p w14:paraId="046C149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5E45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898B5B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58003A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18CCC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17591B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1,875</w:t>
            </w:r>
          </w:p>
        </w:tc>
        <w:tc>
          <w:tcPr>
            <w:tcW w:w="914" w:type="dxa"/>
            <w:hideMark/>
          </w:tcPr>
          <w:p w14:paraId="6662F62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1,875</w:t>
            </w:r>
          </w:p>
        </w:tc>
      </w:tr>
      <w:tr w:rsidR="007D2325" w:rsidRPr="007D2325" w14:paraId="02C2D6E4" w14:textId="77777777" w:rsidTr="00906968">
        <w:trPr>
          <w:trHeight w:val="284"/>
        </w:trPr>
        <w:tc>
          <w:tcPr>
            <w:tcW w:w="2115" w:type="dxa"/>
            <w:hideMark/>
          </w:tcPr>
          <w:p w14:paraId="1DB875B5"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Psychiatric Disability Services Of Victoria (Vicserv) Inc</w:t>
            </w:r>
          </w:p>
        </w:tc>
        <w:tc>
          <w:tcPr>
            <w:tcW w:w="913" w:type="dxa"/>
            <w:hideMark/>
          </w:tcPr>
          <w:p w14:paraId="48886F3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51EFE8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1826D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696C1C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2,551</w:t>
            </w:r>
          </w:p>
        </w:tc>
        <w:tc>
          <w:tcPr>
            <w:tcW w:w="914" w:type="dxa"/>
            <w:hideMark/>
          </w:tcPr>
          <w:p w14:paraId="3093ACB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55657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321A5C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2,551</w:t>
            </w:r>
          </w:p>
        </w:tc>
        <w:tc>
          <w:tcPr>
            <w:tcW w:w="914" w:type="dxa"/>
            <w:hideMark/>
          </w:tcPr>
          <w:p w14:paraId="1CE0F5C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D41C3D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F02BBD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ECEB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2,445</w:t>
            </w:r>
          </w:p>
        </w:tc>
        <w:tc>
          <w:tcPr>
            <w:tcW w:w="914" w:type="dxa"/>
            <w:hideMark/>
          </w:tcPr>
          <w:p w14:paraId="4A13FA9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B80A82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1BFB65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2,445</w:t>
            </w:r>
          </w:p>
        </w:tc>
      </w:tr>
      <w:tr w:rsidR="007D2325" w:rsidRPr="007D2325" w14:paraId="58E05EDE" w14:textId="77777777" w:rsidTr="00906968">
        <w:trPr>
          <w:trHeight w:val="284"/>
        </w:trPr>
        <w:tc>
          <w:tcPr>
            <w:tcW w:w="2115" w:type="dxa"/>
            <w:hideMark/>
          </w:tcPr>
          <w:p w14:paraId="07BA8D8C"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lastRenderedPageBreak/>
              <w:t>Ramahyuck District Aboriginal Corporation</w:t>
            </w:r>
          </w:p>
        </w:tc>
        <w:tc>
          <w:tcPr>
            <w:tcW w:w="913" w:type="dxa"/>
            <w:hideMark/>
          </w:tcPr>
          <w:p w14:paraId="1AD4E77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269</w:t>
            </w:r>
          </w:p>
        </w:tc>
        <w:tc>
          <w:tcPr>
            <w:tcW w:w="914" w:type="dxa"/>
            <w:hideMark/>
          </w:tcPr>
          <w:p w14:paraId="74C176A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58</w:t>
            </w:r>
          </w:p>
        </w:tc>
        <w:tc>
          <w:tcPr>
            <w:tcW w:w="914" w:type="dxa"/>
            <w:hideMark/>
          </w:tcPr>
          <w:p w14:paraId="3CF19D8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161</w:t>
            </w:r>
          </w:p>
        </w:tc>
        <w:tc>
          <w:tcPr>
            <w:tcW w:w="914" w:type="dxa"/>
            <w:hideMark/>
          </w:tcPr>
          <w:p w14:paraId="1C341B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170</w:t>
            </w:r>
          </w:p>
        </w:tc>
        <w:tc>
          <w:tcPr>
            <w:tcW w:w="914" w:type="dxa"/>
            <w:hideMark/>
          </w:tcPr>
          <w:p w14:paraId="162235E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131</w:t>
            </w:r>
          </w:p>
        </w:tc>
        <w:tc>
          <w:tcPr>
            <w:tcW w:w="914" w:type="dxa"/>
            <w:hideMark/>
          </w:tcPr>
          <w:p w14:paraId="397B21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3C7071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789</w:t>
            </w:r>
          </w:p>
        </w:tc>
        <w:tc>
          <w:tcPr>
            <w:tcW w:w="914" w:type="dxa"/>
            <w:hideMark/>
          </w:tcPr>
          <w:p w14:paraId="4567EE1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276</w:t>
            </w:r>
          </w:p>
        </w:tc>
        <w:tc>
          <w:tcPr>
            <w:tcW w:w="914" w:type="dxa"/>
            <w:hideMark/>
          </w:tcPr>
          <w:p w14:paraId="3F27034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60</w:t>
            </w:r>
          </w:p>
        </w:tc>
        <w:tc>
          <w:tcPr>
            <w:tcW w:w="914" w:type="dxa"/>
            <w:hideMark/>
          </w:tcPr>
          <w:p w14:paraId="56B4FFA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165</w:t>
            </w:r>
          </w:p>
        </w:tc>
        <w:tc>
          <w:tcPr>
            <w:tcW w:w="914" w:type="dxa"/>
            <w:hideMark/>
          </w:tcPr>
          <w:p w14:paraId="78C15D9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174</w:t>
            </w:r>
          </w:p>
        </w:tc>
        <w:tc>
          <w:tcPr>
            <w:tcW w:w="914" w:type="dxa"/>
            <w:hideMark/>
          </w:tcPr>
          <w:p w14:paraId="2D318B6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615</w:t>
            </w:r>
          </w:p>
        </w:tc>
        <w:tc>
          <w:tcPr>
            <w:tcW w:w="914" w:type="dxa"/>
            <w:hideMark/>
          </w:tcPr>
          <w:p w14:paraId="60BEDFB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59A3B4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1,289</w:t>
            </w:r>
          </w:p>
        </w:tc>
      </w:tr>
      <w:tr w:rsidR="007D2325" w:rsidRPr="007D2325" w14:paraId="10D7D390" w14:textId="77777777" w:rsidTr="00906968">
        <w:trPr>
          <w:trHeight w:val="284"/>
        </w:trPr>
        <w:tc>
          <w:tcPr>
            <w:tcW w:w="2115" w:type="dxa"/>
            <w:hideMark/>
          </w:tcPr>
          <w:p w14:paraId="32A44936"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Red Cliffs And Community Aged Care Services Inc</w:t>
            </w:r>
          </w:p>
        </w:tc>
        <w:tc>
          <w:tcPr>
            <w:tcW w:w="913" w:type="dxa"/>
            <w:hideMark/>
          </w:tcPr>
          <w:p w14:paraId="639958E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CF5AB2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1,162</w:t>
            </w:r>
          </w:p>
        </w:tc>
        <w:tc>
          <w:tcPr>
            <w:tcW w:w="914" w:type="dxa"/>
            <w:hideMark/>
          </w:tcPr>
          <w:p w14:paraId="47B2F6D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7B383F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CDB9FD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8F92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EE7ECD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1,162</w:t>
            </w:r>
          </w:p>
        </w:tc>
        <w:tc>
          <w:tcPr>
            <w:tcW w:w="914" w:type="dxa"/>
            <w:hideMark/>
          </w:tcPr>
          <w:p w14:paraId="5274DC4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8344FC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1,196</w:t>
            </w:r>
          </w:p>
        </w:tc>
        <w:tc>
          <w:tcPr>
            <w:tcW w:w="914" w:type="dxa"/>
            <w:hideMark/>
          </w:tcPr>
          <w:p w14:paraId="39E6B03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03C72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5FD4AA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126278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FC6989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1,196</w:t>
            </w:r>
          </w:p>
        </w:tc>
      </w:tr>
      <w:tr w:rsidR="007D2325" w:rsidRPr="007D2325" w14:paraId="22725618" w14:textId="77777777" w:rsidTr="00906968">
        <w:trPr>
          <w:trHeight w:val="284"/>
        </w:trPr>
        <w:tc>
          <w:tcPr>
            <w:tcW w:w="2115" w:type="dxa"/>
            <w:hideMark/>
          </w:tcPr>
          <w:p w14:paraId="42DBE97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Royal District Nursing Service Limited</w:t>
            </w:r>
          </w:p>
        </w:tc>
        <w:tc>
          <w:tcPr>
            <w:tcW w:w="913" w:type="dxa"/>
            <w:hideMark/>
          </w:tcPr>
          <w:p w14:paraId="0998763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8FCCD3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27,959</w:t>
            </w:r>
          </w:p>
        </w:tc>
        <w:tc>
          <w:tcPr>
            <w:tcW w:w="914" w:type="dxa"/>
            <w:hideMark/>
          </w:tcPr>
          <w:p w14:paraId="555A772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A99CC6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943CF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113</w:t>
            </w:r>
          </w:p>
        </w:tc>
        <w:tc>
          <w:tcPr>
            <w:tcW w:w="914" w:type="dxa"/>
            <w:hideMark/>
          </w:tcPr>
          <w:p w14:paraId="49822F0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777</w:t>
            </w:r>
          </w:p>
        </w:tc>
        <w:tc>
          <w:tcPr>
            <w:tcW w:w="914" w:type="dxa"/>
            <w:hideMark/>
          </w:tcPr>
          <w:p w14:paraId="2252247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28,848</w:t>
            </w:r>
          </w:p>
        </w:tc>
        <w:tc>
          <w:tcPr>
            <w:tcW w:w="914" w:type="dxa"/>
            <w:hideMark/>
          </w:tcPr>
          <w:p w14:paraId="444CA5D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82278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28,606</w:t>
            </w:r>
          </w:p>
        </w:tc>
        <w:tc>
          <w:tcPr>
            <w:tcW w:w="914" w:type="dxa"/>
            <w:hideMark/>
          </w:tcPr>
          <w:p w14:paraId="5B344A4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011670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AA08A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115</w:t>
            </w:r>
          </w:p>
        </w:tc>
        <w:tc>
          <w:tcPr>
            <w:tcW w:w="914" w:type="dxa"/>
            <w:hideMark/>
          </w:tcPr>
          <w:p w14:paraId="3419CBD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796</w:t>
            </w:r>
          </w:p>
        </w:tc>
        <w:tc>
          <w:tcPr>
            <w:tcW w:w="914" w:type="dxa"/>
            <w:hideMark/>
          </w:tcPr>
          <w:p w14:paraId="5CAE369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29,517</w:t>
            </w:r>
          </w:p>
        </w:tc>
      </w:tr>
      <w:tr w:rsidR="007D2325" w:rsidRPr="007D2325" w14:paraId="46CB6461" w14:textId="77777777" w:rsidTr="00906968">
        <w:trPr>
          <w:trHeight w:val="284"/>
        </w:trPr>
        <w:tc>
          <w:tcPr>
            <w:tcW w:w="2115" w:type="dxa"/>
            <w:hideMark/>
          </w:tcPr>
          <w:p w14:paraId="175D928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Rumbalara Aboriginal Co-Operative Limited</w:t>
            </w:r>
          </w:p>
        </w:tc>
        <w:tc>
          <w:tcPr>
            <w:tcW w:w="913" w:type="dxa"/>
            <w:hideMark/>
          </w:tcPr>
          <w:p w14:paraId="7BCA837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215</w:t>
            </w:r>
          </w:p>
        </w:tc>
        <w:tc>
          <w:tcPr>
            <w:tcW w:w="914" w:type="dxa"/>
            <w:hideMark/>
          </w:tcPr>
          <w:p w14:paraId="2322E1F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191</w:t>
            </w:r>
          </w:p>
        </w:tc>
        <w:tc>
          <w:tcPr>
            <w:tcW w:w="914" w:type="dxa"/>
            <w:hideMark/>
          </w:tcPr>
          <w:p w14:paraId="0C44C51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855</w:t>
            </w:r>
          </w:p>
        </w:tc>
        <w:tc>
          <w:tcPr>
            <w:tcW w:w="914" w:type="dxa"/>
            <w:hideMark/>
          </w:tcPr>
          <w:p w14:paraId="4549A17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72</w:t>
            </w:r>
          </w:p>
        </w:tc>
        <w:tc>
          <w:tcPr>
            <w:tcW w:w="914" w:type="dxa"/>
            <w:hideMark/>
          </w:tcPr>
          <w:p w14:paraId="34C49FE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535</w:t>
            </w:r>
          </w:p>
        </w:tc>
        <w:tc>
          <w:tcPr>
            <w:tcW w:w="914" w:type="dxa"/>
            <w:hideMark/>
          </w:tcPr>
          <w:p w14:paraId="7637784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90DEBF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1,869</w:t>
            </w:r>
          </w:p>
        </w:tc>
        <w:tc>
          <w:tcPr>
            <w:tcW w:w="914" w:type="dxa"/>
            <w:hideMark/>
          </w:tcPr>
          <w:p w14:paraId="3622818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220</w:t>
            </w:r>
          </w:p>
        </w:tc>
        <w:tc>
          <w:tcPr>
            <w:tcW w:w="914" w:type="dxa"/>
            <w:hideMark/>
          </w:tcPr>
          <w:p w14:paraId="64CF07B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275</w:t>
            </w:r>
          </w:p>
        </w:tc>
        <w:tc>
          <w:tcPr>
            <w:tcW w:w="914" w:type="dxa"/>
            <w:hideMark/>
          </w:tcPr>
          <w:p w14:paraId="756870E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877</w:t>
            </w:r>
          </w:p>
        </w:tc>
        <w:tc>
          <w:tcPr>
            <w:tcW w:w="914" w:type="dxa"/>
            <w:hideMark/>
          </w:tcPr>
          <w:p w14:paraId="42C0B4F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74</w:t>
            </w:r>
          </w:p>
        </w:tc>
        <w:tc>
          <w:tcPr>
            <w:tcW w:w="914" w:type="dxa"/>
            <w:hideMark/>
          </w:tcPr>
          <w:p w14:paraId="75EC7B5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1,521</w:t>
            </w:r>
          </w:p>
        </w:tc>
        <w:tc>
          <w:tcPr>
            <w:tcW w:w="914" w:type="dxa"/>
            <w:hideMark/>
          </w:tcPr>
          <w:p w14:paraId="0C45B21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8CE20C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2,968</w:t>
            </w:r>
          </w:p>
        </w:tc>
      </w:tr>
      <w:tr w:rsidR="007D2325" w:rsidRPr="007D2325" w14:paraId="71420850" w14:textId="77777777" w:rsidTr="00906968">
        <w:trPr>
          <w:trHeight w:val="284"/>
        </w:trPr>
        <w:tc>
          <w:tcPr>
            <w:tcW w:w="2115" w:type="dxa"/>
            <w:hideMark/>
          </w:tcPr>
          <w:p w14:paraId="03D6B60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Rural Workforce Agency, Victoria Limited</w:t>
            </w:r>
          </w:p>
        </w:tc>
        <w:tc>
          <w:tcPr>
            <w:tcW w:w="913" w:type="dxa"/>
            <w:hideMark/>
          </w:tcPr>
          <w:p w14:paraId="5F120D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548</w:t>
            </w:r>
          </w:p>
        </w:tc>
        <w:tc>
          <w:tcPr>
            <w:tcW w:w="914" w:type="dxa"/>
            <w:hideMark/>
          </w:tcPr>
          <w:p w14:paraId="52A6451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FB60C2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5FD0A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2,640</w:t>
            </w:r>
          </w:p>
        </w:tc>
        <w:tc>
          <w:tcPr>
            <w:tcW w:w="914" w:type="dxa"/>
            <w:hideMark/>
          </w:tcPr>
          <w:p w14:paraId="279679D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2CCA70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30E92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3,188</w:t>
            </w:r>
          </w:p>
        </w:tc>
        <w:tc>
          <w:tcPr>
            <w:tcW w:w="914" w:type="dxa"/>
            <w:hideMark/>
          </w:tcPr>
          <w:p w14:paraId="3F6C36D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995</w:t>
            </w:r>
          </w:p>
        </w:tc>
        <w:tc>
          <w:tcPr>
            <w:tcW w:w="914" w:type="dxa"/>
            <w:hideMark/>
          </w:tcPr>
          <w:p w14:paraId="35806AC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A8D7F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7292C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1,225</w:t>
            </w:r>
          </w:p>
        </w:tc>
        <w:tc>
          <w:tcPr>
            <w:tcW w:w="914" w:type="dxa"/>
            <w:hideMark/>
          </w:tcPr>
          <w:p w14:paraId="6376902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85CFA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67D556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2,220</w:t>
            </w:r>
          </w:p>
        </w:tc>
      </w:tr>
      <w:tr w:rsidR="007D2325" w:rsidRPr="007D2325" w14:paraId="42068776" w14:textId="77777777" w:rsidTr="00906968">
        <w:trPr>
          <w:trHeight w:val="284"/>
        </w:trPr>
        <w:tc>
          <w:tcPr>
            <w:tcW w:w="2115" w:type="dxa"/>
            <w:hideMark/>
          </w:tcPr>
          <w:p w14:paraId="0D45D23D"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Sacred Heart Mission Inc.</w:t>
            </w:r>
          </w:p>
        </w:tc>
        <w:tc>
          <w:tcPr>
            <w:tcW w:w="913" w:type="dxa"/>
            <w:hideMark/>
          </w:tcPr>
          <w:p w14:paraId="4A9F144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DA92E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516</w:t>
            </w:r>
          </w:p>
        </w:tc>
        <w:tc>
          <w:tcPr>
            <w:tcW w:w="914" w:type="dxa"/>
            <w:hideMark/>
          </w:tcPr>
          <w:p w14:paraId="0342AC5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FD977B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1,475</w:t>
            </w:r>
          </w:p>
        </w:tc>
        <w:tc>
          <w:tcPr>
            <w:tcW w:w="914" w:type="dxa"/>
            <w:hideMark/>
          </w:tcPr>
          <w:p w14:paraId="44D19A1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8115E9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D659DF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1,992</w:t>
            </w:r>
          </w:p>
        </w:tc>
        <w:tc>
          <w:tcPr>
            <w:tcW w:w="914" w:type="dxa"/>
            <w:hideMark/>
          </w:tcPr>
          <w:p w14:paraId="0E69FCE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17DA2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582</w:t>
            </w:r>
          </w:p>
        </w:tc>
        <w:tc>
          <w:tcPr>
            <w:tcW w:w="914" w:type="dxa"/>
            <w:hideMark/>
          </w:tcPr>
          <w:p w14:paraId="1519A2E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8C28E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1,513</w:t>
            </w:r>
          </w:p>
        </w:tc>
        <w:tc>
          <w:tcPr>
            <w:tcW w:w="914" w:type="dxa"/>
            <w:hideMark/>
          </w:tcPr>
          <w:p w14:paraId="0308FD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AFF844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782DA8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2,095</w:t>
            </w:r>
          </w:p>
        </w:tc>
      </w:tr>
      <w:tr w:rsidR="007D2325" w:rsidRPr="007D2325" w14:paraId="3C857FD3" w14:textId="77777777" w:rsidTr="00906968">
        <w:trPr>
          <w:trHeight w:val="284"/>
        </w:trPr>
        <w:tc>
          <w:tcPr>
            <w:tcW w:w="2115" w:type="dxa"/>
            <w:hideMark/>
          </w:tcPr>
          <w:p w14:paraId="0F879250"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Self Help Addiction Resource Centre Inc</w:t>
            </w:r>
          </w:p>
        </w:tc>
        <w:tc>
          <w:tcPr>
            <w:tcW w:w="913" w:type="dxa"/>
            <w:hideMark/>
          </w:tcPr>
          <w:p w14:paraId="5F04CED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800EC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9C2FD9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853</w:t>
            </w:r>
          </w:p>
        </w:tc>
        <w:tc>
          <w:tcPr>
            <w:tcW w:w="914" w:type="dxa"/>
            <w:hideMark/>
          </w:tcPr>
          <w:p w14:paraId="1887973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2,433</w:t>
            </w:r>
          </w:p>
        </w:tc>
        <w:tc>
          <w:tcPr>
            <w:tcW w:w="914" w:type="dxa"/>
            <w:hideMark/>
          </w:tcPr>
          <w:p w14:paraId="24C21C5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5C6D26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782C99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3,285</w:t>
            </w:r>
          </w:p>
        </w:tc>
        <w:tc>
          <w:tcPr>
            <w:tcW w:w="914" w:type="dxa"/>
            <w:hideMark/>
          </w:tcPr>
          <w:p w14:paraId="6F7C1EE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7B9C88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D4DAED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874</w:t>
            </w:r>
          </w:p>
        </w:tc>
        <w:tc>
          <w:tcPr>
            <w:tcW w:w="914" w:type="dxa"/>
            <w:hideMark/>
          </w:tcPr>
          <w:p w14:paraId="28394DD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509</w:t>
            </w:r>
          </w:p>
        </w:tc>
        <w:tc>
          <w:tcPr>
            <w:tcW w:w="914" w:type="dxa"/>
            <w:hideMark/>
          </w:tcPr>
          <w:p w14:paraId="396CF6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43A20F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510472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1,384</w:t>
            </w:r>
          </w:p>
        </w:tc>
      </w:tr>
      <w:tr w:rsidR="007D2325" w:rsidRPr="007D2325" w14:paraId="61AF0E58" w14:textId="77777777" w:rsidTr="00906968">
        <w:trPr>
          <w:trHeight w:val="284"/>
        </w:trPr>
        <w:tc>
          <w:tcPr>
            <w:tcW w:w="2115" w:type="dxa"/>
            <w:hideMark/>
          </w:tcPr>
          <w:p w14:paraId="68859C63"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Spiritual Health Victoria Incorporated</w:t>
            </w:r>
          </w:p>
        </w:tc>
        <w:tc>
          <w:tcPr>
            <w:tcW w:w="913" w:type="dxa"/>
            <w:hideMark/>
          </w:tcPr>
          <w:p w14:paraId="68CD80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1,354</w:t>
            </w:r>
          </w:p>
        </w:tc>
        <w:tc>
          <w:tcPr>
            <w:tcW w:w="914" w:type="dxa"/>
            <w:hideMark/>
          </w:tcPr>
          <w:p w14:paraId="2ED69F7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AB1777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5420AF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AC939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4A7794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7E455B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1,354</w:t>
            </w:r>
          </w:p>
        </w:tc>
        <w:tc>
          <w:tcPr>
            <w:tcW w:w="914" w:type="dxa"/>
            <w:hideMark/>
          </w:tcPr>
          <w:p w14:paraId="5DB8F47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B867E4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1A71A8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2B0568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F42B1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F261E7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46AD66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0</w:t>
            </w:r>
          </w:p>
        </w:tc>
      </w:tr>
      <w:tr w:rsidR="007D2325" w:rsidRPr="007D2325" w14:paraId="3FB3862A" w14:textId="77777777" w:rsidTr="00906968">
        <w:trPr>
          <w:trHeight w:val="284"/>
        </w:trPr>
        <w:tc>
          <w:tcPr>
            <w:tcW w:w="2115" w:type="dxa"/>
            <w:hideMark/>
          </w:tcPr>
          <w:p w14:paraId="13C62E46"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Tandem Inc</w:t>
            </w:r>
          </w:p>
        </w:tc>
        <w:tc>
          <w:tcPr>
            <w:tcW w:w="913" w:type="dxa"/>
            <w:hideMark/>
          </w:tcPr>
          <w:p w14:paraId="34E9E0E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B662E4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A0B09C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82EDE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7,077</w:t>
            </w:r>
          </w:p>
        </w:tc>
        <w:tc>
          <w:tcPr>
            <w:tcW w:w="914" w:type="dxa"/>
            <w:hideMark/>
          </w:tcPr>
          <w:p w14:paraId="6DEDDC9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934314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25308B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7,077</w:t>
            </w:r>
          </w:p>
        </w:tc>
        <w:tc>
          <w:tcPr>
            <w:tcW w:w="914" w:type="dxa"/>
            <w:hideMark/>
          </w:tcPr>
          <w:p w14:paraId="06816C5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E25C04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94E8E5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5B7163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7,069</w:t>
            </w:r>
          </w:p>
        </w:tc>
        <w:tc>
          <w:tcPr>
            <w:tcW w:w="914" w:type="dxa"/>
            <w:hideMark/>
          </w:tcPr>
          <w:p w14:paraId="6BDD07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714A0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A31486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7,069</w:t>
            </w:r>
          </w:p>
        </w:tc>
      </w:tr>
      <w:tr w:rsidR="007D2325" w:rsidRPr="007D2325" w14:paraId="408B0C0D" w14:textId="77777777" w:rsidTr="00906968">
        <w:trPr>
          <w:trHeight w:val="284"/>
        </w:trPr>
        <w:tc>
          <w:tcPr>
            <w:tcW w:w="2115" w:type="dxa"/>
            <w:hideMark/>
          </w:tcPr>
          <w:p w14:paraId="652EBE9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Task Force Community Agency Inc</w:t>
            </w:r>
          </w:p>
        </w:tc>
        <w:tc>
          <w:tcPr>
            <w:tcW w:w="913" w:type="dxa"/>
            <w:hideMark/>
          </w:tcPr>
          <w:p w14:paraId="4D519B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EBB6A7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F00B8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3,734</w:t>
            </w:r>
          </w:p>
        </w:tc>
        <w:tc>
          <w:tcPr>
            <w:tcW w:w="914" w:type="dxa"/>
            <w:hideMark/>
          </w:tcPr>
          <w:p w14:paraId="41F7320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34622C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4B14B5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0A5208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3,734</w:t>
            </w:r>
          </w:p>
        </w:tc>
        <w:tc>
          <w:tcPr>
            <w:tcW w:w="914" w:type="dxa"/>
            <w:hideMark/>
          </w:tcPr>
          <w:p w14:paraId="69DDAAB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7EA255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A82B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3,823</w:t>
            </w:r>
          </w:p>
        </w:tc>
        <w:tc>
          <w:tcPr>
            <w:tcW w:w="914" w:type="dxa"/>
            <w:hideMark/>
          </w:tcPr>
          <w:p w14:paraId="0A8DB88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9EC5EF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C0420B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567F76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3,823</w:t>
            </w:r>
          </w:p>
        </w:tc>
      </w:tr>
      <w:tr w:rsidR="007D2325" w:rsidRPr="007D2325" w14:paraId="65AC09EB" w14:textId="77777777" w:rsidTr="00906968">
        <w:trPr>
          <w:trHeight w:val="284"/>
        </w:trPr>
        <w:tc>
          <w:tcPr>
            <w:tcW w:w="2115" w:type="dxa"/>
            <w:hideMark/>
          </w:tcPr>
          <w:p w14:paraId="315A1C33"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The Australian Nutrition Foundation-Victorian Division Inc.</w:t>
            </w:r>
          </w:p>
        </w:tc>
        <w:tc>
          <w:tcPr>
            <w:tcW w:w="913" w:type="dxa"/>
            <w:hideMark/>
          </w:tcPr>
          <w:p w14:paraId="68F8A35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59E75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20D4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5968C6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9422C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D0624D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1,261</w:t>
            </w:r>
          </w:p>
        </w:tc>
        <w:tc>
          <w:tcPr>
            <w:tcW w:w="914" w:type="dxa"/>
            <w:hideMark/>
          </w:tcPr>
          <w:p w14:paraId="2FBF7CE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1,261</w:t>
            </w:r>
          </w:p>
        </w:tc>
        <w:tc>
          <w:tcPr>
            <w:tcW w:w="914" w:type="dxa"/>
            <w:hideMark/>
          </w:tcPr>
          <w:p w14:paraId="6027AA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BED88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0863FE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4DB6D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56B31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C4AE04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1,293</w:t>
            </w:r>
          </w:p>
        </w:tc>
        <w:tc>
          <w:tcPr>
            <w:tcW w:w="914" w:type="dxa"/>
            <w:hideMark/>
          </w:tcPr>
          <w:p w14:paraId="3F8B7FA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1,293</w:t>
            </w:r>
          </w:p>
        </w:tc>
      </w:tr>
      <w:tr w:rsidR="007D2325" w:rsidRPr="007D2325" w14:paraId="0E103CB6" w14:textId="77777777" w:rsidTr="00906968">
        <w:trPr>
          <w:trHeight w:val="284"/>
        </w:trPr>
        <w:tc>
          <w:tcPr>
            <w:tcW w:w="2115" w:type="dxa"/>
            <w:hideMark/>
          </w:tcPr>
          <w:p w14:paraId="140572B0"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The Goulburn Valley Hospice Care Service Inc</w:t>
            </w:r>
          </w:p>
        </w:tc>
        <w:tc>
          <w:tcPr>
            <w:tcW w:w="913" w:type="dxa"/>
            <w:hideMark/>
          </w:tcPr>
          <w:p w14:paraId="300D762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1,809</w:t>
            </w:r>
          </w:p>
        </w:tc>
        <w:tc>
          <w:tcPr>
            <w:tcW w:w="914" w:type="dxa"/>
            <w:hideMark/>
          </w:tcPr>
          <w:p w14:paraId="0F7A49B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16B27B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6DF1B0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81BBD7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B3F8E3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03F989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1,809</w:t>
            </w:r>
          </w:p>
        </w:tc>
        <w:tc>
          <w:tcPr>
            <w:tcW w:w="914" w:type="dxa"/>
            <w:hideMark/>
          </w:tcPr>
          <w:p w14:paraId="32CEA79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1,851</w:t>
            </w:r>
          </w:p>
        </w:tc>
        <w:tc>
          <w:tcPr>
            <w:tcW w:w="914" w:type="dxa"/>
            <w:hideMark/>
          </w:tcPr>
          <w:p w14:paraId="3CFF01B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DF1075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2B29FB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9A621E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56F360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679146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1,851</w:t>
            </w:r>
          </w:p>
        </w:tc>
      </w:tr>
      <w:tr w:rsidR="007D2325" w:rsidRPr="007D2325" w14:paraId="2D39F6CF" w14:textId="77777777" w:rsidTr="00906968">
        <w:trPr>
          <w:trHeight w:val="284"/>
        </w:trPr>
        <w:tc>
          <w:tcPr>
            <w:tcW w:w="2115" w:type="dxa"/>
            <w:hideMark/>
          </w:tcPr>
          <w:p w14:paraId="1FF5D9AD"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The Salvation Army (Victoria) Property Trust</w:t>
            </w:r>
          </w:p>
        </w:tc>
        <w:tc>
          <w:tcPr>
            <w:tcW w:w="913" w:type="dxa"/>
            <w:hideMark/>
          </w:tcPr>
          <w:p w14:paraId="35AC873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CCC3E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3,100</w:t>
            </w:r>
          </w:p>
        </w:tc>
        <w:tc>
          <w:tcPr>
            <w:tcW w:w="914" w:type="dxa"/>
            <w:hideMark/>
          </w:tcPr>
          <w:p w14:paraId="6884CDE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12,562</w:t>
            </w:r>
          </w:p>
        </w:tc>
        <w:tc>
          <w:tcPr>
            <w:tcW w:w="914" w:type="dxa"/>
            <w:hideMark/>
          </w:tcPr>
          <w:p w14:paraId="49DC3EA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192</w:t>
            </w:r>
          </w:p>
        </w:tc>
        <w:tc>
          <w:tcPr>
            <w:tcW w:w="914" w:type="dxa"/>
            <w:hideMark/>
          </w:tcPr>
          <w:p w14:paraId="215D8DA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D0FFD7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97C524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15,854</w:t>
            </w:r>
          </w:p>
        </w:tc>
        <w:tc>
          <w:tcPr>
            <w:tcW w:w="914" w:type="dxa"/>
            <w:hideMark/>
          </w:tcPr>
          <w:p w14:paraId="016CDAD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141F4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3,175</w:t>
            </w:r>
          </w:p>
        </w:tc>
        <w:tc>
          <w:tcPr>
            <w:tcW w:w="914" w:type="dxa"/>
            <w:hideMark/>
          </w:tcPr>
          <w:p w14:paraId="4701CBD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13,886</w:t>
            </w:r>
          </w:p>
        </w:tc>
        <w:tc>
          <w:tcPr>
            <w:tcW w:w="914" w:type="dxa"/>
            <w:hideMark/>
          </w:tcPr>
          <w:p w14:paraId="2AF556D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262</w:t>
            </w:r>
          </w:p>
        </w:tc>
        <w:tc>
          <w:tcPr>
            <w:tcW w:w="914" w:type="dxa"/>
            <w:hideMark/>
          </w:tcPr>
          <w:p w14:paraId="2110386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500B1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7C6B5D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17,323</w:t>
            </w:r>
          </w:p>
        </w:tc>
      </w:tr>
      <w:tr w:rsidR="007D2325" w:rsidRPr="007D2325" w14:paraId="37C22699" w14:textId="77777777" w:rsidTr="00906968">
        <w:trPr>
          <w:trHeight w:val="284"/>
        </w:trPr>
        <w:tc>
          <w:tcPr>
            <w:tcW w:w="2115" w:type="dxa"/>
            <w:hideMark/>
          </w:tcPr>
          <w:p w14:paraId="23BE1B8C"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The University Of Melbourne</w:t>
            </w:r>
          </w:p>
        </w:tc>
        <w:tc>
          <w:tcPr>
            <w:tcW w:w="913" w:type="dxa"/>
            <w:hideMark/>
          </w:tcPr>
          <w:p w14:paraId="4F33941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3,267</w:t>
            </w:r>
          </w:p>
        </w:tc>
        <w:tc>
          <w:tcPr>
            <w:tcW w:w="914" w:type="dxa"/>
            <w:hideMark/>
          </w:tcPr>
          <w:p w14:paraId="08C5F69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D92322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C9B1BE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2,855</w:t>
            </w:r>
          </w:p>
        </w:tc>
        <w:tc>
          <w:tcPr>
            <w:tcW w:w="914" w:type="dxa"/>
            <w:hideMark/>
          </w:tcPr>
          <w:p w14:paraId="458AFC1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267</w:t>
            </w:r>
          </w:p>
        </w:tc>
        <w:tc>
          <w:tcPr>
            <w:tcW w:w="914" w:type="dxa"/>
            <w:hideMark/>
          </w:tcPr>
          <w:p w14:paraId="7FF5992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8,092</w:t>
            </w:r>
          </w:p>
        </w:tc>
        <w:tc>
          <w:tcPr>
            <w:tcW w:w="914" w:type="dxa"/>
            <w:hideMark/>
          </w:tcPr>
          <w:p w14:paraId="0C02549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14,481</w:t>
            </w:r>
          </w:p>
        </w:tc>
        <w:tc>
          <w:tcPr>
            <w:tcW w:w="914" w:type="dxa"/>
            <w:hideMark/>
          </w:tcPr>
          <w:p w14:paraId="5074582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2,008</w:t>
            </w:r>
          </w:p>
        </w:tc>
        <w:tc>
          <w:tcPr>
            <w:tcW w:w="914" w:type="dxa"/>
            <w:hideMark/>
          </w:tcPr>
          <w:p w14:paraId="1A66E9E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928D21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E10572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2,921</w:t>
            </w:r>
          </w:p>
        </w:tc>
        <w:tc>
          <w:tcPr>
            <w:tcW w:w="914" w:type="dxa"/>
            <w:hideMark/>
          </w:tcPr>
          <w:p w14:paraId="43ED5AC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273</w:t>
            </w:r>
          </w:p>
        </w:tc>
        <w:tc>
          <w:tcPr>
            <w:tcW w:w="914" w:type="dxa"/>
            <w:hideMark/>
          </w:tcPr>
          <w:p w14:paraId="03BF45D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8,759</w:t>
            </w:r>
          </w:p>
        </w:tc>
        <w:tc>
          <w:tcPr>
            <w:tcW w:w="914" w:type="dxa"/>
            <w:hideMark/>
          </w:tcPr>
          <w:p w14:paraId="5BE693D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13,961</w:t>
            </w:r>
          </w:p>
        </w:tc>
      </w:tr>
      <w:tr w:rsidR="007D2325" w:rsidRPr="007D2325" w14:paraId="37062953" w14:textId="77777777" w:rsidTr="00906968">
        <w:trPr>
          <w:trHeight w:val="284"/>
        </w:trPr>
        <w:tc>
          <w:tcPr>
            <w:tcW w:w="2115" w:type="dxa"/>
            <w:hideMark/>
          </w:tcPr>
          <w:p w14:paraId="2E4F9BB7"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The Victorian Foundation For Survivors Of Torture Inc</w:t>
            </w:r>
          </w:p>
        </w:tc>
        <w:tc>
          <w:tcPr>
            <w:tcW w:w="913" w:type="dxa"/>
            <w:hideMark/>
          </w:tcPr>
          <w:p w14:paraId="3F15970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A50597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785D7B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4B26AD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2,725</w:t>
            </w:r>
          </w:p>
        </w:tc>
        <w:tc>
          <w:tcPr>
            <w:tcW w:w="914" w:type="dxa"/>
            <w:hideMark/>
          </w:tcPr>
          <w:p w14:paraId="6BBA8E2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2,203</w:t>
            </w:r>
          </w:p>
        </w:tc>
        <w:tc>
          <w:tcPr>
            <w:tcW w:w="914" w:type="dxa"/>
            <w:hideMark/>
          </w:tcPr>
          <w:p w14:paraId="6EEB6CC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8B880E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4,928</w:t>
            </w:r>
          </w:p>
        </w:tc>
        <w:tc>
          <w:tcPr>
            <w:tcW w:w="914" w:type="dxa"/>
            <w:hideMark/>
          </w:tcPr>
          <w:p w14:paraId="3935244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6BECC1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0A906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F7486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2,322</w:t>
            </w:r>
          </w:p>
        </w:tc>
        <w:tc>
          <w:tcPr>
            <w:tcW w:w="914" w:type="dxa"/>
            <w:hideMark/>
          </w:tcPr>
          <w:p w14:paraId="044C86C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2,253</w:t>
            </w:r>
          </w:p>
        </w:tc>
        <w:tc>
          <w:tcPr>
            <w:tcW w:w="914" w:type="dxa"/>
            <w:hideMark/>
          </w:tcPr>
          <w:p w14:paraId="06DB41A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471A651"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4,575</w:t>
            </w:r>
          </w:p>
        </w:tc>
      </w:tr>
      <w:tr w:rsidR="007D2325" w:rsidRPr="007D2325" w14:paraId="59FE9F2A" w14:textId="77777777" w:rsidTr="00906968">
        <w:trPr>
          <w:trHeight w:val="284"/>
        </w:trPr>
        <w:tc>
          <w:tcPr>
            <w:tcW w:w="2115" w:type="dxa"/>
            <w:hideMark/>
          </w:tcPr>
          <w:p w14:paraId="026C1BF7"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Uniting Agewell Victoria</w:t>
            </w:r>
          </w:p>
        </w:tc>
        <w:tc>
          <w:tcPr>
            <w:tcW w:w="913" w:type="dxa"/>
            <w:hideMark/>
          </w:tcPr>
          <w:p w14:paraId="087978C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71BE81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1,275</w:t>
            </w:r>
          </w:p>
        </w:tc>
        <w:tc>
          <w:tcPr>
            <w:tcW w:w="914" w:type="dxa"/>
            <w:hideMark/>
          </w:tcPr>
          <w:p w14:paraId="44A31A0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02B4AA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DAB72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CB1945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394650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1,275</w:t>
            </w:r>
          </w:p>
        </w:tc>
        <w:tc>
          <w:tcPr>
            <w:tcW w:w="914" w:type="dxa"/>
            <w:hideMark/>
          </w:tcPr>
          <w:p w14:paraId="2EF5C4B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589942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1,305</w:t>
            </w:r>
          </w:p>
        </w:tc>
        <w:tc>
          <w:tcPr>
            <w:tcW w:w="914" w:type="dxa"/>
            <w:hideMark/>
          </w:tcPr>
          <w:p w14:paraId="2A04671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5F2D00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F23F9C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2333C7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2A25E0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1,305</w:t>
            </w:r>
          </w:p>
        </w:tc>
      </w:tr>
      <w:tr w:rsidR="007D2325" w:rsidRPr="007D2325" w14:paraId="5D3E013E" w14:textId="77777777" w:rsidTr="00906968">
        <w:trPr>
          <w:trHeight w:val="284"/>
        </w:trPr>
        <w:tc>
          <w:tcPr>
            <w:tcW w:w="2115" w:type="dxa"/>
            <w:hideMark/>
          </w:tcPr>
          <w:p w14:paraId="182D001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Very Special Kids</w:t>
            </w:r>
          </w:p>
        </w:tc>
        <w:tc>
          <w:tcPr>
            <w:tcW w:w="913" w:type="dxa"/>
            <w:hideMark/>
          </w:tcPr>
          <w:p w14:paraId="1168AF5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2,238</w:t>
            </w:r>
          </w:p>
        </w:tc>
        <w:tc>
          <w:tcPr>
            <w:tcW w:w="914" w:type="dxa"/>
            <w:hideMark/>
          </w:tcPr>
          <w:p w14:paraId="781C9A8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C608CF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F0D10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32D24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FBA13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09D7FB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2,238</w:t>
            </w:r>
          </w:p>
        </w:tc>
        <w:tc>
          <w:tcPr>
            <w:tcW w:w="914" w:type="dxa"/>
            <w:hideMark/>
          </w:tcPr>
          <w:p w14:paraId="353A63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2,290</w:t>
            </w:r>
          </w:p>
        </w:tc>
        <w:tc>
          <w:tcPr>
            <w:tcW w:w="914" w:type="dxa"/>
            <w:hideMark/>
          </w:tcPr>
          <w:p w14:paraId="1C0DF0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DCBC87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D64BC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2682B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D71638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204CD2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2,290</w:t>
            </w:r>
          </w:p>
        </w:tc>
      </w:tr>
      <w:tr w:rsidR="007D2325" w:rsidRPr="007D2325" w14:paraId="73280D3E" w14:textId="77777777" w:rsidTr="00906968">
        <w:trPr>
          <w:trHeight w:val="284"/>
        </w:trPr>
        <w:tc>
          <w:tcPr>
            <w:tcW w:w="2115" w:type="dxa"/>
            <w:hideMark/>
          </w:tcPr>
          <w:p w14:paraId="2EC27F57"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 Legal Aid</w:t>
            </w:r>
          </w:p>
        </w:tc>
        <w:tc>
          <w:tcPr>
            <w:tcW w:w="913" w:type="dxa"/>
            <w:hideMark/>
          </w:tcPr>
          <w:p w14:paraId="769C01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A039CD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A4F51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E5B5F6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2,923</w:t>
            </w:r>
          </w:p>
        </w:tc>
        <w:tc>
          <w:tcPr>
            <w:tcW w:w="914" w:type="dxa"/>
            <w:hideMark/>
          </w:tcPr>
          <w:p w14:paraId="4267C96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A696A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BEDCEB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2,923</w:t>
            </w:r>
          </w:p>
        </w:tc>
        <w:tc>
          <w:tcPr>
            <w:tcW w:w="914" w:type="dxa"/>
            <w:hideMark/>
          </w:tcPr>
          <w:p w14:paraId="1D204B1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AECF6D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FC64EE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5CDC1C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3,048</w:t>
            </w:r>
          </w:p>
        </w:tc>
        <w:tc>
          <w:tcPr>
            <w:tcW w:w="914" w:type="dxa"/>
            <w:hideMark/>
          </w:tcPr>
          <w:p w14:paraId="618F71E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12058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96C19D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3,048</w:t>
            </w:r>
          </w:p>
        </w:tc>
      </w:tr>
      <w:tr w:rsidR="007D2325" w:rsidRPr="007D2325" w14:paraId="260599A9" w14:textId="77777777" w:rsidTr="00906968">
        <w:trPr>
          <w:trHeight w:val="284"/>
        </w:trPr>
        <w:tc>
          <w:tcPr>
            <w:tcW w:w="2115" w:type="dxa"/>
            <w:hideMark/>
          </w:tcPr>
          <w:p w14:paraId="6290EFF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Victorian Aboriginal Community Controlled Health Organisation Inc</w:t>
            </w:r>
          </w:p>
        </w:tc>
        <w:tc>
          <w:tcPr>
            <w:tcW w:w="913" w:type="dxa"/>
            <w:hideMark/>
          </w:tcPr>
          <w:p w14:paraId="6D51EA7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653</w:t>
            </w:r>
          </w:p>
        </w:tc>
        <w:tc>
          <w:tcPr>
            <w:tcW w:w="914" w:type="dxa"/>
            <w:hideMark/>
          </w:tcPr>
          <w:p w14:paraId="7A9C78A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159</w:t>
            </w:r>
          </w:p>
        </w:tc>
        <w:tc>
          <w:tcPr>
            <w:tcW w:w="914" w:type="dxa"/>
            <w:hideMark/>
          </w:tcPr>
          <w:p w14:paraId="5FCD52B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158</w:t>
            </w:r>
          </w:p>
        </w:tc>
        <w:tc>
          <w:tcPr>
            <w:tcW w:w="914" w:type="dxa"/>
            <w:hideMark/>
          </w:tcPr>
          <w:p w14:paraId="62EC262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396</w:t>
            </w:r>
          </w:p>
        </w:tc>
        <w:tc>
          <w:tcPr>
            <w:tcW w:w="914" w:type="dxa"/>
            <w:hideMark/>
          </w:tcPr>
          <w:p w14:paraId="18808BE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1,301</w:t>
            </w:r>
          </w:p>
        </w:tc>
        <w:tc>
          <w:tcPr>
            <w:tcW w:w="914" w:type="dxa"/>
            <w:hideMark/>
          </w:tcPr>
          <w:p w14:paraId="1684A9D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1,555</w:t>
            </w:r>
          </w:p>
        </w:tc>
        <w:tc>
          <w:tcPr>
            <w:tcW w:w="914" w:type="dxa"/>
            <w:hideMark/>
          </w:tcPr>
          <w:p w14:paraId="7A744D0E"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4,222</w:t>
            </w:r>
          </w:p>
        </w:tc>
        <w:tc>
          <w:tcPr>
            <w:tcW w:w="914" w:type="dxa"/>
            <w:hideMark/>
          </w:tcPr>
          <w:p w14:paraId="5ABD1BE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670</w:t>
            </w:r>
          </w:p>
        </w:tc>
        <w:tc>
          <w:tcPr>
            <w:tcW w:w="914" w:type="dxa"/>
            <w:hideMark/>
          </w:tcPr>
          <w:p w14:paraId="23E3621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163</w:t>
            </w:r>
          </w:p>
        </w:tc>
        <w:tc>
          <w:tcPr>
            <w:tcW w:w="914" w:type="dxa"/>
            <w:hideMark/>
          </w:tcPr>
          <w:p w14:paraId="65365CD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162</w:t>
            </w:r>
          </w:p>
        </w:tc>
        <w:tc>
          <w:tcPr>
            <w:tcW w:w="914" w:type="dxa"/>
            <w:hideMark/>
          </w:tcPr>
          <w:p w14:paraId="7194EAE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406</w:t>
            </w:r>
          </w:p>
        </w:tc>
        <w:tc>
          <w:tcPr>
            <w:tcW w:w="914" w:type="dxa"/>
            <w:hideMark/>
          </w:tcPr>
          <w:p w14:paraId="7904028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3,384</w:t>
            </w:r>
          </w:p>
        </w:tc>
        <w:tc>
          <w:tcPr>
            <w:tcW w:w="914" w:type="dxa"/>
            <w:hideMark/>
          </w:tcPr>
          <w:p w14:paraId="29E286E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1,595</w:t>
            </w:r>
          </w:p>
        </w:tc>
        <w:tc>
          <w:tcPr>
            <w:tcW w:w="914" w:type="dxa"/>
            <w:hideMark/>
          </w:tcPr>
          <w:p w14:paraId="725E483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6,379</w:t>
            </w:r>
          </w:p>
        </w:tc>
      </w:tr>
      <w:tr w:rsidR="007D2325" w:rsidRPr="007D2325" w14:paraId="6E9D72CA" w14:textId="77777777" w:rsidTr="00906968">
        <w:trPr>
          <w:trHeight w:val="284"/>
        </w:trPr>
        <w:tc>
          <w:tcPr>
            <w:tcW w:w="2115" w:type="dxa"/>
            <w:hideMark/>
          </w:tcPr>
          <w:p w14:paraId="3FE4B20D"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Victorian Aboriginal Health Service Co-Operative Limited</w:t>
            </w:r>
          </w:p>
        </w:tc>
        <w:tc>
          <w:tcPr>
            <w:tcW w:w="913" w:type="dxa"/>
            <w:hideMark/>
          </w:tcPr>
          <w:p w14:paraId="438F656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269</w:t>
            </w:r>
          </w:p>
        </w:tc>
        <w:tc>
          <w:tcPr>
            <w:tcW w:w="914" w:type="dxa"/>
            <w:hideMark/>
          </w:tcPr>
          <w:p w14:paraId="6F32019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195</w:t>
            </w:r>
          </w:p>
        </w:tc>
        <w:tc>
          <w:tcPr>
            <w:tcW w:w="914" w:type="dxa"/>
            <w:hideMark/>
          </w:tcPr>
          <w:p w14:paraId="6C743AF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445</w:t>
            </w:r>
          </w:p>
        </w:tc>
        <w:tc>
          <w:tcPr>
            <w:tcW w:w="914" w:type="dxa"/>
            <w:hideMark/>
          </w:tcPr>
          <w:p w14:paraId="42074D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2,272</w:t>
            </w:r>
          </w:p>
        </w:tc>
        <w:tc>
          <w:tcPr>
            <w:tcW w:w="914" w:type="dxa"/>
            <w:hideMark/>
          </w:tcPr>
          <w:p w14:paraId="2D4762D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649</w:t>
            </w:r>
          </w:p>
        </w:tc>
        <w:tc>
          <w:tcPr>
            <w:tcW w:w="914" w:type="dxa"/>
            <w:hideMark/>
          </w:tcPr>
          <w:p w14:paraId="26A77E9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200</w:t>
            </w:r>
          </w:p>
        </w:tc>
        <w:tc>
          <w:tcPr>
            <w:tcW w:w="914" w:type="dxa"/>
            <w:hideMark/>
          </w:tcPr>
          <w:p w14:paraId="02B122D5"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4,030</w:t>
            </w:r>
          </w:p>
        </w:tc>
        <w:tc>
          <w:tcPr>
            <w:tcW w:w="914" w:type="dxa"/>
            <w:hideMark/>
          </w:tcPr>
          <w:p w14:paraId="6091F80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276</w:t>
            </w:r>
          </w:p>
        </w:tc>
        <w:tc>
          <w:tcPr>
            <w:tcW w:w="914" w:type="dxa"/>
            <w:hideMark/>
          </w:tcPr>
          <w:p w14:paraId="5AE51CA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200</w:t>
            </w:r>
          </w:p>
        </w:tc>
        <w:tc>
          <w:tcPr>
            <w:tcW w:w="914" w:type="dxa"/>
            <w:hideMark/>
          </w:tcPr>
          <w:p w14:paraId="22892A0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457</w:t>
            </w:r>
          </w:p>
        </w:tc>
        <w:tc>
          <w:tcPr>
            <w:tcW w:w="914" w:type="dxa"/>
            <w:hideMark/>
          </w:tcPr>
          <w:p w14:paraId="031E35F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2,330</w:t>
            </w:r>
          </w:p>
        </w:tc>
        <w:tc>
          <w:tcPr>
            <w:tcW w:w="914" w:type="dxa"/>
            <w:hideMark/>
          </w:tcPr>
          <w:p w14:paraId="390851D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1,433</w:t>
            </w:r>
          </w:p>
        </w:tc>
        <w:tc>
          <w:tcPr>
            <w:tcW w:w="914" w:type="dxa"/>
            <w:hideMark/>
          </w:tcPr>
          <w:p w14:paraId="0F397A0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205</w:t>
            </w:r>
          </w:p>
        </w:tc>
        <w:tc>
          <w:tcPr>
            <w:tcW w:w="914" w:type="dxa"/>
            <w:hideMark/>
          </w:tcPr>
          <w:p w14:paraId="2B0B613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4,901</w:t>
            </w:r>
          </w:p>
        </w:tc>
      </w:tr>
      <w:tr w:rsidR="007D2325" w:rsidRPr="007D2325" w14:paraId="70575CEE" w14:textId="77777777" w:rsidTr="00906968">
        <w:trPr>
          <w:trHeight w:val="284"/>
        </w:trPr>
        <w:tc>
          <w:tcPr>
            <w:tcW w:w="2115" w:type="dxa"/>
            <w:hideMark/>
          </w:tcPr>
          <w:p w14:paraId="29499A3B"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lastRenderedPageBreak/>
              <w:t>Victorian Aids Council Inc</w:t>
            </w:r>
          </w:p>
        </w:tc>
        <w:tc>
          <w:tcPr>
            <w:tcW w:w="913" w:type="dxa"/>
            <w:hideMark/>
          </w:tcPr>
          <w:p w14:paraId="07AEA42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DD048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704638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486</w:t>
            </w:r>
          </w:p>
        </w:tc>
        <w:tc>
          <w:tcPr>
            <w:tcW w:w="914" w:type="dxa"/>
            <w:hideMark/>
          </w:tcPr>
          <w:p w14:paraId="6E6ADE6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119</w:t>
            </w:r>
          </w:p>
        </w:tc>
        <w:tc>
          <w:tcPr>
            <w:tcW w:w="914" w:type="dxa"/>
            <w:hideMark/>
          </w:tcPr>
          <w:p w14:paraId="14E2DD4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E4FA7C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7,417</w:t>
            </w:r>
          </w:p>
        </w:tc>
        <w:tc>
          <w:tcPr>
            <w:tcW w:w="914" w:type="dxa"/>
            <w:hideMark/>
          </w:tcPr>
          <w:p w14:paraId="30E3BBC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8,023</w:t>
            </w:r>
          </w:p>
        </w:tc>
        <w:tc>
          <w:tcPr>
            <w:tcW w:w="914" w:type="dxa"/>
            <w:hideMark/>
          </w:tcPr>
          <w:p w14:paraId="2BA8B11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19F993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C60AE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499</w:t>
            </w:r>
          </w:p>
        </w:tc>
        <w:tc>
          <w:tcPr>
            <w:tcW w:w="914" w:type="dxa"/>
            <w:hideMark/>
          </w:tcPr>
          <w:p w14:paraId="629E238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122</w:t>
            </w:r>
          </w:p>
        </w:tc>
        <w:tc>
          <w:tcPr>
            <w:tcW w:w="914" w:type="dxa"/>
            <w:hideMark/>
          </w:tcPr>
          <w:p w14:paraId="67C5D9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C44F69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7,601</w:t>
            </w:r>
          </w:p>
        </w:tc>
        <w:tc>
          <w:tcPr>
            <w:tcW w:w="914" w:type="dxa"/>
            <w:hideMark/>
          </w:tcPr>
          <w:p w14:paraId="6CB4D4D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8,221</w:t>
            </w:r>
          </w:p>
        </w:tc>
      </w:tr>
      <w:tr w:rsidR="007D2325" w:rsidRPr="007D2325" w14:paraId="068B39C3" w14:textId="77777777" w:rsidTr="00906968">
        <w:trPr>
          <w:trHeight w:val="284"/>
        </w:trPr>
        <w:tc>
          <w:tcPr>
            <w:tcW w:w="2115" w:type="dxa"/>
            <w:hideMark/>
          </w:tcPr>
          <w:p w14:paraId="6295024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Victorian Assisted Reproductive Treatment Authority</w:t>
            </w:r>
          </w:p>
        </w:tc>
        <w:tc>
          <w:tcPr>
            <w:tcW w:w="913" w:type="dxa"/>
            <w:hideMark/>
          </w:tcPr>
          <w:p w14:paraId="09856CA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EA737F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01AAF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AD1B15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98C893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F7877B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1,702</w:t>
            </w:r>
          </w:p>
        </w:tc>
        <w:tc>
          <w:tcPr>
            <w:tcW w:w="914" w:type="dxa"/>
            <w:hideMark/>
          </w:tcPr>
          <w:p w14:paraId="3B96846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1,702</w:t>
            </w:r>
          </w:p>
        </w:tc>
        <w:tc>
          <w:tcPr>
            <w:tcW w:w="914" w:type="dxa"/>
            <w:hideMark/>
          </w:tcPr>
          <w:p w14:paraId="1862F94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800FA2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8A2F5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8480AA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ECCA86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C64DF5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1,745</w:t>
            </w:r>
          </w:p>
        </w:tc>
        <w:tc>
          <w:tcPr>
            <w:tcW w:w="914" w:type="dxa"/>
            <w:hideMark/>
          </w:tcPr>
          <w:p w14:paraId="14D9E74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1,745</w:t>
            </w:r>
          </w:p>
        </w:tc>
      </w:tr>
      <w:tr w:rsidR="007D2325" w:rsidRPr="007D2325" w14:paraId="24174D90" w14:textId="77777777" w:rsidTr="00906968">
        <w:trPr>
          <w:trHeight w:val="284"/>
        </w:trPr>
        <w:tc>
          <w:tcPr>
            <w:tcW w:w="2115" w:type="dxa"/>
            <w:hideMark/>
          </w:tcPr>
          <w:p w14:paraId="2633979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Victorian Clinical Genetics Services Limited</w:t>
            </w:r>
          </w:p>
        </w:tc>
        <w:tc>
          <w:tcPr>
            <w:tcW w:w="913" w:type="dxa"/>
            <w:hideMark/>
          </w:tcPr>
          <w:p w14:paraId="244AC2E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5,774</w:t>
            </w:r>
          </w:p>
        </w:tc>
        <w:tc>
          <w:tcPr>
            <w:tcW w:w="914" w:type="dxa"/>
            <w:hideMark/>
          </w:tcPr>
          <w:p w14:paraId="63243CA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038EFD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3553AD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BFCF2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47B137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2,397</w:t>
            </w:r>
          </w:p>
        </w:tc>
        <w:tc>
          <w:tcPr>
            <w:tcW w:w="914" w:type="dxa"/>
            <w:hideMark/>
          </w:tcPr>
          <w:p w14:paraId="70A67F3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8,171</w:t>
            </w:r>
          </w:p>
        </w:tc>
        <w:tc>
          <w:tcPr>
            <w:tcW w:w="914" w:type="dxa"/>
            <w:hideMark/>
          </w:tcPr>
          <w:p w14:paraId="3E6B49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5,288</w:t>
            </w:r>
          </w:p>
        </w:tc>
        <w:tc>
          <w:tcPr>
            <w:tcW w:w="914" w:type="dxa"/>
            <w:hideMark/>
          </w:tcPr>
          <w:p w14:paraId="34F5826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9998B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9BE3B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7CB56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848384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2,458</w:t>
            </w:r>
          </w:p>
        </w:tc>
        <w:tc>
          <w:tcPr>
            <w:tcW w:w="914" w:type="dxa"/>
            <w:hideMark/>
          </w:tcPr>
          <w:p w14:paraId="45A3483E"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7,746</w:t>
            </w:r>
          </w:p>
        </w:tc>
      </w:tr>
      <w:tr w:rsidR="007D2325" w:rsidRPr="007D2325" w14:paraId="5E52EFC9" w14:textId="77777777" w:rsidTr="00906968">
        <w:trPr>
          <w:trHeight w:val="284"/>
        </w:trPr>
        <w:tc>
          <w:tcPr>
            <w:tcW w:w="2115" w:type="dxa"/>
            <w:hideMark/>
          </w:tcPr>
          <w:p w14:paraId="2D075B6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Victorian Cytology Service Limited</w:t>
            </w:r>
          </w:p>
        </w:tc>
        <w:tc>
          <w:tcPr>
            <w:tcW w:w="913" w:type="dxa"/>
            <w:hideMark/>
          </w:tcPr>
          <w:p w14:paraId="0E49C92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FB664A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40878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9C219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C20FC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E4F2E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3,027</w:t>
            </w:r>
          </w:p>
        </w:tc>
        <w:tc>
          <w:tcPr>
            <w:tcW w:w="914" w:type="dxa"/>
            <w:hideMark/>
          </w:tcPr>
          <w:p w14:paraId="1E467F8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3,027</w:t>
            </w:r>
          </w:p>
        </w:tc>
        <w:tc>
          <w:tcPr>
            <w:tcW w:w="914" w:type="dxa"/>
            <w:hideMark/>
          </w:tcPr>
          <w:p w14:paraId="1198079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067C44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7E1E03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F64551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720E71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44D21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3,104</w:t>
            </w:r>
          </w:p>
        </w:tc>
        <w:tc>
          <w:tcPr>
            <w:tcW w:w="914" w:type="dxa"/>
            <w:hideMark/>
          </w:tcPr>
          <w:p w14:paraId="1E19C97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3,104</w:t>
            </w:r>
          </w:p>
        </w:tc>
      </w:tr>
      <w:tr w:rsidR="007D2325" w:rsidRPr="007D2325" w14:paraId="5A9E24EE" w14:textId="77777777" w:rsidTr="00906968">
        <w:trPr>
          <w:trHeight w:val="284"/>
        </w:trPr>
        <w:tc>
          <w:tcPr>
            <w:tcW w:w="2115" w:type="dxa"/>
            <w:hideMark/>
          </w:tcPr>
          <w:p w14:paraId="2EC5E124"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Victorian Health Promotion Foundation</w:t>
            </w:r>
          </w:p>
        </w:tc>
        <w:tc>
          <w:tcPr>
            <w:tcW w:w="913" w:type="dxa"/>
            <w:hideMark/>
          </w:tcPr>
          <w:p w14:paraId="785AE3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1E4818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64B108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8C70DF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76FE30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A642CC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42,138</w:t>
            </w:r>
          </w:p>
        </w:tc>
        <w:tc>
          <w:tcPr>
            <w:tcW w:w="914" w:type="dxa"/>
            <w:hideMark/>
          </w:tcPr>
          <w:p w14:paraId="301777FC"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42,138</w:t>
            </w:r>
          </w:p>
        </w:tc>
        <w:tc>
          <w:tcPr>
            <w:tcW w:w="914" w:type="dxa"/>
            <w:hideMark/>
          </w:tcPr>
          <w:p w14:paraId="0F62CB4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C1D164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EC26B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896FA0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30392F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B29400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43,209</w:t>
            </w:r>
          </w:p>
        </w:tc>
        <w:tc>
          <w:tcPr>
            <w:tcW w:w="914" w:type="dxa"/>
            <w:hideMark/>
          </w:tcPr>
          <w:p w14:paraId="288A3EF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43,209</w:t>
            </w:r>
          </w:p>
        </w:tc>
      </w:tr>
      <w:tr w:rsidR="007D2325" w:rsidRPr="007D2325" w14:paraId="60BA4AED" w14:textId="77777777" w:rsidTr="00906968">
        <w:trPr>
          <w:trHeight w:val="284"/>
        </w:trPr>
        <w:tc>
          <w:tcPr>
            <w:tcW w:w="2115" w:type="dxa"/>
            <w:hideMark/>
          </w:tcPr>
          <w:p w14:paraId="7FFB95D3"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Victorian Mental Illness Awareness Council Inc</w:t>
            </w:r>
          </w:p>
        </w:tc>
        <w:tc>
          <w:tcPr>
            <w:tcW w:w="913" w:type="dxa"/>
            <w:hideMark/>
          </w:tcPr>
          <w:p w14:paraId="71AFB7E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D2F540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BB6E65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2B0273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3,279</w:t>
            </w:r>
          </w:p>
        </w:tc>
        <w:tc>
          <w:tcPr>
            <w:tcW w:w="914" w:type="dxa"/>
            <w:hideMark/>
          </w:tcPr>
          <w:p w14:paraId="4ADD7A5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DAB442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E618EBE"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3,279</w:t>
            </w:r>
          </w:p>
        </w:tc>
        <w:tc>
          <w:tcPr>
            <w:tcW w:w="914" w:type="dxa"/>
            <w:hideMark/>
          </w:tcPr>
          <w:p w14:paraId="1FADBFF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7A9BE9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600B31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3E3613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2,961</w:t>
            </w:r>
          </w:p>
        </w:tc>
        <w:tc>
          <w:tcPr>
            <w:tcW w:w="914" w:type="dxa"/>
            <w:hideMark/>
          </w:tcPr>
          <w:p w14:paraId="1514FEC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17FE26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21E554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2,961</w:t>
            </w:r>
          </w:p>
        </w:tc>
      </w:tr>
      <w:tr w:rsidR="007D2325" w:rsidRPr="007D2325" w14:paraId="3713FE74" w14:textId="77777777" w:rsidTr="00906968">
        <w:trPr>
          <w:trHeight w:val="284"/>
        </w:trPr>
        <w:tc>
          <w:tcPr>
            <w:tcW w:w="2115" w:type="dxa"/>
            <w:hideMark/>
          </w:tcPr>
          <w:p w14:paraId="65D94089"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Vincentcare Victoria</w:t>
            </w:r>
          </w:p>
        </w:tc>
        <w:tc>
          <w:tcPr>
            <w:tcW w:w="913" w:type="dxa"/>
            <w:hideMark/>
          </w:tcPr>
          <w:p w14:paraId="5A8DC1D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B51B7B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1,169</w:t>
            </w:r>
          </w:p>
        </w:tc>
        <w:tc>
          <w:tcPr>
            <w:tcW w:w="914" w:type="dxa"/>
            <w:hideMark/>
          </w:tcPr>
          <w:p w14:paraId="590279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EF5FAD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DA4C3B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4F5843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9DD52E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1,169</w:t>
            </w:r>
          </w:p>
        </w:tc>
        <w:tc>
          <w:tcPr>
            <w:tcW w:w="914" w:type="dxa"/>
            <w:hideMark/>
          </w:tcPr>
          <w:p w14:paraId="5AC2082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0BF049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1,196</w:t>
            </w:r>
          </w:p>
        </w:tc>
        <w:tc>
          <w:tcPr>
            <w:tcW w:w="914" w:type="dxa"/>
            <w:hideMark/>
          </w:tcPr>
          <w:p w14:paraId="1B20524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201287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17A195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42A528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6ADDD6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1,196</w:t>
            </w:r>
          </w:p>
        </w:tc>
      </w:tr>
      <w:tr w:rsidR="007D2325" w:rsidRPr="007D2325" w14:paraId="02525BD4" w14:textId="77777777" w:rsidTr="00906968">
        <w:trPr>
          <w:trHeight w:val="284"/>
        </w:trPr>
        <w:tc>
          <w:tcPr>
            <w:tcW w:w="2115" w:type="dxa"/>
            <w:hideMark/>
          </w:tcPr>
          <w:p w14:paraId="151584E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Wathaurong Aboriginal Co-Operative Limited</w:t>
            </w:r>
          </w:p>
        </w:tc>
        <w:tc>
          <w:tcPr>
            <w:tcW w:w="913" w:type="dxa"/>
            <w:hideMark/>
          </w:tcPr>
          <w:p w14:paraId="759866C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263</w:t>
            </w:r>
          </w:p>
        </w:tc>
        <w:tc>
          <w:tcPr>
            <w:tcW w:w="914" w:type="dxa"/>
            <w:hideMark/>
          </w:tcPr>
          <w:p w14:paraId="72AD0BA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44</w:t>
            </w:r>
          </w:p>
        </w:tc>
        <w:tc>
          <w:tcPr>
            <w:tcW w:w="914" w:type="dxa"/>
            <w:hideMark/>
          </w:tcPr>
          <w:p w14:paraId="73A6156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309</w:t>
            </w:r>
          </w:p>
        </w:tc>
        <w:tc>
          <w:tcPr>
            <w:tcW w:w="914" w:type="dxa"/>
            <w:hideMark/>
          </w:tcPr>
          <w:p w14:paraId="4590391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231</w:t>
            </w:r>
          </w:p>
        </w:tc>
        <w:tc>
          <w:tcPr>
            <w:tcW w:w="914" w:type="dxa"/>
            <w:hideMark/>
          </w:tcPr>
          <w:p w14:paraId="48EAAFA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288</w:t>
            </w:r>
          </w:p>
        </w:tc>
        <w:tc>
          <w:tcPr>
            <w:tcW w:w="914" w:type="dxa"/>
            <w:hideMark/>
          </w:tcPr>
          <w:p w14:paraId="6E62398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9465E17"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1,136</w:t>
            </w:r>
          </w:p>
        </w:tc>
        <w:tc>
          <w:tcPr>
            <w:tcW w:w="914" w:type="dxa"/>
            <w:hideMark/>
          </w:tcPr>
          <w:p w14:paraId="2B94750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270</w:t>
            </w:r>
          </w:p>
        </w:tc>
        <w:tc>
          <w:tcPr>
            <w:tcW w:w="914" w:type="dxa"/>
            <w:hideMark/>
          </w:tcPr>
          <w:p w14:paraId="795AF4E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45</w:t>
            </w:r>
          </w:p>
        </w:tc>
        <w:tc>
          <w:tcPr>
            <w:tcW w:w="914" w:type="dxa"/>
            <w:hideMark/>
          </w:tcPr>
          <w:p w14:paraId="3172D7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317</w:t>
            </w:r>
          </w:p>
        </w:tc>
        <w:tc>
          <w:tcPr>
            <w:tcW w:w="914" w:type="dxa"/>
            <w:hideMark/>
          </w:tcPr>
          <w:p w14:paraId="1DD46E5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237</w:t>
            </w:r>
          </w:p>
        </w:tc>
        <w:tc>
          <w:tcPr>
            <w:tcW w:w="914" w:type="dxa"/>
            <w:hideMark/>
          </w:tcPr>
          <w:p w14:paraId="799A7F6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1,236</w:t>
            </w:r>
          </w:p>
        </w:tc>
        <w:tc>
          <w:tcPr>
            <w:tcW w:w="914" w:type="dxa"/>
            <w:hideMark/>
          </w:tcPr>
          <w:p w14:paraId="3716BDA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E75A546"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2,105</w:t>
            </w:r>
          </w:p>
        </w:tc>
      </w:tr>
      <w:tr w:rsidR="007D2325" w:rsidRPr="007D2325" w14:paraId="229FC0A7" w14:textId="77777777" w:rsidTr="00906968">
        <w:trPr>
          <w:trHeight w:val="284"/>
        </w:trPr>
        <w:tc>
          <w:tcPr>
            <w:tcW w:w="2115" w:type="dxa"/>
            <w:hideMark/>
          </w:tcPr>
          <w:p w14:paraId="2C998EFC"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Wellways Australia Limited</w:t>
            </w:r>
          </w:p>
        </w:tc>
        <w:tc>
          <w:tcPr>
            <w:tcW w:w="913" w:type="dxa"/>
            <w:hideMark/>
          </w:tcPr>
          <w:p w14:paraId="1A0F31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EB68D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82</w:t>
            </w:r>
          </w:p>
        </w:tc>
        <w:tc>
          <w:tcPr>
            <w:tcW w:w="914" w:type="dxa"/>
            <w:hideMark/>
          </w:tcPr>
          <w:p w14:paraId="09231DA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334BBE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5,801</w:t>
            </w:r>
          </w:p>
        </w:tc>
        <w:tc>
          <w:tcPr>
            <w:tcW w:w="914" w:type="dxa"/>
            <w:hideMark/>
          </w:tcPr>
          <w:p w14:paraId="39193D8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85AF94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519F55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5,883</w:t>
            </w:r>
          </w:p>
        </w:tc>
        <w:tc>
          <w:tcPr>
            <w:tcW w:w="914" w:type="dxa"/>
            <w:hideMark/>
          </w:tcPr>
          <w:p w14:paraId="7FE57D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1A8C4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84</w:t>
            </w:r>
          </w:p>
        </w:tc>
        <w:tc>
          <w:tcPr>
            <w:tcW w:w="914" w:type="dxa"/>
            <w:hideMark/>
          </w:tcPr>
          <w:p w14:paraId="6F848FE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908FE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5,948</w:t>
            </w:r>
          </w:p>
        </w:tc>
        <w:tc>
          <w:tcPr>
            <w:tcW w:w="914" w:type="dxa"/>
            <w:hideMark/>
          </w:tcPr>
          <w:p w14:paraId="03ED001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281E4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C1F94E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6,032</w:t>
            </w:r>
          </w:p>
        </w:tc>
      </w:tr>
      <w:tr w:rsidR="007D2325" w:rsidRPr="007D2325" w14:paraId="72BE411E" w14:textId="77777777" w:rsidTr="00906968">
        <w:trPr>
          <w:trHeight w:val="284"/>
        </w:trPr>
        <w:tc>
          <w:tcPr>
            <w:tcW w:w="2115" w:type="dxa"/>
            <w:hideMark/>
          </w:tcPr>
          <w:p w14:paraId="65AE87A1"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Wesley Mission Victoria</w:t>
            </w:r>
          </w:p>
        </w:tc>
        <w:tc>
          <w:tcPr>
            <w:tcW w:w="913" w:type="dxa"/>
            <w:hideMark/>
          </w:tcPr>
          <w:p w14:paraId="739617D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01D393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2,633</w:t>
            </w:r>
          </w:p>
        </w:tc>
        <w:tc>
          <w:tcPr>
            <w:tcW w:w="914" w:type="dxa"/>
            <w:hideMark/>
          </w:tcPr>
          <w:p w14:paraId="5C29EAE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22,897</w:t>
            </w:r>
          </w:p>
        </w:tc>
        <w:tc>
          <w:tcPr>
            <w:tcW w:w="914" w:type="dxa"/>
            <w:hideMark/>
          </w:tcPr>
          <w:p w14:paraId="4F25383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2,683</w:t>
            </w:r>
          </w:p>
        </w:tc>
        <w:tc>
          <w:tcPr>
            <w:tcW w:w="914" w:type="dxa"/>
            <w:hideMark/>
          </w:tcPr>
          <w:p w14:paraId="61E9AA4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C3771D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180AF8"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28,213</w:t>
            </w:r>
          </w:p>
        </w:tc>
        <w:tc>
          <w:tcPr>
            <w:tcW w:w="914" w:type="dxa"/>
            <w:hideMark/>
          </w:tcPr>
          <w:p w14:paraId="7369A43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6CD767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2,694</w:t>
            </w:r>
          </w:p>
        </w:tc>
        <w:tc>
          <w:tcPr>
            <w:tcW w:w="914" w:type="dxa"/>
            <w:hideMark/>
          </w:tcPr>
          <w:p w14:paraId="0346C51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23,390</w:t>
            </w:r>
          </w:p>
        </w:tc>
        <w:tc>
          <w:tcPr>
            <w:tcW w:w="914" w:type="dxa"/>
            <w:hideMark/>
          </w:tcPr>
          <w:p w14:paraId="4D04DC7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2,801</w:t>
            </w:r>
          </w:p>
        </w:tc>
        <w:tc>
          <w:tcPr>
            <w:tcW w:w="914" w:type="dxa"/>
            <w:hideMark/>
          </w:tcPr>
          <w:p w14:paraId="4E8B003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5947BA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5778B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28,884</w:t>
            </w:r>
          </w:p>
        </w:tc>
      </w:tr>
      <w:tr w:rsidR="007D2325" w:rsidRPr="007D2325" w14:paraId="213A7973" w14:textId="77777777" w:rsidTr="00906968">
        <w:trPr>
          <w:trHeight w:val="284"/>
        </w:trPr>
        <w:tc>
          <w:tcPr>
            <w:tcW w:w="2115" w:type="dxa"/>
            <w:hideMark/>
          </w:tcPr>
          <w:p w14:paraId="07D510DE"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Western Region Alcohol And Drug Centre Inc</w:t>
            </w:r>
          </w:p>
        </w:tc>
        <w:tc>
          <w:tcPr>
            <w:tcW w:w="913" w:type="dxa"/>
            <w:hideMark/>
          </w:tcPr>
          <w:p w14:paraId="13F4B69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E0DA38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C48839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2,402</w:t>
            </w:r>
          </w:p>
        </w:tc>
        <w:tc>
          <w:tcPr>
            <w:tcW w:w="914" w:type="dxa"/>
            <w:hideMark/>
          </w:tcPr>
          <w:p w14:paraId="64ECD4C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ABB47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237928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8FCEF3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2,402</w:t>
            </w:r>
          </w:p>
        </w:tc>
        <w:tc>
          <w:tcPr>
            <w:tcW w:w="914" w:type="dxa"/>
            <w:hideMark/>
          </w:tcPr>
          <w:p w14:paraId="1A72680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20D940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DF3E4C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2,463</w:t>
            </w:r>
          </w:p>
        </w:tc>
        <w:tc>
          <w:tcPr>
            <w:tcW w:w="914" w:type="dxa"/>
            <w:hideMark/>
          </w:tcPr>
          <w:p w14:paraId="209D384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A85EC2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EC0F8D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C165EAB"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2,463</w:t>
            </w:r>
          </w:p>
        </w:tc>
      </w:tr>
      <w:tr w:rsidR="007D2325" w:rsidRPr="007D2325" w14:paraId="5828BF66" w14:textId="77777777" w:rsidTr="00906968">
        <w:trPr>
          <w:trHeight w:val="284"/>
        </w:trPr>
        <w:tc>
          <w:tcPr>
            <w:tcW w:w="2115" w:type="dxa"/>
            <w:hideMark/>
          </w:tcPr>
          <w:p w14:paraId="5B51F483"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Western Victoria Primary Health Network Limited</w:t>
            </w:r>
          </w:p>
        </w:tc>
        <w:tc>
          <w:tcPr>
            <w:tcW w:w="913" w:type="dxa"/>
            <w:hideMark/>
          </w:tcPr>
          <w:p w14:paraId="721E273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9D383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25C750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704</w:t>
            </w:r>
          </w:p>
        </w:tc>
        <w:tc>
          <w:tcPr>
            <w:tcW w:w="914" w:type="dxa"/>
            <w:hideMark/>
          </w:tcPr>
          <w:p w14:paraId="00021D9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358BA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41</w:t>
            </w:r>
          </w:p>
        </w:tc>
        <w:tc>
          <w:tcPr>
            <w:tcW w:w="914" w:type="dxa"/>
            <w:hideMark/>
          </w:tcPr>
          <w:p w14:paraId="5D3BA48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919</w:t>
            </w:r>
          </w:p>
        </w:tc>
        <w:tc>
          <w:tcPr>
            <w:tcW w:w="914" w:type="dxa"/>
            <w:hideMark/>
          </w:tcPr>
          <w:p w14:paraId="542346B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1,663</w:t>
            </w:r>
          </w:p>
        </w:tc>
        <w:tc>
          <w:tcPr>
            <w:tcW w:w="914" w:type="dxa"/>
            <w:hideMark/>
          </w:tcPr>
          <w:p w14:paraId="685D213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CF238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093AE6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721</w:t>
            </w:r>
          </w:p>
        </w:tc>
        <w:tc>
          <w:tcPr>
            <w:tcW w:w="914" w:type="dxa"/>
            <w:hideMark/>
          </w:tcPr>
          <w:p w14:paraId="7C9607D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B6E6C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41</w:t>
            </w:r>
          </w:p>
        </w:tc>
        <w:tc>
          <w:tcPr>
            <w:tcW w:w="914" w:type="dxa"/>
            <w:hideMark/>
          </w:tcPr>
          <w:p w14:paraId="5DC0DB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606</w:t>
            </w:r>
          </w:p>
        </w:tc>
        <w:tc>
          <w:tcPr>
            <w:tcW w:w="914" w:type="dxa"/>
            <w:hideMark/>
          </w:tcPr>
          <w:p w14:paraId="4AC3E4AE"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1,369</w:t>
            </w:r>
          </w:p>
        </w:tc>
      </w:tr>
      <w:tr w:rsidR="007D2325" w:rsidRPr="007D2325" w14:paraId="75A9A7B1" w14:textId="77777777" w:rsidTr="00906968">
        <w:trPr>
          <w:trHeight w:val="284"/>
        </w:trPr>
        <w:tc>
          <w:tcPr>
            <w:tcW w:w="2115" w:type="dxa"/>
            <w:hideMark/>
          </w:tcPr>
          <w:p w14:paraId="2E43A43E"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Windana Drug &amp; Alcohol Recovery Inc.</w:t>
            </w:r>
          </w:p>
        </w:tc>
        <w:tc>
          <w:tcPr>
            <w:tcW w:w="913" w:type="dxa"/>
            <w:hideMark/>
          </w:tcPr>
          <w:p w14:paraId="74009F7C"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6F3446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D93A3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15,750</w:t>
            </w:r>
          </w:p>
        </w:tc>
        <w:tc>
          <w:tcPr>
            <w:tcW w:w="914" w:type="dxa"/>
            <w:hideMark/>
          </w:tcPr>
          <w:p w14:paraId="33EE39D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52DC2E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9ACA9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85A14C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15,750</w:t>
            </w:r>
          </w:p>
        </w:tc>
        <w:tc>
          <w:tcPr>
            <w:tcW w:w="914" w:type="dxa"/>
            <w:hideMark/>
          </w:tcPr>
          <w:p w14:paraId="62DC436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711AA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C0BE1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14,119</w:t>
            </w:r>
          </w:p>
        </w:tc>
        <w:tc>
          <w:tcPr>
            <w:tcW w:w="914" w:type="dxa"/>
            <w:hideMark/>
          </w:tcPr>
          <w:p w14:paraId="6C498D8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CC7B36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43A99A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726C6E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14,119</w:t>
            </w:r>
          </w:p>
        </w:tc>
      </w:tr>
      <w:tr w:rsidR="007D2325" w:rsidRPr="007D2325" w14:paraId="63E18158" w14:textId="77777777" w:rsidTr="00906968">
        <w:trPr>
          <w:trHeight w:val="284"/>
        </w:trPr>
        <w:tc>
          <w:tcPr>
            <w:tcW w:w="2115" w:type="dxa"/>
            <w:hideMark/>
          </w:tcPr>
          <w:p w14:paraId="0893235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Wintringham</w:t>
            </w:r>
          </w:p>
        </w:tc>
        <w:tc>
          <w:tcPr>
            <w:tcW w:w="913" w:type="dxa"/>
            <w:hideMark/>
          </w:tcPr>
          <w:p w14:paraId="0FBFAC2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73B3A9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1,025</w:t>
            </w:r>
          </w:p>
        </w:tc>
        <w:tc>
          <w:tcPr>
            <w:tcW w:w="914" w:type="dxa"/>
            <w:hideMark/>
          </w:tcPr>
          <w:p w14:paraId="4642989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3E43FA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66BCED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0EB567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F60E1D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1,025</w:t>
            </w:r>
          </w:p>
        </w:tc>
        <w:tc>
          <w:tcPr>
            <w:tcW w:w="914" w:type="dxa"/>
            <w:hideMark/>
          </w:tcPr>
          <w:p w14:paraId="72C4709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520EE6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1,050</w:t>
            </w:r>
          </w:p>
        </w:tc>
        <w:tc>
          <w:tcPr>
            <w:tcW w:w="914" w:type="dxa"/>
            <w:hideMark/>
          </w:tcPr>
          <w:p w14:paraId="0B66EE9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6DCC6F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ECABC7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2ACF1E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FCA02F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1,050</w:t>
            </w:r>
          </w:p>
        </w:tc>
      </w:tr>
      <w:tr w:rsidR="007D2325" w:rsidRPr="007D2325" w14:paraId="7D2FB290" w14:textId="77777777" w:rsidTr="00906968">
        <w:trPr>
          <w:trHeight w:val="284"/>
        </w:trPr>
        <w:tc>
          <w:tcPr>
            <w:tcW w:w="2115" w:type="dxa"/>
            <w:hideMark/>
          </w:tcPr>
          <w:p w14:paraId="5D2BFA36"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Women'S Health Victoria Inc</w:t>
            </w:r>
          </w:p>
        </w:tc>
        <w:tc>
          <w:tcPr>
            <w:tcW w:w="913" w:type="dxa"/>
            <w:hideMark/>
          </w:tcPr>
          <w:p w14:paraId="7B2AE35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718</w:t>
            </w:r>
          </w:p>
        </w:tc>
        <w:tc>
          <w:tcPr>
            <w:tcW w:w="914" w:type="dxa"/>
            <w:hideMark/>
          </w:tcPr>
          <w:p w14:paraId="3761BA1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2C9A2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922EB4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BA8576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1,495</w:t>
            </w:r>
          </w:p>
        </w:tc>
        <w:tc>
          <w:tcPr>
            <w:tcW w:w="914" w:type="dxa"/>
            <w:hideMark/>
          </w:tcPr>
          <w:p w14:paraId="542E2A7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519</w:t>
            </w:r>
          </w:p>
        </w:tc>
        <w:tc>
          <w:tcPr>
            <w:tcW w:w="914" w:type="dxa"/>
            <w:hideMark/>
          </w:tcPr>
          <w:p w14:paraId="0A1FF07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2,731</w:t>
            </w:r>
          </w:p>
        </w:tc>
        <w:tc>
          <w:tcPr>
            <w:tcW w:w="914" w:type="dxa"/>
            <w:hideMark/>
          </w:tcPr>
          <w:p w14:paraId="0659124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734</w:t>
            </w:r>
          </w:p>
        </w:tc>
        <w:tc>
          <w:tcPr>
            <w:tcW w:w="914" w:type="dxa"/>
            <w:hideMark/>
          </w:tcPr>
          <w:p w14:paraId="221DCEE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C967F5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49FA17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B01437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1,529</w:t>
            </w:r>
          </w:p>
        </w:tc>
        <w:tc>
          <w:tcPr>
            <w:tcW w:w="914" w:type="dxa"/>
            <w:hideMark/>
          </w:tcPr>
          <w:p w14:paraId="5A8711A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532</w:t>
            </w:r>
          </w:p>
        </w:tc>
        <w:tc>
          <w:tcPr>
            <w:tcW w:w="914" w:type="dxa"/>
            <w:hideMark/>
          </w:tcPr>
          <w:p w14:paraId="0ABC846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2,795</w:t>
            </w:r>
          </w:p>
        </w:tc>
      </w:tr>
      <w:tr w:rsidR="007D2325" w:rsidRPr="007D2325" w14:paraId="4CE9182D" w14:textId="77777777" w:rsidTr="00906968">
        <w:trPr>
          <w:trHeight w:val="284"/>
        </w:trPr>
        <w:tc>
          <w:tcPr>
            <w:tcW w:w="2115" w:type="dxa"/>
            <w:hideMark/>
          </w:tcPr>
          <w:p w14:paraId="29E22E0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Women'S Health West Inc</w:t>
            </w:r>
          </w:p>
        </w:tc>
        <w:tc>
          <w:tcPr>
            <w:tcW w:w="913" w:type="dxa"/>
            <w:hideMark/>
          </w:tcPr>
          <w:p w14:paraId="650CBC2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49AF67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112</w:t>
            </w:r>
          </w:p>
        </w:tc>
        <w:tc>
          <w:tcPr>
            <w:tcW w:w="914" w:type="dxa"/>
            <w:hideMark/>
          </w:tcPr>
          <w:p w14:paraId="37ED117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CC3AF7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A301D2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1,241</w:t>
            </w:r>
          </w:p>
        </w:tc>
        <w:tc>
          <w:tcPr>
            <w:tcW w:w="914" w:type="dxa"/>
            <w:hideMark/>
          </w:tcPr>
          <w:p w14:paraId="42DB841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A662F4D"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1,353</w:t>
            </w:r>
          </w:p>
        </w:tc>
        <w:tc>
          <w:tcPr>
            <w:tcW w:w="914" w:type="dxa"/>
            <w:hideMark/>
          </w:tcPr>
          <w:p w14:paraId="3D31A6D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4DA6856"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115</w:t>
            </w:r>
          </w:p>
        </w:tc>
        <w:tc>
          <w:tcPr>
            <w:tcW w:w="914" w:type="dxa"/>
            <w:hideMark/>
          </w:tcPr>
          <w:p w14:paraId="39E18A1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C7BDFA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73F420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1,269</w:t>
            </w:r>
          </w:p>
        </w:tc>
        <w:tc>
          <w:tcPr>
            <w:tcW w:w="914" w:type="dxa"/>
            <w:hideMark/>
          </w:tcPr>
          <w:p w14:paraId="30D53A9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F35C590"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1,384</w:t>
            </w:r>
          </w:p>
        </w:tc>
      </w:tr>
      <w:tr w:rsidR="007D2325" w:rsidRPr="007D2325" w14:paraId="6928C8E3" w14:textId="77777777" w:rsidTr="00906968">
        <w:trPr>
          <w:trHeight w:val="284"/>
        </w:trPr>
        <w:tc>
          <w:tcPr>
            <w:tcW w:w="2115" w:type="dxa"/>
            <w:hideMark/>
          </w:tcPr>
          <w:p w14:paraId="255161B9"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Youth Projects Limited</w:t>
            </w:r>
          </w:p>
        </w:tc>
        <w:tc>
          <w:tcPr>
            <w:tcW w:w="913" w:type="dxa"/>
            <w:hideMark/>
          </w:tcPr>
          <w:p w14:paraId="3E1EB4D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B0CBC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2BA9BF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2,895</w:t>
            </w:r>
          </w:p>
        </w:tc>
        <w:tc>
          <w:tcPr>
            <w:tcW w:w="914" w:type="dxa"/>
            <w:hideMark/>
          </w:tcPr>
          <w:p w14:paraId="7BFEF23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E9F999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BD5610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3F7EB2F"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2,895</w:t>
            </w:r>
          </w:p>
        </w:tc>
        <w:tc>
          <w:tcPr>
            <w:tcW w:w="914" w:type="dxa"/>
            <w:hideMark/>
          </w:tcPr>
          <w:p w14:paraId="6906594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39B74D3"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DDD847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4,025</w:t>
            </w:r>
          </w:p>
        </w:tc>
        <w:tc>
          <w:tcPr>
            <w:tcW w:w="914" w:type="dxa"/>
            <w:hideMark/>
          </w:tcPr>
          <w:p w14:paraId="662EA8F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714AA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5EF008D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39902002"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4,025</w:t>
            </w:r>
          </w:p>
        </w:tc>
      </w:tr>
      <w:tr w:rsidR="007D2325" w:rsidRPr="007D2325" w14:paraId="13996FAD" w14:textId="77777777" w:rsidTr="00906968">
        <w:trPr>
          <w:trHeight w:val="284"/>
        </w:trPr>
        <w:tc>
          <w:tcPr>
            <w:tcW w:w="2115" w:type="dxa"/>
            <w:hideMark/>
          </w:tcPr>
          <w:p w14:paraId="5CAF9656" w14:textId="0AB4E584"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Y</w:t>
            </w:r>
            <w:r w:rsidR="00D0521C">
              <w:rPr>
                <w:rFonts w:cs="Arial"/>
                <w:color w:val="000000"/>
                <w:sz w:val="16"/>
                <w:szCs w:val="16"/>
                <w:lang w:eastAsia="en-AU"/>
              </w:rPr>
              <w:t>SAS</w:t>
            </w:r>
            <w:r w:rsidRPr="007D2325">
              <w:rPr>
                <w:rFonts w:cs="Arial"/>
                <w:color w:val="000000"/>
                <w:sz w:val="16"/>
                <w:szCs w:val="16"/>
                <w:lang w:eastAsia="en-AU"/>
              </w:rPr>
              <w:t xml:space="preserve"> Pty Ltd</w:t>
            </w:r>
          </w:p>
        </w:tc>
        <w:tc>
          <w:tcPr>
            <w:tcW w:w="913" w:type="dxa"/>
            <w:hideMark/>
          </w:tcPr>
          <w:p w14:paraId="5727545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ADB1AB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629CD68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19,464</w:t>
            </w:r>
          </w:p>
        </w:tc>
        <w:tc>
          <w:tcPr>
            <w:tcW w:w="914" w:type="dxa"/>
            <w:hideMark/>
          </w:tcPr>
          <w:p w14:paraId="35DE5F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140</w:t>
            </w:r>
          </w:p>
        </w:tc>
        <w:tc>
          <w:tcPr>
            <w:tcW w:w="914" w:type="dxa"/>
            <w:hideMark/>
          </w:tcPr>
          <w:p w14:paraId="2EFC813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7F526EB"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02E2D15A"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19,604</w:t>
            </w:r>
          </w:p>
        </w:tc>
        <w:tc>
          <w:tcPr>
            <w:tcW w:w="914" w:type="dxa"/>
            <w:hideMark/>
          </w:tcPr>
          <w:p w14:paraId="52862437"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7F282680"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4259E92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20,457</w:t>
            </w:r>
          </w:p>
        </w:tc>
        <w:tc>
          <w:tcPr>
            <w:tcW w:w="914" w:type="dxa"/>
            <w:hideMark/>
          </w:tcPr>
          <w:p w14:paraId="0E5218F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143</w:t>
            </w:r>
          </w:p>
        </w:tc>
        <w:tc>
          <w:tcPr>
            <w:tcW w:w="914" w:type="dxa"/>
            <w:hideMark/>
          </w:tcPr>
          <w:p w14:paraId="7E94A47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2776D9FA"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0</w:t>
            </w:r>
          </w:p>
        </w:tc>
        <w:tc>
          <w:tcPr>
            <w:tcW w:w="914" w:type="dxa"/>
            <w:hideMark/>
          </w:tcPr>
          <w:p w14:paraId="159516D4"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20,600</w:t>
            </w:r>
          </w:p>
        </w:tc>
      </w:tr>
      <w:tr w:rsidR="007D2325" w:rsidRPr="007D2325" w14:paraId="4A03E1A1" w14:textId="77777777" w:rsidTr="00906968">
        <w:trPr>
          <w:trHeight w:val="284"/>
        </w:trPr>
        <w:tc>
          <w:tcPr>
            <w:tcW w:w="2115" w:type="dxa"/>
            <w:hideMark/>
          </w:tcPr>
          <w:p w14:paraId="005DFD38" w14:textId="77777777" w:rsidR="007D2325" w:rsidRPr="007D2325" w:rsidRDefault="007D2325" w:rsidP="007D2325">
            <w:pPr>
              <w:spacing w:after="0" w:line="240" w:lineRule="auto"/>
              <w:rPr>
                <w:rFonts w:cs="Arial"/>
                <w:color w:val="000000"/>
                <w:sz w:val="16"/>
                <w:szCs w:val="16"/>
                <w:lang w:eastAsia="en-AU"/>
              </w:rPr>
            </w:pPr>
            <w:r w:rsidRPr="007D2325">
              <w:rPr>
                <w:rFonts w:cs="Arial"/>
                <w:color w:val="000000"/>
                <w:sz w:val="16"/>
                <w:szCs w:val="16"/>
                <w:lang w:eastAsia="en-AU"/>
              </w:rPr>
              <w:t>All other organisations (&lt;$1 m)</w:t>
            </w:r>
          </w:p>
        </w:tc>
        <w:tc>
          <w:tcPr>
            <w:tcW w:w="913" w:type="dxa"/>
            <w:hideMark/>
          </w:tcPr>
          <w:p w14:paraId="30C7F7C1"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12,759</w:t>
            </w:r>
          </w:p>
        </w:tc>
        <w:tc>
          <w:tcPr>
            <w:tcW w:w="914" w:type="dxa"/>
            <w:hideMark/>
          </w:tcPr>
          <w:p w14:paraId="0278799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21,496</w:t>
            </w:r>
          </w:p>
        </w:tc>
        <w:tc>
          <w:tcPr>
            <w:tcW w:w="914" w:type="dxa"/>
            <w:hideMark/>
          </w:tcPr>
          <w:p w14:paraId="62DE3D5F"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4,122</w:t>
            </w:r>
          </w:p>
        </w:tc>
        <w:tc>
          <w:tcPr>
            <w:tcW w:w="914" w:type="dxa"/>
            <w:hideMark/>
          </w:tcPr>
          <w:p w14:paraId="02E54E58"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9,056</w:t>
            </w:r>
          </w:p>
        </w:tc>
        <w:tc>
          <w:tcPr>
            <w:tcW w:w="914" w:type="dxa"/>
            <w:hideMark/>
          </w:tcPr>
          <w:p w14:paraId="31FB2E8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11,150</w:t>
            </w:r>
          </w:p>
        </w:tc>
        <w:tc>
          <w:tcPr>
            <w:tcW w:w="914" w:type="dxa"/>
            <w:hideMark/>
          </w:tcPr>
          <w:p w14:paraId="0C33EEF9"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1,438</w:t>
            </w:r>
          </w:p>
        </w:tc>
        <w:tc>
          <w:tcPr>
            <w:tcW w:w="914" w:type="dxa"/>
            <w:hideMark/>
          </w:tcPr>
          <w:p w14:paraId="3F638459"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60,022</w:t>
            </w:r>
          </w:p>
        </w:tc>
        <w:tc>
          <w:tcPr>
            <w:tcW w:w="914" w:type="dxa"/>
            <w:hideMark/>
          </w:tcPr>
          <w:p w14:paraId="67D9258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11,952</w:t>
            </w:r>
          </w:p>
        </w:tc>
        <w:tc>
          <w:tcPr>
            <w:tcW w:w="914" w:type="dxa"/>
            <w:hideMark/>
          </w:tcPr>
          <w:p w14:paraId="10813B55"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22,390</w:t>
            </w:r>
          </w:p>
        </w:tc>
        <w:tc>
          <w:tcPr>
            <w:tcW w:w="914" w:type="dxa"/>
            <w:hideMark/>
          </w:tcPr>
          <w:p w14:paraId="48CDE174"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4,419</w:t>
            </w:r>
          </w:p>
        </w:tc>
        <w:tc>
          <w:tcPr>
            <w:tcW w:w="914" w:type="dxa"/>
            <w:hideMark/>
          </w:tcPr>
          <w:p w14:paraId="1D4EF41D"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9,454</w:t>
            </w:r>
          </w:p>
        </w:tc>
        <w:tc>
          <w:tcPr>
            <w:tcW w:w="914" w:type="dxa"/>
            <w:hideMark/>
          </w:tcPr>
          <w:p w14:paraId="78F7AF42"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11,759</w:t>
            </w:r>
          </w:p>
        </w:tc>
        <w:tc>
          <w:tcPr>
            <w:tcW w:w="914" w:type="dxa"/>
            <w:hideMark/>
          </w:tcPr>
          <w:p w14:paraId="510B760E" w14:textId="77777777" w:rsidR="007D2325" w:rsidRPr="007D2325" w:rsidRDefault="007D2325" w:rsidP="007D2325">
            <w:pPr>
              <w:spacing w:after="0" w:line="240" w:lineRule="auto"/>
              <w:jc w:val="right"/>
              <w:rPr>
                <w:rFonts w:cs="Arial"/>
                <w:color w:val="000000"/>
                <w:sz w:val="16"/>
                <w:szCs w:val="16"/>
                <w:lang w:eastAsia="en-AU"/>
              </w:rPr>
            </w:pPr>
            <w:r w:rsidRPr="007D2325">
              <w:rPr>
                <w:rFonts w:cs="Arial"/>
                <w:color w:val="000000"/>
                <w:sz w:val="16"/>
                <w:szCs w:val="16"/>
                <w:lang w:eastAsia="en-AU"/>
              </w:rPr>
              <w:t>1,494</w:t>
            </w:r>
          </w:p>
        </w:tc>
        <w:tc>
          <w:tcPr>
            <w:tcW w:w="914" w:type="dxa"/>
            <w:hideMark/>
          </w:tcPr>
          <w:p w14:paraId="3FBCD353" w14:textId="77777777" w:rsidR="007D2325" w:rsidRPr="007D2325" w:rsidRDefault="007D2325" w:rsidP="007D2325">
            <w:pPr>
              <w:spacing w:after="0" w:line="240" w:lineRule="auto"/>
              <w:jc w:val="right"/>
              <w:rPr>
                <w:rFonts w:cs="Arial"/>
                <w:b/>
                <w:bCs/>
                <w:color w:val="000000"/>
                <w:sz w:val="16"/>
                <w:szCs w:val="16"/>
                <w:lang w:eastAsia="en-AU"/>
              </w:rPr>
            </w:pPr>
            <w:r w:rsidRPr="007D2325">
              <w:rPr>
                <w:rFonts w:cs="Arial"/>
                <w:b/>
                <w:bCs/>
                <w:color w:val="000000"/>
                <w:sz w:val="16"/>
                <w:szCs w:val="16"/>
                <w:lang w:eastAsia="en-AU"/>
              </w:rPr>
              <w:t>61,469</w:t>
            </w:r>
          </w:p>
        </w:tc>
      </w:tr>
      <w:tr w:rsidR="00906968" w:rsidRPr="007D2325" w14:paraId="7CAA49D9" w14:textId="77777777" w:rsidTr="00906968">
        <w:trPr>
          <w:trHeight w:val="284"/>
        </w:trPr>
        <w:tc>
          <w:tcPr>
            <w:tcW w:w="2115" w:type="dxa"/>
            <w:shd w:val="clear" w:color="auto" w:fill="201547"/>
            <w:hideMark/>
          </w:tcPr>
          <w:p w14:paraId="11F3CC76" w14:textId="77777777" w:rsidR="007D2325" w:rsidRPr="007D2325" w:rsidRDefault="007D2325" w:rsidP="007D2325">
            <w:pPr>
              <w:spacing w:after="0" w:line="240" w:lineRule="auto"/>
              <w:rPr>
                <w:rFonts w:cs="Arial"/>
                <w:b/>
                <w:bCs/>
                <w:color w:val="FFFFFF"/>
                <w:sz w:val="16"/>
                <w:szCs w:val="16"/>
                <w:lang w:eastAsia="en-AU"/>
              </w:rPr>
            </w:pPr>
            <w:r w:rsidRPr="007D2325">
              <w:rPr>
                <w:rFonts w:cs="Arial"/>
                <w:b/>
                <w:bCs/>
                <w:color w:val="FFFFFF"/>
                <w:sz w:val="16"/>
                <w:szCs w:val="16"/>
                <w:lang w:eastAsia="en-AU"/>
              </w:rPr>
              <w:t>Total</w:t>
            </w:r>
          </w:p>
        </w:tc>
        <w:tc>
          <w:tcPr>
            <w:tcW w:w="913" w:type="dxa"/>
            <w:shd w:val="clear" w:color="auto" w:fill="201547"/>
            <w:hideMark/>
          </w:tcPr>
          <w:p w14:paraId="50F77EB8"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103,324</w:t>
            </w:r>
          </w:p>
        </w:tc>
        <w:tc>
          <w:tcPr>
            <w:tcW w:w="914" w:type="dxa"/>
            <w:shd w:val="clear" w:color="auto" w:fill="201547"/>
            <w:hideMark/>
          </w:tcPr>
          <w:p w14:paraId="41C526FF"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90,461</w:t>
            </w:r>
          </w:p>
        </w:tc>
        <w:tc>
          <w:tcPr>
            <w:tcW w:w="914" w:type="dxa"/>
            <w:shd w:val="clear" w:color="auto" w:fill="201547"/>
            <w:hideMark/>
          </w:tcPr>
          <w:p w14:paraId="4375C96C"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133,766</w:t>
            </w:r>
          </w:p>
        </w:tc>
        <w:tc>
          <w:tcPr>
            <w:tcW w:w="914" w:type="dxa"/>
            <w:shd w:val="clear" w:color="auto" w:fill="201547"/>
            <w:hideMark/>
          </w:tcPr>
          <w:p w14:paraId="18BD0456"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74,169</w:t>
            </w:r>
          </w:p>
        </w:tc>
        <w:tc>
          <w:tcPr>
            <w:tcW w:w="914" w:type="dxa"/>
            <w:shd w:val="clear" w:color="auto" w:fill="201547"/>
            <w:hideMark/>
          </w:tcPr>
          <w:p w14:paraId="265C1163"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30,841</w:t>
            </w:r>
          </w:p>
        </w:tc>
        <w:tc>
          <w:tcPr>
            <w:tcW w:w="914" w:type="dxa"/>
            <w:shd w:val="clear" w:color="auto" w:fill="201547"/>
            <w:hideMark/>
          </w:tcPr>
          <w:p w14:paraId="3513DB02"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139,741</w:t>
            </w:r>
          </w:p>
        </w:tc>
        <w:tc>
          <w:tcPr>
            <w:tcW w:w="914" w:type="dxa"/>
            <w:shd w:val="clear" w:color="auto" w:fill="201547"/>
            <w:hideMark/>
          </w:tcPr>
          <w:p w14:paraId="55C59F9C"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572,303</w:t>
            </w:r>
          </w:p>
        </w:tc>
        <w:tc>
          <w:tcPr>
            <w:tcW w:w="914" w:type="dxa"/>
            <w:shd w:val="clear" w:color="auto" w:fill="201547"/>
            <w:hideMark/>
          </w:tcPr>
          <w:p w14:paraId="1989133E"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91,079</w:t>
            </w:r>
          </w:p>
        </w:tc>
        <w:tc>
          <w:tcPr>
            <w:tcW w:w="914" w:type="dxa"/>
            <w:shd w:val="clear" w:color="auto" w:fill="201547"/>
            <w:hideMark/>
          </w:tcPr>
          <w:p w14:paraId="3AB3F6C2"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96,468</w:t>
            </w:r>
          </w:p>
        </w:tc>
        <w:tc>
          <w:tcPr>
            <w:tcW w:w="914" w:type="dxa"/>
            <w:shd w:val="clear" w:color="auto" w:fill="201547"/>
            <w:hideMark/>
          </w:tcPr>
          <w:p w14:paraId="250E4406"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138,974</w:t>
            </w:r>
          </w:p>
        </w:tc>
        <w:tc>
          <w:tcPr>
            <w:tcW w:w="914" w:type="dxa"/>
            <w:shd w:val="clear" w:color="auto" w:fill="201547"/>
            <w:hideMark/>
          </w:tcPr>
          <w:p w14:paraId="2F5461F6"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72,022</w:t>
            </w:r>
          </w:p>
        </w:tc>
        <w:tc>
          <w:tcPr>
            <w:tcW w:w="914" w:type="dxa"/>
            <w:shd w:val="clear" w:color="auto" w:fill="201547"/>
            <w:hideMark/>
          </w:tcPr>
          <w:p w14:paraId="533EF4A8"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40,632</w:t>
            </w:r>
          </w:p>
        </w:tc>
        <w:tc>
          <w:tcPr>
            <w:tcW w:w="914" w:type="dxa"/>
            <w:shd w:val="clear" w:color="auto" w:fill="201547"/>
            <w:hideMark/>
          </w:tcPr>
          <w:p w14:paraId="313CA627"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143,660</w:t>
            </w:r>
          </w:p>
        </w:tc>
        <w:tc>
          <w:tcPr>
            <w:tcW w:w="914" w:type="dxa"/>
            <w:shd w:val="clear" w:color="auto" w:fill="201547"/>
            <w:hideMark/>
          </w:tcPr>
          <w:p w14:paraId="7EBEE6D4" w14:textId="77777777" w:rsidR="007D2325" w:rsidRPr="007D2325" w:rsidRDefault="007D2325" w:rsidP="007D2325">
            <w:pPr>
              <w:spacing w:after="0" w:line="240" w:lineRule="auto"/>
              <w:jc w:val="right"/>
              <w:rPr>
                <w:rFonts w:cs="Arial"/>
                <w:b/>
                <w:bCs/>
                <w:color w:val="FFFFFF"/>
                <w:sz w:val="16"/>
                <w:szCs w:val="16"/>
                <w:lang w:eastAsia="en-AU"/>
              </w:rPr>
            </w:pPr>
            <w:r w:rsidRPr="007D2325">
              <w:rPr>
                <w:rFonts w:cs="Arial"/>
                <w:b/>
                <w:bCs/>
                <w:color w:val="FFFFFF"/>
                <w:sz w:val="16"/>
                <w:szCs w:val="16"/>
                <w:lang w:eastAsia="en-AU"/>
              </w:rPr>
              <w:t>582,834</w:t>
            </w:r>
          </w:p>
        </w:tc>
      </w:tr>
    </w:tbl>
    <w:p w14:paraId="0749A367" w14:textId="79C225A4" w:rsidR="000B27B9" w:rsidRPr="00361BCA" w:rsidRDefault="000B27B9" w:rsidP="007700BC">
      <w:pPr>
        <w:pStyle w:val="Body"/>
      </w:pPr>
    </w:p>
    <w:p w14:paraId="2F0E589F" w14:textId="7E8707D9" w:rsidR="000B27B9" w:rsidRPr="00340815" w:rsidRDefault="000B27B9" w:rsidP="009375E0">
      <w:pPr>
        <w:pStyle w:val="Heading3"/>
        <w:spacing w:before="240"/>
      </w:pPr>
      <w:bookmarkStart w:id="1213" w:name="_Toc14172304"/>
      <w:bookmarkStart w:id="1214" w:name="_Toc33703978"/>
      <w:bookmarkStart w:id="1215" w:name="_Toc55381166"/>
      <w:bookmarkStart w:id="1216" w:name="_Toc100263372"/>
      <w:bookmarkStart w:id="1217" w:name="_Toc127192020"/>
      <w:r>
        <w:lastRenderedPageBreak/>
        <w:t xml:space="preserve">Other </w:t>
      </w:r>
      <w:r w:rsidR="00331D5D">
        <w:t>F</w:t>
      </w:r>
      <w:r>
        <w:t xml:space="preserve">unded </w:t>
      </w:r>
      <w:r w:rsidR="00331D5D" w:rsidRPr="00340815">
        <w:t>O</w:t>
      </w:r>
      <w:r w:rsidRPr="00340815">
        <w:t xml:space="preserve">rganisations </w:t>
      </w:r>
      <w:bookmarkEnd w:id="1212"/>
      <w:bookmarkEnd w:id="1213"/>
      <w:bookmarkEnd w:id="1214"/>
      <w:bookmarkEnd w:id="1215"/>
      <w:r w:rsidR="005D1FCB" w:rsidRPr="00340815">
        <w:t>2021</w:t>
      </w:r>
      <w:r w:rsidR="00AB0330" w:rsidRPr="00340815">
        <w:t>–</w:t>
      </w:r>
      <w:r w:rsidR="005D1FCB" w:rsidRPr="00340815">
        <w:t>22 and 2022</w:t>
      </w:r>
      <w:r w:rsidR="00AB0330" w:rsidRPr="00340815">
        <w:t>–</w:t>
      </w:r>
      <w:r w:rsidR="005D1FCB" w:rsidRPr="00340815">
        <w:t>23</w:t>
      </w:r>
      <w:bookmarkEnd w:id="1216"/>
      <w:bookmarkEnd w:id="1217"/>
    </w:p>
    <w:p w14:paraId="135D91A1" w14:textId="67940C53" w:rsidR="000B27B9" w:rsidRDefault="000B27B9" w:rsidP="000E08EF">
      <w:pPr>
        <w:pStyle w:val="Tablecaption"/>
      </w:pPr>
      <w:bookmarkStart w:id="1218" w:name="_Toc12780567"/>
      <w:bookmarkStart w:id="1219" w:name="_Toc14194823"/>
      <w:bookmarkStart w:id="1220" w:name="_Toc33704004"/>
      <w:bookmarkStart w:id="1221" w:name="_Toc109894134"/>
      <w:bookmarkStart w:id="1222" w:name="_Toc119500915"/>
      <w:r w:rsidRPr="00340815">
        <w:t xml:space="preserve">Table </w:t>
      </w:r>
      <w:r>
        <w:fldChar w:fldCharType="begin"/>
      </w:r>
      <w:r>
        <w:instrText>STYLEREF 1 \s</w:instrText>
      </w:r>
      <w:r>
        <w:fldChar w:fldCharType="separate"/>
      </w:r>
      <w:r w:rsidR="006D0756" w:rsidRPr="00340815">
        <w:rPr>
          <w:noProof/>
        </w:rPr>
        <w:t>2</w:t>
      </w:r>
      <w:r>
        <w:fldChar w:fldCharType="end"/>
      </w:r>
      <w:r w:rsidR="00EC6300" w:rsidRPr="00340815">
        <w:t>.</w:t>
      </w:r>
      <w:r>
        <w:fldChar w:fldCharType="begin"/>
      </w:r>
      <w:r>
        <w:instrText>SEQ Table \* ARABIC \s 1</w:instrText>
      </w:r>
      <w:r>
        <w:fldChar w:fldCharType="separate"/>
      </w:r>
      <w:r w:rsidR="006D0756" w:rsidRPr="00340815">
        <w:rPr>
          <w:noProof/>
        </w:rPr>
        <w:t>8</w:t>
      </w:r>
      <w:r>
        <w:fldChar w:fldCharType="end"/>
      </w:r>
      <w:r w:rsidRPr="00340815">
        <w:t xml:space="preserve">: Other funded organisations expenditure budgets </w:t>
      </w:r>
      <w:bookmarkEnd w:id="1218"/>
      <w:bookmarkEnd w:id="1219"/>
      <w:bookmarkEnd w:id="1220"/>
      <w:r w:rsidR="005D1FCB" w:rsidRPr="00340815">
        <w:t>2021</w:t>
      </w:r>
      <w:r w:rsidR="00AB0330" w:rsidRPr="00340815">
        <w:t>–</w:t>
      </w:r>
      <w:r w:rsidR="005D1FCB" w:rsidRPr="00340815">
        <w:t>22 and 2022</w:t>
      </w:r>
      <w:r w:rsidR="00AB0330" w:rsidRPr="00340815">
        <w:t>–</w:t>
      </w:r>
      <w:r w:rsidR="005D1FCB" w:rsidRPr="00340815">
        <w:t>23</w:t>
      </w:r>
      <w:bookmarkEnd w:id="1221"/>
      <w:bookmarkEnd w:id="1222"/>
    </w:p>
    <w:tbl>
      <w:tblPr>
        <w:tblStyle w:val="TableGrid1"/>
        <w:tblW w:w="14737" w:type="dxa"/>
        <w:tblLayout w:type="fixed"/>
        <w:tblLook w:val="04A0" w:firstRow="1" w:lastRow="0" w:firstColumn="1" w:lastColumn="0" w:noHBand="0" w:noVBand="1"/>
      </w:tblPr>
      <w:tblGrid>
        <w:gridCol w:w="2269"/>
        <w:gridCol w:w="779"/>
        <w:gridCol w:w="779"/>
        <w:gridCol w:w="779"/>
        <w:gridCol w:w="780"/>
        <w:gridCol w:w="779"/>
        <w:gridCol w:w="779"/>
        <w:gridCol w:w="779"/>
        <w:gridCol w:w="780"/>
        <w:gridCol w:w="779"/>
        <w:gridCol w:w="779"/>
        <w:gridCol w:w="779"/>
        <w:gridCol w:w="780"/>
        <w:gridCol w:w="779"/>
        <w:gridCol w:w="779"/>
        <w:gridCol w:w="779"/>
        <w:gridCol w:w="780"/>
      </w:tblGrid>
      <w:tr w:rsidR="00C00335" w:rsidRPr="00000DA0" w14:paraId="24D88FEB" w14:textId="77777777" w:rsidTr="00070419">
        <w:trPr>
          <w:cnfStyle w:val="100000000000" w:firstRow="1" w:lastRow="0" w:firstColumn="0" w:lastColumn="0" w:oddVBand="0" w:evenVBand="0" w:oddHBand="0" w:evenHBand="0" w:firstRowFirstColumn="0" w:firstRowLastColumn="0" w:lastRowFirstColumn="0" w:lastRowLastColumn="0"/>
          <w:trHeight w:val="284"/>
          <w:tblHeader/>
        </w:trPr>
        <w:tc>
          <w:tcPr>
            <w:tcW w:w="2269" w:type="dxa"/>
            <w:vMerge w:val="restart"/>
            <w:hideMark/>
          </w:tcPr>
          <w:p w14:paraId="083C3F3A" w14:textId="77777777" w:rsidR="00340815" w:rsidRPr="00000DA0" w:rsidRDefault="00340815" w:rsidP="00340815">
            <w:pPr>
              <w:spacing w:after="0" w:line="240" w:lineRule="auto"/>
              <w:rPr>
                <w:rFonts w:cs="Arial"/>
                <w:b/>
                <w:bCs/>
                <w:color w:val="FFFFFF"/>
                <w:sz w:val="15"/>
                <w:szCs w:val="15"/>
                <w:lang w:eastAsia="en-AU"/>
              </w:rPr>
            </w:pPr>
            <w:r w:rsidRPr="00000DA0">
              <w:rPr>
                <w:rFonts w:cs="Arial"/>
                <w:b/>
                <w:bCs/>
                <w:color w:val="FFFFFF"/>
                <w:sz w:val="15"/>
                <w:szCs w:val="15"/>
                <w:lang w:eastAsia="en-AU"/>
              </w:rPr>
              <w:t>Health Service</w:t>
            </w:r>
          </w:p>
        </w:tc>
        <w:tc>
          <w:tcPr>
            <w:tcW w:w="6234" w:type="dxa"/>
            <w:gridSpan w:val="8"/>
            <w:noWrap/>
            <w:hideMark/>
          </w:tcPr>
          <w:p w14:paraId="0A525AA8" w14:textId="2566FA95" w:rsidR="00340815" w:rsidRPr="00000DA0" w:rsidRDefault="00340815" w:rsidP="00340815">
            <w:pPr>
              <w:spacing w:after="0" w:line="240" w:lineRule="auto"/>
              <w:jc w:val="center"/>
              <w:rPr>
                <w:rFonts w:cs="Arial"/>
                <w:b/>
                <w:bCs/>
                <w:color w:val="FFFFFF"/>
                <w:sz w:val="15"/>
                <w:szCs w:val="15"/>
                <w:lang w:eastAsia="en-AU"/>
              </w:rPr>
            </w:pPr>
            <w:r w:rsidRPr="00000DA0">
              <w:rPr>
                <w:rFonts w:cs="Arial"/>
                <w:b/>
                <w:bCs/>
                <w:color w:val="FFFFFF"/>
                <w:sz w:val="15"/>
                <w:szCs w:val="15"/>
                <w:lang w:eastAsia="en-AU"/>
              </w:rPr>
              <w:t>2021</w:t>
            </w:r>
            <w:r w:rsidR="00425C59" w:rsidRPr="005353E5">
              <w:rPr>
                <w:rFonts w:cs="Arial"/>
                <w:b/>
                <w:bCs/>
                <w:color w:val="FFFFFF"/>
                <w:sz w:val="16"/>
                <w:szCs w:val="16"/>
                <w:lang w:eastAsia="en-AU"/>
              </w:rPr>
              <w:t>–</w:t>
            </w:r>
            <w:r w:rsidRPr="00000DA0">
              <w:rPr>
                <w:rFonts w:cs="Arial"/>
                <w:b/>
                <w:bCs/>
                <w:color w:val="FFFFFF"/>
                <w:sz w:val="15"/>
                <w:szCs w:val="15"/>
                <w:lang w:eastAsia="en-AU"/>
              </w:rPr>
              <w:t>2022</w:t>
            </w:r>
          </w:p>
        </w:tc>
        <w:tc>
          <w:tcPr>
            <w:tcW w:w="6234" w:type="dxa"/>
            <w:gridSpan w:val="8"/>
            <w:noWrap/>
            <w:hideMark/>
          </w:tcPr>
          <w:p w14:paraId="146C968E" w14:textId="14C6DBCF" w:rsidR="00340815" w:rsidRPr="00000DA0" w:rsidRDefault="00340815" w:rsidP="00340815">
            <w:pPr>
              <w:spacing w:after="0" w:line="240" w:lineRule="auto"/>
              <w:jc w:val="center"/>
              <w:rPr>
                <w:rFonts w:cs="Arial"/>
                <w:b/>
                <w:bCs/>
                <w:color w:val="FFFFFF"/>
                <w:sz w:val="15"/>
                <w:szCs w:val="15"/>
                <w:lang w:eastAsia="en-AU"/>
              </w:rPr>
            </w:pPr>
            <w:r w:rsidRPr="00000DA0">
              <w:rPr>
                <w:rFonts w:cs="Arial"/>
                <w:b/>
                <w:bCs/>
                <w:color w:val="FFFFFF"/>
                <w:sz w:val="15"/>
                <w:szCs w:val="15"/>
                <w:lang w:eastAsia="en-AU"/>
              </w:rPr>
              <w:t>2022</w:t>
            </w:r>
            <w:r w:rsidR="00425C59" w:rsidRPr="005353E5">
              <w:rPr>
                <w:rFonts w:cs="Arial"/>
                <w:b/>
                <w:bCs/>
                <w:color w:val="FFFFFF"/>
                <w:sz w:val="16"/>
                <w:szCs w:val="16"/>
                <w:lang w:eastAsia="en-AU"/>
              </w:rPr>
              <w:t>–</w:t>
            </w:r>
            <w:r w:rsidRPr="00000DA0">
              <w:rPr>
                <w:rFonts w:cs="Arial"/>
                <w:b/>
                <w:bCs/>
                <w:color w:val="FFFFFF"/>
                <w:sz w:val="15"/>
                <w:szCs w:val="15"/>
                <w:lang w:eastAsia="en-AU"/>
              </w:rPr>
              <w:t>2023</w:t>
            </w:r>
          </w:p>
        </w:tc>
      </w:tr>
      <w:tr w:rsidR="00070419" w:rsidRPr="00000DA0" w14:paraId="7C7CF9E2" w14:textId="77777777" w:rsidTr="00070419">
        <w:trPr>
          <w:trHeight w:val="284"/>
        </w:trPr>
        <w:tc>
          <w:tcPr>
            <w:tcW w:w="2269" w:type="dxa"/>
            <w:vMerge/>
            <w:hideMark/>
          </w:tcPr>
          <w:p w14:paraId="2315E50B" w14:textId="77777777" w:rsidR="00340815" w:rsidRPr="00000DA0" w:rsidRDefault="00340815" w:rsidP="00340815">
            <w:pPr>
              <w:spacing w:after="0" w:line="240" w:lineRule="auto"/>
              <w:rPr>
                <w:rFonts w:cs="Arial"/>
                <w:b/>
                <w:bCs/>
                <w:color w:val="FFFFFF"/>
                <w:sz w:val="16"/>
                <w:szCs w:val="16"/>
                <w:lang w:eastAsia="en-AU"/>
              </w:rPr>
            </w:pPr>
          </w:p>
        </w:tc>
        <w:tc>
          <w:tcPr>
            <w:tcW w:w="779" w:type="dxa"/>
            <w:shd w:val="clear" w:color="auto" w:fill="201547"/>
            <w:hideMark/>
          </w:tcPr>
          <w:p w14:paraId="1A009317"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Acute Health Services</w:t>
            </w:r>
          </w:p>
        </w:tc>
        <w:tc>
          <w:tcPr>
            <w:tcW w:w="779" w:type="dxa"/>
            <w:shd w:val="clear" w:color="auto" w:fill="201547"/>
            <w:hideMark/>
          </w:tcPr>
          <w:p w14:paraId="2317A6C2"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Ageing, aged and home care</w:t>
            </w:r>
          </w:p>
        </w:tc>
        <w:tc>
          <w:tcPr>
            <w:tcW w:w="779" w:type="dxa"/>
            <w:shd w:val="clear" w:color="auto" w:fill="201547"/>
            <w:hideMark/>
          </w:tcPr>
          <w:p w14:paraId="5D652C4D"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Ambulance Services</w:t>
            </w:r>
          </w:p>
        </w:tc>
        <w:tc>
          <w:tcPr>
            <w:tcW w:w="780" w:type="dxa"/>
            <w:shd w:val="clear" w:color="auto" w:fill="201547"/>
            <w:hideMark/>
          </w:tcPr>
          <w:p w14:paraId="0D617F49"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Drugs Services</w:t>
            </w:r>
          </w:p>
        </w:tc>
        <w:tc>
          <w:tcPr>
            <w:tcW w:w="779" w:type="dxa"/>
            <w:shd w:val="clear" w:color="auto" w:fill="201547"/>
            <w:hideMark/>
          </w:tcPr>
          <w:p w14:paraId="705CC9EA"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Mental Health</w:t>
            </w:r>
          </w:p>
        </w:tc>
        <w:tc>
          <w:tcPr>
            <w:tcW w:w="779" w:type="dxa"/>
            <w:shd w:val="clear" w:color="auto" w:fill="201547"/>
            <w:hideMark/>
          </w:tcPr>
          <w:p w14:paraId="32BB1144"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Primary and Dental Health</w:t>
            </w:r>
          </w:p>
        </w:tc>
        <w:tc>
          <w:tcPr>
            <w:tcW w:w="779" w:type="dxa"/>
            <w:shd w:val="clear" w:color="auto" w:fill="201547"/>
            <w:hideMark/>
          </w:tcPr>
          <w:p w14:paraId="4D922FE6"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Public Health</w:t>
            </w:r>
          </w:p>
        </w:tc>
        <w:tc>
          <w:tcPr>
            <w:tcW w:w="780" w:type="dxa"/>
            <w:shd w:val="clear" w:color="auto" w:fill="201547"/>
            <w:hideMark/>
          </w:tcPr>
          <w:p w14:paraId="7C446E5B"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Total</w:t>
            </w:r>
          </w:p>
        </w:tc>
        <w:tc>
          <w:tcPr>
            <w:tcW w:w="779" w:type="dxa"/>
            <w:shd w:val="clear" w:color="auto" w:fill="201547"/>
            <w:hideMark/>
          </w:tcPr>
          <w:p w14:paraId="684A9729"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Acute Health Services</w:t>
            </w:r>
          </w:p>
        </w:tc>
        <w:tc>
          <w:tcPr>
            <w:tcW w:w="779" w:type="dxa"/>
            <w:shd w:val="clear" w:color="auto" w:fill="201547"/>
            <w:hideMark/>
          </w:tcPr>
          <w:p w14:paraId="1095F4B6"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Ageing, aged and home care</w:t>
            </w:r>
          </w:p>
        </w:tc>
        <w:tc>
          <w:tcPr>
            <w:tcW w:w="779" w:type="dxa"/>
            <w:shd w:val="clear" w:color="auto" w:fill="201547"/>
            <w:hideMark/>
          </w:tcPr>
          <w:p w14:paraId="63D9A469"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Ambulance Services</w:t>
            </w:r>
          </w:p>
        </w:tc>
        <w:tc>
          <w:tcPr>
            <w:tcW w:w="780" w:type="dxa"/>
            <w:shd w:val="clear" w:color="auto" w:fill="201547"/>
            <w:hideMark/>
          </w:tcPr>
          <w:p w14:paraId="2F853620"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Drugs Services</w:t>
            </w:r>
          </w:p>
        </w:tc>
        <w:tc>
          <w:tcPr>
            <w:tcW w:w="779" w:type="dxa"/>
            <w:shd w:val="clear" w:color="auto" w:fill="201547"/>
            <w:hideMark/>
          </w:tcPr>
          <w:p w14:paraId="247A2545"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Mental Health</w:t>
            </w:r>
          </w:p>
        </w:tc>
        <w:tc>
          <w:tcPr>
            <w:tcW w:w="779" w:type="dxa"/>
            <w:shd w:val="clear" w:color="auto" w:fill="201547"/>
            <w:hideMark/>
          </w:tcPr>
          <w:p w14:paraId="7CF49204"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Primary and Dental Health</w:t>
            </w:r>
          </w:p>
        </w:tc>
        <w:tc>
          <w:tcPr>
            <w:tcW w:w="779" w:type="dxa"/>
            <w:shd w:val="clear" w:color="auto" w:fill="201547"/>
            <w:hideMark/>
          </w:tcPr>
          <w:p w14:paraId="4D92AE5F"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Public Health</w:t>
            </w:r>
          </w:p>
        </w:tc>
        <w:tc>
          <w:tcPr>
            <w:tcW w:w="780" w:type="dxa"/>
            <w:shd w:val="clear" w:color="auto" w:fill="201547"/>
            <w:hideMark/>
          </w:tcPr>
          <w:p w14:paraId="0F38435D"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Total</w:t>
            </w:r>
          </w:p>
        </w:tc>
      </w:tr>
      <w:tr w:rsidR="00070419" w:rsidRPr="00000DA0" w14:paraId="663BC3BF" w14:textId="77777777" w:rsidTr="00070419">
        <w:trPr>
          <w:trHeight w:val="284"/>
        </w:trPr>
        <w:tc>
          <w:tcPr>
            <w:tcW w:w="2269" w:type="dxa"/>
            <w:vMerge/>
            <w:hideMark/>
          </w:tcPr>
          <w:p w14:paraId="618B4EA8" w14:textId="77777777" w:rsidR="00340815" w:rsidRPr="00000DA0" w:rsidRDefault="00340815" w:rsidP="00340815">
            <w:pPr>
              <w:spacing w:after="0" w:line="240" w:lineRule="auto"/>
              <w:rPr>
                <w:rFonts w:cs="Arial"/>
                <w:b/>
                <w:bCs/>
                <w:color w:val="FFFFFF"/>
                <w:sz w:val="16"/>
                <w:szCs w:val="16"/>
                <w:lang w:eastAsia="en-AU"/>
              </w:rPr>
            </w:pPr>
          </w:p>
        </w:tc>
        <w:tc>
          <w:tcPr>
            <w:tcW w:w="779" w:type="dxa"/>
            <w:shd w:val="clear" w:color="auto" w:fill="201547"/>
            <w:hideMark/>
          </w:tcPr>
          <w:p w14:paraId="3855711A"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40E0C5C4"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0A0FC972"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80" w:type="dxa"/>
            <w:shd w:val="clear" w:color="auto" w:fill="201547"/>
            <w:hideMark/>
          </w:tcPr>
          <w:p w14:paraId="1AAFDAB5"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6765FF62"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4F034431"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4B5BF3BA"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80" w:type="dxa"/>
            <w:shd w:val="clear" w:color="auto" w:fill="201547"/>
            <w:hideMark/>
          </w:tcPr>
          <w:p w14:paraId="21A1FDF0"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5E97B215"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7C97BDEC"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645DEEF5"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80" w:type="dxa"/>
            <w:shd w:val="clear" w:color="auto" w:fill="201547"/>
            <w:hideMark/>
          </w:tcPr>
          <w:p w14:paraId="02A52053"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13D5B22C"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0821074D"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79" w:type="dxa"/>
            <w:shd w:val="clear" w:color="auto" w:fill="201547"/>
            <w:hideMark/>
          </w:tcPr>
          <w:p w14:paraId="7621B9C2"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c>
          <w:tcPr>
            <w:tcW w:w="780" w:type="dxa"/>
            <w:shd w:val="clear" w:color="auto" w:fill="201547"/>
            <w:hideMark/>
          </w:tcPr>
          <w:p w14:paraId="06E04ECD" w14:textId="77777777" w:rsidR="00340815" w:rsidRPr="00000DA0" w:rsidRDefault="00340815" w:rsidP="00C00335">
            <w:pPr>
              <w:spacing w:after="0" w:line="240" w:lineRule="auto"/>
              <w:jc w:val="right"/>
              <w:rPr>
                <w:rFonts w:cs="Arial"/>
                <w:b/>
                <w:bCs/>
                <w:color w:val="FFFFFF"/>
                <w:sz w:val="14"/>
                <w:szCs w:val="14"/>
                <w:lang w:eastAsia="en-AU"/>
              </w:rPr>
            </w:pPr>
            <w:r w:rsidRPr="00000DA0">
              <w:rPr>
                <w:rFonts w:cs="Arial"/>
                <w:b/>
                <w:bCs/>
                <w:color w:val="FFFFFF"/>
                <w:sz w:val="14"/>
                <w:szCs w:val="14"/>
                <w:lang w:eastAsia="en-AU"/>
              </w:rPr>
              <w:t>$'000s</w:t>
            </w:r>
          </w:p>
        </w:tc>
      </w:tr>
      <w:tr w:rsidR="00C00335" w:rsidRPr="00000DA0" w14:paraId="4846A975" w14:textId="77777777" w:rsidTr="00070419">
        <w:trPr>
          <w:trHeight w:val="284"/>
        </w:trPr>
        <w:tc>
          <w:tcPr>
            <w:tcW w:w="2269" w:type="dxa"/>
            <w:hideMark/>
          </w:tcPr>
          <w:p w14:paraId="1DD155D9"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Act Health</w:t>
            </w:r>
          </w:p>
        </w:tc>
        <w:tc>
          <w:tcPr>
            <w:tcW w:w="779" w:type="dxa"/>
            <w:hideMark/>
          </w:tcPr>
          <w:p w14:paraId="02D7290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5,905 </w:t>
            </w:r>
          </w:p>
        </w:tc>
        <w:tc>
          <w:tcPr>
            <w:tcW w:w="779" w:type="dxa"/>
            <w:hideMark/>
          </w:tcPr>
          <w:p w14:paraId="134E623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11A9BF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4DD53B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9E1E4F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A1A45E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CF97FA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AA2C20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5,905 </w:t>
            </w:r>
          </w:p>
        </w:tc>
        <w:tc>
          <w:tcPr>
            <w:tcW w:w="779" w:type="dxa"/>
            <w:hideMark/>
          </w:tcPr>
          <w:p w14:paraId="60FA14E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501C38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FB60BE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5F4317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41AFFD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D6CCB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D78D6B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FD0CC9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49E78903" w14:textId="77777777" w:rsidTr="00070419">
        <w:trPr>
          <w:trHeight w:val="284"/>
        </w:trPr>
        <w:tc>
          <w:tcPr>
            <w:tcW w:w="2269" w:type="dxa"/>
            <w:hideMark/>
          </w:tcPr>
          <w:p w14:paraId="59DFC219"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Ambulance Victoria</w:t>
            </w:r>
          </w:p>
        </w:tc>
        <w:tc>
          <w:tcPr>
            <w:tcW w:w="779" w:type="dxa"/>
            <w:hideMark/>
          </w:tcPr>
          <w:p w14:paraId="782615B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16,430 </w:t>
            </w:r>
          </w:p>
        </w:tc>
        <w:tc>
          <w:tcPr>
            <w:tcW w:w="779" w:type="dxa"/>
            <w:hideMark/>
          </w:tcPr>
          <w:p w14:paraId="681B149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1F2F23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920,732 </w:t>
            </w:r>
          </w:p>
        </w:tc>
        <w:tc>
          <w:tcPr>
            <w:tcW w:w="780" w:type="dxa"/>
            <w:hideMark/>
          </w:tcPr>
          <w:p w14:paraId="1042719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00C401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10284F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8B4122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F29703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937,162 </w:t>
            </w:r>
          </w:p>
        </w:tc>
        <w:tc>
          <w:tcPr>
            <w:tcW w:w="779" w:type="dxa"/>
            <w:hideMark/>
          </w:tcPr>
          <w:p w14:paraId="53C3704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26,438 </w:t>
            </w:r>
          </w:p>
        </w:tc>
        <w:tc>
          <w:tcPr>
            <w:tcW w:w="779" w:type="dxa"/>
            <w:hideMark/>
          </w:tcPr>
          <w:p w14:paraId="0BB6723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14954F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983,904 </w:t>
            </w:r>
          </w:p>
        </w:tc>
        <w:tc>
          <w:tcPr>
            <w:tcW w:w="780" w:type="dxa"/>
            <w:hideMark/>
          </w:tcPr>
          <w:p w14:paraId="254D7A8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86224A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824B01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28486F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13ADAC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1,010,342 </w:t>
            </w:r>
          </w:p>
        </w:tc>
      </w:tr>
      <w:tr w:rsidR="00C00335" w:rsidRPr="00000DA0" w14:paraId="4C515682" w14:textId="77777777" w:rsidTr="00070419">
        <w:trPr>
          <w:trHeight w:val="284"/>
        </w:trPr>
        <w:tc>
          <w:tcPr>
            <w:tcW w:w="2269" w:type="dxa"/>
            <w:hideMark/>
          </w:tcPr>
          <w:p w14:paraId="528022F0"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Australian College Of Nursing Ltd</w:t>
            </w:r>
          </w:p>
        </w:tc>
        <w:tc>
          <w:tcPr>
            <w:tcW w:w="779" w:type="dxa"/>
            <w:hideMark/>
          </w:tcPr>
          <w:p w14:paraId="18C9373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59082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499EC8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0149BC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1A9619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319 </w:t>
            </w:r>
          </w:p>
        </w:tc>
        <w:tc>
          <w:tcPr>
            <w:tcW w:w="779" w:type="dxa"/>
            <w:hideMark/>
          </w:tcPr>
          <w:p w14:paraId="2A10883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747451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432F87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319 </w:t>
            </w:r>
          </w:p>
        </w:tc>
        <w:tc>
          <w:tcPr>
            <w:tcW w:w="779" w:type="dxa"/>
            <w:hideMark/>
          </w:tcPr>
          <w:p w14:paraId="12720CE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C64B09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DD741B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600A71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2167A8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1,528 </w:t>
            </w:r>
          </w:p>
        </w:tc>
        <w:tc>
          <w:tcPr>
            <w:tcW w:w="779" w:type="dxa"/>
            <w:hideMark/>
          </w:tcPr>
          <w:p w14:paraId="5366E20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CFA43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7EBCE2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1,528 </w:t>
            </w:r>
          </w:p>
        </w:tc>
      </w:tr>
      <w:tr w:rsidR="00C00335" w:rsidRPr="00000DA0" w14:paraId="2ADDE05B" w14:textId="77777777" w:rsidTr="00070419">
        <w:trPr>
          <w:trHeight w:val="284"/>
        </w:trPr>
        <w:tc>
          <w:tcPr>
            <w:tcW w:w="2269" w:type="dxa"/>
            <w:hideMark/>
          </w:tcPr>
          <w:p w14:paraId="6770A1F9"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Australian Commission On Safety &amp; Quality In Health Care</w:t>
            </w:r>
          </w:p>
        </w:tc>
        <w:tc>
          <w:tcPr>
            <w:tcW w:w="779" w:type="dxa"/>
            <w:hideMark/>
          </w:tcPr>
          <w:p w14:paraId="6702CB1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2,219 </w:t>
            </w:r>
          </w:p>
        </w:tc>
        <w:tc>
          <w:tcPr>
            <w:tcW w:w="779" w:type="dxa"/>
            <w:hideMark/>
          </w:tcPr>
          <w:p w14:paraId="7136E27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19ABB4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80FA11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AA379F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C8BFD8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18A38B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EAE134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2,219 </w:t>
            </w:r>
          </w:p>
        </w:tc>
        <w:tc>
          <w:tcPr>
            <w:tcW w:w="779" w:type="dxa"/>
            <w:hideMark/>
          </w:tcPr>
          <w:p w14:paraId="1725717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27FB03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796EAD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3BD20C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99FAC9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DABFF9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A78C6D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6717D3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33115D94" w14:textId="77777777" w:rsidTr="00070419">
        <w:trPr>
          <w:trHeight w:val="284"/>
        </w:trPr>
        <w:tc>
          <w:tcPr>
            <w:tcW w:w="2269" w:type="dxa"/>
            <w:hideMark/>
          </w:tcPr>
          <w:p w14:paraId="1CF4C513" w14:textId="4341BAFF"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 xml:space="preserve">Border Medical Oncology </w:t>
            </w:r>
            <w:r w:rsidR="0061618C" w:rsidRPr="00000DA0">
              <w:rPr>
                <w:rFonts w:cs="Arial"/>
                <w:color w:val="000000"/>
                <w:sz w:val="16"/>
                <w:szCs w:val="16"/>
                <w:lang w:eastAsia="en-AU"/>
              </w:rPr>
              <w:t>Research</w:t>
            </w:r>
            <w:r w:rsidRPr="00000DA0">
              <w:rPr>
                <w:rFonts w:cs="Arial"/>
                <w:color w:val="000000"/>
                <w:sz w:val="16"/>
                <w:szCs w:val="16"/>
                <w:lang w:eastAsia="en-AU"/>
              </w:rPr>
              <w:t xml:space="preserve"> Fund</w:t>
            </w:r>
          </w:p>
        </w:tc>
        <w:tc>
          <w:tcPr>
            <w:tcW w:w="779" w:type="dxa"/>
            <w:hideMark/>
          </w:tcPr>
          <w:p w14:paraId="75391E5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1,299 </w:t>
            </w:r>
          </w:p>
        </w:tc>
        <w:tc>
          <w:tcPr>
            <w:tcW w:w="779" w:type="dxa"/>
            <w:hideMark/>
          </w:tcPr>
          <w:p w14:paraId="2B4E423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44F9BA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D14890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7D8ABB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E40D98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8E623E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FFB30A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1,299 </w:t>
            </w:r>
          </w:p>
        </w:tc>
        <w:tc>
          <w:tcPr>
            <w:tcW w:w="779" w:type="dxa"/>
            <w:hideMark/>
          </w:tcPr>
          <w:p w14:paraId="128730B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998 </w:t>
            </w:r>
          </w:p>
        </w:tc>
        <w:tc>
          <w:tcPr>
            <w:tcW w:w="779" w:type="dxa"/>
            <w:hideMark/>
          </w:tcPr>
          <w:p w14:paraId="6763DA0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CB035A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F0826B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6C1C72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301A4A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116FFE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A63005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998 </w:t>
            </w:r>
          </w:p>
        </w:tc>
      </w:tr>
      <w:tr w:rsidR="00C00335" w:rsidRPr="00000DA0" w14:paraId="09E0C26A" w14:textId="77777777" w:rsidTr="00070419">
        <w:trPr>
          <w:trHeight w:val="284"/>
        </w:trPr>
        <w:tc>
          <w:tcPr>
            <w:tcW w:w="2269" w:type="dxa"/>
            <w:hideMark/>
          </w:tcPr>
          <w:p w14:paraId="3C3FCB49" w14:textId="4C482B7A"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Children</w:t>
            </w:r>
            <w:r w:rsidR="0061618C" w:rsidRPr="00000DA0">
              <w:rPr>
                <w:rFonts w:cs="Arial"/>
                <w:color w:val="000000"/>
                <w:sz w:val="16"/>
                <w:szCs w:val="16"/>
                <w:lang w:eastAsia="en-AU"/>
              </w:rPr>
              <w:t>’</w:t>
            </w:r>
            <w:r w:rsidRPr="00000DA0">
              <w:rPr>
                <w:rFonts w:cs="Arial"/>
                <w:color w:val="000000"/>
                <w:sz w:val="16"/>
                <w:szCs w:val="16"/>
                <w:lang w:eastAsia="en-AU"/>
              </w:rPr>
              <w:t>s Health Partnership Pty Ltd</w:t>
            </w:r>
          </w:p>
        </w:tc>
        <w:tc>
          <w:tcPr>
            <w:tcW w:w="779" w:type="dxa"/>
            <w:hideMark/>
          </w:tcPr>
          <w:p w14:paraId="7666852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164,764 </w:t>
            </w:r>
          </w:p>
        </w:tc>
        <w:tc>
          <w:tcPr>
            <w:tcW w:w="779" w:type="dxa"/>
            <w:hideMark/>
          </w:tcPr>
          <w:p w14:paraId="560F675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7FC286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FA5FEC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E2C2DE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FEAACD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8F4D85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41B88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164,764 </w:t>
            </w:r>
          </w:p>
        </w:tc>
        <w:tc>
          <w:tcPr>
            <w:tcW w:w="779" w:type="dxa"/>
            <w:hideMark/>
          </w:tcPr>
          <w:p w14:paraId="6F4002E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149,605 </w:t>
            </w:r>
          </w:p>
        </w:tc>
        <w:tc>
          <w:tcPr>
            <w:tcW w:w="779" w:type="dxa"/>
            <w:hideMark/>
          </w:tcPr>
          <w:p w14:paraId="05BCA5D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13248D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12090D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9610E7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B7522B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7C2338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0409D5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149,605 </w:t>
            </w:r>
          </w:p>
        </w:tc>
      </w:tr>
      <w:tr w:rsidR="00C00335" w:rsidRPr="00000DA0" w14:paraId="6EA72FA2" w14:textId="77777777" w:rsidTr="00070419">
        <w:trPr>
          <w:trHeight w:val="284"/>
        </w:trPr>
        <w:tc>
          <w:tcPr>
            <w:tcW w:w="2269" w:type="dxa"/>
            <w:hideMark/>
          </w:tcPr>
          <w:p w14:paraId="0E8F0BA4"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Dental Health Services Victoria</w:t>
            </w:r>
          </w:p>
        </w:tc>
        <w:tc>
          <w:tcPr>
            <w:tcW w:w="779" w:type="dxa"/>
            <w:hideMark/>
          </w:tcPr>
          <w:p w14:paraId="20BE4FB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44 </w:t>
            </w:r>
          </w:p>
        </w:tc>
        <w:tc>
          <w:tcPr>
            <w:tcW w:w="779" w:type="dxa"/>
            <w:hideMark/>
          </w:tcPr>
          <w:p w14:paraId="4005281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0DF3FC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F9DF40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9A7A8B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000CEE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167,197 </w:t>
            </w:r>
          </w:p>
        </w:tc>
        <w:tc>
          <w:tcPr>
            <w:tcW w:w="779" w:type="dxa"/>
            <w:hideMark/>
          </w:tcPr>
          <w:p w14:paraId="0A0E138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272 </w:t>
            </w:r>
          </w:p>
        </w:tc>
        <w:tc>
          <w:tcPr>
            <w:tcW w:w="780" w:type="dxa"/>
            <w:hideMark/>
          </w:tcPr>
          <w:p w14:paraId="591061A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167,513 </w:t>
            </w:r>
          </w:p>
        </w:tc>
        <w:tc>
          <w:tcPr>
            <w:tcW w:w="779" w:type="dxa"/>
            <w:hideMark/>
          </w:tcPr>
          <w:p w14:paraId="647E6F2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212 </w:t>
            </w:r>
          </w:p>
        </w:tc>
        <w:tc>
          <w:tcPr>
            <w:tcW w:w="779" w:type="dxa"/>
            <w:hideMark/>
          </w:tcPr>
          <w:p w14:paraId="617AE2D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25D2A5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B2F574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235082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78793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168,835 </w:t>
            </w:r>
          </w:p>
        </w:tc>
        <w:tc>
          <w:tcPr>
            <w:tcW w:w="779" w:type="dxa"/>
            <w:hideMark/>
          </w:tcPr>
          <w:p w14:paraId="6721E28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279 </w:t>
            </w:r>
          </w:p>
        </w:tc>
        <w:tc>
          <w:tcPr>
            <w:tcW w:w="780" w:type="dxa"/>
            <w:hideMark/>
          </w:tcPr>
          <w:p w14:paraId="19FBDF0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169,327 </w:t>
            </w:r>
          </w:p>
        </w:tc>
      </w:tr>
      <w:tr w:rsidR="00C00335" w:rsidRPr="00000DA0" w14:paraId="317BAC95" w14:textId="77777777" w:rsidTr="00070419">
        <w:trPr>
          <w:trHeight w:val="284"/>
        </w:trPr>
        <w:tc>
          <w:tcPr>
            <w:tcW w:w="2269" w:type="dxa"/>
            <w:hideMark/>
          </w:tcPr>
          <w:p w14:paraId="1EDB46E0"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Department Of Health And Ageing</w:t>
            </w:r>
          </w:p>
        </w:tc>
        <w:tc>
          <w:tcPr>
            <w:tcW w:w="779" w:type="dxa"/>
            <w:hideMark/>
          </w:tcPr>
          <w:p w14:paraId="5D3ABDF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1,278 </w:t>
            </w:r>
          </w:p>
        </w:tc>
        <w:tc>
          <w:tcPr>
            <w:tcW w:w="779" w:type="dxa"/>
            <w:hideMark/>
          </w:tcPr>
          <w:p w14:paraId="319593B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25123D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DD967D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8728B4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D564EF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320B66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90217E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1,278 </w:t>
            </w:r>
          </w:p>
        </w:tc>
        <w:tc>
          <w:tcPr>
            <w:tcW w:w="779" w:type="dxa"/>
            <w:hideMark/>
          </w:tcPr>
          <w:p w14:paraId="405C099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1,307 </w:t>
            </w:r>
          </w:p>
        </w:tc>
        <w:tc>
          <w:tcPr>
            <w:tcW w:w="779" w:type="dxa"/>
            <w:hideMark/>
          </w:tcPr>
          <w:p w14:paraId="25E94F7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29B092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0BB3DD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3F3F2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767F11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99A26A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9C8A55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1,307 </w:t>
            </w:r>
          </w:p>
        </w:tc>
      </w:tr>
      <w:tr w:rsidR="00C00335" w:rsidRPr="00000DA0" w14:paraId="02964188" w14:textId="77777777" w:rsidTr="00070419">
        <w:trPr>
          <w:trHeight w:val="284"/>
        </w:trPr>
        <w:tc>
          <w:tcPr>
            <w:tcW w:w="2269" w:type="dxa"/>
            <w:hideMark/>
          </w:tcPr>
          <w:p w14:paraId="7098AFE2"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Department Of Health Qld</w:t>
            </w:r>
          </w:p>
        </w:tc>
        <w:tc>
          <w:tcPr>
            <w:tcW w:w="779" w:type="dxa"/>
            <w:hideMark/>
          </w:tcPr>
          <w:p w14:paraId="2CA0768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12,619 </w:t>
            </w:r>
          </w:p>
        </w:tc>
        <w:tc>
          <w:tcPr>
            <w:tcW w:w="779" w:type="dxa"/>
            <w:hideMark/>
          </w:tcPr>
          <w:p w14:paraId="22F0C60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9E9ED5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E42BA3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0EE656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4B5453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92C065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8FB675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12,619 </w:t>
            </w:r>
          </w:p>
        </w:tc>
        <w:tc>
          <w:tcPr>
            <w:tcW w:w="779" w:type="dxa"/>
            <w:hideMark/>
          </w:tcPr>
          <w:p w14:paraId="2FB8F9A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64E759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B01768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22DB32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E3E8E0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0DA5DA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446DC3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D7A944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365960EE" w14:textId="77777777" w:rsidTr="00070419">
        <w:trPr>
          <w:trHeight w:val="284"/>
        </w:trPr>
        <w:tc>
          <w:tcPr>
            <w:tcW w:w="2269" w:type="dxa"/>
            <w:hideMark/>
          </w:tcPr>
          <w:p w14:paraId="595CAF8F"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Department Of Health Wa</w:t>
            </w:r>
          </w:p>
        </w:tc>
        <w:tc>
          <w:tcPr>
            <w:tcW w:w="779" w:type="dxa"/>
            <w:hideMark/>
          </w:tcPr>
          <w:p w14:paraId="53C7E0C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2,818 </w:t>
            </w:r>
          </w:p>
        </w:tc>
        <w:tc>
          <w:tcPr>
            <w:tcW w:w="779" w:type="dxa"/>
            <w:hideMark/>
          </w:tcPr>
          <w:p w14:paraId="360755B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270070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ECA5E3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48CAF6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43108C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82BCE9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3A1EF3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2,818 </w:t>
            </w:r>
          </w:p>
        </w:tc>
        <w:tc>
          <w:tcPr>
            <w:tcW w:w="779" w:type="dxa"/>
            <w:hideMark/>
          </w:tcPr>
          <w:p w14:paraId="6663FCA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4E1934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CDBCC2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732F6D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93367E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425B0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4EA753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19E70C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4BF30B5C" w14:textId="77777777" w:rsidTr="00070419">
        <w:trPr>
          <w:trHeight w:val="284"/>
        </w:trPr>
        <w:tc>
          <w:tcPr>
            <w:tcW w:w="2269" w:type="dxa"/>
            <w:hideMark/>
          </w:tcPr>
          <w:p w14:paraId="1DE84DC0"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Epilepsy Foundation</w:t>
            </w:r>
          </w:p>
        </w:tc>
        <w:tc>
          <w:tcPr>
            <w:tcW w:w="779" w:type="dxa"/>
            <w:hideMark/>
          </w:tcPr>
          <w:p w14:paraId="73FB820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1,366 </w:t>
            </w:r>
          </w:p>
        </w:tc>
        <w:tc>
          <w:tcPr>
            <w:tcW w:w="779" w:type="dxa"/>
            <w:hideMark/>
          </w:tcPr>
          <w:p w14:paraId="12B8717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8E5556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10AC16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4A9D2C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208C22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50D87D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3223BE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1,366 </w:t>
            </w:r>
          </w:p>
        </w:tc>
        <w:tc>
          <w:tcPr>
            <w:tcW w:w="779" w:type="dxa"/>
            <w:hideMark/>
          </w:tcPr>
          <w:p w14:paraId="5361924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1,432 </w:t>
            </w:r>
          </w:p>
        </w:tc>
        <w:tc>
          <w:tcPr>
            <w:tcW w:w="779" w:type="dxa"/>
            <w:hideMark/>
          </w:tcPr>
          <w:p w14:paraId="61352A1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F9DDBE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60AE5D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B1F712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04479C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E0078E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32ACC7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1,432 </w:t>
            </w:r>
          </w:p>
        </w:tc>
      </w:tr>
      <w:tr w:rsidR="00C00335" w:rsidRPr="00000DA0" w14:paraId="72F87166" w14:textId="77777777" w:rsidTr="00070419">
        <w:trPr>
          <w:trHeight w:val="284"/>
        </w:trPr>
        <w:tc>
          <w:tcPr>
            <w:tcW w:w="2269" w:type="dxa"/>
            <w:hideMark/>
          </w:tcPr>
          <w:p w14:paraId="46079453"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Exemplar Health Partnership</w:t>
            </w:r>
          </w:p>
        </w:tc>
        <w:tc>
          <w:tcPr>
            <w:tcW w:w="779" w:type="dxa"/>
            <w:hideMark/>
          </w:tcPr>
          <w:p w14:paraId="2BD20E1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62,754 </w:t>
            </w:r>
          </w:p>
        </w:tc>
        <w:tc>
          <w:tcPr>
            <w:tcW w:w="779" w:type="dxa"/>
            <w:hideMark/>
          </w:tcPr>
          <w:p w14:paraId="34727AD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6DE793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FDC41C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FD3C46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23B40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6BF864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C8F421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62,754 </w:t>
            </w:r>
          </w:p>
        </w:tc>
        <w:tc>
          <w:tcPr>
            <w:tcW w:w="779" w:type="dxa"/>
            <w:hideMark/>
          </w:tcPr>
          <w:p w14:paraId="5EE810B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64,349 </w:t>
            </w:r>
          </w:p>
        </w:tc>
        <w:tc>
          <w:tcPr>
            <w:tcW w:w="779" w:type="dxa"/>
            <w:hideMark/>
          </w:tcPr>
          <w:p w14:paraId="07D6804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B03A29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5817EA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3E4B9E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8BD196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98464A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71530A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64,349 </w:t>
            </w:r>
          </w:p>
        </w:tc>
      </w:tr>
      <w:tr w:rsidR="00C00335" w:rsidRPr="00000DA0" w14:paraId="1D9F278B" w14:textId="77777777" w:rsidTr="00070419">
        <w:trPr>
          <w:trHeight w:val="284"/>
        </w:trPr>
        <w:tc>
          <w:tcPr>
            <w:tcW w:w="2269" w:type="dxa"/>
            <w:hideMark/>
          </w:tcPr>
          <w:p w14:paraId="40234420"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Healthshare Vic</w:t>
            </w:r>
          </w:p>
        </w:tc>
        <w:tc>
          <w:tcPr>
            <w:tcW w:w="779" w:type="dxa"/>
            <w:hideMark/>
          </w:tcPr>
          <w:p w14:paraId="23F9530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41,708 </w:t>
            </w:r>
          </w:p>
        </w:tc>
        <w:tc>
          <w:tcPr>
            <w:tcW w:w="779" w:type="dxa"/>
            <w:hideMark/>
          </w:tcPr>
          <w:p w14:paraId="2EF2C70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2CA13B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D63017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A3CE01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C6EB23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DB7E79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33C25D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41,708 </w:t>
            </w:r>
          </w:p>
        </w:tc>
        <w:tc>
          <w:tcPr>
            <w:tcW w:w="779" w:type="dxa"/>
            <w:hideMark/>
          </w:tcPr>
          <w:p w14:paraId="45851D8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42,749 </w:t>
            </w:r>
          </w:p>
        </w:tc>
        <w:tc>
          <w:tcPr>
            <w:tcW w:w="779" w:type="dxa"/>
            <w:hideMark/>
          </w:tcPr>
          <w:p w14:paraId="1ECA64C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5895B5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1812CA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39A268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BC4130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C1AF08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08A1D9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42,749 </w:t>
            </w:r>
          </w:p>
        </w:tc>
      </w:tr>
      <w:tr w:rsidR="00C00335" w:rsidRPr="00000DA0" w14:paraId="62032A76" w14:textId="77777777" w:rsidTr="00070419">
        <w:trPr>
          <w:trHeight w:val="284"/>
        </w:trPr>
        <w:tc>
          <w:tcPr>
            <w:tcW w:w="2269" w:type="dxa"/>
            <w:hideMark/>
          </w:tcPr>
          <w:p w14:paraId="7DBCBD9C"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Karingal St Laurence Limited</w:t>
            </w:r>
          </w:p>
        </w:tc>
        <w:tc>
          <w:tcPr>
            <w:tcW w:w="779" w:type="dxa"/>
            <w:hideMark/>
          </w:tcPr>
          <w:p w14:paraId="4CC2F9C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EF4A3D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1,249 </w:t>
            </w:r>
          </w:p>
        </w:tc>
        <w:tc>
          <w:tcPr>
            <w:tcW w:w="779" w:type="dxa"/>
            <w:hideMark/>
          </w:tcPr>
          <w:p w14:paraId="3A3EBF4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43C118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F795DF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246 </w:t>
            </w:r>
          </w:p>
        </w:tc>
        <w:tc>
          <w:tcPr>
            <w:tcW w:w="779" w:type="dxa"/>
            <w:hideMark/>
          </w:tcPr>
          <w:p w14:paraId="4E173C4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C703E5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913910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1,496 </w:t>
            </w:r>
          </w:p>
        </w:tc>
        <w:tc>
          <w:tcPr>
            <w:tcW w:w="779" w:type="dxa"/>
            <w:hideMark/>
          </w:tcPr>
          <w:p w14:paraId="6EB081A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46ACD0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1,279 </w:t>
            </w:r>
          </w:p>
        </w:tc>
        <w:tc>
          <w:tcPr>
            <w:tcW w:w="779" w:type="dxa"/>
            <w:hideMark/>
          </w:tcPr>
          <w:p w14:paraId="1047FB4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47FB10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1B82CE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253 </w:t>
            </w:r>
          </w:p>
        </w:tc>
        <w:tc>
          <w:tcPr>
            <w:tcW w:w="779" w:type="dxa"/>
            <w:hideMark/>
          </w:tcPr>
          <w:p w14:paraId="319F199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FA6A6B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7570FB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1,532 </w:t>
            </w:r>
          </w:p>
        </w:tc>
      </w:tr>
      <w:tr w:rsidR="00C00335" w:rsidRPr="00000DA0" w14:paraId="5174FC2F" w14:textId="77777777" w:rsidTr="00070419">
        <w:trPr>
          <w:trHeight w:val="284"/>
        </w:trPr>
        <w:tc>
          <w:tcPr>
            <w:tcW w:w="2269" w:type="dxa"/>
            <w:hideMark/>
          </w:tcPr>
          <w:p w14:paraId="2E80CD41"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Lyndoch Living Inc</w:t>
            </w:r>
          </w:p>
        </w:tc>
        <w:tc>
          <w:tcPr>
            <w:tcW w:w="779" w:type="dxa"/>
            <w:hideMark/>
          </w:tcPr>
          <w:p w14:paraId="1E4F0F0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2,200 </w:t>
            </w:r>
          </w:p>
        </w:tc>
        <w:tc>
          <w:tcPr>
            <w:tcW w:w="779" w:type="dxa"/>
            <w:hideMark/>
          </w:tcPr>
          <w:p w14:paraId="5A00664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3,457 </w:t>
            </w:r>
          </w:p>
        </w:tc>
        <w:tc>
          <w:tcPr>
            <w:tcW w:w="779" w:type="dxa"/>
            <w:hideMark/>
          </w:tcPr>
          <w:p w14:paraId="5C60400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3853A0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90F6D6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389 </w:t>
            </w:r>
          </w:p>
        </w:tc>
        <w:tc>
          <w:tcPr>
            <w:tcW w:w="779" w:type="dxa"/>
            <w:hideMark/>
          </w:tcPr>
          <w:p w14:paraId="3FE4692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319 </w:t>
            </w:r>
          </w:p>
        </w:tc>
        <w:tc>
          <w:tcPr>
            <w:tcW w:w="779" w:type="dxa"/>
            <w:hideMark/>
          </w:tcPr>
          <w:p w14:paraId="38A3A0A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8567D6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6,365 </w:t>
            </w:r>
          </w:p>
        </w:tc>
        <w:tc>
          <w:tcPr>
            <w:tcW w:w="779" w:type="dxa"/>
            <w:hideMark/>
          </w:tcPr>
          <w:p w14:paraId="2914EF3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2,241 </w:t>
            </w:r>
          </w:p>
        </w:tc>
        <w:tc>
          <w:tcPr>
            <w:tcW w:w="779" w:type="dxa"/>
            <w:hideMark/>
          </w:tcPr>
          <w:p w14:paraId="232A104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5,227 </w:t>
            </w:r>
          </w:p>
        </w:tc>
        <w:tc>
          <w:tcPr>
            <w:tcW w:w="779" w:type="dxa"/>
            <w:hideMark/>
          </w:tcPr>
          <w:p w14:paraId="1FBF8B4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24FC71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995871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398 </w:t>
            </w:r>
          </w:p>
        </w:tc>
        <w:tc>
          <w:tcPr>
            <w:tcW w:w="779" w:type="dxa"/>
            <w:hideMark/>
          </w:tcPr>
          <w:p w14:paraId="186C26A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8133EA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556E3F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7,866 </w:t>
            </w:r>
          </w:p>
        </w:tc>
      </w:tr>
      <w:tr w:rsidR="00C00335" w:rsidRPr="00000DA0" w14:paraId="0C7AFFFC" w14:textId="77777777" w:rsidTr="00070419">
        <w:trPr>
          <w:trHeight w:val="284"/>
        </w:trPr>
        <w:tc>
          <w:tcPr>
            <w:tcW w:w="2269" w:type="dxa"/>
            <w:hideMark/>
          </w:tcPr>
          <w:p w14:paraId="0FFB756A"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Mallee District Aboriginal Services Limited</w:t>
            </w:r>
          </w:p>
        </w:tc>
        <w:tc>
          <w:tcPr>
            <w:tcW w:w="779" w:type="dxa"/>
            <w:hideMark/>
          </w:tcPr>
          <w:p w14:paraId="3CD40AE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484 </w:t>
            </w:r>
          </w:p>
        </w:tc>
        <w:tc>
          <w:tcPr>
            <w:tcW w:w="779" w:type="dxa"/>
            <w:hideMark/>
          </w:tcPr>
          <w:p w14:paraId="2DB3C80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49 </w:t>
            </w:r>
          </w:p>
        </w:tc>
        <w:tc>
          <w:tcPr>
            <w:tcW w:w="779" w:type="dxa"/>
            <w:hideMark/>
          </w:tcPr>
          <w:p w14:paraId="650E0C5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6FC1DE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1,421 </w:t>
            </w:r>
          </w:p>
        </w:tc>
        <w:tc>
          <w:tcPr>
            <w:tcW w:w="779" w:type="dxa"/>
            <w:hideMark/>
          </w:tcPr>
          <w:p w14:paraId="7113040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353 </w:t>
            </w:r>
          </w:p>
        </w:tc>
        <w:tc>
          <w:tcPr>
            <w:tcW w:w="779" w:type="dxa"/>
            <w:hideMark/>
          </w:tcPr>
          <w:p w14:paraId="018E385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726 </w:t>
            </w:r>
          </w:p>
        </w:tc>
        <w:tc>
          <w:tcPr>
            <w:tcW w:w="779" w:type="dxa"/>
            <w:hideMark/>
          </w:tcPr>
          <w:p w14:paraId="48152E1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F94F3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3,032 </w:t>
            </w:r>
          </w:p>
        </w:tc>
        <w:tc>
          <w:tcPr>
            <w:tcW w:w="779" w:type="dxa"/>
            <w:hideMark/>
          </w:tcPr>
          <w:p w14:paraId="4047C8D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496 </w:t>
            </w:r>
          </w:p>
        </w:tc>
        <w:tc>
          <w:tcPr>
            <w:tcW w:w="779" w:type="dxa"/>
            <w:hideMark/>
          </w:tcPr>
          <w:p w14:paraId="1CEFB19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50 </w:t>
            </w:r>
          </w:p>
        </w:tc>
        <w:tc>
          <w:tcPr>
            <w:tcW w:w="779" w:type="dxa"/>
            <w:hideMark/>
          </w:tcPr>
          <w:p w14:paraId="327D12D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348E7A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1,457 </w:t>
            </w:r>
          </w:p>
        </w:tc>
        <w:tc>
          <w:tcPr>
            <w:tcW w:w="779" w:type="dxa"/>
            <w:hideMark/>
          </w:tcPr>
          <w:p w14:paraId="1EEAA1F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362 </w:t>
            </w:r>
          </w:p>
        </w:tc>
        <w:tc>
          <w:tcPr>
            <w:tcW w:w="779" w:type="dxa"/>
            <w:hideMark/>
          </w:tcPr>
          <w:p w14:paraId="2A546D7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1,676 </w:t>
            </w:r>
          </w:p>
        </w:tc>
        <w:tc>
          <w:tcPr>
            <w:tcW w:w="779" w:type="dxa"/>
            <w:hideMark/>
          </w:tcPr>
          <w:p w14:paraId="03F7DB2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69E284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4,041 </w:t>
            </w:r>
          </w:p>
        </w:tc>
      </w:tr>
      <w:tr w:rsidR="00C00335" w:rsidRPr="00000DA0" w14:paraId="2BE1B8C4" w14:textId="77777777" w:rsidTr="00070419">
        <w:trPr>
          <w:trHeight w:val="284"/>
        </w:trPr>
        <w:tc>
          <w:tcPr>
            <w:tcW w:w="2269" w:type="dxa"/>
            <w:hideMark/>
          </w:tcPr>
          <w:p w14:paraId="65BB2D21"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Murray Primary Health Network</w:t>
            </w:r>
          </w:p>
        </w:tc>
        <w:tc>
          <w:tcPr>
            <w:tcW w:w="779" w:type="dxa"/>
            <w:hideMark/>
          </w:tcPr>
          <w:p w14:paraId="58BF28D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88FE3B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31F516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3837EB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6A019B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706F13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41 </w:t>
            </w:r>
          </w:p>
        </w:tc>
        <w:tc>
          <w:tcPr>
            <w:tcW w:w="779" w:type="dxa"/>
            <w:hideMark/>
          </w:tcPr>
          <w:p w14:paraId="3060E19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136 </w:t>
            </w:r>
          </w:p>
        </w:tc>
        <w:tc>
          <w:tcPr>
            <w:tcW w:w="780" w:type="dxa"/>
            <w:hideMark/>
          </w:tcPr>
          <w:p w14:paraId="0FBB151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176 </w:t>
            </w:r>
          </w:p>
        </w:tc>
        <w:tc>
          <w:tcPr>
            <w:tcW w:w="779" w:type="dxa"/>
            <w:hideMark/>
          </w:tcPr>
          <w:p w14:paraId="1724751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CAC982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455A46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490B8B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F0A3DC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6F0250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41 </w:t>
            </w:r>
          </w:p>
        </w:tc>
        <w:tc>
          <w:tcPr>
            <w:tcW w:w="779" w:type="dxa"/>
            <w:hideMark/>
          </w:tcPr>
          <w:p w14:paraId="55CA3AF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994 </w:t>
            </w:r>
          </w:p>
        </w:tc>
        <w:tc>
          <w:tcPr>
            <w:tcW w:w="780" w:type="dxa"/>
            <w:hideMark/>
          </w:tcPr>
          <w:p w14:paraId="4A43F38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1,036 </w:t>
            </w:r>
          </w:p>
        </w:tc>
      </w:tr>
      <w:tr w:rsidR="00C00335" w:rsidRPr="00000DA0" w14:paraId="01470BF0" w14:textId="77777777" w:rsidTr="00070419">
        <w:trPr>
          <w:trHeight w:val="284"/>
        </w:trPr>
        <w:tc>
          <w:tcPr>
            <w:tcW w:w="2269" w:type="dxa"/>
            <w:hideMark/>
          </w:tcPr>
          <w:p w14:paraId="0D79F852"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National Blood Authority</w:t>
            </w:r>
          </w:p>
        </w:tc>
        <w:tc>
          <w:tcPr>
            <w:tcW w:w="779" w:type="dxa"/>
            <w:hideMark/>
          </w:tcPr>
          <w:p w14:paraId="1B380F5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124,150 </w:t>
            </w:r>
          </w:p>
        </w:tc>
        <w:tc>
          <w:tcPr>
            <w:tcW w:w="779" w:type="dxa"/>
            <w:hideMark/>
          </w:tcPr>
          <w:p w14:paraId="50B18D9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691C5E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16205E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889911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08EEF5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6810FB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0438B0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124,150 </w:t>
            </w:r>
          </w:p>
        </w:tc>
        <w:tc>
          <w:tcPr>
            <w:tcW w:w="779" w:type="dxa"/>
            <w:hideMark/>
          </w:tcPr>
          <w:p w14:paraId="7A3A9A2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134,412 </w:t>
            </w:r>
          </w:p>
        </w:tc>
        <w:tc>
          <w:tcPr>
            <w:tcW w:w="779" w:type="dxa"/>
            <w:hideMark/>
          </w:tcPr>
          <w:p w14:paraId="3538FD5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65B185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FC0B9F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FABDB3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F06226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961A2B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1ABA78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134,412 </w:t>
            </w:r>
          </w:p>
        </w:tc>
      </w:tr>
      <w:tr w:rsidR="00C00335" w:rsidRPr="00000DA0" w14:paraId="4B1B1C69" w14:textId="77777777" w:rsidTr="00070419">
        <w:trPr>
          <w:trHeight w:val="284"/>
        </w:trPr>
        <w:tc>
          <w:tcPr>
            <w:tcW w:w="2269" w:type="dxa"/>
            <w:hideMark/>
          </w:tcPr>
          <w:p w14:paraId="1DA1AF83"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Ngwala Willumbong Aboriginal Corporation</w:t>
            </w:r>
          </w:p>
        </w:tc>
        <w:tc>
          <w:tcPr>
            <w:tcW w:w="779" w:type="dxa"/>
            <w:hideMark/>
          </w:tcPr>
          <w:p w14:paraId="5ED6E65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54F945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114 </w:t>
            </w:r>
          </w:p>
        </w:tc>
        <w:tc>
          <w:tcPr>
            <w:tcW w:w="779" w:type="dxa"/>
            <w:hideMark/>
          </w:tcPr>
          <w:p w14:paraId="08FA07E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B0EC59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1,259 </w:t>
            </w:r>
          </w:p>
        </w:tc>
        <w:tc>
          <w:tcPr>
            <w:tcW w:w="779" w:type="dxa"/>
            <w:hideMark/>
          </w:tcPr>
          <w:p w14:paraId="00BE4DE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FBF65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277 </w:t>
            </w:r>
          </w:p>
        </w:tc>
        <w:tc>
          <w:tcPr>
            <w:tcW w:w="779" w:type="dxa"/>
            <w:hideMark/>
          </w:tcPr>
          <w:p w14:paraId="0C9528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138D3C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1,649 </w:t>
            </w:r>
          </w:p>
        </w:tc>
        <w:tc>
          <w:tcPr>
            <w:tcW w:w="779" w:type="dxa"/>
            <w:hideMark/>
          </w:tcPr>
          <w:p w14:paraId="0C205BE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072ABB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117 </w:t>
            </w:r>
          </w:p>
        </w:tc>
        <w:tc>
          <w:tcPr>
            <w:tcW w:w="779" w:type="dxa"/>
            <w:hideMark/>
          </w:tcPr>
          <w:p w14:paraId="5A31B26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F95814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1,291 </w:t>
            </w:r>
          </w:p>
        </w:tc>
        <w:tc>
          <w:tcPr>
            <w:tcW w:w="779" w:type="dxa"/>
            <w:hideMark/>
          </w:tcPr>
          <w:p w14:paraId="658DE15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F0B220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854 </w:t>
            </w:r>
          </w:p>
        </w:tc>
        <w:tc>
          <w:tcPr>
            <w:tcW w:w="779" w:type="dxa"/>
            <w:hideMark/>
          </w:tcPr>
          <w:p w14:paraId="3924077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63FDD5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2,262 </w:t>
            </w:r>
          </w:p>
        </w:tc>
      </w:tr>
      <w:tr w:rsidR="00C00335" w:rsidRPr="00000DA0" w14:paraId="58ABDCD1" w14:textId="77777777" w:rsidTr="00070419">
        <w:trPr>
          <w:trHeight w:val="284"/>
        </w:trPr>
        <w:tc>
          <w:tcPr>
            <w:tcW w:w="2269" w:type="dxa"/>
            <w:hideMark/>
          </w:tcPr>
          <w:p w14:paraId="6A1DBEC2"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Orygen</w:t>
            </w:r>
          </w:p>
        </w:tc>
        <w:tc>
          <w:tcPr>
            <w:tcW w:w="779" w:type="dxa"/>
            <w:hideMark/>
          </w:tcPr>
          <w:p w14:paraId="122C17C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1,034 </w:t>
            </w:r>
          </w:p>
        </w:tc>
        <w:tc>
          <w:tcPr>
            <w:tcW w:w="779" w:type="dxa"/>
            <w:hideMark/>
          </w:tcPr>
          <w:p w14:paraId="40991E6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D316CC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C27E49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1785E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11,612 </w:t>
            </w:r>
          </w:p>
        </w:tc>
        <w:tc>
          <w:tcPr>
            <w:tcW w:w="779" w:type="dxa"/>
            <w:hideMark/>
          </w:tcPr>
          <w:p w14:paraId="21C7734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B9EAF4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1B6347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12,647 </w:t>
            </w:r>
          </w:p>
        </w:tc>
        <w:tc>
          <w:tcPr>
            <w:tcW w:w="779" w:type="dxa"/>
            <w:hideMark/>
          </w:tcPr>
          <w:p w14:paraId="1608A49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49DD32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5BB14E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51EAF0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52E4F3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16,536 </w:t>
            </w:r>
          </w:p>
        </w:tc>
        <w:tc>
          <w:tcPr>
            <w:tcW w:w="779" w:type="dxa"/>
            <w:hideMark/>
          </w:tcPr>
          <w:p w14:paraId="1CA2452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844B8C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F714D3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16,536 </w:t>
            </w:r>
          </w:p>
        </w:tc>
      </w:tr>
      <w:tr w:rsidR="00C00335" w:rsidRPr="00000DA0" w14:paraId="5943E0DB" w14:textId="77777777" w:rsidTr="00070419">
        <w:trPr>
          <w:trHeight w:val="284"/>
        </w:trPr>
        <w:tc>
          <w:tcPr>
            <w:tcW w:w="2269" w:type="dxa"/>
            <w:hideMark/>
          </w:tcPr>
          <w:p w14:paraId="544333B6"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lastRenderedPageBreak/>
              <w:t>Plenary Health Casey Pty Ltd (Non Gst)</w:t>
            </w:r>
          </w:p>
        </w:tc>
        <w:tc>
          <w:tcPr>
            <w:tcW w:w="779" w:type="dxa"/>
            <w:hideMark/>
          </w:tcPr>
          <w:p w14:paraId="3123BBA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14,711 </w:t>
            </w:r>
          </w:p>
        </w:tc>
        <w:tc>
          <w:tcPr>
            <w:tcW w:w="779" w:type="dxa"/>
            <w:hideMark/>
          </w:tcPr>
          <w:p w14:paraId="42E232F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CAAE0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C845E5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D24619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7BF940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B9D90C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6C8E94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14,711 </w:t>
            </w:r>
          </w:p>
        </w:tc>
        <w:tc>
          <w:tcPr>
            <w:tcW w:w="779" w:type="dxa"/>
            <w:hideMark/>
          </w:tcPr>
          <w:p w14:paraId="64AA3CB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15,079 </w:t>
            </w:r>
          </w:p>
        </w:tc>
        <w:tc>
          <w:tcPr>
            <w:tcW w:w="779" w:type="dxa"/>
            <w:hideMark/>
          </w:tcPr>
          <w:p w14:paraId="71E7C58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3914A0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7D17F6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B11673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5B25A5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63F900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F84EB4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15,079 </w:t>
            </w:r>
          </w:p>
        </w:tc>
      </w:tr>
      <w:tr w:rsidR="00C00335" w:rsidRPr="00000DA0" w14:paraId="280522A3" w14:textId="77777777" w:rsidTr="00070419">
        <w:trPr>
          <w:trHeight w:val="284"/>
        </w:trPr>
        <w:tc>
          <w:tcPr>
            <w:tcW w:w="2269" w:type="dxa"/>
            <w:hideMark/>
          </w:tcPr>
          <w:p w14:paraId="1C162361"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Plenary Health Ccc Pty Ltd</w:t>
            </w:r>
          </w:p>
        </w:tc>
        <w:tc>
          <w:tcPr>
            <w:tcW w:w="779" w:type="dxa"/>
            <w:hideMark/>
          </w:tcPr>
          <w:p w14:paraId="1857F05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128,770 </w:t>
            </w:r>
          </w:p>
        </w:tc>
        <w:tc>
          <w:tcPr>
            <w:tcW w:w="779" w:type="dxa"/>
            <w:hideMark/>
          </w:tcPr>
          <w:p w14:paraId="00AC2AF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7F9657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5B6DD0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34B17F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2E302D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9F1077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EB72DE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128,770 </w:t>
            </w:r>
          </w:p>
        </w:tc>
        <w:tc>
          <w:tcPr>
            <w:tcW w:w="779" w:type="dxa"/>
            <w:hideMark/>
          </w:tcPr>
          <w:p w14:paraId="0468C5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128,635 </w:t>
            </w:r>
          </w:p>
        </w:tc>
        <w:tc>
          <w:tcPr>
            <w:tcW w:w="779" w:type="dxa"/>
            <w:hideMark/>
          </w:tcPr>
          <w:p w14:paraId="425D086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618082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2FC69A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86DDDB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9DFC29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838360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F7C8B9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128,635 </w:t>
            </w:r>
          </w:p>
        </w:tc>
      </w:tr>
      <w:tr w:rsidR="00C00335" w:rsidRPr="00000DA0" w14:paraId="75630A0B" w14:textId="77777777" w:rsidTr="00070419">
        <w:trPr>
          <w:trHeight w:val="284"/>
        </w:trPr>
        <w:tc>
          <w:tcPr>
            <w:tcW w:w="2269" w:type="dxa"/>
            <w:hideMark/>
          </w:tcPr>
          <w:p w14:paraId="680E92D1"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Plenary Health Chep Pty Ltd (Non Gst)</w:t>
            </w:r>
          </w:p>
        </w:tc>
        <w:tc>
          <w:tcPr>
            <w:tcW w:w="779" w:type="dxa"/>
            <w:hideMark/>
          </w:tcPr>
          <w:p w14:paraId="1223405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7,302 </w:t>
            </w:r>
          </w:p>
        </w:tc>
        <w:tc>
          <w:tcPr>
            <w:tcW w:w="779" w:type="dxa"/>
            <w:hideMark/>
          </w:tcPr>
          <w:p w14:paraId="6D67BFA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02FCA5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472952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AD16E7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F88590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CCCFE9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F4EFF6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7,302 </w:t>
            </w:r>
          </w:p>
        </w:tc>
        <w:tc>
          <w:tcPr>
            <w:tcW w:w="779" w:type="dxa"/>
            <w:hideMark/>
          </w:tcPr>
          <w:p w14:paraId="74A80C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7,433 </w:t>
            </w:r>
          </w:p>
        </w:tc>
        <w:tc>
          <w:tcPr>
            <w:tcW w:w="779" w:type="dxa"/>
            <w:hideMark/>
          </w:tcPr>
          <w:p w14:paraId="6DE3F49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D2B2DF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C8FCA0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346523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BCC385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499EB7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FEC401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7,433 </w:t>
            </w:r>
          </w:p>
        </w:tc>
      </w:tr>
      <w:tr w:rsidR="00C00335" w:rsidRPr="00000DA0" w14:paraId="368888E2" w14:textId="77777777" w:rsidTr="00070419">
        <w:trPr>
          <w:trHeight w:val="284"/>
        </w:trPr>
        <w:tc>
          <w:tcPr>
            <w:tcW w:w="2269" w:type="dxa"/>
            <w:hideMark/>
          </w:tcPr>
          <w:p w14:paraId="73852C79"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Postgraduate Medical Council Of Victoria</w:t>
            </w:r>
          </w:p>
        </w:tc>
        <w:tc>
          <w:tcPr>
            <w:tcW w:w="779" w:type="dxa"/>
            <w:hideMark/>
          </w:tcPr>
          <w:p w14:paraId="57080E2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1,915 </w:t>
            </w:r>
          </w:p>
        </w:tc>
        <w:tc>
          <w:tcPr>
            <w:tcW w:w="779" w:type="dxa"/>
            <w:hideMark/>
          </w:tcPr>
          <w:p w14:paraId="6B12B85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835DB5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52C38E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C8FB46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008E65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079EC1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063806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1,915 </w:t>
            </w:r>
          </w:p>
        </w:tc>
        <w:tc>
          <w:tcPr>
            <w:tcW w:w="779" w:type="dxa"/>
            <w:hideMark/>
          </w:tcPr>
          <w:p w14:paraId="6440E86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9206A3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B97C60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894D2A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062684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A46245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FECBCD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815C73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70940523" w14:textId="77777777" w:rsidTr="00070419">
        <w:trPr>
          <w:trHeight w:val="284"/>
        </w:trPr>
        <w:tc>
          <w:tcPr>
            <w:tcW w:w="2269" w:type="dxa"/>
            <w:hideMark/>
          </w:tcPr>
          <w:p w14:paraId="2EF82244"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Rw Health Partnerships Pty Ltd</w:t>
            </w:r>
          </w:p>
        </w:tc>
        <w:tc>
          <w:tcPr>
            <w:tcW w:w="779" w:type="dxa"/>
            <w:hideMark/>
          </w:tcPr>
          <w:p w14:paraId="00474E3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46,423 </w:t>
            </w:r>
          </w:p>
        </w:tc>
        <w:tc>
          <w:tcPr>
            <w:tcW w:w="779" w:type="dxa"/>
            <w:hideMark/>
          </w:tcPr>
          <w:p w14:paraId="4A9060B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FDAD99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9DA7C4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DDE846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C89A69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7C842B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8B48D9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46,423 </w:t>
            </w:r>
          </w:p>
        </w:tc>
        <w:tc>
          <w:tcPr>
            <w:tcW w:w="779" w:type="dxa"/>
            <w:hideMark/>
          </w:tcPr>
          <w:p w14:paraId="11A7F62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44,586 </w:t>
            </w:r>
          </w:p>
        </w:tc>
        <w:tc>
          <w:tcPr>
            <w:tcW w:w="779" w:type="dxa"/>
            <w:hideMark/>
          </w:tcPr>
          <w:p w14:paraId="739A0C8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7DF8E4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6612D2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90E0D6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B25194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946E7F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03D092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44,586 </w:t>
            </w:r>
          </w:p>
        </w:tc>
      </w:tr>
      <w:tr w:rsidR="00C00335" w:rsidRPr="00000DA0" w14:paraId="2A00E610" w14:textId="77777777" w:rsidTr="00070419">
        <w:trPr>
          <w:trHeight w:val="284"/>
        </w:trPr>
        <w:tc>
          <w:tcPr>
            <w:tcW w:w="2269" w:type="dxa"/>
            <w:hideMark/>
          </w:tcPr>
          <w:p w14:paraId="7995FAEF"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Satellite Foundation</w:t>
            </w:r>
          </w:p>
        </w:tc>
        <w:tc>
          <w:tcPr>
            <w:tcW w:w="779" w:type="dxa"/>
            <w:hideMark/>
          </w:tcPr>
          <w:p w14:paraId="09C8A05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0BB99F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80DB42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0C6057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7CCFF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754 </w:t>
            </w:r>
          </w:p>
        </w:tc>
        <w:tc>
          <w:tcPr>
            <w:tcW w:w="779" w:type="dxa"/>
            <w:hideMark/>
          </w:tcPr>
          <w:p w14:paraId="0E62492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B9D417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AE6874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754 </w:t>
            </w:r>
          </w:p>
        </w:tc>
        <w:tc>
          <w:tcPr>
            <w:tcW w:w="779" w:type="dxa"/>
            <w:hideMark/>
          </w:tcPr>
          <w:p w14:paraId="48E1204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FA07AC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A92A0C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62E913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386ABA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2,203 </w:t>
            </w:r>
          </w:p>
        </w:tc>
        <w:tc>
          <w:tcPr>
            <w:tcW w:w="779" w:type="dxa"/>
            <w:hideMark/>
          </w:tcPr>
          <w:p w14:paraId="1074CF8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C4988F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C18444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2,203 </w:t>
            </w:r>
          </w:p>
        </w:tc>
      </w:tr>
      <w:tr w:rsidR="00C00335" w:rsidRPr="00000DA0" w14:paraId="0590BD1C" w14:textId="77777777" w:rsidTr="00070419">
        <w:trPr>
          <w:trHeight w:val="284"/>
        </w:trPr>
        <w:tc>
          <w:tcPr>
            <w:tcW w:w="2269" w:type="dxa"/>
            <w:hideMark/>
          </w:tcPr>
          <w:p w14:paraId="7F86AE1A"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South Australia Health</w:t>
            </w:r>
          </w:p>
        </w:tc>
        <w:tc>
          <w:tcPr>
            <w:tcW w:w="779" w:type="dxa"/>
            <w:hideMark/>
          </w:tcPr>
          <w:p w14:paraId="6CD227C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29,173 </w:t>
            </w:r>
          </w:p>
        </w:tc>
        <w:tc>
          <w:tcPr>
            <w:tcW w:w="779" w:type="dxa"/>
            <w:hideMark/>
          </w:tcPr>
          <w:p w14:paraId="554D2C1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CA1B27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247807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C17AF1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3A4F41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A354EE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A20DC5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29,173 </w:t>
            </w:r>
          </w:p>
        </w:tc>
        <w:tc>
          <w:tcPr>
            <w:tcW w:w="779" w:type="dxa"/>
            <w:hideMark/>
          </w:tcPr>
          <w:p w14:paraId="69B2E3E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EDEFCE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B97E7E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DA9650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695E05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ECD1E4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E10A4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F7CE60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7ABDEB03" w14:textId="77777777" w:rsidTr="00070419">
        <w:trPr>
          <w:trHeight w:val="284"/>
        </w:trPr>
        <w:tc>
          <w:tcPr>
            <w:tcW w:w="2269" w:type="dxa"/>
            <w:hideMark/>
          </w:tcPr>
          <w:p w14:paraId="1CB3A19B"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South East Palliative Care Ltd</w:t>
            </w:r>
          </w:p>
        </w:tc>
        <w:tc>
          <w:tcPr>
            <w:tcW w:w="779" w:type="dxa"/>
            <w:hideMark/>
          </w:tcPr>
          <w:p w14:paraId="324B874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5,931 </w:t>
            </w:r>
          </w:p>
        </w:tc>
        <w:tc>
          <w:tcPr>
            <w:tcW w:w="779" w:type="dxa"/>
            <w:hideMark/>
          </w:tcPr>
          <w:p w14:paraId="1690C18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A5DF82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205669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43D0C0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502BD8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52E00B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0DE656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5,931 </w:t>
            </w:r>
          </w:p>
        </w:tc>
        <w:tc>
          <w:tcPr>
            <w:tcW w:w="779" w:type="dxa"/>
            <w:hideMark/>
          </w:tcPr>
          <w:p w14:paraId="2EE573C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6,067 </w:t>
            </w:r>
          </w:p>
        </w:tc>
        <w:tc>
          <w:tcPr>
            <w:tcW w:w="779" w:type="dxa"/>
            <w:hideMark/>
          </w:tcPr>
          <w:p w14:paraId="3397F5E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7C0AF5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613D7C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249BD1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1E8065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D48933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444B41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6,067 </w:t>
            </w:r>
          </w:p>
        </w:tc>
      </w:tr>
      <w:tr w:rsidR="00C00335" w:rsidRPr="00000DA0" w14:paraId="3AB76E09" w14:textId="77777777" w:rsidTr="00070419">
        <w:trPr>
          <w:trHeight w:val="284"/>
        </w:trPr>
        <w:tc>
          <w:tcPr>
            <w:tcW w:w="2269" w:type="dxa"/>
            <w:hideMark/>
          </w:tcPr>
          <w:p w14:paraId="62EDBA50"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Stephanie Alexander Kitchen Garden Foundation</w:t>
            </w:r>
          </w:p>
        </w:tc>
        <w:tc>
          <w:tcPr>
            <w:tcW w:w="779" w:type="dxa"/>
            <w:hideMark/>
          </w:tcPr>
          <w:p w14:paraId="5511826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BC38B9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7D0181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538450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ABDEDC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356930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B542B5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2,467 </w:t>
            </w:r>
          </w:p>
        </w:tc>
        <w:tc>
          <w:tcPr>
            <w:tcW w:w="780" w:type="dxa"/>
            <w:hideMark/>
          </w:tcPr>
          <w:p w14:paraId="570EBB3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2,467 </w:t>
            </w:r>
          </w:p>
        </w:tc>
        <w:tc>
          <w:tcPr>
            <w:tcW w:w="779" w:type="dxa"/>
            <w:hideMark/>
          </w:tcPr>
          <w:p w14:paraId="6B30D8F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C00471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1B4CCD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022715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463541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19E2B1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BE7A2F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2,467 </w:t>
            </w:r>
          </w:p>
        </w:tc>
        <w:tc>
          <w:tcPr>
            <w:tcW w:w="780" w:type="dxa"/>
            <w:hideMark/>
          </w:tcPr>
          <w:p w14:paraId="7063AB8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2,467 </w:t>
            </w:r>
          </w:p>
        </w:tc>
      </w:tr>
      <w:tr w:rsidR="00C00335" w:rsidRPr="00000DA0" w14:paraId="31824269" w14:textId="77777777" w:rsidTr="00070419">
        <w:trPr>
          <w:trHeight w:val="284"/>
        </w:trPr>
        <w:tc>
          <w:tcPr>
            <w:tcW w:w="2269" w:type="dxa"/>
            <w:hideMark/>
          </w:tcPr>
          <w:p w14:paraId="2A051C5F"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Tasmanian Health Services</w:t>
            </w:r>
          </w:p>
        </w:tc>
        <w:tc>
          <w:tcPr>
            <w:tcW w:w="779" w:type="dxa"/>
            <w:hideMark/>
          </w:tcPr>
          <w:p w14:paraId="211E3ED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1,453 </w:t>
            </w:r>
          </w:p>
        </w:tc>
        <w:tc>
          <w:tcPr>
            <w:tcW w:w="779" w:type="dxa"/>
            <w:hideMark/>
          </w:tcPr>
          <w:p w14:paraId="205D2E7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1CBA6A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CC61DD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77325D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77F31B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5A35BC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704A56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1,453 </w:t>
            </w:r>
          </w:p>
        </w:tc>
        <w:tc>
          <w:tcPr>
            <w:tcW w:w="779" w:type="dxa"/>
            <w:hideMark/>
          </w:tcPr>
          <w:p w14:paraId="484A3E8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34DA04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40A987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587CA7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56E609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67D41C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E51217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97ED37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78B6F607" w14:textId="77777777" w:rsidTr="00070419">
        <w:trPr>
          <w:trHeight w:val="284"/>
        </w:trPr>
        <w:tc>
          <w:tcPr>
            <w:tcW w:w="2269" w:type="dxa"/>
            <w:hideMark/>
          </w:tcPr>
          <w:p w14:paraId="6D3A7E00"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The Florey Institute Of Neuroscience And Mental Health</w:t>
            </w:r>
          </w:p>
        </w:tc>
        <w:tc>
          <w:tcPr>
            <w:tcW w:w="779" w:type="dxa"/>
            <w:hideMark/>
          </w:tcPr>
          <w:p w14:paraId="7800A74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291 </w:t>
            </w:r>
          </w:p>
        </w:tc>
        <w:tc>
          <w:tcPr>
            <w:tcW w:w="779" w:type="dxa"/>
            <w:hideMark/>
          </w:tcPr>
          <w:p w14:paraId="4C1D602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DFD7AA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20580A8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C98A20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1,629 </w:t>
            </w:r>
          </w:p>
        </w:tc>
        <w:tc>
          <w:tcPr>
            <w:tcW w:w="779" w:type="dxa"/>
            <w:hideMark/>
          </w:tcPr>
          <w:p w14:paraId="368DB1B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4E800B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37045A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1,920 </w:t>
            </w:r>
          </w:p>
        </w:tc>
        <w:tc>
          <w:tcPr>
            <w:tcW w:w="779" w:type="dxa"/>
            <w:hideMark/>
          </w:tcPr>
          <w:p w14:paraId="052CAAC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DA053F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AC2AD2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979C3B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F569B8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1,667 </w:t>
            </w:r>
          </w:p>
        </w:tc>
        <w:tc>
          <w:tcPr>
            <w:tcW w:w="779" w:type="dxa"/>
            <w:hideMark/>
          </w:tcPr>
          <w:p w14:paraId="58984AA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575AC2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E5973A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1,667 </w:t>
            </w:r>
          </w:p>
        </w:tc>
      </w:tr>
      <w:tr w:rsidR="00C00335" w:rsidRPr="00000DA0" w14:paraId="690085C8" w14:textId="77777777" w:rsidTr="00070419">
        <w:trPr>
          <w:trHeight w:val="284"/>
        </w:trPr>
        <w:tc>
          <w:tcPr>
            <w:tcW w:w="2269" w:type="dxa"/>
            <w:hideMark/>
          </w:tcPr>
          <w:p w14:paraId="1E097071" w14:textId="38FDBD64"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The N</w:t>
            </w:r>
            <w:r w:rsidR="009207AD" w:rsidRPr="00000DA0">
              <w:rPr>
                <w:rFonts w:cs="Arial"/>
                <w:color w:val="000000"/>
                <w:sz w:val="16"/>
                <w:szCs w:val="16"/>
                <w:lang w:eastAsia="en-AU"/>
              </w:rPr>
              <w:t>SW</w:t>
            </w:r>
            <w:r w:rsidRPr="00000DA0">
              <w:rPr>
                <w:rFonts w:cs="Arial"/>
                <w:color w:val="000000"/>
                <w:sz w:val="16"/>
                <w:szCs w:val="16"/>
                <w:lang w:eastAsia="en-AU"/>
              </w:rPr>
              <w:t xml:space="preserve"> Ministry Of Health</w:t>
            </w:r>
          </w:p>
        </w:tc>
        <w:tc>
          <w:tcPr>
            <w:tcW w:w="779" w:type="dxa"/>
            <w:hideMark/>
          </w:tcPr>
          <w:p w14:paraId="6B2B694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15,360 </w:t>
            </w:r>
          </w:p>
        </w:tc>
        <w:tc>
          <w:tcPr>
            <w:tcW w:w="779" w:type="dxa"/>
            <w:hideMark/>
          </w:tcPr>
          <w:p w14:paraId="7B73AF6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01CC2C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A694DB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4D673B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222FDD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370F5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F80514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15,360 </w:t>
            </w:r>
          </w:p>
        </w:tc>
        <w:tc>
          <w:tcPr>
            <w:tcW w:w="779" w:type="dxa"/>
            <w:hideMark/>
          </w:tcPr>
          <w:p w14:paraId="18BB391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189B31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A9739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1C4650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665DE5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D10A7E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305DDD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31BB52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r>
      <w:tr w:rsidR="00C00335" w:rsidRPr="00000DA0" w14:paraId="742E4792" w14:textId="77777777" w:rsidTr="00070419">
        <w:trPr>
          <w:trHeight w:val="284"/>
        </w:trPr>
        <w:tc>
          <w:tcPr>
            <w:tcW w:w="2269" w:type="dxa"/>
            <w:hideMark/>
          </w:tcPr>
          <w:p w14:paraId="54193ED8"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The Queen Elizabeth Centre</w:t>
            </w:r>
          </w:p>
        </w:tc>
        <w:tc>
          <w:tcPr>
            <w:tcW w:w="779" w:type="dxa"/>
            <w:hideMark/>
          </w:tcPr>
          <w:p w14:paraId="678CC19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631 </w:t>
            </w:r>
          </w:p>
        </w:tc>
        <w:tc>
          <w:tcPr>
            <w:tcW w:w="779" w:type="dxa"/>
            <w:hideMark/>
          </w:tcPr>
          <w:p w14:paraId="1DEC28A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7E17F1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70D5741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7D27A6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139 </w:t>
            </w:r>
          </w:p>
        </w:tc>
        <w:tc>
          <w:tcPr>
            <w:tcW w:w="779" w:type="dxa"/>
            <w:hideMark/>
          </w:tcPr>
          <w:p w14:paraId="70AFA81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4,026 </w:t>
            </w:r>
          </w:p>
        </w:tc>
        <w:tc>
          <w:tcPr>
            <w:tcW w:w="779" w:type="dxa"/>
            <w:hideMark/>
          </w:tcPr>
          <w:p w14:paraId="1DD0B4A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AAE4D8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4,797 </w:t>
            </w:r>
          </w:p>
        </w:tc>
        <w:tc>
          <w:tcPr>
            <w:tcW w:w="779" w:type="dxa"/>
            <w:hideMark/>
          </w:tcPr>
          <w:p w14:paraId="3BE1AB2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684 </w:t>
            </w:r>
          </w:p>
        </w:tc>
        <w:tc>
          <w:tcPr>
            <w:tcW w:w="779" w:type="dxa"/>
            <w:hideMark/>
          </w:tcPr>
          <w:p w14:paraId="5B6FF95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1BC85D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866AA9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5AC6DC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143 </w:t>
            </w:r>
          </w:p>
        </w:tc>
        <w:tc>
          <w:tcPr>
            <w:tcW w:w="779" w:type="dxa"/>
            <w:hideMark/>
          </w:tcPr>
          <w:p w14:paraId="02FD3BB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1,447 </w:t>
            </w:r>
          </w:p>
        </w:tc>
        <w:tc>
          <w:tcPr>
            <w:tcW w:w="779" w:type="dxa"/>
            <w:hideMark/>
          </w:tcPr>
          <w:p w14:paraId="47E8F16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E8234B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2,274 </w:t>
            </w:r>
          </w:p>
        </w:tc>
      </w:tr>
      <w:tr w:rsidR="00C00335" w:rsidRPr="00000DA0" w14:paraId="6F64ECCB" w14:textId="77777777" w:rsidTr="00070419">
        <w:trPr>
          <w:trHeight w:val="284"/>
        </w:trPr>
        <w:tc>
          <w:tcPr>
            <w:tcW w:w="2269" w:type="dxa"/>
            <w:hideMark/>
          </w:tcPr>
          <w:p w14:paraId="2E7C911E"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The Walter &amp; Eliza Hall Institute Of Medical Research</w:t>
            </w:r>
          </w:p>
        </w:tc>
        <w:tc>
          <w:tcPr>
            <w:tcW w:w="779" w:type="dxa"/>
            <w:hideMark/>
          </w:tcPr>
          <w:p w14:paraId="7BD8071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1,428 </w:t>
            </w:r>
          </w:p>
        </w:tc>
        <w:tc>
          <w:tcPr>
            <w:tcW w:w="779" w:type="dxa"/>
            <w:hideMark/>
          </w:tcPr>
          <w:p w14:paraId="2994B30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8A4094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805A3F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6B6F2DA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336C54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73BAA7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708218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1,428 </w:t>
            </w:r>
          </w:p>
        </w:tc>
        <w:tc>
          <w:tcPr>
            <w:tcW w:w="779" w:type="dxa"/>
            <w:hideMark/>
          </w:tcPr>
          <w:p w14:paraId="2DFB00A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264 </w:t>
            </w:r>
          </w:p>
        </w:tc>
        <w:tc>
          <w:tcPr>
            <w:tcW w:w="779" w:type="dxa"/>
            <w:hideMark/>
          </w:tcPr>
          <w:p w14:paraId="1154BA8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844E7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0C3166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73E577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DAF1E7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231979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390A70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264 </w:t>
            </w:r>
          </w:p>
        </w:tc>
      </w:tr>
      <w:tr w:rsidR="00C00335" w:rsidRPr="00000DA0" w14:paraId="298955AF" w14:textId="77777777" w:rsidTr="00070419">
        <w:trPr>
          <w:trHeight w:val="284"/>
        </w:trPr>
        <w:tc>
          <w:tcPr>
            <w:tcW w:w="2269" w:type="dxa"/>
            <w:hideMark/>
          </w:tcPr>
          <w:p w14:paraId="0DDD1080"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Tweddle Child &amp; Family Health Service</w:t>
            </w:r>
          </w:p>
        </w:tc>
        <w:tc>
          <w:tcPr>
            <w:tcW w:w="779" w:type="dxa"/>
            <w:hideMark/>
          </w:tcPr>
          <w:p w14:paraId="74CEAF9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258 </w:t>
            </w:r>
          </w:p>
        </w:tc>
        <w:tc>
          <w:tcPr>
            <w:tcW w:w="779" w:type="dxa"/>
            <w:hideMark/>
          </w:tcPr>
          <w:p w14:paraId="383299A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83C9FD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8CBBEB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B6119C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143 </w:t>
            </w:r>
          </w:p>
        </w:tc>
        <w:tc>
          <w:tcPr>
            <w:tcW w:w="779" w:type="dxa"/>
            <w:hideMark/>
          </w:tcPr>
          <w:p w14:paraId="372694D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3,735 </w:t>
            </w:r>
          </w:p>
        </w:tc>
        <w:tc>
          <w:tcPr>
            <w:tcW w:w="779" w:type="dxa"/>
            <w:hideMark/>
          </w:tcPr>
          <w:p w14:paraId="5E29337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6DA7D52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4,137 </w:t>
            </w:r>
          </w:p>
        </w:tc>
        <w:tc>
          <w:tcPr>
            <w:tcW w:w="779" w:type="dxa"/>
            <w:hideMark/>
          </w:tcPr>
          <w:p w14:paraId="5AAA696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283 </w:t>
            </w:r>
          </w:p>
        </w:tc>
        <w:tc>
          <w:tcPr>
            <w:tcW w:w="779" w:type="dxa"/>
            <w:hideMark/>
          </w:tcPr>
          <w:p w14:paraId="569B767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51C23A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390532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2D39DD9"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146 </w:t>
            </w:r>
          </w:p>
        </w:tc>
        <w:tc>
          <w:tcPr>
            <w:tcW w:w="779" w:type="dxa"/>
            <w:hideMark/>
          </w:tcPr>
          <w:p w14:paraId="5B5B3FA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1,101 </w:t>
            </w:r>
          </w:p>
        </w:tc>
        <w:tc>
          <w:tcPr>
            <w:tcW w:w="779" w:type="dxa"/>
            <w:hideMark/>
          </w:tcPr>
          <w:p w14:paraId="56A6083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A960D4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1,530 </w:t>
            </w:r>
          </w:p>
        </w:tc>
      </w:tr>
      <w:tr w:rsidR="00C00335" w:rsidRPr="00000DA0" w14:paraId="7CAE4A8A" w14:textId="77777777" w:rsidTr="00070419">
        <w:trPr>
          <w:trHeight w:val="284"/>
        </w:trPr>
        <w:tc>
          <w:tcPr>
            <w:tcW w:w="2269" w:type="dxa"/>
            <w:hideMark/>
          </w:tcPr>
          <w:p w14:paraId="14A8E714"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Victorian Comprehensive Cancer Centre Ltd</w:t>
            </w:r>
          </w:p>
        </w:tc>
        <w:tc>
          <w:tcPr>
            <w:tcW w:w="779" w:type="dxa"/>
            <w:hideMark/>
          </w:tcPr>
          <w:p w14:paraId="2EB5AF3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9,715 </w:t>
            </w:r>
          </w:p>
        </w:tc>
        <w:tc>
          <w:tcPr>
            <w:tcW w:w="779" w:type="dxa"/>
            <w:hideMark/>
          </w:tcPr>
          <w:p w14:paraId="0B0F159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CBB0D9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F04BF8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44358DCB"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58D6B1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2D52B3CA"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8C8231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9,715 </w:t>
            </w:r>
          </w:p>
        </w:tc>
        <w:tc>
          <w:tcPr>
            <w:tcW w:w="779" w:type="dxa"/>
            <w:hideMark/>
          </w:tcPr>
          <w:p w14:paraId="10F66FD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9,401 </w:t>
            </w:r>
          </w:p>
        </w:tc>
        <w:tc>
          <w:tcPr>
            <w:tcW w:w="779" w:type="dxa"/>
            <w:hideMark/>
          </w:tcPr>
          <w:p w14:paraId="592C4538"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2685A3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8591CB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DB039B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CA28D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314884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55BE32C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9,401 </w:t>
            </w:r>
          </w:p>
        </w:tc>
      </w:tr>
      <w:tr w:rsidR="00C00335" w:rsidRPr="00000DA0" w14:paraId="69851ED0" w14:textId="77777777" w:rsidTr="00070419">
        <w:trPr>
          <w:trHeight w:val="284"/>
        </w:trPr>
        <w:tc>
          <w:tcPr>
            <w:tcW w:w="2269" w:type="dxa"/>
            <w:hideMark/>
          </w:tcPr>
          <w:p w14:paraId="456E78F5"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Victorian Institute Of Forensic Mental Health</w:t>
            </w:r>
          </w:p>
        </w:tc>
        <w:tc>
          <w:tcPr>
            <w:tcW w:w="779" w:type="dxa"/>
            <w:hideMark/>
          </w:tcPr>
          <w:p w14:paraId="3A232D5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809 </w:t>
            </w:r>
          </w:p>
        </w:tc>
        <w:tc>
          <w:tcPr>
            <w:tcW w:w="779" w:type="dxa"/>
            <w:hideMark/>
          </w:tcPr>
          <w:p w14:paraId="728F306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7A3FE7E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0B0941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112CE92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80,086 </w:t>
            </w:r>
          </w:p>
        </w:tc>
        <w:tc>
          <w:tcPr>
            <w:tcW w:w="779" w:type="dxa"/>
            <w:hideMark/>
          </w:tcPr>
          <w:p w14:paraId="02F85D2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D19543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1FC01A3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80,895 </w:t>
            </w:r>
          </w:p>
        </w:tc>
        <w:tc>
          <w:tcPr>
            <w:tcW w:w="779" w:type="dxa"/>
            <w:hideMark/>
          </w:tcPr>
          <w:p w14:paraId="27BB3FA0"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817 </w:t>
            </w:r>
          </w:p>
        </w:tc>
        <w:tc>
          <w:tcPr>
            <w:tcW w:w="779" w:type="dxa"/>
            <w:hideMark/>
          </w:tcPr>
          <w:p w14:paraId="5584A92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5D5B0B3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8C973E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3371211E"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82,643 </w:t>
            </w:r>
          </w:p>
        </w:tc>
        <w:tc>
          <w:tcPr>
            <w:tcW w:w="779" w:type="dxa"/>
            <w:hideMark/>
          </w:tcPr>
          <w:p w14:paraId="1610437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79" w:type="dxa"/>
            <w:hideMark/>
          </w:tcPr>
          <w:p w14:paraId="08F8A4E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45DA79F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83,460 </w:t>
            </w:r>
          </w:p>
        </w:tc>
      </w:tr>
      <w:tr w:rsidR="00C00335" w:rsidRPr="00000DA0" w14:paraId="3FDA6A4D" w14:textId="77777777" w:rsidTr="00070419">
        <w:trPr>
          <w:trHeight w:val="284"/>
        </w:trPr>
        <w:tc>
          <w:tcPr>
            <w:tcW w:w="2269" w:type="dxa"/>
            <w:hideMark/>
          </w:tcPr>
          <w:p w14:paraId="32FC12F7" w14:textId="77777777" w:rsidR="00340815" w:rsidRPr="00000DA0" w:rsidRDefault="00340815" w:rsidP="00340815">
            <w:pPr>
              <w:spacing w:after="0" w:line="240" w:lineRule="auto"/>
              <w:rPr>
                <w:rFonts w:cs="Arial"/>
                <w:color w:val="000000"/>
                <w:sz w:val="16"/>
                <w:szCs w:val="16"/>
                <w:lang w:eastAsia="en-AU"/>
              </w:rPr>
            </w:pPr>
            <w:r w:rsidRPr="00000DA0">
              <w:rPr>
                <w:rFonts w:cs="Arial"/>
                <w:color w:val="000000"/>
                <w:sz w:val="16"/>
                <w:szCs w:val="16"/>
                <w:lang w:eastAsia="en-AU"/>
              </w:rPr>
              <w:t>All other organisations (&lt;$1 m)</w:t>
            </w:r>
          </w:p>
        </w:tc>
        <w:tc>
          <w:tcPr>
            <w:tcW w:w="779" w:type="dxa"/>
            <w:hideMark/>
          </w:tcPr>
          <w:p w14:paraId="0B705BC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3,107 </w:t>
            </w:r>
          </w:p>
        </w:tc>
        <w:tc>
          <w:tcPr>
            <w:tcW w:w="779" w:type="dxa"/>
            <w:hideMark/>
          </w:tcPr>
          <w:p w14:paraId="707ED203"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622 </w:t>
            </w:r>
          </w:p>
        </w:tc>
        <w:tc>
          <w:tcPr>
            <w:tcW w:w="779" w:type="dxa"/>
            <w:hideMark/>
          </w:tcPr>
          <w:p w14:paraId="4C4BB7A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0FD2219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863 </w:t>
            </w:r>
          </w:p>
        </w:tc>
        <w:tc>
          <w:tcPr>
            <w:tcW w:w="779" w:type="dxa"/>
            <w:hideMark/>
          </w:tcPr>
          <w:p w14:paraId="0B6085F7"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465 </w:t>
            </w:r>
          </w:p>
        </w:tc>
        <w:tc>
          <w:tcPr>
            <w:tcW w:w="779" w:type="dxa"/>
            <w:hideMark/>
          </w:tcPr>
          <w:p w14:paraId="110006DC"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1,541 </w:t>
            </w:r>
          </w:p>
        </w:tc>
        <w:tc>
          <w:tcPr>
            <w:tcW w:w="779" w:type="dxa"/>
            <w:hideMark/>
          </w:tcPr>
          <w:p w14:paraId="4913ED41"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265 </w:t>
            </w:r>
          </w:p>
        </w:tc>
        <w:tc>
          <w:tcPr>
            <w:tcW w:w="780" w:type="dxa"/>
            <w:hideMark/>
          </w:tcPr>
          <w:p w14:paraId="1C81AD7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6,863 </w:t>
            </w:r>
          </w:p>
        </w:tc>
        <w:tc>
          <w:tcPr>
            <w:tcW w:w="779" w:type="dxa"/>
            <w:hideMark/>
          </w:tcPr>
          <w:p w14:paraId="35E828FD"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1,391 </w:t>
            </w:r>
          </w:p>
        </w:tc>
        <w:tc>
          <w:tcPr>
            <w:tcW w:w="779" w:type="dxa"/>
            <w:hideMark/>
          </w:tcPr>
          <w:p w14:paraId="2679305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645 </w:t>
            </w:r>
          </w:p>
        </w:tc>
        <w:tc>
          <w:tcPr>
            <w:tcW w:w="779" w:type="dxa"/>
            <w:hideMark/>
          </w:tcPr>
          <w:p w14:paraId="123FC5C2"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0 </w:t>
            </w:r>
          </w:p>
        </w:tc>
        <w:tc>
          <w:tcPr>
            <w:tcW w:w="780" w:type="dxa"/>
            <w:hideMark/>
          </w:tcPr>
          <w:p w14:paraId="339262A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885 </w:t>
            </w:r>
          </w:p>
        </w:tc>
        <w:tc>
          <w:tcPr>
            <w:tcW w:w="779" w:type="dxa"/>
            <w:hideMark/>
          </w:tcPr>
          <w:p w14:paraId="11DF0C24"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523 </w:t>
            </w:r>
          </w:p>
        </w:tc>
        <w:tc>
          <w:tcPr>
            <w:tcW w:w="779" w:type="dxa"/>
            <w:hideMark/>
          </w:tcPr>
          <w:p w14:paraId="34E17D65"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2,501 </w:t>
            </w:r>
          </w:p>
        </w:tc>
        <w:tc>
          <w:tcPr>
            <w:tcW w:w="779" w:type="dxa"/>
            <w:hideMark/>
          </w:tcPr>
          <w:p w14:paraId="49946DFF"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180 </w:t>
            </w:r>
          </w:p>
        </w:tc>
        <w:tc>
          <w:tcPr>
            <w:tcW w:w="780" w:type="dxa"/>
            <w:hideMark/>
          </w:tcPr>
          <w:p w14:paraId="5E4CB576" w14:textId="77777777" w:rsidR="00340815" w:rsidRPr="00000DA0" w:rsidRDefault="00340815" w:rsidP="00C00335">
            <w:pPr>
              <w:spacing w:after="0" w:line="240" w:lineRule="auto"/>
              <w:jc w:val="right"/>
              <w:rPr>
                <w:rFonts w:cs="Arial"/>
                <w:color w:val="000000"/>
                <w:sz w:val="16"/>
                <w:szCs w:val="16"/>
                <w:lang w:eastAsia="en-AU"/>
              </w:rPr>
            </w:pPr>
            <w:r w:rsidRPr="00000DA0">
              <w:rPr>
                <w:rFonts w:cs="Arial"/>
                <w:color w:val="000000"/>
                <w:sz w:val="16"/>
                <w:szCs w:val="16"/>
                <w:lang w:eastAsia="en-AU"/>
              </w:rPr>
              <w:t xml:space="preserve">6,126 </w:t>
            </w:r>
          </w:p>
        </w:tc>
      </w:tr>
      <w:tr w:rsidR="00CF4E52" w:rsidRPr="00000DA0" w14:paraId="4872F32E" w14:textId="77777777" w:rsidTr="00070419">
        <w:trPr>
          <w:trHeight w:val="284"/>
        </w:trPr>
        <w:tc>
          <w:tcPr>
            <w:tcW w:w="2269" w:type="dxa"/>
            <w:shd w:val="clear" w:color="auto" w:fill="201547"/>
            <w:hideMark/>
          </w:tcPr>
          <w:p w14:paraId="392CDE2B" w14:textId="77777777" w:rsidR="00340815" w:rsidRPr="00000DA0" w:rsidRDefault="00340815" w:rsidP="00340815">
            <w:pPr>
              <w:spacing w:after="0" w:line="240" w:lineRule="auto"/>
              <w:rPr>
                <w:rFonts w:cs="Arial"/>
                <w:b/>
                <w:bCs/>
                <w:color w:val="FFFFFF"/>
                <w:sz w:val="16"/>
                <w:szCs w:val="16"/>
                <w:lang w:eastAsia="en-AU"/>
              </w:rPr>
            </w:pPr>
            <w:r w:rsidRPr="00000DA0">
              <w:rPr>
                <w:rFonts w:cs="Arial"/>
                <w:b/>
                <w:bCs/>
                <w:color w:val="FFFFFF"/>
                <w:sz w:val="16"/>
                <w:szCs w:val="16"/>
                <w:lang w:eastAsia="en-AU"/>
              </w:rPr>
              <w:t>Grand Total</w:t>
            </w:r>
          </w:p>
        </w:tc>
        <w:tc>
          <w:tcPr>
            <w:tcW w:w="779" w:type="dxa"/>
            <w:shd w:val="clear" w:color="auto" w:fill="201547"/>
            <w:hideMark/>
          </w:tcPr>
          <w:p w14:paraId="0953FB6E"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708,349 </w:t>
            </w:r>
          </w:p>
        </w:tc>
        <w:tc>
          <w:tcPr>
            <w:tcW w:w="779" w:type="dxa"/>
            <w:shd w:val="clear" w:color="auto" w:fill="201547"/>
            <w:hideMark/>
          </w:tcPr>
          <w:p w14:paraId="75E15C56"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5,491 </w:t>
            </w:r>
          </w:p>
        </w:tc>
        <w:tc>
          <w:tcPr>
            <w:tcW w:w="779" w:type="dxa"/>
            <w:shd w:val="clear" w:color="auto" w:fill="201547"/>
            <w:hideMark/>
          </w:tcPr>
          <w:p w14:paraId="61A043FB"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920,732 </w:t>
            </w:r>
          </w:p>
        </w:tc>
        <w:tc>
          <w:tcPr>
            <w:tcW w:w="780" w:type="dxa"/>
            <w:shd w:val="clear" w:color="auto" w:fill="201547"/>
            <w:hideMark/>
          </w:tcPr>
          <w:p w14:paraId="5C5CCE05"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3,543 </w:t>
            </w:r>
          </w:p>
        </w:tc>
        <w:tc>
          <w:tcPr>
            <w:tcW w:w="779" w:type="dxa"/>
            <w:shd w:val="clear" w:color="auto" w:fill="201547"/>
            <w:hideMark/>
          </w:tcPr>
          <w:p w14:paraId="6F588DD9"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96,137 </w:t>
            </w:r>
          </w:p>
        </w:tc>
        <w:tc>
          <w:tcPr>
            <w:tcW w:w="779" w:type="dxa"/>
            <w:shd w:val="clear" w:color="auto" w:fill="201547"/>
            <w:hideMark/>
          </w:tcPr>
          <w:p w14:paraId="3346BD96"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177,862 </w:t>
            </w:r>
          </w:p>
        </w:tc>
        <w:tc>
          <w:tcPr>
            <w:tcW w:w="779" w:type="dxa"/>
            <w:shd w:val="clear" w:color="auto" w:fill="201547"/>
            <w:hideMark/>
          </w:tcPr>
          <w:p w14:paraId="3BE3F1CB" w14:textId="60D21824" w:rsidR="00000DA0" w:rsidRPr="00000DA0" w:rsidRDefault="00340815" w:rsidP="00CA7421">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3,139 </w:t>
            </w:r>
          </w:p>
        </w:tc>
        <w:tc>
          <w:tcPr>
            <w:tcW w:w="780" w:type="dxa"/>
            <w:shd w:val="clear" w:color="auto" w:fill="201547"/>
            <w:hideMark/>
          </w:tcPr>
          <w:p w14:paraId="32BFCB78"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1,915,254 </w:t>
            </w:r>
          </w:p>
        </w:tc>
        <w:tc>
          <w:tcPr>
            <w:tcW w:w="779" w:type="dxa"/>
            <w:shd w:val="clear" w:color="auto" w:fill="201547"/>
            <w:hideMark/>
          </w:tcPr>
          <w:p w14:paraId="02ED8274"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638,879 </w:t>
            </w:r>
          </w:p>
        </w:tc>
        <w:tc>
          <w:tcPr>
            <w:tcW w:w="779" w:type="dxa"/>
            <w:shd w:val="clear" w:color="auto" w:fill="201547"/>
            <w:hideMark/>
          </w:tcPr>
          <w:p w14:paraId="6CB25708"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7,319 </w:t>
            </w:r>
          </w:p>
        </w:tc>
        <w:tc>
          <w:tcPr>
            <w:tcW w:w="779" w:type="dxa"/>
            <w:shd w:val="clear" w:color="auto" w:fill="201547"/>
            <w:hideMark/>
          </w:tcPr>
          <w:p w14:paraId="10C1C546"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983,904 </w:t>
            </w:r>
          </w:p>
        </w:tc>
        <w:tc>
          <w:tcPr>
            <w:tcW w:w="780" w:type="dxa"/>
            <w:shd w:val="clear" w:color="auto" w:fill="201547"/>
            <w:hideMark/>
          </w:tcPr>
          <w:p w14:paraId="74B9C01B"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3,633 </w:t>
            </w:r>
          </w:p>
        </w:tc>
        <w:tc>
          <w:tcPr>
            <w:tcW w:w="779" w:type="dxa"/>
            <w:shd w:val="clear" w:color="auto" w:fill="201547"/>
            <w:hideMark/>
          </w:tcPr>
          <w:p w14:paraId="150BB60F"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106,401 </w:t>
            </w:r>
          </w:p>
        </w:tc>
        <w:tc>
          <w:tcPr>
            <w:tcW w:w="779" w:type="dxa"/>
            <w:shd w:val="clear" w:color="auto" w:fill="201547"/>
            <w:hideMark/>
          </w:tcPr>
          <w:p w14:paraId="7D5426CD"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176,456 </w:t>
            </w:r>
          </w:p>
        </w:tc>
        <w:tc>
          <w:tcPr>
            <w:tcW w:w="779" w:type="dxa"/>
            <w:shd w:val="clear" w:color="auto" w:fill="201547"/>
            <w:hideMark/>
          </w:tcPr>
          <w:p w14:paraId="20618002"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3,920 </w:t>
            </w:r>
          </w:p>
        </w:tc>
        <w:tc>
          <w:tcPr>
            <w:tcW w:w="780" w:type="dxa"/>
            <w:shd w:val="clear" w:color="auto" w:fill="201547"/>
            <w:hideMark/>
          </w:tcPr>
          <w:p w14:paraId="5778982E" w14:textId="77777777" w:rsidR="00340815" w:rsidRPr="00000DA0" w:rsidRDefault="00340815" w:rsidP="00C00335">
            <w:pPr>
              <w:spacing w:after="0" w:line="240" w:lineRule="auto"/>
              <w:jc w:val="right"/>
              <w:rPr>
                <w:rFonts w:cs="Arial"/>
                <w:b/>
                <w:bCs/>
                <w:color w:val="FFFFFF"/>
                <w:sz w:val="16"/>
                <w:szCs w:val="16"/>
                <w:lang w:eastAsia="en-AU"/>
              </w:rPr>
            </w:pPr>
            <w:r w:rsidRPr="00000DA0">
              <w:rPr>
                <w:rFonts w:cs="Arial"/>
                <w:b/>
                <w:bCs/>
                <w:color w:val="FFFFFF"/>
                <w:sz w:val="16"/>
                <w:szCs w:val="16"/>
                <w:lang w:eastAsia="en-AU"/>
              </w:rPr>
              <w:t xml:space="preserve">1,920,511 </w:t>
            </w:r>
          </w:p>
        </w:tc>
      </w:tr>
    </w:tbl>
    <w:p w14:paraId="7CE34DDE" w14:textId="77777777" w:rsidR="00CA7421" w:rsidRDefault="00CA7421">
      <w:pPr>
        <w:spacing w:after="0" w:line="240" w:lineRule="auto"/>
        <w:rPr>
          <w:rFonts w:eastAsia="MS Gothic"/>
          <w:b/>
          <w:bCs/>
          <w:color w:val="53565A"/>
          <w:sz w:val="32"/>
          <w:szCs w:val="26"/>
        </w:rPr>
      </w:pPr>
      <w:bookmarkStart w:id="1223" w:name="_Toc12780664"/>
      <w:bookmarkStart w:id="1224" w:name="_Toc14172305"/>
      <w:bookmarkStart w:id="1225" w:name="_Toc33703979"/>
      <w:bookmarkStart w:id="1226" w:name="_Toc55381167"/>
      <w:bookmarkStart w:id="1227" w:name="_Toc100263373"/>
      <w:r>
        <w:br w:type="page"/>
      </w:r>
    </w:p>
    <w:p w14:paraId="491AB815" w14:textId="1DDB3094" w:rsidR="000B27B9" w:rsidRDefault="000B27B9" w:rsidP="00331D5D">
      <w:pPr>
        <w:pStyle w:val="Heading3"/>
      </w:pPr>
      <w:bookmarkStart w:id="1228" w:name="_Toc127192021"/>
      <w:r>
        <w:lastRenderedPageBreak/>
        <w:t xml:space="preserve">Health </w:t>
      </w:r>
      <w:r w:rsidR="00331D5D" w:rsidRPr="00B6080E">
        <w:t>O</w:t>
      </w:r>
      <w:r w:rsidRPr="00B6080E">
        <w:t xml:space="preserve">perations </w:t>
      </w:r>
      <w:bookmarkEnd w:id="1223"/>
      <w:bookmarkEnd w:id="1224"/>
      <w:bookmarkEnd w:id="1225"/>
      <w:bookmarkEnd w:id="1226"/>
      <w:r w:rsidR="005D1FCB" w:rsidRPr="00B6080E">
        <w:t>2021</w:t>
      </w:r>
      <w:r w:rsidR="00AB0330" w:rsidRPr="00B6080E">
        <w:t>–</w:t>
      </w:r>
      <w:r w:rsidR="005D1FCB" w:rsidRPr="00B6080E">
        <w:t>22 and 2022</w:t>
      </w:r>
      <w:r w:rsidR="00AB0330" w:rsidRPr="00B6080E">
        <w:t>–</w:t>
      </w:r>
      <w:r w:rsidR="005D1FCB" w:rsidRPr="00B6080E">
        <w:t>23</w:t>
      </w:r>
      <w:bookmarkEnd w:id="1227"/>
      <w:bookmarkEnd w:id="1228"/>
    </w:p>
    <w:p w14:paraId="2114E4BC" w14:textId="77777777" w:rsidR="000B27B9" w:rsidRPr="00B6080E" w:rsidRDefault="000B27B9" w:rsidP="0064265C">
      <w:pPr>
        <w:pStyle w:val="Tablefigurenote9pt"/>
      </w:pPr>
      <w:r w:rsidRPr="00B6080E">
        <w:t>Notes:</w:t>
      </w:r>
    </w:p>
    <w:p w14:paraId="0B7C88BE" w14:textId="77777777" w:rsidR="000B27B9" w:rsidRPr="00B6080E" w:rsidRDefault="000B27B9" w:rsidP="003C01AD">
      <w:pPr>
        <w:pStyle w:val="Tablenoteroman"/>
        <w:numPr>
          <w:ilvl w:val="0"/>
          <w:numId w:val="8"/>
        </w:numPr>
      </w:pPr>
      <w:r w:rsidRPr="00B6080E">
        <w:rPr>
          <w:lang w:eastAsia="en-AU"/>
        </w:rPr>
        <w:t>Acute and subacute category includes ambulance services.</w:t>
      </w:r>
    </w:p>
    <w:p w14:paraId="4396A4D5" w14:textId="77777777" w:rsidR="000B27B9" w:rsidRPr="00B6080E" w:rsidRDefault="000B27B9" w:rsidP="003C01AD">
      <w:pPr>
        <w:pStyle w:val="Tablenoteroman"/>
        <w:numPr>
          <w:ilvl w:val="0"/>
          <w:numId w:val="8"/>
        </w:numPr>
        <w:rPr>
          <w:lang w:eastAsia="en-AU"/>
        </w:rPr>
      </w:pPr>
      <w:r w:rsidRPr="00B6080E">
        <w:rPr>
          <w:lang w:eastAsia="en-AU"/>
        </w:rPr>
        <w:t>Subtotals and totals may not add up due to rounding.</w:t>
      </w:r>
    </w:p>
    <w:p w14:paraId="32E474C0" w14:textId="12A91017" w:rsidR="00873030" w:rsidRPr="00B6080E" w:rsidRDefault="00B9325A" w:rsidP="003C01AD">
      <w:pPr>
        <w:pStyle w:val="Tablenoteroman"/>
        <w:numPr>
          <w:ilvl w:val="0"/>
          <w:numId w:val="8"/>
        </w:numPr>
        <w:rPr>
          <w:lang w:eastAsia="en-AU"/>
        </w:rPr>
      </w:pPr>
      <w:r w:rsidRPr="00B6080E">
        <w:rPr>
          <w:lang w:eastAsia="en-AU"/>
        </w:rPr>
        <w:t>Figures adjusted</w:t>
      </w:r>
      <w:r w:rsidR="00873030" w:rsidRPr="00B6080E">
        <w:rPr>
          <w:lang w:eastAsia="en-AU"/>
        </w:rPr>
        <w:t xml:space="preserve"> to remo</w:t>
      </w:r>
      <w:r w:rsidR="007E7EB1" w:rsidRPr="00B6080E">
        <w:rPr>
          <w:lang w:eastAsia="en-AU"/>
        </w:rPr>
        <w:t xml:space="preserve">ve one-off funding impacts in </w:t>
      </w:r>
      <w:r w:rsidR="005D1FCB" w:rsidRPr="00B6080E">
        <w:rPr>
          <w:lang w:eastAsia="en-AU"/>
        </w:rPr>
        <w:t>2021</w:t>
      </w:r>
      <w:r w:rsidR="00AB0330" w:rsidRPr="00B6080E">
        <w:rPr>
          <w:lang w:eastAsia="en-AU"/>
        </w:rPr>
        <w:t>–</w:t>
      </w:r>
      <w:r w:rsidR="005D1FCB" w:rsidRPr="00B6080E">
        <w:rPr>
          <w:lang w:eastAsia="en-AU"/>
        </w:rPr>
        <w:t>22 and 2022</w:t>
      </w:r>
      <w:r w:rsidR="00AB0330" w:rsidRPr="00B6080E">
        <w:rPr>
          <w:lang w:eastAsia="en-AU"/>
        </w:rPr>
        <w:t>–</w:t>
      </w:r>
      <w:r w:rsidR="005D1FCB" w:rsidRPr="00B6080E">
        <w:rPr>
          <w:lang w:eastAsia="en-AU"/>
        </w:rPr>
        <w:t>23</w:t>
      </w:r>
      <w:r w:rsidR="007E7EB1" w:rsidRPr="00B6080E">
        <w:rPr>
          <w:lang w:eastAsia="en-AU"/>
        </w:rPr>
        <w:t>.</w:t>
      </w:r>
    </w:p>
    <w:p w14:paraId="053E67FC" w14:textId="6D08BFD2" w:rsidR="000B27B9" w:rsidRDefault="000B27B9" w:rsidP="000E08EF">
      <w:pPr>
        <w:pStyle w:val="Tablecaption"/>
      </w:pPr>
      <w:bookmarkStart w:id="1229" w:name="_Toc12780568"/>
      <w:bookmarkStart w:id="1230" w:name="_Toc14194824"/>
      <w:bookmarkStart w:id="1231" w:name="_Toc33704005"/>
      <w:bookmarkStart w:id="1232" w:name="_Toc109894135"/>
      <w:bookmarkStart w:id="1233" w:name="_Toc119500916"/>
      <w:r w:rsidRPr="00B6080E">
        <w:t xml:space="preserve">Table </w:t>
      </w:r>
      <w:r>
        <w:fldChar w:fldCharType="begin"/>
      </w:r>
      <w:r>
        <w:instrText>STYLEREF 1 \s</w:instrText>
      </w:r>
      <w:r>
        <w:fldChar w:fldCharType="separate"/>
      </w:r>
      <w:r w:rsidR="006D0756" w:rsidRPr="00B6080E">
        <w:rPr>
          <w:noProof/>
        </w:rPr>
        <w:t>2</w:t>
      </w:r>
      <w:r>
        <w:fldChar w:fldCharType="end"/>
      </w:r>
      <w:r w:rsidR="00EC6300" w:rsidRPr="00B6080E">
        <w:t>.</w:t>
      </w:r>
      <w:r>
        <w:fldChar w:fldCharType="begin"/>
      </w:r>
      <w:r>
        <w:instrText>SEQ Table \* ARABIC \s 1</w:instrText>
      </w:r>
      <w:r>
        <w:fldChar w:fldCharType="separate"/>
      </w:r>
      <w:r w:rsidR="006D0756" w:rsidRPr="00B6080E">
        <w:rPr>
          <w:noProof/>
        </w:rPr>
        <w:t>9</w:t>
      </w:r>
      <w:r>
        <w:fldChar w:fldCharType="end"/>
      </w:r>
      <w:r w:rsidRPr="00B6080E">
        <w:t xml:space="preserve">: Health operations expenditure budgets </w:t>
      </w:r>
      <w:bookmarkEnd w:id="1229"/>
      <w:bookmarkEnd w:id="1230"/>
      <w:bookmarkEnd w:id="1231"/>
      <w:r w:rsidR="005D1FCB" w:rsidRPr="00B6080E">
        <w:t>2021</w:t>
      </w:r>
      <w:r w:rsidR="00AB0330" w:rsidRPr="00B6080E">
        <w:t>–</w:t>
      </w:r>
      <w:r w:rsidR="005D1FCB" w:rsidRPr="00B6080E">
        <w:t>22 and 2022</w:t>
      </w:r>
      <w:r w:rsidR="00AB0330" w:rsidRPr="00B6080E">
        <w:t>–</w:t>
      </w:r>
      <w:r w:rsidR="005D1FCB" w:rsidRPr="00B6080E">
        <w:t>23</w:t>
      </w:r>
      <w:bookmarkEnd w:id="1232"/>
      <w:bookmarkEnd w:id="1233"/>
    </w:p>
    <w:tbl>
      <w:tblPr>
        <w:tblStyle w:val="TableGrid1"/>
        <w:tblW w:w="15021" w:type="dxa"/>
        <w:tblLayout w:type="fixed"/>
        <w:tblLook w:val="04A0" w:firstRow="1" w:lastRow="0" w:firstColumn="1" w:lastColumn="0" w:noHBand="0" w:noVBand="1"/>
      </w:tblPr>
      <w:tblGrid>
        <w:gridCol w:w="1282"/>
        <w:gridCol w:w="858"/>
        <w:gridCol w:w="859"/>
        <w:gridCol w:w="859"/>
        <w:gridCol w:w="858"/>
        <w:gridCol w:w="859"/>
        <w:gridCol w:w="859"/>
        <w:gridCol w:w="858"/>
        <w:gridCol w:w="859"/>
        <w:gridCol w:w="859"/>
        <w:gridCol w:w="858"/>
        <w:gridCol w:w="859"/>
        <w:gridCol w:w="859"/>
        <w:gridCol w:w="858"/>
        <w:gridCol w:w="859"/>
        <w:gridCol w:w="859"/>
        <w:gridCol w:w="859"/>
      </w:tblGrid>
      <w:tr w:rsidR="00404755" w:rsidRPr="00404755" w14:paraId="2F4265DD" w14:textId="77777777" w:rsidTr="00DC211C">
        <w:trPr>
          <w:cnfStyle w:val="100000000000" w:firstRow="1" w:lastRow="0" w:firstColumn="0" w:lastColumn="0" w:oddVBand="0" w:evenVBand="0" w:oddHBand="0" w:evenHBand="0" w:firstRowFirstColumn="0" w:firstRowLastColumn="0" w:lastRowFirstColumn="0" w:lastRowLastColumn="0"/>
          <w:trHeight w:val="284"/>
          <w:tblHeader/>
        </w:trPr>
        <w:tc>
          <w:tcPr>
            <w:tcW w:w="1282" w:type="dxa"/>
            <w:vMerge w:val="restart"/>
            <w:hideMark/>
          </w:tcPr>
          <w:p w14:paraId="2509262F" w14:textId="77777777" w:rsidR="00404755" w:rsidRPr="00404755" w:rsidRDefault="00404755" w:rsidP="00404755">
            <w:pPr>
              <w:spacing w:after="0" w:line="240" w:lineRule="auto"/>
              <w:rPr>
                <w:rFonts w:cs="Arial"/>
                <w:b/>
                <w:bCs/>
                <w:color w:val="FFFFFF"/>
                <w:sz w:val="14"/>
                <w:szCs w:val="14"/>
                <w:highlight w:val="black"/>
                <w:lang w:eastAsia="en-AU"/>
              </w:rPr>
            </w:pPr>
            <w:r w:rsidRPr="00CF4E52">
              <w:rPr>
                <w:rFonts w:cs="Arial"/>
                <w:b/>
                <w:bCs/>
                <w:color w:val="FFFFFF"/>
                <w:sz w:val="14"/>
                <w:szCs w:val="14"/>
                <w:lang w:eastAsia="en-AU"/>
              </w:rPr>
              <w:t>Provider Type</w:t>
            </w:r>
          </w:p>
        </w:tc>
        <w:tc>
          <w:tcPr>
            <w:tcW w:w="6869" w:type="dxa"/>
            <w:gridSpan w:val="8"/>
            <w:hideMark/>
          </w:tcPr>
          <w:p w14:paraId="6B0A9550" w14:textId="0028DB7C" w:rsidR="00404755" w:rsidRPr="00404755" w:rsidRDefault="00404755" w:rsidP="00404755">
            <w:pPr>
              <w:spacing w:after="0" w:line="240" w:lineRule="auto"/>
              <w:jc w:val="center"/>
              <w:rPr>
                <w:rFonts w:cs="Arial"/>
                <w:b/>
                <w:bCs/>
                <w:color w:val="FFFFFF"/>
                <w:sz w:val="14"/>
                <w:szCs w:val="14"/>
                <w:highlight w:val="black"/>
                <w:lang w:eastAsia="en-AU"/>
              </w:rPr>
            </w:pPr>
            <w:r w:rsidRPr="00404755">
              <w:rPr>
                <w:rFonts w:cs="Arial"/>
                <w:b/>
                <w:bCs/>
                <w:color w:val="FFFFFF"/>
                <w:sz w:val="14"/>
                <w:szCs w:val="14"/>
                <w:highlight w:val="black"/>
                <w:lang w:eastAsia="en-AU"/>
              </w:rPr>
              <w:t>2021</w:t>
            </w:r>
            <w:r w:rsidR="00425C59" w:rsidRPr="005353E5">
              <w:rPr>
                <w:rFonts w:cs="Arial"/>
                <w:b/>
                <w:bCs/>
                <w:color w:val="FFFFFF"/>
                <w:sz w:val="16"/>
                <w:szCs w:val="16"/>
                <w:lang w:eastAsia="en-AU"/>
              </w:rPr>
              <w:t>–</w:t>
            </w:r>
            <w:r w:rsidRPr="00404755">
              <w:rPr>
                <w:rFonts w:cs="Arial"/>
                <w:b/>
                <w:bCs/>
                <w:color w:val="FFFFFF"/>
                <w:sz w:val="14"/>
                <w:szCs w:val="14"/>
                <w:highlight w:val="black"/>
                <w:lang w:eastAsia="en-AU"/>
              </w:rPr>
              <w:t>2022</w:t>
            </w:r>
          </w:p>
        </w:tc>
        <w:tc>
          <w:tcPr>
            <w:tcW w:w="6870" w:type="dxa"/>
            <w:gridSpan w:val="8"/>
            <w:hideMark/>
          </w:tcPr>
          <w:p w14:paraId="100F1FC4" w14:textId="477B522A" w:rsidR="00404755" w:rsidRPr="00404755" w:rsidRDefault="00404755" w:rsidP="00404755">
            <w:pPr>
              <w:spacing w:after="0" w:line="240" w:lineRule="auto"/>
              <w:jc w:val="center"/>
              <w:rPr>
                <w:rFonts w:cs="Arial"/>
                <w:b/>
                <w:bCs/>
                <w:color w:val="FFFFFF"/>
                <w:sz w:val="14"/>
                <w:szCs w:val="14"/>
                <w:highlight w:val="black"/>
                <w:lang w:eastAsia="en-AU"/>
              </w:rPr>
            </w:pPr>
            <w:r w:rsidRPr="00404755">
              <w:rPr>
                <w:rFonts w:cs="Arial"/>
                <w:b/>
                <w:bCs/>
                <w:color w:val="FFFFFF"/>
                <w:sz w:val="14"/>
                <w:szCs w:val="14"/>
                <w:highlight w:val="black"/>
                <w:lang w:eastAsia="en-AU"/>
              </w:rPr>
              <w:t>2022</w:t>
            </w:r>
            <w:r w:rsidR="00425C59" w:rsidRPr="005353E5">
              <w:rPr>
                <w:rFonts w:cs="Arial"/>
                <w:b/>
                <w:bCs/>
                <w:color w:val="FFFFFF"/>
                <w:sz w:val="16"/>
                <w:szCs w:val="16"/>
                <w:lang w:eastAsia="en-AU"/>
              </w:rPr>
              <w:t>–</w:t>
            </w:r>
            <w:r w:rsidRPr="00404755">
              <w:rPr>
                <w:rFonts w:cs="Arial"/>
                <w:b/>
                <w:bCs/>
                <w:color w:val="FFFFFF"/>
                <w:sz w:val="14"/>
                <w:szCs w:val="14"/>
                <w:highlight w:val="black"/>
                <w:lang w:eastAsia="en-AU"/>
              </w:rPr>
              <w:t>2023</w:t>
            </w:r>
          </w:p>
        </w:tc>
      </w:tr>
      <w:tr w:rsidR="00CF4E52" w:rsidRPr="00404755" w14:paraId="67B95708" w14:textId="77777777" w:rsidTr="00CF4E52">
        <w:trPr>
          <w:trHeight w:val="284"/>
        </w:trPr>
        <w:tc>
          <w:tcPr>
            <w:tcW w:w="1282" w:type="dxa"/>
            <w:vMerge/>
            <w:hideMark/>
          </w:tcPr>
          <w:p w14:paraId="214AA9F3" w14:textId="77777777" w:rsidR="00404755" w:rsidRPr="00404755" w:rsidRDefault="00404755" w:rsidP="00404755">
            <w:pPr>
              <w:spacing w:after="0" w:line="240" w:lineRule="auto"/>
              <w:rPr>
                <w:rFonts w:cs="Arial"/>
                <w:b/>
                <w:bCs/>
                <w:color w:val="FFFFFF"/>
                <w:sz w:val="16"/>
                <w:szCs w:val="16"/>
                <w:highlight w:val="black"/>
                <w:lang w:eastAsia="en-AU"/>
              </w:rPr>
            </w:pPr>
          </w:p>
        </w:tc>
        <w:tc>
          <w:tcPr>
            <w:tcW w:w="858" w:type="dxa"/>
            <w:shd w:val="clear" w:color="auto" w:fill="201547"/>
            <w:hideMark/>
          </w:tcPr>
          <w:p w14:paraId="4866A0E0"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Acute Health Services</w:t>
            </w:r>
          </w:p>
        </w:tc>
        <w:tc>
          <w:tcPr>
            <w:tcW w:w="859" w:type="dxa"/>
            <w:shd w:val="clear" w:color="auto" w:fill="201547"/>
            <w:hideMark/>
          </w:tcPr>
          <w:p w14:paraId="243683CC"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Ageing, aged and home care</w:t>
            </w:r>
          </w:p>
        </w:tc>
        <w:tc>
          <w:tcPr>
            <w:tcW w:w="859" w:type="dxa"/>
            <w:shd w:val="clear" w:color="auto" w:fill="201547"/>
            <w:hideMark/>
          </w:tcPr>
          <w:p w14:paraId="5A6AFB74"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Ambulance Services</w:t>
            </w:r>
          </w:p>
        </w:tc>
        <w:tc>
          <w:tcPr>
            <w:tcW w:w="858" w:type="dxa"/>
            <w:shd w:val="clear" w:color="auto" w:fill="201547"/>
            <w:hideMark/>
          </w:tcPr>
          <w:p w14:paraId="553D82E1"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Drugs Services</w:t>
            </w:r>
          </w:p>
        </w:tc>
        <w:tc>
          <w:tcPr>
            <w:tcW w:w="859" w:type="dxa"/>
            <w:shd w:val="clear" w:color="auto" w:fill="201547"/>
            <w:hideMark/>
          </w:tcPr>
          <w:p w14:paraId="33D2E79A"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Mental Health</w:t>
            </w:r>
          </w:p>
        </w:tc>
        <w:tc>
          <w:tcPr>
            <w:tcW w:w="859" w:type="dxa"/>
            <w:shd w:val="clear" w:color="auto" w:fill="201547"/>
            <w:hideMark/>
          </w:tcPr>
          <w:p w14:paraId="3D0BCE12"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Primary and Dental Health</w:t>
            </w:r>
          </w:p>
        </w:tc>
        <w:tc>
          <w:tcPr>
            <w:tcW w:w="858" w:type="dxa"/>
            <w:shd w:val="clear" w:color="auto" w:fill="201547"/>
            <w:hideMark/>
          </w:tcPr>
          <w:p w14:paraId="08ED5B30"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Public Health</w:t>
            </w:r>
          </w:p>
        </w:tc>
        <w:tc>
          <w:tcPr>
            <w:tcW w:w="859" w:type="dxa"/>
            <w:shd w:val="clear" w:color="auto" w:fill="201547"/>
            <w:hideMark/>
          </w:tcPr>
          <w:p w14:paraId="14D00154"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 xml:space="preserve"> Total</w:t>
            </w:r>
          </w:p>
        </w:tc>
        <w:tc>
          <w:tcPr>
            <w:tcW w:w="859" w:type="dxa"/>
            <w:shd w:val="clear" w:color="auto" w:fill="201547"/>
            <w:hideMark/>
          </w:tcPr>
          <w:p w14:paraId="0ACFB289"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Acute Health Services</w:t>
            </w:r>
          </w:p>
        </w:tc>
        <w:tc>
          <w:tcPr>
            <w:tcW w:w="858" w:type="dxa"/>
            <w:shd w:val="clear" w:color="auto" w:fill="201547"/>
            <w:hideMark/>
          </w:tcPr>
          <w:p w14:paraId="5D00DC07"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Ageing, aged and home care</w:t>
            </w:r>
          </w:p>
        </w:tc>
        <w:tc>
          <w:tcPr>
            <w:tcW w:w="859" w:type="dxa"/>
            <w:shd w:val="clear" w:color="auto" w:fill="201547"/>
            <w:hideMark/>
          </w:tcPr>
          <w:p w14:paraId="0505E378"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Ambulance Services</w:t>
            </w:r>
          </w:p>
        </w:tc>
        <w:tc>
          <w:tcPr>
            <w:tcW w:w="859" w:type="dxa"/>
            <w:shd w:val="clear" w:color="auto" w:fill="201547"/>
            <w:hideMark/>
          </w:tcPr>
          <w:p w14:paraId="4DF42DC9"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Drugs Services</w:t>
            </w:r>
          </w:p>
        </w:tc>
        <w:tc>
          <w:tcPr>
            <w:tcW w:w="858" w:type="dxa"/>
            <w:shd w:val="clear" w:color="auto" w:fill="201547"/>
            <w:hideMark/>
          </w:tcPr>
          <w:p w14:paraId="2B8D64E4"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Mental Health</w:t>
            </w:r>
          </w:p>
        </w:tc>
        <w:tc>
          <w:tcPr>
            <w:tcW w:w="859" w:type="dxa"/>
            <w:shd w:val="clear" w:color="auto" w:fill="201547"/>
            <w:hideMark/>
          </w:tcPr>
          <w:p w14:paraId="6A6455BE"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Primary and Dental Health</w:t>
            </w:r>
          </w:p>
        </w:tc>
        <w:tc>
          <w:tcPr>
            <w:tcW w:w="859" w:type="dxa"/>
            <w:shd w:val="clear" w:color="auto" w:fill="201547"/>
            <w:hideMark/>
          </w:tcPr>
          <w:p w14:paraId="263A4ED7"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Public Health</w:t>
            </w:r>
          </w:p>
        </w:tc>
        <w:tc>
          <w:tcPr>
            <w:tcW w:w="859" w:type="dxa"/>
            <w:shd w:val="clear" w:color="auto" w:fill="201547"/>
            <w:hideMark/>
          </w:tcPr>
          <w:p w14:paraId="25EF4867"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22/23 Total</w:t>
            </w:r>
          </w:p>
        </w:tc>
      </w:tr>
      <w:tr w:rsidR="00CF4E52" w:rsidRPr="00404755" w14:paraId="2BD673AA" w14:textId="77777777" w:rsidTr="00CF4E52">
        <w:trPr>
          <w:trHeight w:val="284"/>
        </w:trPr>
        <w:tc>
          <w:tcPr>
            <w:tcW w:w="1282" w:type="dxa"/>
            <w:vMerge/>
            <w:hideMark/>
          </w:tcPr>
          <w:p w14:paraId="4C4CAFE9" w14:textId="77777777" w:rsidR="00404755" w:rsidRPr="00404755" w:rsidRDefault="00404755" w:rsidP="00404755">
            <w:pPr>
              <w:spacing w:after="0" w:line="240" w:lineRule="auto"/>
              <w:rPr>
                <w:rFonts w:cs="Arial"/>
                <w:b/>
                <w:bCs/>
                <w:color w:val="FFFFFF"/>
                <w:sz w:val="16"/>
                <w:szCs w:val="16"/>
                <w:highlight w:val="black"/>
                <w:lang w:eastAsia="en-AU"/>
              </w:rPr>
            </w:pPr>
          </w:p>
        </w:tc>
        <w:tc>
          <w:tcPr>
            <w:tcW w:w="858" w:type="dxa"/>
            <w:shd w:val="clear" w:color="auto" w:fill="201547"/>
            <w:hideMark/>
          </w:tcPr>
          <w:p w14:paraId="35056DF7"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2C585AEC"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54A4E06E"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8" w:type="dxa"/>
            <w:shd w:val="clear" w:color="auto" w:fill="201547"/>
            <w:hideMark/>
          </w:tcPr>
          <w:p w14:paraId="5442CDDA"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21E001A2"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29AB6ABC"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8" w:type="dxa"/>
            <w:shd w:val="clear" w:color="auto" w:fill="201547"/>
            <w:hideMark/>
          </w:tcPr>
          <w:p w14:paraId="302A81B1"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69BE4382"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4330B4C2"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8" w:type="dxa"/>
            <w:shd w:val="clear" w:color="auto" w:fill="201547"/>
            <w:hideMark/>
          </w:tcPr>
          <w:p w14:paraId="3E934AD9"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33AB2E8A"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49253774"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8" w:type="dxa"/>
            <w:shd w:val="clear" w:color="auto" w:fill="201547"/>
            <w:hideMark/>
          </w:tcPr>
          <w:p w14:paraId="33CD3662"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62AC0DE3"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7D9DB7D2"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c>
          <w:tcPr>
            <w:tcW w:w="859" w:type="dxa"/>
            <w:shd w:val="clear" w:color="auto" w:fill="201547"/>
            <w:hideMark/>
          </w:tcPr>
          <w:p w14:paraId="26A1E4E2" w14:textId="77777777" w:rsidR="00404755" w:rsidRPr="00404755" w:rsidRDefault="00404755" w:rsidP="00404755">
            <w:pPr>
              <w:spacing w:after="0" w:line="240" w:lineRule="auto"/>
              <w:jc w:val="right"/>
              <w:rPr>
                <w:rFonts w:cs="Arial"/>
                <w:b/>
                <w:bCs/>
                <w:color w:val="FFFFFF"/>
                <w:sz w:val="13"/>
                <w:szCs w:val="13"/>
                <w:lang w:eastAsia="en-AU"/>
              </w:rPr>
            </w:pPr>
            <w:r w:rsidRPr="00404755">
              <w:rPr>
                <w:rFonts w:cs="Arial"/>
                <w:b/>
                <w:bCs/>
                <w:color w:val="FFFFFF"/>
                <w:sz w:val="13"/>
                <w:szCs w:val="13"/>
                <w:lang w:eastAsia="en-AU"/>
              </w:rPr>
              <w:t>$'000s</w:t>
            </w:r>
          </w:p>
        </w:tc>
      </w:tr>
      <w:tr w:rsidR="00404755" w:rsidRPr="00404755" w14:paraId="10D7C15F" w14:textId="77777777" w:rsidTr="00CF4E52">
        <w:trPr>
          <w:trHeight w:val="284"/>
        </w:trPr>
        <w:tc>
          <w:tcPr>
            <w:tcW w:w="1282" w:type="dxa"/>
            <w:hideMark/>
          </w:tcPr>
          <w:p w14:paraId="5D20181F" w14:textId="77777777" w:rsidR="00404755" w:rsidRPr="00404755" w:rsidRDefault="00404755" w:rsidP="00404755">
            <w:pPr>
              <w:spacing w:after="0" w:line="240" w:lineRule="auto"/>
              <w:rPr>
                <w:rFonts w:cs="Arial"/>
                <w:color w:val="000000"/>
                <w:sz w:val="14"/>
                <w:szCs w:val="14"/>
                <w:lang w:eastAsia="en-AU"/>
              </w:rPr>
            </w:pPr>
            <w:r w:rsidRPr="00404755">
              <w:rPr>
                <w:rFonts w:cs="Arial"/>
                <w:color w:val="000000"/>
                <w:sz w:val="14"/>
                <w:szCs w:val="14"/>
                <w:lang w:eastAsia="en-AU"/>
              </w:rPr>
              <w:t>Health Service</w:t>
            </w:r>
          </w:p>
        </w:tc>
        <w:tc>
          <w:tcPr>
            <w:tcW w:w="858" w:type="dxa"/>
            <w:hideMark/>
          </w:tcPr>
          <w:p w14:paraId="334A5586"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12,288,241 </w:t>
            </w:r>
          </w:p>
        </w:tc>
        <w:tc>
          <w:tcPr>
            <w:tcW w:w="859" w:type="dxa"/>
            <w:hideMark/>
          </w:tcPr>
          <w:p w14:paraId="45BFBD9C"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154,451 </w:t>
            </w:r>
          </w:p>
        </w:tc>
        <w:tc>
          <w:tcPr>
            <w:tcW w:w="859" w:type="dxa"/>
            <w:hideMark/>
          </w:tcPr>
          <w:p w14:paraId="67D9F1E5"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8" w:type="dxa"/>
            <w:hideMark/>
          </w:tcPr>
          <w:p w14:paraId="2F21D16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60,853 </w:t>
            </w:r>
          </w:p>
        </w:tc>
        <w:tc>
          <w:tcPr>
            <w:tcW w:w="859" w:type="dxa"/>
            <w:hideMark/>
          </w:tcPr>
          <w:p w14:paraId="3F6C50B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1,643,898 </w:t>
            </w:r>
          </w:p>
        </w:tc>
        <w:tc>
          <w:tcPr>
            <w:tcW w:w="859" w:type="dxa"/>
            <w:hideMark/>
          </w:tcPr>
          <w:p w14:paraId="39622C17"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75,178 </w:t>
            </w:r>
          </w:p>
        </w:tc>
        <w:tc>
          <w:tcPr>
            <w:tcW w:w="858" w:type="dxa"/>
            <w:hideMark/>
          </w:tcPr>
          <w:p w14:paraId="0642488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31,001 </w:t>
            </w:r>
          </w:p>
        </w:tc>
        <w:tc>
          <w:tcPr>
            <w:tcW w:w="859" w:type="dxa"/>
            <w:hideMark/>
          </w:tcPr>
          <w:p w14:paraId="37E3F752"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14,253,622 </w:t>
            </w:r>
          </w:p>
        </w:tc>
        <w:tc>
          <w:tcPr>
            <w:tcW w:w="859" w:type="dxa"/>
            <w:hideMark/>
          </w:tcPr>
          <w:p w14:paraId="3F93CDB2"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13,309,886 </w:t>
            </w:r>
          </w:p>
        </w:tc>
        <w:tc>
          <w:tcPr>
            <w:tcW w:w="858" w:type="dxa"/>
            <w:hideMark/>
          </w:tcPr>
          <w:p w14:paraId="2446F564"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152,743 </w:t>
            </w:r>
          </w:p>
        </w:tc>
        <w:tc>
          <w:tcPr>
            <w:tcW w:w="859" w:type="dxa"/>
            <w:hideMark/>
          </w:tcPr>
          <w:p w14:paraId="5140BAFE"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3B528EEC"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59,159 </w:t>
            </w:r>
          </w:p>
        </w:tc>
        <w:tc>
          <w:tcPr>
            <w:tcW w:w="858" w:type="dxa"/>
            <w:hideMark/>
          </w:tcPr>
          <w:p w14:paraId="6941B5BE"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1,744,206 </w:t>
            </w:r>
          </w:p>
        </w:tc>
        <w:tc>
          <w:tcPr>
            <w:tcW w:w="859" w:type="dxa"/>
            <w:hideMark/>
          </w:tcPr>
          <w:p w14:paraId="18E63B34"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74,530 </w:t>
            </w:r>
          </w:p>
        </w:tc>
        <w:tc>
          <w:tcPr>
            <w:tcW w:w="859" w:type="dxa"/>
            <w:hideMark/>
          </w:tcPr>
          <w:p w14:paraId="5379F30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29,415 </w:t>
            </w:r>
          </w:p>
        </w:tc>
        <w:tc>
          <w:tcPr>
            <w:tcW w:w="859" w:type="dxa"/>
            <w:hideMark/>
          </w:tcPr>
          <w:p w14:paraId="086E76F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15,369,939 </w:t>
            </w:r>
          </w:p>
        </w:tc>
      </w:tr>
      <w:tr w:rsidR="00404755" w:rsidRPr="00404755" w14:paraId="526AFC70" w14:textId="77777777" w:rsidTr="00CF4E52">
        <w:trPr>
          <w:trHeight w:val="284"/>
        </w:trPr>
        <w:tc>
          <w:tcPr>
            <w:tcW w:w="1282" w:type="dxa"/>
            <w:hideMark/>
          </w:tcPr>
          <w:p w14:paraId="40221DD9" w14:textId="77777777" w:rsidR="00404755" w:rsidRPr="00404755" w:rsidRDefault="00404755" w:rsidP="00404755">
            <w:pPr>
              <w:spacing w:after="0" w:line="240" w:lineRule="auto"/>
              <w:rPr>
                <w:rFonts w:cs="Arial"/>
                <w:color w:val="000000"/>
                <w:sz w:val="14"/>
                <w:szCs w:val="14"/>
                <w:lang w:eastAsia="en-AU"/>
              </w:rPr>
            </w:pPr>
            <w:r w:rsidRPr="00404755">
              <w:rPr>
                <w:rFonts w:cs="Arial"/>
                <w:color w:val="000000"/>
                <w:sz w:val="14"/>
                <w:szCs w:val="14"/>
                <w:lang w:eastAsia="en-AU"/>
              </w:rPr>
              <w:t>Small Rural Health Service</w:t>
            </w:r>
          </w:p>
        </w:tc>
        <w:tc>
          <w:tcPr>
            <w:tcW w:w="858" w:type="dxa"/>
            <w:hideMark/>
          </w:tcPr>
          <w:p w14:paraId="77DFDA7B"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305,985 </w:t>
            </w:r>
          </w:p>
        </w:tc>
        <w:tc>
          <w:tcPr>
            <w:tcW w:w="859" w:type="dxa"/>
            <w:hideMark/>
          </w:tcPr>
          <w:p w14:paraId="61CD99EA"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40,456 </w:t>
            </w:r>
          </w:p>
        </w:tc>
        <w:tc>
          <w:tcPr>
            <w:tcW w:w="859" w:type="dxa"/>
            <w:hideMark/>
          </w:tcPr>
          <w:p w14:paraId="2796A251"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8" w:type="dxa"/>
            <w:hideMark/>
          </w:tcPr>
          <w:p w14:paraId="58DDBE03"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4DCF68F5"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273 </w:t>
            </w:r>
          </w:p>
        </w:tc>
        <w:tc>
          <w:tcPr>
            <w:tcW w:w="859" w:type="dxa"/>
            <w:hideMark/>
          </w:tcPr>
          <w:p w14:paraId="28FA601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14,045 </w:t>
            </w:r>
          </w:p>
        </w:tc>
        <w:tc>
          <w:tcPr>
            <w:tcW w:w="858" w:type="dxa"/>
            <w:hideMark/>
          </w:tcPr>
          <w:p w14:paraId="2845FB99"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1FD1E5D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360,758 </w:t>
            </w:r>
          </w:p>
        </w:tc>
        <w:tc>
          <w:tcPr>
            <w:tcW w:w="859" w:type="dxa"/>
            <w:hideMark/>
          </w:tcPr>
          <w:p w14:paraId="526C1B7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329,019 </w:t>
            </w:r>
          </w:p>
        </w:tc>
        <w:tc>
          <w:tcPr>
            <w:tcW w:w="858" w:type="dxa"/>
            <w:hideMark/>
          </w:tcPr>
          <w:p w14:paraId="186759D6"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41,357 </w:t>
            </w:r>
          </w:p>
        </w:tc>
        <w:tc>
          <w:tcPr>
            <w:tcW w:w="859" w:type="dxa"/>
            <w:hideMark/>
          </w:tcPr>
          <w:p w14:paraId="4FEE2EE6"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7F8A0451"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8" w:type="dxa"/>
            <w:hideMark/>
          </w:tcPr>
          <w:p w14:paraId="6CD4A4AA"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279 </w:t>
            </w:r>
          </w:p>
        </w:tc>
        <w:tc>
          <w:tcPr>
            <w:tcW w:w="859" w:type="dxa"/>
            <w:hideMark/>
          </w:tcPr>
          <w:p w14:paraId="34BDF6BC"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14,003 </w:t>
            </w:r>
          </w:p>
        </w:tc>
        <w:tc>
          <w:tcPr>
            <w:tcW w:w="859" w:type="dxa"/>
            <w:hideMark/>
          </w:tcPr>
          <w:p w14:paraId="76AF5034"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3EA4C6CA"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384,658 </w:t>
            </w:r>
          </w:p>
        </w:tc>
      </w:tr>
      <w:tr w:rsidR="00404755" w:rsidRPr="00404755" w14:paraId="7C060FD5" w14:textId="77777777" w:rsidTr="00CF4E52">
        <w:trPr>
          <w:trHeight w:val="284"/>
        </w:trPr>
        <w:tc>
          <w:tcPr>
            <w:tcW w:w="1282" w:type="dxa"/>
            <w:hideMark/>
          </w:tcPr>
          <w:p w14:paraId="6D633258" w14:textId="77777777" w:rsidR="00404755" w:rsidRPr="00404755" w:rsidRDefault="00404755" w:rsidP="00404755">
            <w:pPr>
              <w:spacing w:after="0" w:line="240" w:lineRule="auto"/>
              <w:rPr>
                <w:rFonts w:cs="Arial"/>
                <w:color w:val="000000"/>
                <w:sz w:val="14"/>
                <w:szCs w:val="14"/>
                <w:lang w:eastAsia="en-AU"/>
              </w:rPr>
            </w:pPr>
            <w:r w:rsidRPr="00404755">
              <w:rPr>
                <w:rFonts w:cs="Arial"/>
                <w:color w:val="000000"/>
                <w:sz w:val="14"/>
                <w:szCs w:val="14"/>
                <w:lang w:eastAsia="en-AU"/>
              </w:rPr>
              <w:t>Community Health Centres</w:t>
            </w:r>
          </w:p>
        </w:tc>
        <w:tc>
          <w:tcPr>
            <w:tcW w:w="858" w:type="dxa"/>
            <w:hideMark/>
          </w:tcPr>
          <w:p w14:paraId="118F5C1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8,287 </w:t>
            </w:r>
          </w:p>
        </w:tc>
        <w:tc>
          <w:tcPr>
            <w:tcW w:w="859" w:type="dxa"/>
            <w:hideMark/>
          </w:tcPr>
          <w:p w14:paraId="43CDD85E"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28,917 </w:t>
            </w:r>
          </w:p>
        </w:tc>
        <w:tc>
          <w:tcPr>
            <w:tcW w:w="859" w:type="dxa"/>
            <w:hideMark/>
          </w:tcPr>
          <w:p w14:paraId="4AF27673"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8" w:type="dxa"/>
            <w:hideMark/>
          </w:tcPr>
          <w:p w14:paraId="52B6ED9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55,185 </w:t>
            </w:r>
          </w:p>
        </w:tc>
        <w:tc>
          <w:tcPr>
            <w:tcW w:w="859" w:type="dxa"/>
            <w:hideMark/>
          </w:tcPr>
          <w:p w14:paraId="4EC6D06A"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10,921 </w:t>
            </w:r>
          </w:p>
        </w:tc>
        <w:tc>
          <w:tcPr>
            <w:tcW w:w="859" w:type="dxa"/>
            <w:hideMark/>
          </w:tcPr>
          <w:p w14:paraId="3C3662A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112,829 </w:t>
            </w:r>
          </w:p>
        </w:tc>
        <w:tc>
          <w:tcPr>
            <w:tcW w:w="858" w:type="dxa"/>
            <w:hideMark/>
          </w:tcPr>
          <w:p w14:paraId="0D745D7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2,463 </w:t>
            </w:r>
          </w:p>
        </w:tc>
        <w:tc>
          <w:tcPr>
            <w:tcW w:w="859" w:type="dxa"/>
            <w:hideMark/>
          </w:tcPr>
          <w:p w14:paraId="4432772C"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218,602 </w:t>
            </w:r>
          </w:p>
        </w:tc>
        <w:tc>
          <w:tcPr>
            <w:tcW w:w="859" w:type="dxa"/>
            <w:hideMark/>
          </w:tcPr>
          <w:p w14:paraId="5F129DC3"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7,881 </w:t>
            </w:r>
          </w:p>
        </w:tc>
        <w:tc>
          <w:tcPr>
            <w:tcW w:w="858" w:type="dxa"/>
            <w:hideMark/>
          </w:tcPr>
          <w:p w14:paraId="683B2651"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35,586 </w:t>
            </w:r>
          </w:p>
        </w:tc>
        <w:tc>
          <w:tcPr>
            <w:tcW w:w="859" w:type="dxa"/>
            <w:hideMark/>
          </w:tcPr>
          <w:p w14:paraId="4039E185"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078D7AF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58,204 </w:t>
            </w:r>
          </w:p>
        </w:tc>
        <w:tc>
          <w:tcPr>
            <w:tcW w:w="858" w:type="dxa"/>
            <w:hideMark/>
          </w:tcPr>
          <w:p w14:paraId="59B332CA"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12,330 </w:t>
            </w:r>
          </w:p>
        </w:tc>
        <w:tc>
          <w:tcPr>
            <w:tcW w:w="859" w:type="dxa"/>
            <w:hideMark/>
          </w:tcPr>
          <w:p w14:paraId="4AB06026"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113,341 </w:t>
            </w:r>
          </w:p>
        </w:tc>
        <w:tc>
          <w:tcPr>
            <w:tcW w:w="859" w:type="dxa"/>
            <w:hideMark/>
          </w:tcPr>
          <w:p w14:paraId="6B6579CE"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3,387 </w:t>
            </w:r>
          </w:p>
        </w:tc>
        <w:tc>
          <w:tcPr>
            <w:tcW w:w="859" w:type="dxa"/>
            <w:hideMark/>
          </w:tcPr>
          <w:p w14:paraId="2EFEB22C"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230,728 </w:t>
            </w:r>
          </w:p>
        </w:tc>
      </w:tr>
      <w:tr w:rsidR="00404755" w:rsidRPr="00404755" w14:paraId="03156E51" w14:textId="77777777" w:rsidTr="00CF4E52">
        <w:trPr>
          <w:trHeight w:val="284"/>
        </w:trPr>
        <w:tc>
          <w:tcPr>
            <w:tcW w:w="1282" w:type="dxa"/>
            <w:hideMark/>
          </w:tcPr>
          <w:p w14:paraId="0F9A5405" w14:textId="77777777" w:rsidR="00404755" w:rsidRPr="00404755" w:rsidRDefault="00404755" w:rsidP="00404755">
            <w:pPr>
              <w:spacing w:after="0" w:line="240" w:lineRule="auto"/>
              <w:rPr>
                <w:rFonts w:cs="Arial"/>
                <w:color w:val="000000"/>
                <w:sz w:val="14"/>
                <w:szCs w:val="14"/>
                <w:lang w:eastAsia="en-AU"/>
              </w:rPr>
            </w:pPr>
            <w:r w:rsidRPr="00404755">
              <w:rPr>
                <w:rFonts w:cs="Arial"/>
                <w:color w:val="000000"/>
                <w:sz w:val="14"/>
                <w:szCs w:val="14"/>
                <w:lang w:eastAsia="en-AU"/>
              </w:rPr>
              <w:t>Local Government</w:t>
            </w:r>
          </w:p>
        </w:tc>
        <w:tc>
          <w:tcPr>
            <w:tcW w:w="858" w:type="dxa"/>
            <w:hideMark/>
          </w:tcPr>
          <w:p w14:paraId="2E95FE3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4B453E05"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23,867 </w:t>
            </w:r>
          </w:p>
        </w:tc>
        <w:tc>
          <w:tcPr>
            <w:tcW w:w="859" w:type="dxa"/>
            <w:hideMark/>
          </w:tcPr>
          <w:p w14:paraId="3A6923B4"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8" w:type="dxa"/>
            <w:hideMark/>
          </w:tcPr>
          <w:p w14:paraId="6E8B7AB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139 </w:t>
            </w:r>
          </w:p>
        </w:tc>
        <w:tc>
          <w:tcPr>
            <w:tcW w:w="859" w:type="dxa"/>
            <w:hideMark/>
          </w:tcPr>
          <w:p w14:paraId="77EFC5D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448704E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89,168 </w:t>
            </w:r>
          </w:p>
        </w:tc>
        <w:tc>
          <w:tcPr>
            <w:tcW w:w="858" w:type="dxa"/>
            <w:hideMark/>
          </w:tcPr>
          <w:p w14:paraId="0AD40CBB"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1,520 </w:t>
            </w:r>
          </w:p>
        </w:tc>
        <w:tc>
          <w:tcPr>
            <w:tcW w:w="859" w:type="dxa"/>
            <w:hideMark/>
          </w:tcPr>
          <w:p w14:paraId="03F90A4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114,694 </w:t>
            </w:r>
          </w:p>
        </w:tc>
        <w:tc>
          <w:tcPr>
            <w:tcW w:w="859" w:type="dxa"/>
            <w:hideMark/>
          </w:tcPr>
          <w:p w14:paraId="040AE217"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8" w:type="dxa"/>
            <w:hideMark/>
          </w:tcPr>
          <w:p w14:paraId="30903F9C"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49,617 </w:t>
            </w:r>
          </w:p>
        </w:tc>
        <w:tc>
          <w:tcPr>
            <w:tcW w:w="859" w:type="dxa"/>
            <w:hideMark/>
          </w:tcPr>
          <w:p w14:paraId="28E50071"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744EAE7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281 </w:t>
            </w:r>
          </w:p>
        </w:tc>
        <w:tc>
          <w:tcPr>
            <w:tcW w:w="858" w:type="dxa"/>
            <w:hideMark/>
          </w:tcPr>
          <w:p w14:paraId="0986F22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1904989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88,856 </w:t>
            </w:r>
          </w:p>
        </w:tc>
        <w:tc>
          <w:tcPr>
            <w:tcW w:w="859" w:type="dxa"/>
            <w:hideMark/>
          </w:tcPr>
          <w:p w14:paraId="605D9059"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1,655 </w:t>
            </w:r>
          </w:p>
        </w:tc>
        <w:tc>
          <w:tcPr>
            <w:tcW w:w="859" w:type="dxa"/>
            <w:hideMark/>
          </w:tcPr>
          <w:p w14:paraId="00777D7A"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140,409 </w:t>
            </w:r>
          </w:p>
        </w:tc>
      </w:tr>
      <w:tr w:rsidR="00404755" w:rsidRPr="00404755" w14:paraId="0B0B3E62" w14:textId="77777777" w:rsidTr="00CF4E52">
        <w:trPr>
          <w:trHeight w:val="393"/>
        </w:trPr>
        <w:tc>
          <w:tcPr>
            <w:tcW w:w="1282" w:type="dxa"/>
            <w:hideMark/>
          </w:tcPr>
          <w:p w14:paraId="6835C75B" w14:textId="08410DE8" w:rsidR="00404755" w:rsidRPr="00404755" w:rsidRDefault="00404755" w:rsidP="00404755">
            <w:pPr>
              <w:spacing w:after="0" w:line="240" w:lineRule="auto"/>
              <w:rPr>
                <w:rFonts w:cs="Arial"/>
                <w:color w:val="000000"/>
                <w:sz w:val="14"/>
                <w:szCs w:val="14"/>
                <w:lang w:eastAsia="en-AU"/>
              </w:rPr>
            </w:pPr>
            <w:r w:rsidRPr="00404755">
              <w:rPr>
                <w:rFonts w:cs="Arial"/>
                <w:color w:val="000000"/>
                <w:sz w:val="14"/>
                <w:szCs w:val="14"/>
                <w:lang w:eastAsia="en-AU"/>
              </w:rPr>
              <w:t>Non</w:t>
            </w:r>
            <w:r w:rsidR="004A5138" w:rsidRPr="009A3F04">
              <w:rPr>
                <w:rFonts w:cs="Arial"/>
                <w:color w:val="000000"/>
                <w:sz w:val="14"/>
                <w:szCs w:val="14"/>
                <w:lang w:eastAsia="en-AU"/>
              </w:rPr>
              <w:t>-</w:t>
            </w:r>
            <w:r w:rsidRPr="00404755">
              <w:rPr>
                <w:rFonts w:cs="Arial"/>
                <w:color w:val="000000"/>
                <w:sz w:val="14"/>
                <w:szCs w:val="14"/>
                <w:lang w:eastAsia="en-AU"/>
              </w:rPr>
              <w:t>Government Providers</w:t>
            </w:r>
          </w:p>
        </w:tc>
        <w:tc>
          <w:tcPr>
            <w:tcW w:w="858" w:type="dxa"/>
            <w:hideMark/>
          </w:tcPr>
          <w:p w14:paraId="722DE0A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103,324 </w:t>
            </w:r>
          </w:p>
        </w:tc>
        <w:tc>
          <w:tcPr>
            <w:tcW w:w="859" w:type="dxa"/>
            <w:hideMark/>
          </w:tcPr>
          <w:p w14:paraId="65108284"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90,461 </w:t>
            </w:r>
          </w:p>
        </w:tc>
        <w:tc>
          <w:tcPr>
            <w:tcW w:w="859" w:type="dxa"/>
            <w:hideMark/>
          </w:tcPr>
          <w:p w14:paraId="456BFAF6"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8" w:type="dxa"/>
            <w:hideMark/>
          </w:tcPr>
          <w:p w14:paraId="5A87969E"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133,766 </w:t>
            </w:r>
          </w:p>
        </w:tc>
        <w:tc>
          <w:tcPr>
            <w:tcW w:w="859" w:type="dxa"/>
            <w:hideMark/>
          </w:tcPr>
          <w:p w14:paraId="1EAA10C7"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74,169 </w:t>
            </w:r>
          </w:p>
        </w:tc>
        <w:tc>
          <w:tcPr>
            <w:tcW w:w="859" w:type="dxa"/>
            <w:hideMark/>
          </w:tcPr>
          <w:p w14:paraId="7D5272EA"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30,841 </w:t>
            </w:r>
          </w:p>
        </w:tc>
        <w:tc>
          <w:tcPr>
            <w:tcW w:w="858" w:type="dxa"/>
            <w:hideMark/>
          </w:tcPr>
          <w:p w14:paraId="5F0F65EE"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139,741 </w:t>
            </w:r>
          </w:p>
        </w:tc>
        <w:tc>
          <w:tcPr>
            <w:tcW w:w="859" w:type="dxa"/>
            <w:hideMark/>
          </w:tcPr>
          <w:p w14:paraId="6CC63D17"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572,303 </w:t>
            </w:r>
          </w:p>
        </w:tc>
        <w:tc>
          <w:tcPr>
            <w:tcW w:w="859" w:type="dxa"/>
            <w:hideMark/>
          </w:tcPr>
          <w:p w14:paraId="0C228F33"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91,079 </w:t>
            </w:r>
          </w:p>
        </w:tc>
        <w:tc>
          <w:tcPr>
            <w:tcW w:w="858" w:type="dxa"/>
            <w:hideMark/>
          </w:tcPr>
          <w:p w14:paraId="24DC441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96,468 </w:t>
            </w:r>
          </w:p>
        </w:tc>
        <w:tc>
          <w:tcPr>
            <w:tcW w:w="859" w:type="dxa"/>
            <w:hideMark/>
          </w:tcPr>
          <w:p w14:paraId="312DC2E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0 </w:t>
            </w:r>
          </w:p>
        </w:tc>
        <w:tc>
          <w:tcPr>
            <w:tcW w:w="859" w:type="dxa"/>
            <w:hideMark/>
          </w:tcPr>
          <w:p w14:paraId="439C1FB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138,974 </w:t>
            </w:r>
          </w:p>
        </w:tc>
        <w:tc>
          <w:tcPr>
            <w:tcW w:w="858" w:type="dxa"/>
            <w:hideMark/>
          </w:tcPr>
          <w:p w14:paraId="5779A7F7"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72,022 </w:t>
            </w:r>
          </w:p>
        </w:tc>
        <w:tc>
          <w:tcPr>
            <w:tcW w:w="859" w:type="dxa"/>
            <w:hideMark/>
          </w:tcPr>
          <w:p w14:paraId="712D8B9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40,632 </w:t>
            </w:r>
          </w:p>
        </w:tc>
        <w:tc>
          <w:tcPr>
            <w:tcW w:w="859" w:type="dxa"/>
            <w:hideMark/>
          </w:tcPr>
          <w:p w14:paraId="7B501589"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143,660 </w:t>
            </w:r>
          </w:p>
        </w:tc>
        <w:tc>
          <w:tcPr>
            <w:tcW w:w="859" w:type="dxa"/>
            <w:hideMark/>
          </w:tcPr>
          <w:p w14:paraId="4A571D48"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582,834 </w:t>
            </w:r>
          </w:p>
        </w:tc>
      </w:tr>
      <w:tr w:rsidR="00404755" w:rsidRPr="00404755" w14:paraId="04DB4753" w14:textId="77777777" w:rsidTr="00CF4E52">
        <w:trPr>
          <w:trHeight w:val="284"/>
        </w:trPr>
        <w:tc>
          <w:tcPr>
            <w:tcW w:w="1282" w:type="dxa"/>
            <w:hideMark/>
          </w:tcPr>
          <w:p w14:paraId="4964E64E" w14:textId="77777777" w:rsidR="00404755" w:rsidRPr="00404755" w:rsidRDefault="00404755" w:rsidP="00404755">
            <w:pPr>
              <w:spacing w:after="0" w:line="240" w:lineRule="auto"/>
              <w:rPr>
                <w:rFonts w:cs="Arial"/>
                <w:color w:val="000000"/>
                <w:sz w:val="14"/>
                <w:szCs w:val="14"/>
                <w:lang w:eastAsia="en-AU"/>
              </w:rPr>
            </w:pPr>
            <w:r w:rsidRPr="00404755">
              <w:rPr>
                <w:rFonts w:cs="Arial"/>
                <w:color w:val="000000"/>
                <w:sz w:val="14"/>
                <w:szCs w:val="14"/>
                <w:lang w:eastAsia="en-AU"/>
              </w:rPr>
              <w:t>Other</w:t>
            </w:r>
          </w:p>
        </w:tc>
        <w:tc>
          <w:tcPr>
            <w:tcW w:w="858" w:type="dxa"/>
            <w:hideMark/>
          </w:tcPr>
          <w:p w14:paraId="3EE41AB9"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708,349 </w:t>
            </w:r>
          </w:p>
        </w:tc>
        <w:tc>
          <w:tcPr>
            <w:tcW w:w="859" w:type="dxa"/>
            <w:hideMark/>
          </w:tcPr>
          <w:p w14:paraId="4FE2039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5,491 </w:t>
            </w:r>
          </w:p>
        </w:tc>
        <w:tc>
          <w:tcPr>
            <w:tcW w:w="859" w:type="dxa"/>
            <w:hideMark/>
          </w:tcPr>
          <w:p w14:paraId="2CB1D17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920,732 </w:t>
            </w:r>
          </w:p>
        </w:tc>
        <w:tc>
          <w:tcPr>
            <w:tcW w:w="858" w:type="dxa"/>
            <w:hideMark/>
          </w:tcPr>
          <w:p w14:paraId="3CBE836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3,543 </w:t>
            </w:r>
          </w:p>
        </w:tc>
        <w:tc>
          <w:tcPr>
            <w:tcW w:w="859" w:type="dxa"/>
            <w:hideMark/>
          </w:tcPr>
          <w:p w14:paraId="73C2C0FB"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96,137 </w:t>
            </w:r>
          </w:p>
        </w:tc>
        <w:tc>
          <w:tcPr>
            <w:tcW w:w="859" w:type="dxa"/>
            <w:hideMark/>
          </w:tcPr>
          <w:p w14:paraId="1172457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177,862 </w:t>
            </w:r>
          </w:p>
        </w:tc>
        <w:tc>
          <w:tcPr>
            <w:tcW w:w="858" w:type="dxa"/>
            <w:hideMark/>
          </w:tcPr>
          <w:p w14:paraId="67E079E4"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3,139 </w:t>
            </w:r>
          </w:p>
        </w:tc>
        <w:tc>
          <w:tcPr>
            <w:tcW w:w="859" w:type="dxa"/>
            <w:hideMark/>
          </w:tcPr>
          <w:p w14:paraId="29B1037C"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1,915,254 </w:t>
            </w:r>
          </w:p>
        </w:tc>
        <w:tc>
          <w:tcPr>
            <w:tcW w:w="859" w:type="dxa"/>
            <w:hideMark/>
          </w:tcPr>
          <w:p w14:paraId="06DF75DB"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638,879 </w:t>
            </w:r>
          </w:p>
        </w:tc>
        <w:tc>
          <w:tcPr>
            <w:tcW w:w="858" w:type="dxa"/>
            <w:hideMark/>
          </w:tcPr>
          <w:p w14:paraId="45B902D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7,319 </w:t>
            </w:r>
          </w:p>
        </w:tc>
        <w:tc>
          <w:tcPr>
            <w:tcW w:w="859" w:type="dxa"/>
            <w:hideMark/>
          </w:tcPr>
          <w:p w14:paraId="65ADBE80"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983,904 </w:t>
            </w:r>
          </w:p>
        </w:tc>
        <w:tc>
          <w:tcPr>
            <w:tcW w:w="859" w:type="dxa"/>
            <w:hideMark/>
          </w:tcPr>
          <w:p w14:paraId="557225A4"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3,633 </w:t>
            </w:r>
          </w:p>
        </w:tc>
        <w:tc>
          <w:tcPr>
            <w:tcW w:w="858" w:type="dxa"/>
            <w:hideMark/>
          </w:tcPr>
          <w:p w14:paraId="171AE90F"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106,401 </w:t>
            </w:r>
          </w:p>
        </w:tc>
        <w:tc>
          <w:tcPr>
            <w:tcW w:w="859" w:type="dxa"/>
            <w:hideMark/>
          </w:tcPr>
          <w:p w14:paraId="7E6BAE2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176,456 </w:t>
            </w:r>
          </w:p>
        </w:tc>
        <w:tc>
          <w:tcPr>
            <w:tcW w:w="859" w:type="dxa"/>
            <w:hideMark/>
          </w:tcPr>
          <w:p w14:paraId="0405EA5D"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3,920 </w:t>
            </w:r>
          </w:p>
        </w:tc>
        <w:tc>
          <w:tcPr>
            <w:tcW w:w="859" w:type="dxa"/>
            <w:hideMark/>
          </w:tcPr>
          <w:p w14:paraId="71FCA88E" w14:textId="77777777" w:rsidR="00404755" w:rsidRPr="00404755" w:rsidRDefault="00404755" w:rsidP="00404755">
            <w:pPr>
              <w:spacing w:after="0" w:line="240" w:lineRule="auto"/>
              <w:jc w:val="right"/>
              <w:rPr>
                <w:rFonts w:cs="Arial"/>
                <w:color w:val="000000"/>
                <w:sz w:val="14"/>
                <w:szCs w:val="14"/>
                <w:lang w:eastAsia="en-AU"/>
              </w:rPr>
            </w:pPr>
            <w:r w:rsidRPr="00404755">
              <w:rPr>
                <w:rFonts w:cs="Arial"/>
                <w:color w:val="000000"/>
                <w:sz w:val="14"/>
                <w:szCs w:val="14"/>
                <w:lang w:eastAsia="en-AU"/>
              </w:rPr>
              <w:t xml:space="preserve">1,920,511 </w:t>
            </w:r>
          </w:p>
        </w:tc>
      </w:tr>
      <w:tr w:rsidR="00CF4E52" w:rsidRPr="00404755" w14:paraId="0600A67A" w14:textId="77777777" w:rsidTr="00CF4E52">
        <w:trPr>
          <w:trHeight w:val="284"/>
        </w:trPr>
        <w:tc>
          <w:tcPr>
            <w:tcW w:w="1282" w:type="dxa"/>
            <w:shd w:val="clear" w:color="auto" w:fill="201547"/>
            <w:hideMark/>
          </w:tcPr>
          <w:p w14:paraId="6B4BF8D1" w14:textId="76D9535A" w:rsidR="00404755" w:rsidRPr="00404755" w:rsidRDefault="00404755" w:rsidP="00A53FE7">
            <w:pPr>
              <w:spacing w:after="0" w:line="240" w:lineRule="auto"/>
              <w:rPr>
                <w:rFonts w:cs="Arial"/>
                <w:b/>
                <w:bCs/>
                <w:color w:val="FFFFFF"/>
                <w:sz w:val="16"/>
                <w:szCs w:val="16"/>
                <w:lang w:eastAsia="en-AU"/>
              </w:rPr>
            </w:pPr>
            <w:r w:rsidRPr="00404755">
              <w:rPr>
                <w:rFonts w:cs="Arial"/>
                <w:b/>
                <w:bCs/>
                <w:color w:val="FFFFFF"/>
                <w:sz w:val="16"/>
                <w:szCs w:val="16"/>
                <w:lang w:eastAsia="en-AU"/>
              </w:rPr>
              <w:t>Total</w:t>
            </w:r>
          </w:p>
        </w:tc>
        <w:tc>
          <w:tcPr>
            <w:tcW w:w="858" w:type="dxa"/>
            <w:shd w:val="clear" w:color="auto" w:fill="201547"/>
            <w:hideMark/>
          </w:tcPr>
          <w:p w14:paraId="5C955692"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13,414,186 </w:t>
            </w:r>
          </w:p>
        </w:tc>
        <w:tc>
          <w:tcPr>
            <w:tcW w:w="859" w:type="dxa"/>
            <w:shd w:val="clear" w:color="auto" w:fill="201547"/>
            <w:hideMark/>
          </w:tcPr>
          <w:p w14:paraId="68270790"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343,642 </w:t>
            </w:r>
          </w:p>
        </w:tc>
        <w:tc>
          <w:tcPr>
            <w:tcW w:w="859" w:type="dxa"/>
            <w:shd w:val="clear" w:color="auto" w:fill="201547"/>
            <w:hideMark/>
          </w:tcPr>
          <w:p w14:paraId="3C5A0810"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920,732 </w:t>
            </w:r>
          </w:p>
        </w:tc>
        <w:tc>
          <w:tcPr>
            <w:tcW w:w="858" w:type="dxa"/>
            <w:shd w:val="clear" w:color="auto" w:fill="201547"/>
            <w:hideMark/>
          </w:tcPr>
          <w:p w14:paraId="64F4251A"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253,485 </w:t>
            </w:r>
          </w:p>
        </w:tc>
        <w:tc>
          <w:tcPr>
            <w:tcW w:w="859" w:type="dxa"/>
            <w:shd w:val="clear" w:color="auto" w:fill="201547"/>
            <w:hideMark/>
          </w:tcPr>
          <w:p w14:paraId="054047BE"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1,825,398 </w:t>
            </w:r>
          </w:p>
        </w:tc>
        <w:tc>
          <w:tcPr>
            <w:tcW w:w="859" w:type="dxa"/>
            <w:shd w:val="clear" w:color="auto" w:fill="201547"/>
            <w:hideMark/>
          </w:tcPr>
          <w:p w14:paraId="0E0CE9B7"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499,924 </w:t>
            </w:r>
          </w:p>
        </w:tc>
        <w:tc>
          <w:tcPr>
            <w:tcW w:w="858" w:type="dxa"/>
            <w:shd w:val="clear" w:color="auto" w:fill="201547"/>
            <w:hideMark/>
          </w:tcPr>
          <w:p w14:paraId="206ED2F8"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177,865 </w:t>
            </w:r>
          </w:p>
        </w:tc>
        <w:tc>
          <w:tcPr>
            <w:tcW w:w="859" w:type="dxa"/>
            <w:shd w:val="clear" w:color="auto" w:fill="201547"/>
            <w:hideMark/>
          </w:tcPr>
          <w:p w14:paraId="56A0447E"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17,435,233 </w:t>
            </w:r>
          </w:p>
        </w:tc>
        <w:tc>
          <w:tcPr>
            <w:tcW w:w="859" w:type="dxa"/>
            <w:shd w:val="clear" w:color="auto" w:fill="201547"/>
            <w:hideMark/>
          </w:tcPr>
          <w:p w14:paraId="5D706BCA"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14,376,743 </w:t>
            </w:r>
          </w:p>
        </w:tc>
        <w:tc>
          <w:tcPr>
            <w:tcW w:w="858" w:type="dxa"/>
            <w:shd w:val="clear" w:color="auto" w:fill="201547"/>
            <w:hideMark/>
          </w:tcPr>
          <w:p w14:paraId="3CE4124E"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383,090 </w:t>
            </w:r>
          </w:p>
        </w:tc>
        <w:tc>
          <w:tcPr>
            <w:tcW w:w="859" w:type="dxa"/>
            <w:shd w:val="clear" w:color="auto" w:fill="201547"/>
            <w:hideMark/>
          </w:tcPr>
          <w:p w14:paraId="149EFFB9"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983,904 </w:t>
            </w:r>
          </w:p>
        </w:tc>
        <w:tc>
          <w:tcPr>
            <w:tcW w:w="859" w:type="dxa"/>
            <w:shd w:val="clear" w:color="auto" w:fill="201547"/>
            <w:hideMark/>
          </w:tcPr>
          <w:p w14:paraId="32C51754"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260,250 </w:t>
            </w:r>
          </w:p>
        </w:tc>
        <w:tc>
          <w:tcPr>
            <w:tcW w:w="858" w:type="dxa"/>
            <w:shd w:val="clear" w:color="auto" w:fill="201547"/>
            <w:hideMark/>
          </w:tcPr>
          <w:p w14:paraId="4E1CB10E"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1,935,238 </w:t>
            </w:r>
          </w:p>
        </w:tc>
        <w:tc>
          <w:tcPr>
            <w:tcW w:w="859" w:type="dxa"/>
            <w:shd w:val="clear" w:color="auto" w:fill="201547"/>
            <w:hideMark/>
          </w:tcPr>
          <w:p w14:paraId="3DC14120"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507,818 </w:t>
            </w:r>
          </w:p>
        </w:tc>
        <w:tc>
          <w:tcPr>
            <w:tcW w:w="859" w:type="dxa"/>
            <w:shd w:val="clear" w:color="auto" w:fill="201547"/>
            <w:hideMark/>
          </w:tcPr>
          <w:p w14:paraId="39EC36B3"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182,037 </w:t>
            </w:r>
          </w:p>
        </w:tc>
        <w:tc>
          <w:tcPr>
            <w:tcW w:w="859" w:type="dxa"/>
            <w:shd w:val="clear" w:color="auto" w:fill="201547"/>
            <w:hideMark/>
          </w:tcPr>
          <w:p w14:paraId="35FB5535" w14:textId="77777777" w:rsidR="00404755" w:rsidRPr="00404755" w:rsidRDefault="00404755" w:rsidP="00404755">
            <w:pPr>
              <w:spacing w:after="0" w:line="240" w:lineRule="auto"/>
              <w:jc w:val="right"/>
              <w:rPr>
                <w:rFonts w:cs="Arial"/>
                <w:b/>
                <w:bCs/>
                <w:color w:val="FFFFFF"/>
                <w:sz w:val="14"/>
                <w:szCs w:val="14"/>
                <w:lang w:eastAsia="en-AU"/>
              </w:rPr>
            </w:pPr>
            <w:r w:rsidRPr="00404755">
              <w:rPr>
                <w:rFonts w:cs="Arial"/>
                <w:b/>
                <w:bCs/>
                <w:color w:val="FFFFFF"/>
                <w:sz w:val="14"/>
                <w:szCs w:val="14"/>
                <w:lang w:eastAsia="en-AU"/>
              </w:rPr>
              <w:t xml:space="preserve">18,629,079 </w:t>
            </w:r>
          </w:p>
        </w:tc>
      </w:tr>
    </w:tbl>
    <w:p w14:paraId="52D0C0F3" w14:textId="4CB3DBCC" w:rsidR="006E208C" w:rsidRPr="006E208C" w:rsidRDefault="006E208C" w:rsidP="006E208C">
      <w:pPr>
        <w:sectPr w:rsidR="006E208C" w:rsidRPr="006E208C" w:rsidSect="00AE5B04">
          <w:headerReference w:type="even" r:id="rId93"/>
          <w:headerReference w:type="default" r:id="rId94"/>
          <w:footerReference w:type="even" r:id="rId95"/>
          <w:pgSz w:w="16838" w:h="11906" w:orient="landscape" w:code="9"/>
          <w:pgMar w:top="1304" w:right="1418" w:bottom="1304" w:left="1134" w:header="680" w:footer="567" w:gutter="0"/>
          <w:cols w:space="340"/>
          <w:docGrid w:linePitch="360"/>
        </w:sectPr>
      </w:pPr>
      <w:bookmarkStart w:id="1234" w:name="_Toc12780665"/>
      <w:bookmarkStart w:id="1235" w:name="_Toc14172306"/>
      <w:bookmarkStart w:id="1236" w:name="_Toc33703980"/>
      <w:bookmarkStart w:id="1237" w:name="_Toc55381168"/>
    </w:p>
    <w:p w14:paraId="7C5B54D1" w14:textId="04BCA10D" w:rsidR="000B27B9" w:rsidRPr="004903A7" w:rsidRDefault="000B27B9" w:rsidP="000B27B9">
      <w:pPr>
        <w:pStyle w:val="Heading2"/>
        <w:spacing w:after="440" w:line="440" w:lineRule="atLeast"/>
      </w:pPr>
      <w:bookmarkStart w:id="1238" w:name="_Toc100263374"/>
      <w:bookmarkStart w:id="1239" w:name="_Toc127192022"/>
      <w:r w:rsidRPr="004903A7">
        <w:lastRenderedPageBreak/>
        <w:t xml:space="preserve">Activity </w:t>
      </w:r>
      <w:r w:rsidR="00331D5D">
        <w:t>T</w:t>
      </w:r>
      <w:r w:rsidRPr="004903A7">
        <w:t xml:space="preserve">arget </w:t>
      </w:r>
      <w:r w:rsidR="00331D5D">
        <w:t>T</w:t>
      </w:r>
      <w:r w:rsidRPr="004903A7">
        <w:t>ables</w:t>
      </w:r>
      <w:bookmarkEnd w:id="1234"/>
      <w:bookmarkEnd w:id="1235"/>
      <w:bookmarkEnd w:id="1236"/>
      <w:bookmarkEnd w:id="1237"/>
      <w:bookmarkEnd w:id="1238"/>
      <w:bookmarkEnd w:id="1239"/>
    </w:p>
    <w:p w14:paraId="56D1CF89" w14:textId="04C2D578" w:rsidR="000B27B9" w:rsidRPr="00043CAC" w:rsidRDefault="000B27B9" w:rsidP="009375E0">
      <w:pPr>
        <w:pStyle w:val="Heading3"/>
        <w:spacing w:before="240"/>
      </w:pPr>
      <w:bookmarkStart w:id="1240" w:name="_Toc12780666"/>
      <w:bookmarkStart w:id="1241" w:name="_Toc14172307"/>
      <w:bookmarkStart w:id="1242" w:name="_Toc33703981"/>
      <w:bookmarkStart w:id="1243" w:name="_Toc55381169"/>
      <w:bookmarkStart w:id="1244" w:name="_Toc100263375"/>
      <w:bookmarkStart w:id="1245" w:name="_Toc127192023"/>
      <w:r w:rsidRPr="00FD0484">
        <w:t xml:space="preserve">Victorian </w:t>
      </w:r>
      <w:r w:rsidR="00331D5D" w:rsidRPr="00FD0484">
        <w:t>A</w:t>
      </w:r>
      <w:r w:rsidRPr="00FD0484">
        <w:t xml:space="preserve">cute </w:t>
      </w:r>
      <w:r w:rsidR="00331D5D" w:rsidRPr="00FD0484">
        <w:t>A</w:t>
      </w:r>
      <w:r w:rsidRPr="00FD0484">
        <w:t>dmitted</w:t>
      </w:r>
      <w:r>
        <w:t xml:space="preserve"> </w:t>
      </w:r>
      <w:r w:rsidR="00331D5D">
        <w:t>A</w:t>
      </w:r>
      <w:r>
        <w:t xml:space="preserve">ctivity </w:t>
      </w:r>
      <w:r w:rsidR="00331D5D">
        <w:t>T</w:t>
      </w:r>
      <w:r>
        <w:t xml:space="preserve">argets </w:t>
      </w:r>
      <w:r w:rsidRPr="00424E68">
        <w:t>(</w:t>
      </w:r>
      <w:r w:rsidR="00295439">
        <w:t>NWAU</w:t>
      </w:r>
      <w:r w:rsidRPr="00424E68">
        <w:t>)</w:t>
      </w:r>
      <w:r>
        <w:t xml:space="preserve"> </w:t>
      </w:r>
      <w:bookmarkEnd w:id="1240"/>
      <w:bookmarkEnd w:id="1241"/>
      <w:bookmarkEnd w:id="1242"/>
      <w:bookmarkEnd w:id="1243"/>
      <w:r w:rsidR="005D1FCB" w:rsidRPr="00043CAC">
        <w:t>2022</w:t>
      </w:r>
      <w:r w:rsidR="008E4EAD" w:rsidRPr="00043CAC">
        <w:t>–</w:t>
      </w:r>
      <w:r w:rsidR="005D1FCB" w:rsidRPr="00043CAC">
        <w:t>23</w:t>
      </w:r>
      <w:bookmarkEnd w:id="1244"/>
      <w:bookmarkEnd w:id="1245"/>
    </w:p>
    <w:p w14:paraId="4A138D1E" w14:textId="77777777" w:rsidR="000B27B9" w:rsidRPr="00043CAC" w:rsidRDefault="000B27B9" w:rsidP="0064265C">
      <w:pPr>
        <w:pStyle w:val="Tablefigurenote9pt"/>
      </w:pPr>
      <w:r w:rsidRPr="00043CAC">
        <w:t>Notes:</w:t>
      </w:r>
    </w:p>
    <w:p w14:paraId="6B198346" w14:textId="6109D5D8" w:rsidR="000B27B9" w:rsidRPr="00043CAC" w:rsidRDefault="000B27B9" w:rsidP="003C01AD">
      <w:pPr>
        <w:pStyle w:val="Tablenoteroman"/>
        <w:numPr>
          <w:ilvl w:val="0"/>
          <w:numId w:val="9"/>
        </w:numPr>
      </w:pPr>
      <w:r w:rsidRPr="00043CAC">
        <w:rPr>
          <w:lang w:eastAsia="en-AU"/>
        </w:rPr>
        <w:t xml:space="preserve">NBCSP </w:t>
      </w:r>
      <w:r w:rsidR="00C93CBD" w:rsidRPr="00043CAC">
        <w:rPr>
          <w:lang w:eastAsia="en-AU"/>
        </w:rPr>
        <w:t xml:space="preserve">NWAU </w:t>
      </w:r>
      <w:r w:rsidRPr="00043CAC">
        <w:rPr>
          <w:lang w:eastAsia="en-AU"/>
        </w:rPr>
        <w:t xml:space="preserve">refers to the National Bowel Cancer Screen Program colonoscopy </w:t>
      </w:r>
      <w:r w:rsidR="00C93CBD" w:rsidRPr="00043CAC">
        <w:rPr>
          <w:lang w:eastAsia="en-AU"/>
        </w:rPr>
        <w:t>NWAU</w:t>
      </w:r>
      <w:r w:rsidRPr="00043CAC">
        <w:rPr>
          <w:lang w:eastAsia="en-AU"/>
        </w:rPr>
        <w:t>.</w:t>
      </w:r>
    </w:p>
    <w:p w14:paraId="4CCE0A4B" w14:textId="2E755598" w:rsidR="000B27B9" w:rsidRDefault="000B27B9" w:rsidP="003C01AD">
      <w:pPr>
        <w:pStyle w:val="Tablenoteroman"/>
        <w:numPr>
          <w:ilvl w:val="0"/>
          <w:numId w:val="9"/>
        </w:numPr>
      </w:pPr>
      <w:r>
        <w:rPr>
          <w:rFonts w:ascii="ArialMT" w:hAnsi="ArialMT" w:cs="ArialMT"/>
          <w:szCs w:val="18"/>
          <w:lang w:eastAsia="en-AU"/>
        </w:rPr>
        <w:t xml:space="preserve">Note that </w:t>
      </w:r>
      <w:r w:rsidR="00F81ACF">
        <w:rPr>
          <w:rFonts w:ascii="ArialMT" w:hAnsi="ArialMT" w:cs="ArialMT"/>
          <w:szCs w:val="18"/>
          <w:lang w:eastAsia="en-AU"/>
        </w:rPr>
        <w:t>Acute</w:t>
      </w:r>
      <w:r w:rsidR="00974A5C">
        <w:rPr>
          <w:rFonts w:ascii="ArialMT" w:hAnsi="ArialMT" w:cs="ArialMT"/>
          <w:szCs w:val="18"/>
          <w:lang w:eastAsia="en-AU"/>
        </w:rPr>
        <w:t xml:space="preserve"> admitted, subacute admitted, Non admitted, And Emergency NWAU are now consolidated into one t</w:t>
      </w:r>
      <w:r w:rsidR="00167734">
        <w:rPr>
          <w:rFonts w:ascii="ArialMT" w:hAnsi="ArialMT" w:cs="ArialMT"/>
          <w:szCs w:val="18"/>
          <w:lang w:eastAsia="en-AU"/>
        </w:rPr>
        <w:t>ar</w:t>
      </w:r>
      <w:r w:rsidR="00974A5C">
        <w:rPr>
          <w:rFonts w:ascii="ArialMT" w:hAnsi="ArialMT" w:cs="ArialMT"/>
          <w:szCs w:val="18"/>
          <w:lang w:eastAsia="en-AU"/>
        </w:rPr>
        <w:t>get, following the i</w:t>
      </w:r>
      <w:r w:rsidR="00167734">
        <w:rPr>
          <w:rFonts w:ascii="ArialMT" w:hAnsi="ArialMT" w:cs="ArialMT"/>
          <w:szCs w:val="18"/>
          <w:lang w:eastAsia="en-AU"/>
        </w:rPr>
        <w:t>ntroduction of the National Funding Model.</w:t>
      </w:r>
    </w:p>
    <w:p w14:paraId="4811FD5E" w14:textId="72C1F9B8" w:rsidR="00BD575E" w:rsidRPr="00620874" w:rsidRDefault="00BD575E" w:rsidP="003C01AD">
      <w:pPr>
        <w:pStyle w:val="Tablenoteroman"/>
        <w:numPr>
          <w:ilvl w:val="0"/>
          <w:numId w:val="9"/>
        </w:numPr>
        <w:rPr>
          <w:lang w:eastAsia="en-AU"/>
        </w:rPr>
      </w:pPr>
      <w:r w:rsidRPr="00620874">
        <w:rPr>
          <w:lang w:eastAsia="en-AU"/>
        </w:rPr>
        <w:t xml:space="preserve">Targets include adjustments made in the statement of priorities, including </w:t>
      </w:r>
      <w:r w:rsidR="00501110" w:rsidRPr="00620874">
        <w:rPr>
          <w:lang w:eastAsia="en-AU"/>
        </w:rPr>
        <w:t xml:space="preserve">changes </w:t>
      </w:r>
      <w:r w:rsidRPr="00620874">
        <w:rPr>
          <w:lang w:eastAsia="en-AU"/>
        </w:rPr>
        <w:t>relating</w:t>
      </w:r>
      <w:r w:rsidR="00601236">
        <w:rPr>
          <w:lang w:eastAsia="en-AU"/>
        </w:rPr>
        <w:t xml:space="preserve"> to</w:t>
      </w:r>
      <w:r w:rsidRPr="00620874">
        <w:rPr>
          <w:lang w:eastAsia="en-AU"/>
        </w:rPr>
        <w:t xml:space="preserve"> National Funding Model implementation.  </w:t>
      </w:r>
    </w:p>
    <w:p w14:paraId="176DAE73" w14:textId="1886EEA4" w:rsidR="000B27B9" w:rsidRDefault="000B27B9" w:rsidP="000E08EF">
      <w:pPr>
        <w:pStyle w:val="Tablecaption"/>
      </w:pPr>
      <w:bookmarkStart w:id="1246" w:name="_Toc12780569"/>
      <w:bookmarkStart w:id="1247" w:name="_Toc14194825"/>
      <w:bookmarkStart w:id="1248" w:name="_Toc33704006"/>
      <w:bookmarkStart w:id="1249" w:name="_Toc109894136"/>
      <w:bookmarkStart w:id="1250" w:name="_Toc119500917"/>
      <w:r w:rsidRPr="00620874">
        <w:t xml:space="preserve">Table </w:t>
      </w:r>
      <w:r>
        <w:fldChar w:fldCharType="begin"/>
      </w:r>
      <w:r>
        <w:instrText>STYLEREF 1 \s</w:instrText>
      </w:r>
      <w:r>
        <w:fldChar w:fldCharType="separate"/>
      </w:r>
      <w:r w:rsidR="006D0756" w:rsidRPr="00620874">
        <w:rPr>
          <w:noProof/>
        </w:rPr>
        <w:t>2</w:t>
      </w:r>
      <w:r>
        <w:fldChar w:fldCharType="end"/>
      </w:r>
      <w:r w:rsidR="00EC6300" w:rsidRPr="00620874">
        <w:t>.</w:t>
      </w:r>
      <w:r>
        <w:fldChar w:fldCharType="begin"/>
      </w:r>
      <w:r>
        <w:instrText>SEQ Table \* ARABIC \s 1</w:instrText>
      </w:r>
      <w:r>
        <w:fldChar w:fldCharType="separate"/>
      </w:r>
      <w:r w:rsidR="006D0756" w:rsidRPr="00620874">
        <w:rPr>
          <w:noProof/>
        </w:rPr>
        <w:t>10</w:t>
      </w:r>
      <w:r>
        <w:fldChar w:fldCharType="end"/>
      </w:r>
      <w:r w:rsidRPr="00620874">
        <w:t xml:space="preserve">: </w:t>
      </w:r>
      <w:r w:rsidRPr="00FD0484">
        <w:t>Victorian acute admitted</w:t>
      </w:r>
      <w:r w:rsidRPr="00620874">
        <w:t xml:space="preserve"> activity targets (</w:t>
      </w:r>
      <w:r w:rsidR="00FD0A98" w:rsidRPr="00620874">
        <w:t>NWAU</w:t>
      </w:r>
      <w:r w:rsidR="00BF49F4" w:rsidRPr="00620874">
        <w:t>)</w:t>
      </w:r>
      <w:r w:rsidRPr="00620874">
        <w:t xml:space="preserve"> </w:t>
      </w:r>
      <w:bookmarkEnd w:id="1246"/>
      <w:bookmarkEnd w:id="1247"/>
      <w:bookmarkEnd w:id="1248"/>
      <w:r w:rsidR="005D1FCB" w:rsidRPr="00620874">
        <w:t>2022</w:t>
      </w:r>
      <w:r w:rsidR="008E4EAD" w:rsidRPr="00620874">
        <w:t>–</w:t>
      </w:r>
      <w:r w:rsidR="005D1FCB" w:rsidRPr="00620874">
        <w:t>23</w:t>
      </w:r>
      <w:bookmarkEnd w:id="1249"/>
      <w:bookmarkEnd w:id="1250"/>
    </w:p>
    <w:p w14:paraId="74C13B1F" w14:textId="070A8EB4" w:rsidR="001A247B" w:rsidRDefault="001A247B" w:rsidP="001A247B">
      <w:pPr>
        <w:pStyle w:val="Body"/>
      </w:pPr>
    </w:p>
    <w:tbl>
      <w:tblPr>
        <w:tblStyle w:val="TableGrid1"/>
        <w:tblW w:w="9351" w:type="dxa"/>
        <w:tblLook w:val="04A0" w:firstRow="1" w:lastRow="0" w:firstColumn="1" w:lastColumn="0" w:noHBand="0" w:noVBand="1"/>
      </w:tblPr>
      <w:tblGrid>
        <w:gridCol w:w="3114"/>
        <w:gridCol w:w="1134"/>
        <w:gridCol w:w="1417"/>
        <w:gridCol w:w="1134"/>
        <w:gridCol w:w="1276"/>
        <w:gridCol w:w="1276"/>
      </w:tblGrid>
      <w:tr w:rsidR="00941063" w:rsidRPr="00941063" w14:paraId="47BEA16B" w14:textId="77777777" w:rsidTr="00B67DAB">
        <w:trPr>
          <w:cnfStyle w:val="100000000000" w:firstRow="1" w:lastRow="0" w:firstColumn="0" w:lastColumn="0" w:oddVBand="0" w:evenVBand="0" w:oddHBand="0" w:evenHBand="0" w:firstRowFirstColumn="0" w:firstRowLastColumn="0" w:lastRowFirstColumn="0" w:lastRowLastColumn="0"/>
          <w:trHeight w:val="693"/>
          <w:tblHeader/>
        </w:trPr>
        <w:tc>
          <w:tcPr>
            <w:tcW w:w="0" w:type="dxa"/>
            <w:noWrap/>
            <w:hideMark/>
          </w:tcPr>
          <w:p w14:paraId="43E02C3F" w14:textId="77777777" w:rsidR="00941063" w:rsidRPr="00941063" w:rsidRDefault="00941063" w:rsidP="00941063">
            <w:pPr>
              <w:spacing w:after="0" w:line="240" w:lineRule="auto"/>
              <w:rPr>
                <w:rFonts w:cs="Arial"/>
                <w:b/>
                <w:bCs/>
                <w:color w:val="FFFFFF"/>
                <w:sz w:val="16"/>
                <w:szCs w:val="16"/>
                <w:lang w:eastAsia="en-AU"/>
              </w:rPr>
            </w:pPr>
            <w:r w:rsidRPr="0FE61CA0">
              <w:rPr>
                <w:rFonts w:cs="Arial"/>
                <w:b/>
                <w:color w:val="FFFFFF" w:themeColor="background1"/>
                <w:sz w:val="16"/>
                <w:szCs w:val="16"/>
                <w:lang w:eastAsia="en-AU"/>
              </w:rPr>
              <w:t>Health Service</w:t>
            </w:r>
          </w:p>
        </w:tc>
        <w:tc>
          <w:tcPr>
            <w:tcW w:w="0" w:type="dxa"/>
            <w:hideMark/>
          </w:tcPr>
          <w:p w14:paraId="0A0E45C1" w14:textId="77777777" w:rsidR="00941063" w:rsidRPr="00941063" w:rsidRDefault="00941063" w:rsidP="00941063">
            <w:pPr>
              <w:spacing w:after="0" w:line="240" w:lineRule="auto"/>
              <w:jc w:val="right"/>
              <w:rPr>
                <w:rFonts w:cs="Arial"/>
                <w:b/>
                <w:bCs/>
                <w:color w:val="FFFFFF"/>
                <w:sz w:val="16"/>
                <w:szCs w:val="16"/>
                <w:lang w:eastAsia="en-AU"/>
              </w:rPr>
            </w:pPr>
            <w:r w:rsidRPr="00941063">
              <w:rPr>
                <w:rFonts w:cs="Arial"/>
                <w:b/>
                <w:bCs/>
                <w:color w:val="FFFFFF"/>
                <w:sz w:val="16"/>
                <w:szCs w:val="16"/>
                <w:lang w:eastAsia="en-AU"/>
              </w:rPr>
              <w:t>Acute Admitted NWAU</w:t>
            </w:r>
          </w:p>
        </w:tc>
        <w:tc>
          <w:tcPr>
            <w:tcW w:w="0" w:type="dxa"/>
            <w:hideMark/>
          </w:tcPr>
          <w:p w14:paraId="6096C0EC" w14:textId="7A7B981A" w:rsidR="00941063" w:rsidRPr="00941063" w:rsidRDefault="00941063" w:rsidP="00941063">
            <w:pPr>
              <w:spacing w:after="0" w:line="240" w:lineRule="auto"/>
              <w:jc w:val="right"/>
              <w:rPr>
                <w:rFonts w:cs="Arial"/>
                <w:b/>
                <w:bCs/>
                <w:color w:val="FFFFFF"/>
                <w:sz w:val="16"/>
                <w:szCs w:val="16"/>
                <w:lang w:eastAsia="en-AU"/>
              </w:rPr>
            </w:pPr>
            <w:r w:rsidRPr="00941063">
              <w:rPr>
                <w:rFonts w:cs="Arial"/>
                <w:b/>
                <w:bCs/>
                <w:color w:val="FFFFFF"/>
                <w:sz w:val="16"/>
                <w:szCs w:val="16"/>
                <w:lang w:eastAsia="en-AU"/>
              </w:rPr>
              <w:t>NWAU National Bowel Screening Program NWAU</w:t>
            </w:r>
          </w:p>
        </w:tc>
        <w:tc>
          <w:tcPr>
            <w:tcW w:w="0" w:type="dxa"/>
            <w:hideMark/>
          </w:tcPr>
          <w:p w14:paraId="12740656" w14:textId="77777777" w:rsidR="00941063" w:rsidRPr="00941063" w:rsidRDefault="00941063" w:rsidP="00941063">
            <w:pPr>
              <w:spacing w:after="0" w:line="240" w:lineRule="auto"/>
              <w:jc w:val="right"/>
              <w:rPr>
                <w:rFonts w:cs="Arial"/>
                <w:b/>
                <w:bCs/>
                <w:color w:val="FFFFFF"/>
                <w:sz w:val="16"/>
                <w:szCs w:val="16"/>
                <w:lang w:eastAsia="en-AU"/>
              </w:rPr>
            </w:pPr>
            <w:r w:rsidRPr="00941063">
              <w:rPr>
                <w:rFonts w:cs="Arial"/>
                <w:b/>
                <w:bCs/>
                <w:color w:val="FFFFFF"/>
                <w:sz w:val="16"/>
                <w:szCs w:val="16"/>
                <w:lang w:eastAsia="en-AU"/>
              </w:rPr>
              <w:t>Admitted DVA NWAU</w:t>
            </w:r>
          </w:p>
        </w:tc>
        <w:tc>
          <w:tcPr>
            <w:tcW w:w="0" w:type="dxa"/>
            <w:hideMark/>
          </w:tcPr>
          <w:p w14:paraId="0823DA9A" w14:textId="77777777" w:rsidR="00941063" w:rsidRPr="00941063" w:rsidRDefault="00941063" w:rsidP="00941063">
            <w:pPr>
              <w:spacing w:after="0" w:line="240" w:lineRule="auto"/>
              <w:jc w:val="right"/>
              <w:rPr>
                <w:rFonts w:cs="Arial"/>
                <w:b/>
                <w:bCs/>
                <w:color w:val="FFFFFF"/>
                <w:sz w:val="16"/>
                <w:szCs w:val="16"/>
                <w:lang w:eastAsia="en-AU"/>
              </w:rPr>
            </w:pPr>
            <w:r w:rsidRPr="00941063">
              <w:rPr>
                <w:rFonts w:cs="Arial"/>
                <w:b/>
                <w:bCs/>
                <w:color w:val="FFFFFF"/>
                <w:sz w:val="16"/>
                <w:szCs w:val="16"/>
                <w:lang w:eastAsia="en-AU"/>
              </w:rPr>
              <w:t>Admitted TAC NWAU</w:t>
            </w:r>
          </w:p>
        </w:tc>
        <w:tc>
          <w:tcPr>
            <w:tcW w:w="0" w:type="dxa"/>
            <w:hideMark/>
          </w:tcPr>
          <w:p w14:paraId="6285F2C0" w14:textId="77777777" w:rsidR="00941063" w:rsidRPr="00941063" w:rsidRDefault="00941063" w:rsidP="00941063">
            <w:pPr>
              <w:spacing w:after="0" w:line="240" w:lineRule="auto"/>
              <w:jc w:val="right"/>
              <w:rPr>
                <w:rFonts w:cs="Arial"/>
                <w:b/>
                <w:bCs/>
                <w:color w:val="FFFFFF"/>
                <w:sz w:val="16"/>
                <w:szCs w:val="16"/>
                <w:lang w:eastAsia="en-AU"/>
              </w:rPr>
            </w:pPr>
            <w:r w:rsidRPr="00941063">
              <w:rPr>
                <w:rFonts w:cs="Arial"/>
                <w:b/>
                <w:bCs/>
                <w:color w:val="FFFFFF"/>
                <w:sz w:val="16"/>
                <w:szCs w:val="16"/>
                <w:lang w:eastAsia="en-AU"/>
              </w:rPr>
              <w:t>Total NWAU</w:t>
            </w:r>
          </w:p>
        </w:tc>
      </w:tr>
      <w:tr w:rsidR="00941063" w:rsidRPr="00941063" w14:paraId="4AED04FC" w14:textId="77777777" w:rsidTr="00B67DAB">
        <w:trPr>
          <w:trHeight w:val="288"/>
        </w:trPr>
        <w:tc>
          <w:tcPr>
            <w:tcW w:w="0" w:type="dxa"/>
            <w:noWrap/>
            <w:hideMark/>
          </w:tcPr>
          <w:p w14:paraId="77434E66"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Albury Wodonga Health</w:t>
            </w:r>
          </w:p>
        </w:tc>
        <w:tc>
          <w:tcPr>
            <w:tcW w:w="1134" w:type="dxa"/>
            <w:noWrap/>
            <w:hideMark/>
          </w:tcPr>
          <w:p w14:paraId="6C2398A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19,609.72</w:t>
            </w:r>
          </w:p>
        </w:tc>
        <w:tc>
          <w:tcPr>
            <w:tcW w:w="1417" w:type="dxa"/>
            <w:noWrap/>
            <w:hideMark/>
          </w:tcPr>
          <w:p w14:paraId="2CA4841B"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6.90</w:t>
            </w:r>
          </w:p>
        </w:tc>
        <w:tc>
          <w:tcPr>
            <w:tcW w:w="0" w:type="dxa"/>
            <w:noWrap/>
            <w:hideMark/>
          </w:tcPr>
          <w:p w14:paraId="3E6CCB4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92.00</w:t>
            </w:r>
          </w:p>
        </w:tc>
        <w:tc>
          <w:tcPr>
            <w:tcW w:w="0" w:type="dxa"/>
            <w:noWrap/>
            <w:hideMark/>
          </w:tcPr>
          <w:p w14:paraId="6EBE9FC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62.00</w:t>
            </w:r>
          </w:p>
        </w:tc>
        <w:tc>
          <w:tcPr>
            <w:tcW w:w="1276" w:type="dxa"/>
            <w:noWrap/>
            <w:hideMark/>
          </w:tcPr>
          <w:p w14:paraId="2205933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19,771</w:t>
            </w:r>
          </w:p>
        </w:tc>
      </w:tr>
      <w:tr w:rsidR="00941063" w:rsidRPr="00941063" w14:paraId="07823BEB" w14:textId="77777777" w:rsidTr="00B67DAB">
        <w:trPr>
          <w:trHeight w:val="288"/>
        </w:trPr>
        <w:tc>
          <w:tcPr>
            <w:tcW w:w="0" w:type="dxa"/>
            <w:noWrap/>
            <w:hideMark/>
          </w:tcPr>
          <w:p w14:paraId="01E52240"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Alfred Health</w:t>
            </w:r>
          </w:p>
        </w:tc>
        <w:tc>
          <w:tcPr>
            <w:tcW w:w="1134" w:type="dxa"/>
            <w:noWrap/>
            <w:hideMark/>
          </w:tcPr>
          <w:p w14:paraId="4E5F978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120,588.39</w:t>
            </w:r>
          </w:p>
        </w:tc>
        <w:tc>
          <w:tcPr>
            <w:tcW w:w="1417" w:type="dxa"/>
            <w:noWrap/>
            <w:hideMark/>
          </w:tcPr>
          <w:p w14:paraId="44455C0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5.75</w:t>
            </w:r>
          </w:p>
        </w:tc>
        <w:tc>
          <w:tcPr>
            <w:tcW w:w="0" w:type="dxa"/>
            <w:noWrap/>
            <w:hideMark/>
          </w:tcPr>
          <w:p w14:paraId="33E77F2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360.00</w:t>
            </w:r>
          </w:p>
        </w:tc>
        <w:tc>
          <w:tcPr>
            <w:tcW w:w="0" w:type="dxa"/>
            <w:noWrap/>
            <w:hideMark/>
          </w:tcPr>
          <w:p w14:paraId="530617D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5,664.00</w:t>
            </w:r>
          </w:p>
        </w:tc>
        <w:tc>
          <w:tcPr>
            <w:tcW w:w="1276" w:type="dxa"/>
            <w:noWrap/>
            <w:hideMark/>
          </w:tcPr>
          <w:p w14:paraId="2BCD8C0B"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126,618</w:t>
            </w:r>
          </w:p>
        </w:tc>
      </w:tr>
      <w:tr w:rsidR="00941063" w:rsidRPr="00941063" w14:paraId="7AE2FEB7" w14:textId="77777777" w:rsidTr="00B67DAB">
        <w:trPr>
          <w:trHeight w:val="288"/>
        </w:trPr>
        <w:tc>
          <w:tcPr>
            <w:tcW w:w="0" w:type="dxa"/>
            <w:noWrap/>
            <w:hideMark/>
          </w:tcPr>
          <w:p w14:paraId="2A416982"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Austin Health</w:t>
            </w:r>
          </w:p>
        </w:tc>
        <w:tc>
          <w:tcPr>
            <w:tcW w:w="1134" w:type="dxa"/>
            <w:noWrap/>
            <w:hideMark/>
          </w:tcPr>
          <w:p w14:paraId="2A79707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102,999.56</w:t>
            </w:r>
          </w:p>
        </w:tc>
        <w:tc>
          <w:tcPr>
            <w:tcW w:w="1417" w:type="dxa"/>
            <w:noWrap/>
            <w:hideMark/>
          </w:tcPr>
          <w:p w14:paraId="0FDCC06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131.70</w:t>
            </w:r>
          </w:p>
        </w:tc>
        <w:tc>
          <w:tcPr>
            <w:tcW w:w="0" w:type="dxa"/>
            <w:noWrap/>
            <w:hideMark/>
          </w:tcPr>
          <w:p w14:paraId="22CDFF3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692.00</w:t>
            </w:r>
          </w:p>
        </w:tc>
        <w:tc>
          <w:tcPr>
            <w:tcW w:w="0" w:type="dxa"/>
            <w:noWrap/>
            <w:hideMark/>
          </w:tcPr>
          <w:p w14:paraId="53C4CBF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1,452.00</w:t>
            </w:r>
          </w:p>
        </w:tc>
        <w:tc>
          <w:tcPr>
            <w:tcW w:w="1276" w:type="dxa"/>
            <w:noWrap/>
            <w:hideMark/>
          </w:tcPr>
          <w:p w14:paraId="3FD21E5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105,275</w:t>
            </w:r>
          </w:p>
        </w:tc>
      </w:tr>
      <w:tr w:rsidR="00941063" w:rsidRPr="00941063" w14:paraId="2D45405C" w14:textId="77777777" w:rsidTr="00B67DAB">
        <w:trPr>
          <w:trHeight w:val="288"/>
        </w:trPr>
        <w:tc>
          <w:tcPr>
            <w:tcW w:w="0" w:type="dxa"/>
            <w:noWrap/>
            <w:hideMark/>
          </w:tcPr>
          <w:p w14:paraId="7152B022"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Bairnsdale Regional Health Service</w:t>
            </w:r>
          </w:p>
        </w:tc>
        <w:tc>
          <w:tcPr>
            <w:tcW w:w="1134" w:type="dxa"/>
            <w:noWrap/>
            <w:hideMark/>
          </w:tcPr>
          <w:p w14:paraId="0C3BF9B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10,135.68</w:t>
            </w:r>
          </w:p>
        </w:tc>
        <w:tc>
          <w:tcPr>
            <w:tcW w:w="1417" w:type="dxa"/>
            <w:noWrap/>
            <w:hideMark/>
          </w:tcPr>
          <w:p w14:paraId="73E7DAF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75.34</w:t>
            </w:r>
          </w:p>
        </w:tc>
        <w:tc>
          <w:tcPr>
            <w:tcW w:w="0" w:type="dxa"/>
            <w:noWrap/>
            <w:hideMark/>
          </w:tcPr>
          <w:p w14:paraId="20C713E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104.00</w:t>
            </w:r>
          </w:p>
        </w:tc>
        <w:tc>
          <w:tcPr>
            <w:tcW w:w="0" w:type="dxa"/>
            <w:noWrap/>
            <w:hideMark/>
          </w:tcPr>
          <w:p w14:paraId="1052B81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27.00</w:t>
            </w:r>
          </w:p>
        </w:tc>
        <w:tc>
          <w:tcPr>
            <w:tcW w:w="1276" w:type="dxa"/>
            <w:noWrap/>
            <w:hideMark/>
          </w:tcPr>
          <w:p w14:paraId="506E29C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10,342</w:t>
            </w:r>
          </w:p>
        </w:tc>
      </w:tr>
      <w:tr w:rsidR="00941063" w:rsidRPr="00941063" w14:paraId="776C6816" w14:textId="77777777" w:rsidTr="00B67DAB">
        <w:trPr>
          <w:trHeight w:val="288"/>
        </w:trPr>
        <w:tc>
          <w:tcPr>
            <w:tcW w:w="0" w:type="dxa"/>
            <w:noWrap/>
            <w:hideMark/>
          </w:tcPr>
          <w:p w14:paraId="54C2E270"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Barwon Health</w:t>
            </w:r>
          </w:p>
        </w:tc>
        <w:tc>
          <w:tcPr>
            <w:tcW w:w="1134" w:type="dxa"/>
            <w:noWrap/>
            <w:hideMark/>
          </w:tcPr>
          <w:p w14:paraId="5375B46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74,835.05</w:t>
            </w:r>
          </w:p>
        </w:tc>
        <w:tc>
          <w:tcPr>
            <w:tcW w:w="1417" w:type="dxa"/>
            <w:noWrap/>
            <w:hideMark/>
          </w:tcPr>
          <w:p w14:paraId="6597E6A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55.96</w:t>
            </w:r>
          </w:p>
        </w:tc>
        <w:tc>
          <w:tcPr>
            <w:tcW w:w="0" w:type="dxa"/>
            <w:noWrap/>
            <w:hideMark/>
          </w:tcPr>
          <w:p w14:paraId="0F7991A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249.00</w:t>
            </w:r>
          </w:p>
        </w:tc>
        <w:tc>
          <w:tcPr>
            <w:tcW w:w="0" w:type="dxa"/>
            <w:noWrap/>
            <w:hideMark/>
          </w:tcPr>
          <w:p w14:paraId="45D68C5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564.00</w:t>
            </w:r>
          </w:p>
        </w:tc>
        <w:tc>
          <w:tcPr>
            <w:tcW w:w="1276" w:type="dxa"/>
            <w:noWrap/>
            <w:hideMark/>
          </w:tcPr>
          <w:p w14:paraId="52D2AE0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75,704</w:t>
            </w:r>
          </w:p>
        </w:tc>
      </w:tr>
      <w:tr w:rsidR="00941063" w:rsidRPr="00941063" w14:paraId="66F55CEE" w14:textId="77777777" w:rsidTr="00B67DAB">
        <w:trPr>
          <w:trHeight w:val="288"/>
        </w:trPr>
        <w:tc>
          <w:tcPr>
            <w:tcW w:w="0" w:type="dxa"/>
            <w:noWrap/>
            <w:hideMark/>
          </w:tcPr>
          <w:p w14:paraId="14E210C0"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Bass Coast Health</w:t>
            </w:r>
          </w:p>
        </w:tc>
        <w:tc>
          <w:tcPr>
            <w:tcW w:w="1134" w:type="dxa"/>
            <w:noWrap/>
            <w:hideMark/>
          </w:tcPr>
          <w:p w14:paraId="3FA959D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7,844.08</w:t>
            </w:r>
          </w:p>
        </w:tc>
        <w:tc>
          <w:tcPr>
            <w:tcW w:w="1417" w:type="dxa"/>
            <w:noWrap/>
            <w:hideMark/>
          </w:tcPr>
          <w:p w14:paraId="5EE92B0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7.53</w:t>
            </w:r>
          </w:p>
        </w:tc>
        <w:tc>
          <w:tcPr>
            <w:tcW w:w="0" w:type="dxa"/>
            <w:noWrap/>
            <w:hideMark/>
          </w:tcPr>
          <w:p w14:paraId="3224B12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70.00</w:t>
            </w:r>
          </w:p>
        </w:tc>
        <w:tc>
          <w:tcPr>
            <w:tcW w:w="0" w:type="dxa"/>
            <w:noWrap/>
            <w:hideMark/>
          </w:tcPr>
          <w:p w14:paraId="44AC86B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0.00</w:t>
            </w:r>
          </w:p>
        </w:tc>
        <w:tc>
          <w:tcPr>
            <w:tcW w:w="1276" w:type="dxa"/>
            <w:noWrap/>
            <w:hideMark/>
          </w:tcPr>
          <w:p w14:paraId="29BA30F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7,922</w:t>
            </w:r>
          </w:p>
        </w:tc>
      </w:tr>
      <w:tr w:rsidR="00941063" w:rsidRPr="00941063" w14:paraId="52CEC05B" w14:textId="77777777" w:rsidTr="00B67DAB">
        <w:trPr>
          <w:trHeight w:val="288"/>
        </w:trPr>
        <w:tc>
          <w:tcPr>
            <w:tcW w:w="0" w:type="dxa"/>
            <w:noWrap/>
            <w:hideMark/>
          </w:tcPr>
          <w:p w14:paraId="6DFAF132"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Benalla Health</w:t>
            </w:r>
          </w:p>
        </w:tc>
        <w:tc>
          <w:tcPr>
            <w:tcW w:w="1134" w:type="dxa"/>
            <w:noWrap/>
            <w:hideMark/>
          </w:tcPr>
          <w:p w14:paraId="4F040A1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2,697.28</w:t>
            </w:r>
          </w:p>
        </w:tc>
        <w:tc>
          <w:tcPr>
            <w:tcW w:w="1417" w:type="dxa"/>
            <w:noWrap/>
            <w:hideMark/>
          </w:tcPr>
          <w:p w14:paraId="6904092B"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7.25</w:t>
            </w:r>
          </w:p>
        </w:tc>
        <w:tc>
          <w:tcPr>
            <w:tcW w:w="0" w:type="dxa"/>
            <w:noWrap/>
            <w:hideMark/>
          </w:tcPr>
          <w:p w14:paraId="5AE0974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26.00</w:t>
            </w:r>
          </w:p>
        </w:tc>
        <w:tc>
          <w:tcPr>
            <w:tcW w:w="0" w:type="dxa"/>
            <w:noWrap/>
            <w:hideMark/>
          </w:tcPr>
          <w:p w14:paraId="751864C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0.00</w:t>
            </w:r>
          </w:p>
        </w:tc>
        <w:tc>
          <w:tcPr>
            <w:tcW w:w="1276" w:type="dxa"/>
            <w:noWrap/>
            <w:hideMark/>
          </w:tcPr>
          <w:p w14:paraId="43DEBB9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2,731</w:t>
            </w:r>
          </w:p>
        </w:tc>
      </w:tr>
      <w:tr w:rsidR="00941063" w:rsidRPr="00941063" w14:paraId="5B2F30CB" w14:textId="77777777" w:rsidTr="00B67DAB">
        <w:trPr>
          <w:trHeight w:val="288"/>
        </w:trPr>
        <w:tc>
          <w:tcPr>
            <w:tcW w:w="0" w:type="dxa"/>
            <w:noWrap/>
            <w:hideMark/>
          </w:tcPr>
          <w:p w14:paraId="60B6479C"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Bendigo Health</w:t>
            </w:r>
          </w:p>
        </w:tc>
        <w:tc>
          <w:tcPr>
            <w:tcW w:w="1134" w:type="dxa"/>
            <w:noWrap/>
            <w:hideMark/>
          </w:tcPr>
          <w:p w14:paraId="4BE622B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43,912.34</w:t>
            </w:r>
          </w:p>
        </w:tc>
        <w:tc>
          <w:tcPr>
            <w:tcW w:w="1417" w:type="dxa"/>
            <w:noWrap/>
            <w:hideMark/>
          </w:tcPr>
          <w:p w14:paraId="56CF51D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39.47</w:t>
            </w:r>
          </w:p>
        </w:tc>
        <w:tc>
          <w:tcPr>
            <w:tcW w:w="0" w:type="dxa"/>
            <w:noWrap/>
            <w:hideMark/>
          </w:tcPr>
          <w:p w14:paraId="6A82E91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339.00</w:t>
            </w:r>
          </w:p>
        </w:tc>
        <w:tc>
          <w:tcPr>
            <w:tcW w:w="0" w:type="dxa"/>
            <w:noWrap/>
            <w:hideMark/>
          </w:tcPr>
          <w:p w14:paraId="3B34DE3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376.00</w:t>
            </w:r>
          </w:p>
        </w:tc>
        <w:tc>
          <w:tcPr>
            <w:tcW w:w="1276" w:type="dxa"/>
            <w:noWrap/>
            <w:hideMark/>
          </w:tcPr>
          <w:p w14:paraId="763E9D8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44,667</w:t>
            </w:r>
          </w:p>
        </w:tc>
      </w:tr>
      <w:tr w:rsidR="00941063" w:rsidRPr="00941063" w14:paraId="7A9D95C1" w14:textId="77777777" w:rsidTr="00B67DAB">
        <w:trPr>
          <w:trHeight w:val="288"/>
        </w:trPr>
        <w:tc>
          <w:tcPr>
            <w:tcW w:w="0" w:type="dxa"/>
            <w:noWrap/>
            <w:hideMark/>
          </w:tcPr>
          <w:p w14:paraId="3C6FBE47"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Central Gippsland Health Service</w:t>
            </w:r>
          </w:p>
        </w:tc>
        <w:tc>
          <w:tcPr>
            <w:tcW w:w="1134" w:type="dxa"/>
            <w:noWrap/>
            <w:hideMark/>
          </w:tcPr>
          <w:p w14:paraId="25E37E2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7,863.72</w:t>
            </w:r>
          </w:p>
        </w:tc>
        <w:tc>
          <w:tcPr>
            <w:tcW w:w="1417" w:type="dxa"/>
            <w:noWrap/>
            <w:hideMark/>
          </w:tcPr>
          <w:p w14:paraId="236BD8F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65.16</w:t>
            </w:r>
          </w:p>
        </w:tc>
        <w:tc>
          <w:tcPr>
            <w:tcW w:w="0" w:type="dxa"/>
            <w:noWrap/>
            <w:hideMark/>
          </w:tcPr>
          <w:p w14:paraId="7B6F4F0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57.00</w:t>
            </w:r>
          </w:p>
        </w:tc>
        <w:tc>
          <w:tcPr>
            <w:tcW w:w="0" w:type="dxa"/>
            <w:noWrap/>
            <w:hideMark/>
          </w:tcPr>
          <w:p w14:paraId="78387EF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22.00</w:t>
            </w:r>
          </w:p>
        </w:tc>
        <w:tc>
          <w:tcPr>
            <w:tcW w:w="1276" w:type="dxa"/>
            <w:noWrap/>
            <w:hideMark/>
          </w:tcPr>
          <w:p w14:paraId="2A6B8A1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8,008</w:t>
            </w:r>
          </w:p>
        </w:tc>
      </w:tr>
      <w:tr w:rsidR="00941063" w:rsidRPr="00941063" w14:paraId="00957334" w14:textId="77777777" w:rsidTr="00B67DAB">
        <w:trPr>
          <w:trHeight w:val="288"/>
        </w:trPr>
        <w:tc>
          <w:tcPr>
            <w:tcW w:w="0" w:type="dxa"/>
            <w:noWrap/>
            <w:hideMark/>
          </w:tcPr>
          <w:p w14:paraId="0A87018E"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Colac Area Health</w:t>
            </w:r>
          </w:p>
        </w:tc>
        <w:tc>
          <w:tcPr>
            <w:tcW w:w="1134" w:type="dxa"/>
            <w:noWrap/>
            <w:hideMark/>
          </w:tcPr>
          <w:p w14:paraId="7853628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3,698.11</w:t>
            </w:r>
          </w:p>
        </w:tc>
        <w:tc>
          <w:tcPr>
            <w:tcW w:w="1417" w:type="dxa"/>
            <w:noWrap/>
            <w:hideMark/>
          </w:tcPr>
          <w:p w14:paraId="31F89D61"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16.34</w:t>
            </w:r>
          </w:p>
        </w:tc>
        <w:tc>
          <w:tcPr>
            <w:tcW w:w="0" w:type="dxa"/>
            <w:noWrap/>
            <w:hideMark/>
          </w:tcPr>
          <w:p w14:paraId="29BA6A4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11.00</w:t>
            </w:r>
          </w:p>
        </w:tc>
        <w:tc>
          <w:tcPr>
            <w:tcW w:w="0" w:type="dxa"/>
            <w:noWrap/>
            <w:hideMark/>
          </w:tcPr>
          <w:p w14:paraId="6F8C100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8.00</w:t>
            </w:r>
          </w:p>
        </w:tc>
        <w:tc>
          <w:tcPr>
            <w:tcW w:w="1276" w:type="dxa"/>
            <w:noWrap/>
            <w:hideMark/>
          </w:tcPr>
          <w:p w14:paraId="6B503F3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3,733</w:t>
            </w:r>
          </w:p>
        </w:tc>
      </w:tr>
      <w:tr w:rsidR="00941063" w:rsidRPr="00941063" w14:paraId="04D1A4DE" w14:textId="77777777" w:rsidTr="00B67DAB">
        <w:trPr>
          <w:trHeight w:val="288"/>
        </w:trPr>
        <w:tc>
          <w:tcPr>
            <w:tcW w:w="0" w:type="dxa"/>
            <w:noWrap/>
            <w:hideMark/>
          </w:tcPr>
          <w:p w14:paraId="0071461F"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Dhelkaya Health</w:t>
            </w:r>
          </w:p>
        </w:tc>
        <w:tc>
          <w:tcPr>
            <w:tcW w:w="1134" w:type="dxa"/>
            <w:noWrap/>
            <w:hideMark/>
          </w:tcPr>
          <w:p w14:paraId="149BB78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3,227.21</w:t>
            </w:r>
          </w:p>
        </w:tc>
        <w:tc>
          <w:tcPr>
            <w:tcW w:w="1417" w:type="dxa"/>
            <w:noWrap/>
            <w:hideMark/>
          </w:tcPr>
          <w:p w14:paraId="34DC981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21.13</w:t>
            </w:r>
          </w:p>
        </w:tc>
        <w:tc>
          <w:tcPr>
            <w:tcW w:w="0" w:type="dxa"/>
            <w:noWrap/>
            <w:hideMark/>
          </w:tcPr>
          <w:p w14:paraId="0DC34D9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39.00</w:t>
            </w:r>
          </w:p>
        </w:tc>
        <w:tc>
          <w:tcPr>
            <w:tcW w:w="0" w:type="dxa"/>
            <w:noWrap/>
            <w:hideMark/>
          </w:tcPr>
          <w:p w14:paraId="1885320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0.00</w:t>
            </w:r>
          </w:p>
        </w:tc>
        <w:tc>
          <w:tcPr>
            <w:tcW w:w="1276" w:type="dxa"/>
            <w:noWrap/>
            <w:hideMark/>
          </w:tcPr>
          <w:p w14:paraId="48DDECC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3,287</w:t>
            </w:r>
          </w:p>
        </w:tc>
      </w:tr>
      <w:tr w:rsidR="00941063" w:rsidRPr="00941063" w14:paraId="0F77A7AA" w14:textId="77777777" w:rsidTr="00B67DAB">
        <w:trPr>
          <w:trHeight w:val="288"/>
        </w:trPr>
        <w:tc>
          <w:tcPr>
            <w:tcW w:w="0" w:type="dxa"/>
            <w:noWrap/>
            <w:hideMark/>
          </w:tcPr>
          <w:p w14:paraId="79AE792A" w14:textId="62463D13"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East Grampians Health Serv</w:t>
            </w:r>
            <w:r>
              <w:rPr>
                <w:rFonts w:cs="Arial"/>
                <w:color w:val="000000"/>
                <w:sz w:val="16"/>
                <w:szCs w:val="16"/>
                <w:lang w:eastAsia="en-AU"/>
              </w:rPr>
              <w:t>ice</w:t>
            </w:r>
          </w:p>
        </w:tc>
        <w:tc>
          <w:tcPr>
            <w:tcW w:w="1134" w:type="dxa"/>
            <w:noWrap/>
            <w:hideMark/>
          </w:tcPr>
          <w:p w14:paraId="356B3A0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3,459.63</w:t>
            </w:r>
          </w:p>
        </w:tc>
        <w:tc>
          <w:tcPr>
            <w:tcW w:w="1417" w:type="dxa"/>
            <w:noWrap/>
            <w:hideMark/>
          </w:tcPr>
          <w:p w14:paraId="6D9D8BB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4.88</w:t>
            </w:r>
          </w:p>
        </w:tc>
        <w:tc>
          <w:tcPr>
            <w:tcW w:w="0" w:type="dxa"/>
            <w:noWrap/>
            <w:hideMark/>
          </w:tcPr>
          <w:p w14:paraId="500694C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6.00</w:t>
            </w:r>
          </w:p>
        </w:tc>
        <w:tc>
          <w:tcPr>
            <w:tcW w:w="0" w:type="dxa"/>
            <w:noWrap/>
            <w:hideMark/>
          </w:tcPr>
          <w:p w14:paraId="2787265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1.00</w:t>
            </w:r>
          </w:p>
        </w:tc>
        <w:tc>
          <w:tcPr>
            <w:tcW w:w="1276" w:type="dxa"/>
            <w:noWrap/>
            <w:hideMark/>
          </w:tcPr>
          <w:p w14:paraId="06D75F8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3,472</w:t>
            </w:r>
          </w:p>
        </w:tc>
      </w:tr>
      <w:tr w:rsidR="00941063" w:rsidRPr="00941063" w14:paraId="7904A0D7" w14:textId="77777777" w:rsidTr="00B67DAB">
        <w:trPr>
          <w:trHeight w:val="288"/>
        </w:trPr>
        <w:tc>
          <w:tcPr>
            <w:tcW w:w="0" w:type="dxa"/>
            <w:noWrap/>
            <w:hideMark/>
          </w:tcPr>
          <w:p w14:paraId="7C67E964"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Eastern Health</w:t>
            </w:r>
          </w:p>
        </w:tc>
        <w:tc>
          <w:tcPr>
            <w:tcW w:w="1134" w:type="dxa"/>
            <w:noWrap/>
            <w:hideMark/>
          </w:tcPr>
          <w:p w14:paraId="397189DB"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114,400.79</w:t>
            </w:r>
          </w:p>
        </w:tc>
        <w:tc>
          <w:tcPr>
            <w:tcW w:w="1417" w:type="dxa"/>
            <w:noWrap/>
            <w:hideMark/>
          </w:tcPr>
          <w:p w14:paraId="53C2590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153.10</w:t>
            </w:r>
          </w:p>
        </w:tc>
        <w:tc>
          <w:tcPr>
            <w:tcW w:w="0" w:type="dxa"/>
            <w:noWrap/>
            <w:hideMark/>
          </w:tcPr>
          <w:p w14:paraId="61DDF31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394.00</w:t>
            </w:r>
          </w:p>
        </w:tc>
        <w:tc>
          <w:tcPr>
            <w:tcW w:w="0" w:type="dxa"/>
            <w:noWrap/>
            <w:hideMark/>
          </w:tcPr>
          <w:p w14:paraId="1AC30D1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270.00</w:t>
            </w:r>
          </w:p>
        </w:tc>
        <w:tc>
          <w:tcPr>
            <w:tcW w:w="1276" w:type="dxa"/>
            <w:noWrap/>
            <w:hideMark/>
          </w:tcPr>
          <w:p w14:paraId="47D95E5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115,218</w:t>
            </w:r>
          </w:p>
        </w:tc>
      </w:tr>
      <w:tr w:rsidR="00941063" w:rsidRPr="00941063" w14:paraId="77AAF830" w14:textId="77777777" w:rsidTr="00B67DAB">
        <w:trPr>
          <w:trHeight w:val="288"/>
        </w:trPr>
        <w:tc>
          <w:tcPr>
            <w:tcW w:w="0" w:type="dxa"/>
            <w:noWrap/>
            <w:hideMark/>
          </w:tcPr>
          <w:p w14:paraId="419B60A0"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Echuca Regional Health</w:t>
            </w:r>
          </w:p>
        </w:tc>
        <w:tc>
          <w:tcPr>
            <w:tcW w:w="1134" w:type="dxa"/>
            <w:noWrap/>
            <w:hideMark/>
          </w:tcPr>
          <w:p w14:paraId="00D6B22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9,000.15</w:t>
            </w:r>
          </w:p>
        </w:tc>
        <w:tc>
          <w:tcPr>
            <w:tcW w:w="1417" w:type="dxa"/>
            <w:noWrap/>
            <w:hideMark/>
          </w:tcPr>
          <w:p w14:paraId="477DDF8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46.36</w:t>
            </w:r>
          </w:p>
        </w:tc>
        <w:tc>
          <w:tcPr>
            <w:tcW w:w="0" w:type="dxa"/>
            <w:noWrap/>
            <w:hideMark/>
          </w:tcPr>
          <w:p w14:paraId="42F4476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53.00</w:t>
            </w:r>
          </w:p>
        </w:tc>
        <w:tc>
          <w:tcPr>
            <w:tcW w:w="0" w:type="dxa"/>
            <w:noWrap/>
            <w:hideMark/>
          </w:tcPr>
          <w:p w14:paraId="30653E0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50.00</w:t>
            </w:r>
          </w:p>
        </w:tc>
        <w:tc>
          <w:tcPr>
            <w:tcW w:w="1276" w:type="dxa"/>
            <w:noWrap/>
            <w:hideMark/>
          </w:tcPr>
          <w:p w14:paraId="370937B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9,150</w:t>
            </w:r>
          </w:p>
        </w:tc>
      </w:tr>
      <w:tr w:rsidR="00941063" w:rsidRPr="00941063" w14:paraId="3ACEEF5E" w14:textId="77777777" w:rsidTr="00B67DAB">
        <w:trPr>
          <w:trHeight w:val="288"/>
        </w:trPr>
        <w:tc>
          <w:tcPr>
            <w:tcW w:w="0" w:type="dxa"/>
            <w:noWrap/>
            <w:hideMark/>
          </w:tcPr>
          <w:p w14:paraId="750036AE"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Gippsland Southern Health Service</w:t>
            </w:r>
          </w:p>
        </w:tc>
        <w:tc>
          <w:tcPr>
            <w:tcW w:w="1134" w:type="dxa"/>
            <w:noWrap/>
            <w:hideMark/>
          </w:tcPr>
          <w:p w14:paraId="243EAB1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2,772.85</w:t>
            </w:r>
          </w:p>
        </w:tc>
        <w:tc>
          <w:tcPr>
            <w:tcW w:w="1417" w:type="dxa"/>
            <w:noWrap/>
            <w:hideMark/>
          </w:tcPr>
          <w:p w14:paraId="13378C1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37.56</w:t>
            </w:r>
          </w:p>
        </w:tc>
        <w:tc>
          <w:tcPr>
            <w:tcW w:w="0" w:type="dxa"/>
            <w:noWrap/>
            <w:hideMark/>
          </w:tcPr>
          <w:p w14:paraId="55073C2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27.00</w:t>
            </w:r>
          </w:p>
        </w:tc>
        <w:tc>
          <w:tcPr>
            <w:tcW w:w="0" w:type="dxa"/>
            <w:noWrap/>
            <w:hideMark/>
          </w:tcPr>
          <w:p w14:paraId="119B9B8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5.00</w:t>
            </w:r>
          </w:p>
        </w:tc>
        <w:tc>
          <w:tcPr>
            <w:tcW w:w="1276" w:type="dxa"/>
            <w:noWrap/>
            <w:hideMark/>
          </w:tcPr>
          <w:p w14:paraId="19AA717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2,842</w:t>
            </w:r>
          </w:p>
        </w:tc>
      </w:tr>
      <w:tr w:rsidR="00941063" w:rsidRPr="00941063" w14:paraId="160128DC" w14:textId="77777777" w:rsidTr="00B67DAB">
        <w:trPr>
          <w:trHeight w:val="288"/>
        </w:trPr>
        <w:tc>
          <w:tcPr>
            <w:tcW w:w="0" w:type="dxa"/>
            <w:noWrap/>
            <w:hideMark/>
          </w:tcPr>
          <w:p w14:paraId="2FC1B188"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Goulburn Valley Health</w:t>
            </w:r>
          </w:p>
        </w:tc>
        <w:tc>
          <w:tcPr>
            <w:tcW w:w="1134" w:type="dxa"/>
            <w:noWrap/>
            <w:hideMark/>
          </w:tcPr>
          <w:p w14:paraId="34C473B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30,278.58</w:t>
            </w:r>
          </w:p>
        </w:tc>
        <w:tc>
          <w:tcPr>
            <w:tcW w:w="1417" w:type="dxa"/>
            <w:noWrap/>
            <w:hideMark/>
          </w:tcPr>
          <w:p w14:paraId="6F980DF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30.29</w:t>
            </w:r>
          </w:p>
        </w:tc>
        <w:tc>
          <w:tcPr>
            <w:tcW w:w="0" w:type="dxa"/>
            <w:noWrap/>
            <w:hideMark/>
          </w:tcPr>
          <w:p w14:paraId="375DB34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194.00</w:t>
            </w:r>
          </w:p>
        </w:tc>
        <w:tc>
          <w:tcPr>
            <w:tcW w:w="0" w:type="dxa"/>
            <w:noWrap/>
            <w:hideMark/>
          </w:tcPr>
          <w:p w14:paraId="20B4455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204.00</w:t>
            </w:r>
          </w:p>
        </w:tc>
        <w:tc>
          <w:tcPr>
            <w:tcW w:w="1276" w:type="dxa"/>
            <w:noWrap/>
            <w:hideMark/>
          </w:tcPr>
          <w:p w14:paraId="3ED53FE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30,707</w:t>
            </w:r>
          </w:p>
        </w:tc>
      </w:tr>
      <w:tr w:rsidR="00941063" w:rsidRPr="00941063" w14:paraId="3F469E89" w14:textId="77777777" w:rsidTr="00B67DAB">
        <w:trPr>
          <w:trHeight w:val="288"/>
        </w:trPr>
        <w:tc>
          <w:tcPr>
            <w:tcW w:w="0" w:type="dxa"/>
            <w:noWrap/>
            <w:hideMark/>
          </w:tcPr>
          <w:p w14:paraId="45892C48"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Grampians Health</w:t>
            </w:r>
          </w:p>
        </w:tc>
        <w:tc>
          <w:tcPr>
            <w:tcW w:w="1134" w:type="dxa"/>
            <w:noWrap/>
            <w:hideMark/>
          </w:tcPr>
          <w:p w14:paraId="3A748E0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49,546.54</w:t>
            </w:r>
          </w:p>
        </w:tc>
        <w:tc>
          <w:tcPr>
            <w:tcW w:w="1417" w:type="dxa"/>
            <w:noWrap/>
            <w:hideMark/>
          </w:tcPr>
          <w:p w14:paraId="2478EA5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117.20</w:t>
            </w:r>
          </w:p>
        </w:tc>
        <w:tc>
          <w:tcPr>
            <w:tcW w:w="0" w:type="dxa"/>
            <w:noWrap/>
            <w:hideMark/>
          </w:tcPr>
          <w:p w14:paraId="4DC3295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48.00</w:t>
            </w:r>
          </w:p>
        </w:tc>
        <w:tc>
          <w:tcPr>
            <w:tcW w:w="0" w:type="dxa"/>
            <w:noWrap/>
            <w:hideMark/>
          </w:tcPr>
          <w:p w14:paraId="531562E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242.00</w:t>
            </w:r>
          </w:p>
        </w:tc>
        <w:tc>
          <w:tcPr>
            <w:tcW w:w="1276" w:type="dxa"/>
            <w:noWrap/>
            <w:hideMark/>
          </w:tcPr>
          <w:p w14:paraId="76809E5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49,954</w:t>
            </w:r>
          </w:p>
        </w:tc>
      </w:tr>
      <w:tr w:rsidR="00941063" w:rsidRPr="00941063" w14:paraId="2CF11C78" w14:textId="77777777" w:rsidTr="00B67DAB">
        <w:trPr>
          <w:trHeight w:val="288"/>
        </w:trPr>
        <w:tc>
          <w:tcPr>
            <w:tcW w:w="0" w:type="dxa"/>
            <w:noWrap/>
            <w:hideMark/>
          </w:tcPr>
          <w:p w14:paraId="133CB33B"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Kyabram District Health Services</w:t>
            </w:r>
          </w:p>
        </w:tc>
        <w:tc>
          <w:tcPr>
            <w:tcW w:w="1134" w:type="dxa"/>
            <w:noWrap/>
            <w:hideMark/>
          </w:tcPr>
          <w:p w14:paraId="1AB4A08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2,404.89</w:t>
            </w:r>
          </w:p>
        </w:tc>
        <w:tc>
          <w:tcPr>
            <w:tcW w:w="1417" w:type="dxa"/>
            <w:noWrap/>
            <w:hideMark/>
          </w:tcPr>
          <w:p w14:paraId="1E7EF01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7.19</w:t>
            </w:r>
          </w:p>
        </w:tc>
        <w:tc>
          <w:tcPr>
            <w:tcW w:w="0" w:type="dxa"/>
            <w:noWrap/>
            <w:hideMark/>
          </w:tcPr>
          <w:p w14:paraId="06CDCA8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17.00</w:t>
            </w:r>
          </w:p>
        </w:tc>
        <w:tc>
          <w:tcPr>
            <w:tcW w:w="0" w:type="dxa"/>
            <w:noWrap/>
            <w:hideMark/>
          </w:tcPr>
          <w:p w14:paraId="1FDE34B1"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7.00</w:t>
            </w:r>
          </w:p>
        </w:tc>
        <w:tc>
          <w:tcPr>
            <w:tcW w:w="1276" w:type="dxa"/>
            <w:noWrap/>
            <w:hideMark/>
          </w:tcPr>
          <w:p w14:paraId="2A9839E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2,436</w:t>
            </w:r>
          </w:p>
        </w:tc>
      </w:tr>
      <w:tr w:rsidR="00941063" w:rsidRPr="00941063" w14:paraId="341904C3" w14:textId="77777777" w:rsidTr="00B67DAB">
        <w:trPr>
          <w:trHeight w:val="288"/>
        </w:trPr>
        <w:tc>
          <w:tcPr>
            <w:tcW w:w="0" w:type="dxa"/>
            <w:noWrap/>
            <w:hideMark/>
          </w:tcPr>
          <w:p w14:paraId="38DDF61F"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Latrobe Regional Hospital</w:t>
            </w:r>
          </w:p>
        </w:tc>
        <w:tc>
          <w:tcPr>
            <w:tcW w:w="1134" w:type="dxa"/>
            <w:noWrap/>
            <w:hideMark/>
          </w:tcPr>
          <w:p w14:paraId="3637C48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27,099.41</w:t>
            </w:r>
          </w:p>
        </w:tc>
        <w:tc>
          <w:tcPr>
            <w:tcW w:w="1417" w:type="dxa"/>
            <w:noWrap/>
            <w:hideMark/>
          </w:tcPr>
          <w:p w14:paraId="147B2A8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24.94</w:t>
            </w:r>
          </w:p>
        </w:tc>
        <w:tc>
          <w:tcPr>
            <w:tcW w:w="0" w:type="dxa"/>
            <w:noWrap/>
            <w:hideMark/>
          </w:tcPr>
          <w:p w14:paraId="541BAC2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151.00</w:t>
            </w:r>
          </w:p>
        </w:tc>
        <w:tc>
          <w:tcPr>
            <w:tcW w:w="0" w:type="dxa"/>
            <w:noWrap/>
            <w:hideMark/>
          </w:tcPr>
          <w:p w14:paraId="44A81A9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168.00</w:t>
            </w:r>
          </w:p>
        </w:tc>
        <w:tc>
          <w:tcPr>
            <w:tcW w:w="1276" w:type="dxa"/>
            <w:noWrap/>
            <w:hideMark/>
          </w:tcPr>
          <w:p w14:paraId="001155E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27,443</w:t>
            </w:r>
          </w:p>
        </w:tc>
      </w:tr>
      <w:tr w:rsidR="00941063" w:rsidRPr="00941063" w14:paraId="2E77AD7F" w14:textId="77777777" w:rsidTr="00B67DAB">
        <w:trPr>
          <w:trHeight w:val="288"/>
        </w:trPr>
        <w:tc>
          <w:tcPr>
            <w:tcW w:w="0" w:type="dxa"/>
            <w:noWrap/>
            <w:hideMark/>
          </w:tcPr>
          <w:p w14:paraId="3ED88D20"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Maryborough District Health Service</w:t>
            </w:r>
          </w:p>
        </w:tc>
        <w:tc>
          <w:tcPr>
            <w:tcW w:w="1134" w:type="dxa"/>
            <w:noWrap/>
            <w:hideMark/>
          </w:tcPr>
          <w:p w14:paraId="14AAD56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3,120.32</w:t>
            </w:r>
          </w:p>
        </w:tc>
        <w:tc>
          <w:tcPr>
            <w:tcW w:w="1417" w:type="dxa"/>
            <w:noWrap/>
            <w:hideMark/>
          </w:tcPr>
          <w:p w14:paraId="78C97C8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12.49</w:t>
            </w:r>
          </w:p>
        </w:tc>
        <w:tc>
          <w:tcPr>
            <w:tcW w:w="0" w:type="dxa"/>
            <w:noWrap/>
            <w:hideMark/>
          </w:tcPr>
          <w:p w14:paraId="64BC068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22.00</w:t>
            </w:r>
          </w:p>
        </w:tc>
        <w:tc>
          <w:tcPr>
            <w:tcW w:w="0" w:type="dxa"/>
            <w:noWrap/>
            <w:hideMark/>
          </w:tcPr>
          <w:p w14:paraId="1C53A36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0.00</w:t>
            </w:r>
          </w:p>
        </w:tc>
        <w:tc>
          <w:tcPr>
            <w:tcW w:w="1276" w:type="dxa"/>
            <w:noWrap/>
            <w:hideMark/>
          </w:tcPr>
          <w:p w14:paraId="4FB0033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3,155</w:t>
            </w:r>
          </w:p>
        </w:tc>
      </w:tr>
      <w:tr w:rsidR="00941063" w:rsidRPr="00941063" w14:paraId="378EF15B" w14:textId="77777777" w:rsidTr="00B67DAB">
        <w:trPr>
          <w:trHeight w:val="288"/>
        </w:trPr>
        <w:tc>
          <w:tcPr>
            <w:tcW w:w="0" w:type="dxa"/>
            <w:noWrap/>
            <w:hideMark/>
          </w:tcPr>
          <w:p w14:paraId="40479F2D"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Melbourne Health</w:t>
            </w:r>
          </w:p>
        </w:tc>
        <w:tc>
          <w:tcPr>
            <w:tcW w:w="1134" w:type="dxa"/>
            <w:noWrap/>
            <w:hideMark/>
          </w:tcPr>
          <w:p w14:paraId="16B26A7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106,647.24</w:t>
            </w:r>
          </w:p>
        </w:tc>
        <w:tc>
          <w:tcPr>
            <w:tcW w:w="1417" w:type="dxa"/>
            <w:noWrap/>
            <w:hideMark/>
          </w:tcPr>
          <w:p w14:paraId="55AB77B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3.56</w:t>
            </w:r>
          </w:p>
        </w:tc>
        <w:tc>
          <w:tcPr>
            <w:tcW w:w="0" w:type="dxa"/>
            <w:noWrap/>
            <w:hideMark/>
          </w:tcPr>
          <w:p w14:paraId="2E1CF74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167.00</w:t>
            </w:r>
          </w:p>
        </w:tc>
        <w:tc>
          <w:tcPr>
            <w:tcW w:w="0" w:type="dxa"/>
            <w:noWrap/>
            <w:hideMark/>
          </w:tcPr>
          <w:p w14:paraId="28466CE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4,946.00</w:t>
            </w:r>
          </w:p>
        </w:tc>
        <w:tc>
          <w:tcPr>
            <w:tcW w:w="1276" w:type="dxa"/>
            <w:noWrap/>
            <w:hideMark/>
          </w:tcPr>
          <w:p w14:paraId="30CCB02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111,764</w:t>
            </w:r>
          </w:p>
        </w:tc>
      </w:tr>
      <w:tr w:rsidR="00941063" w:rsidRPr="00941063" w14:paraId="35FE9963" w14:textId="77777777" w:rsidTr="00B67DAB">
        <w:trPr>
          <w:trHeight w:val="288"/>
        </w:trPr>
        <w:tc>
          <w:tcPr>
            <w:tcW w:w="0" w:type="dxa"/>
            <w:noWrap/>
            <w:hideMark/>
          </w:tcPr>
          <w:p w14:paraId="01CE0F72"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Mercy Hospitals Victoria Limited</w:t>
            </w:r>
          </w:p>
        </w:tc>
        <w:tc>
          <w:tcPr>
            <w:tcW w:w="1134" w:type="dxa"/>
            <w:noWrap/>
            <w:hideMark/>
          </w:tcPr>
          <w:p w14:paraId="593344A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52,724.47</w:t>
            </w:r>
          </w:p>
        </w:tc>
        <w:tc>
          <w:tcPr>
            <w:tcW w:w="1417" w:type="dxa"/>
            <w:noWrap/>
            <w:hideMark/>
          </w:tcPr>
          <w:p w14:paraId="1EDDBC6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96.57</w:t>
            </w:r>
          </w:p>
        </w:tc>
        <w:tc>
          <w:tcPr>
            <w:tcW w:w="0" w:type="dxa"/>
            <w:noWrap/>
            <w:hideMark/>
          </w:tcPr>
          <w:p w14:paraId="3B90631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81.00</w:t>
            </w:r>
          </w:p>
        </w:tc>
        <w:tc>
          <w:tcPr>
            <w:tcW w:w="0" w:type="dxa"/>
            <w:noWrap/>
            <w:hideMark/>
          </w:tcPr>
          <w:p w14:paraId="2D36A71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22.00</w:t>
            </w:r>
          </w:p>
        </w:tc>
        <w:tc>
          <w:tcPr>
            <w:tcW w:w="1276" w:type="dxa"/>
            <w:noWrap/>
            <w:hideMark/>
          </w:tcPr>
          <w:p w14:paraId="24B45A7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52,924</w:t>
            </w:r>
          </w:p>
        </w:tc>
      </w:tr>
      <w:tr w:rsidR="00941063" w:rsidRPr="00941063" w14:paraId="7E7321F3" w14:textId="77777777" w:rsidTr="00B67DAB">
        <w:trPr>
          <w:trHeight w:val="288"/>
        </w:trPr>
        <w:tc>
          <w:tcPr>
            <w:tcW w:w="0" w:type="dxa"/>
            <w:noWrap/>
            <w:hideMark/>
          </w:tcPr>
          <w:p w14:paraId="034F39DE"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Mildura Base Public Hospital</w:t>
            </w:r>
          </w:p>
        </w:tc>
        <w:tc>
          <w:tcPr>
            <w:tcW w:w="1134" w:type="dxa"/>
            <w:noWrap/>
            <w:hideMark/>
          </w:tcPr>
          <w:p w14:paraId="116BB76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15,253.04</w:t>
            </w:r>
          </w:p>
        </w:tc>
        <w:tc>
          <w:tcPr>
            <w:tcW w:w="1417" w:type="dxa"/>
            <w:noWrap/>
            <w:hideMark/>
          </w:tcPr>
          <w:p w14:paraId="6C67449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49.38</w:t>
            </w:r>
          </w:p>
        </w:tc>
        <w:tc>
          <w:tcPr>
            <w:tcW w:w="0" w:type="dxa"/>
            <w:noWrap/>
            <w:hideMark/>
          </w:tcPr>
          <w:p w14:paraId="50BEDD0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135.00</w:t>
            </w:r>
          </w:p>
        </w:tc>
        <w:tc>
          <w:tcPr>
            <w:tcW w:w="0" w:type="dxa"/>
            <w:noWrap/>
            <w:hideMark/>
          </w:tcPr>
          <w:p w14:paraId="4532016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80.00</w:t>
            </w:r>
          </w:p>
        </w:tc>
        <w:tc>
          <w:tcPr>
            <w:tcW w:w="1276" w:type="dxa"/>
            <w:noWrap/>
            <w:hideMark/>
          </w:tcPr>
          <w:p w14:paraId="2A6BA3A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15,517</w:t>
            </w:r>
          </w:p>
        </w:tc>
      </w:tr>
      <w:tr w:rsidR="00941063" w:rsidRPr="00941063" w14:paraId="3817C170" w14:textId="77777777" w:rsidTr="00B67DAB">
        <w:trPr>
          <w:trHeight w:val="288"/>
        </w:trPr>
        <w:tc>
          <w:tcPr>
            <w:tcW w:w="0" w:type="dxa"/>
            <w:noWrap/>
            <w:hideMark/>
          </w:tcPr>
          <w:p w14:paraId="21EA5C05"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Monash Health</w:t>
            </w:r>
          </w:p>
        </w:tc>
        <w:tc>
          <w:tcPr>
            <w:tcW w:w="1134" w:type="dxa"/>
            <w:noWrap/>
            <w:hideMark/>
          </w:tcPr>
          <w:p w14:paraId="36D8DF4B"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208,261.97</w:t>
            </w:r>
          </w:p>
        </w:tc>
        <w:tc>
          <w:tcPr>
            <w:tcW w:w="1417" w:type="dxa"/>
            <w:noWrap/>
            <w:hideMark/>
          </w:tcPr>
          <w:p w14:paraId="38FB11EB"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1.97</w:t>
            </w:r>
          </w:p>
        </w:tc>
        <w:tc>
          <w:tcPr>
            <w:tcW w:w="0" w:type="dxa"/>
            <w:noWrap/>
            <w:hideMark/>
          </w:tcPr>
          <w:p w14:paraId="12EB3DC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421.00</w:t>
            </w:r>
          </w:p>
        </w:tc>
        <w:tc>
          <w:tcPr>
            <w:tcW w:w="0" w:type="dxa"/>
            <w:noWrap/>
            <w:hideMark/>
          </w:tcPr>
          <w:p w14:paraId="65AD301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489.00</w:t>
            </w:r>
          </w:p>
        </w:tc>
        <w:tc>
          <w:tcPr>
            <w:tcW w:w="1276" w:type="dxa"/>
            <w:noWrap/>
            <w:hideMark/>
          </w:tcPr>
          <w:p w14:paraId="4019C7E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209,174</w:t>
            </w:r>
          </w:p>
        </w:tc>
      </w:tr>
      <w:tr w:rsidR="00941063" w:rsidRPr="00941063" w14:paraId="7E8D2945" w14:textId="77777777" w:rsidTr="00B67DAB">
        <w:trPr>
          <w:trHeight w:val="288"/>
        </w:trPr>
        <w:tc>
          <w:tcPr>
            <w:tcW w:w="0" w:type="dxa"/>
            <w:noWrap/>
            <w:hideMark/>
          </w:tcPr>
          <w:p w14:paraId="0264C693"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Northeast Health Wangaratta</w:t>
            </w:r>
          </w:p>
        </w:tc>
        <w:tc>
          <w:tcPr>
            <w:tcW w:w="1134" w:type="dxa"/>
            <w:noWrap/>
            <w:hideMark/>
          </w:tcPr>
          <w:p w14:paraId="6F22A38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17,341.75</w:t>
            </w:r>
          </w:p>
        </w:tc>
        <w:tc>
          <w:tcPr>
            <w:tcW w:w="1417" w:type="dxa"/>
            <w:noWrap/>
            <w:hideMark/>
          </w:tcPr>
          <w:p w14:paraId="1EE97A9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14.61</w:t>
            </w:r>
          </w:p>
        </w:tc>
        <w:tc>
          <w:tcPr>
            <w:tcW w:w="0" w:type="dxa"/>
            <w:noWrap/>
            <w:hideMark/>
          </w:tcPr>
          <w:p w14:paraId="7E10FB4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172.00</w:t>
            </w:r>
          </w:p>
        </w:tc>
        <w:tc>
          <w:tcPr>
            <w:tcW w:w="0" w:type="dxa"/>
            <w:noWrap/>
            <w:hideMark/>
          </w:tcPr>
          <w:p w14:paraId="6C8589E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133.00</w:t>
            </w:r>
          </w:p>
        </w:tc>
        <w:tc>
          <w:tcPr>
            <w:tcW w:w="1276" w:type="dxa"/>
            <w:noWrap/>
            <w:hideMark/>
          </w:tcPr>
          <w:p w14:paraId="5A07F69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17,661</w:t>
            </w:r>
          </w:p>
        </w:tc>
      </w:tr>
      <w:tr w:rsidR="00941063" w:rsidRPr="00941063" w14:paraId="6622AA66" w14:textId="77777777" w:rsidTr="00B67DAB">
        <w:trPr>
          <w:trHeight w:val="288"/>
        </w:trPr>
        <w:tc>
          <w:tcPr>
            <w:tcW w:w="0" w:type="dxa"/>
            <w:noWrap/>
            <w:hideMark/>
          </w:tcPr>
          <w:p w14:paraId="08753168"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Northern Health</w:t>
            </w:r>
          </w:p>
        </w:tc>
        <w:tc>
          <w:tcPr>
            <w:tcW w:w="1134" w:type="dxa"/>
            <w:noWrap/>
            <w:hideMark/>
          </w:tcPr>
          <w:p w14:paraId="12F527A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79,444.55</w:t>
            </w:r>
          </w:p>
        </w:tc>
        <w:tc>
          <w:tcPr>
            <w:tcW w:w="1417" w:type="dxa"/>
            <w:noWrap/>
            <w:hideMark/>
          </w:tcPr>
          <w:p w14:paraId="61FE95A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206.32</w:t>
            </w:r>
          </w:p>
        </w:tc>
        <w:tc>
          <w:tcPr>
            <w:tcW w:w="0" w:type="dxa"/>
            <w:noWrap/>
            <w:hideMark/>
          </w:tcPr>
          <w:p w14:paraId="7EBFB75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167.00</w:t>
            </w:r>
          </w:p>
        </w:tc>
        <w:tc>
          <w:tcPr>
            <w:tcW w:w="0" w:type="dxa"/>
            <w:noWrap/>
            <w:hideMark/>
          </w:tcPr>
          <w:p w14:paraId="1BE8E9E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361.00</w:t>
            </w:r>
          </w:p>
        </w:tc>
        <w:tc>
          <w:tcPr>
            <w:tcW w:w="1276" w:type="dxa"/>
            <w:noWrap/>
            <w:hideMark/>
          </w:tcPr>
          <w:p w14:paraId="5163363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80,179</w:t>
            </w:r>
          </w:p>
        </w:tc>
      </w:tr>
      <w:tr w:rsidR="00941063" w:rsidRPr="00941063" w14:paraId="31FCEEDC" w14:textId="77777777" w:rsidTr="00B67DAB">
        <w:trPr>
          <w:trHeight w:val="288"/>
        </w:trPr>
        <w:tc>
          <w:tcPr>
            <w:tcW w:w="0" w:type="dxa"/>
            <w:noWrap/>
            <w:hideMark/>
          </w:tcPr>
          <w:p w14:paraId="5AEFF886"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Peninsula Health</w:t>
            </w:r>
          </w:p>
        </w:tc>
        <w:tc>
          <w:tcPr>
            <w:tcW w:w="1134" w:type="dxa"/>
            <w:noWrap/>
            <w:hideMark/>
          </w:tcPr>
          <w:p w14:paraId="431E14FB"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78,338.91</w:t>
            </w:r>
          </w:p>
        </w:tc>
        <w:tc>
          <w:tcPr>
            <w:tcW w:w="1417" w:type="dxa"/>
            <w:noWrap/>
            <w:hideMark/>
          </w:tcPr>
          <w:p w14:paraId="7417B50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5.23</w:t>
            </w:r>
          </w:p>
        </w:tc>
        <w:tc>
          <w:tcPr>
            <w:tcW w:w="0" w:type="dxa"/>
            <w:noWrap/>
            <w:hideMark/>
          </w:tcPr>
          <w:p w14:paraId="4C88B13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377.00</w:t>
            </w:r>
          </w:p>
        </w:tc>
        <w:tc>
          <w:tcPr>
            <w:tcW w:w="0" w:type="dxa"/>
            <w:noWrap/>
            <w:hideMark/>
          </w:tcPr>
          <w:p w14:paraId="3302BB7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309.00</w:t>
            </w:r>
          </w:p>
        </w:tc>
        <w:tc>
          <w:tcPr>
            <w:tcW w:w="1276" w:type="dxa"/>
            <w:noWrap/>
            <w:hideMark/>
          </w:tcPr>
          <w:p w14:paraId="0ADF423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79,030</w:t>
            </w:r>
          </w:p>
        </w:tc>
      </w:tr>
      <w:tr w:rsidR="00941063" w:rsidRPr="00941063" w14:paraId="3EC01CDD" w14:textId="77777777" w:rsidTr="00B67DAB">
        <w:trPr>
          <w:trHeight w:val="288"/>
        </w:trPr>
        <w:tc>
          <w:tcPr>
            <w:tcW w:w="0" w:type="dxa"/>
            <w:noWrap/>
            <w:hideMark/>
          </w:tcPr>
          <w:p w14:paraId="4F643973"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Peter MacCallum Cancer Institute</w:t>
            </w:r>
          </w:p>
        </w:tc>
        <w:tc>
          <w:tcPr>
            <w:tcW w:w="1134" w:type="dxa"/>
            <w:noWrap/>
            <w:hideMark/>
          </w:tcPr>
          <w:p w14:paraId="52FCCE3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25,210.83</w:t>
            </w:r>
          </w:p>
        </w:tc>
        <w:tc>
          <w:tcPr>
            <w:tcW w:w="1417" w:type="dxa"/>
            <w:noWrap/>
            <w:hideMark/>
          </w:tcPr>
          <w:p w14:paraId="477FDADD"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0" w:type="dxa"/>
            <w:noWrap/>
            <w:hideMark/>
          </w:tcPr>
          <w:p w14:paraId="0EFC23A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79.00</w:t>
            </w:r>
          </w:p>
        </w:tc>
        <w:tc>
          <w:tcPr>
            <w:tcW w:w="0" w:type="dxa"/>
            <w:noWrap/>
            <w:hideMark/>
          </w:tcPr>
          <w:p w14:paraId="79F1AA6A"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1276" w:type="dxa"/>
            <w:noWrap/>
            <w:hideMark/>
          </w:tcPr>
          <w:p w14:paraId="4723AD6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25,290</w:t>
            </w:r>
          </w:p>
        </w:tc>
      </w:tr>
      <w:tr w:rsidR="00941063" w:rsidRPr="00941063" w14:paraId="677D8FB9" w14:textId="77777777" w:rsidTr="00B67DAB">
        <w:trPr>
          <w:trHeight w:val="288"/>
        </w:trPr>
        <w:tc>
          <w:tcPr>
            <w:tcW w:w="0" w:type="dxa"/>
            <w:noWrap/>
            <w:hideMark/>
          </w:tcPr>
          <w:p w14:paraId="6B2018F5"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Portland District Health</w:t>
            </w:r>
          </w:p>
        </w:tc>
        <w:tc>
          <w:tcPr>
            <w:tcW w:w="1134" w:type="dxa"/>
            <w:noWrap/>
            <w:hideMark/>
          </w:tcPr>
          <w:p w14:paraId="496A6491"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3,787.15</w:t>
            </w:r>
          </w:p>
        </w:tc>
        <w:tc>
          <w:tcPr>
            <w:tcW w:w="1417" w:type="dxa"/>
            <w:noWrap/>
            <w:hideMark/>
          </w:tcPr>
          <w:p w14:paraId="11A0E85E"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15.84</w:t>
            </w:r>
          </w:p>
        </w:tc>
        <w:tc>
          <w:tcPr>
            <w:tcW w:w="0" w:type="dxa"/>
            <w:noWrap/>
            <w:hideMark/>
          </w:tcPr>
          <w:p w14:paraId="64FF21E2"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31.00</w:t>
            </w:r>
          </w:p>
        </w:tc>
        <w:tc>
          <w:tcPr>
            <w:tcW w:w="0" w:type="dxa"/>
            <w:noWrap/>
            <w:hideMark/>
          </w:tcPr>
          <w:p w14:paraId="2AC3BCB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14.00</w:t>
            </w:r>
          </w:p>
        </w:tc>
        <w:tc>
          <w:tcPr>
            <w:tcW w:w="1276" w:type="dxa"/>
            <w:noWrap/>
            <w:hideMark/>
          </w:tcPr>
          <w:p w14:paraId="322C45C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3,848</w:t>
            </w:r>
          </w:p>
        </w:tc>
      </w:tr>
      <w:tr w:rsidR="00941063" w:rsidRPr="00941063" w14:paraId="7882D7CB" w14:textId="77777777" w:rsidTr="00B67DAB">
        <w:trPr>
          <w:trHeight w:val="288"/>
        </w:trPr>
        <w:tc>
          <w:tcPr>
            <w:tcW w:w="0" w:type="dxa"/>
            <w:noWrap/>
            <w:hideMark/>
          </w:tcPr>
          <w:p w14:paraId="56FFA165"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Royal Victorian Eye &amp; Ear Hospital</w:t>
            </w:r>
          </w:p>
        </w:tc>
        <w:tc>
          <w:tcPr>
            <w:tcW w:w="1134" w:type="dxa"/>
            <w:noWrap/>
            <w:hideMark/>
          </w:tcPr>
          <w:p w14:paraId="27DF7CD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13,930.30</w:t>
            </w:r>
          </w:p>
        </w:tc>
        <w:tc>
          <w:tcPr>
            <w:tcW w:w="1417" w:type="dxa"/>
            <w:noWrap/>
            <w:hideMark/>
          </w:tcPr>
          <w:p w14:paraId="43C4A263"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0" w:type="dxa"/>
            <w:noWrap/>
            <w:hideMark/>
          </w:tcPr>
          <w:p w14:paraId="699693D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17.00</w:t>
            </w:r>
          </w:p>
        </w:tc>
        <w:tc>
          <w:tcPr>
            <w:tcW w:w="0" w:type="dxa"/>
            <w:noWrap/>
            <w:hideMark/>
          </w:tcPr>
          <w:p w14:paraId="50B2A42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30.00</w:t>
            </w:r>
          </w:p>
        </w:tc>
        <w:tc>
          <w:tcPr>
            <w:tcW w:w="1276" w:type="dxa"/>
            <w:noWrap/>
            <w:hideMark/>
          </w:tcPr>
          <w:p w14:paraId="705142F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13,977</w:t>
            </w:r>
          </w:p>
        </w:tc>
      </w:tr>
      <w:tr w:rsidR="00941063" w:rsidRPr="00941063" w14:paraId="67F0B45D" w14:textId="77777777" w:rsidTr="00B67DAB">
        <w:trPr>
          <w:trHeight w:val="288"/>
        </w:trPr>
        <w:tc>
          <w:tcPr>
            <w:tcW w:w="0" w:type="dxa"/>
            <w:noWrap/>
            <w:hideMark/>
          </w:tcPr>
          <w:p w14:paraId="4E9D6D79"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St Vincent's Hospital Melbourne Limited</w:t>
            </w:r>
          </w:p>
        </w:tc>
        <w:tc>
          <w:tcPr>
            <w:tcW w:w="1134" w:type="dxa"/>
            <w:noWrap/>
            <w:hideMark/>
          </w:tcPr>
          <w:p w14:paraId="087D960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64,054.87</w:t>
            </w:r>
          </w:p>
        </w:tc>
        <w:tc>
          <w:tcPr>
            <w:tcW w:w="1417" w:type="dxa"/>
            <w:noWrap/>
            <w:hideMark/>
          </w:tcPr>
          <w:p w14:paraId="54F025B6"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54.78</w:t>
            </w:r>
          </w:p>
        </w:tc>
        <w:tc>
          <w:tcPr>
            <w:tcW w:w="0" w:type="dxa"/>
            <w:noWrap/>
            <w:hideMark/>
          </w:tcPr>
          <w:p w14:paraId="1BE39B4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145.00</w:t>
            </w:r>
          </w:p>
        </w:tc>
        <w:tc>
          <w:tcPr>
            <w:tcW w:w="0" w:type="dxa"/>
            <w:noWrap/>
            <w:hideMark/>
          </w:tcPr>
          <w:p w14:paraId="05C986D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189.00</w:t>
            </w:r>
          </w:p>
        </w:tc>
        <w:tc>
          <w:tcPr>
            <w:tcW w:w="1276" w:type="dxa"/>
            <w:noWrap/>
            <w:hideMark/>
          </w:tcPr>
          <w:p w14:paraId="1F46532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64,444</w:t>
            </w:r>
          </w:p>
        </w:tc>
      </w:tr>
      <w:tr w:rsidR="00941063" w:rsidRPr="00941063" w14:paraId="25B8492D" w14:textId="77777777" w:rsidTr="00B67DAB">
        <w:trPr>
          <w:trHeight w:val="288"/>
        </w:trPr>
        <w:tc>
          <w:tcPr>
            <w:tcW w:w="0" w:type="dxa"/>
            <w:noWrap/>
            <w:hideMark/>
          </w:tcPr>
          <w:p w14:paraId="184452A4"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lastRenderedPageBreak/>
              <w:t>South West Healthcare</w:t>
            </w:r>
          </w:p>
        </w:tc>
        <w:tc>
          <w:tcPr>
            <w:tcW w:w="1134" w:type="dxa"/>
            <w:noWrap/>
            <w:hideMark/>
          </w:tcPr>
          <w:p w14:paraId="102324EA"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17,888.82</w:t>
            </w:r>
          </w:p>
        </w:tc>
        <w:tc>
          <w:tcPr>
            <w:tcW w:w="1417" w:type="dxa"/>
            <w:noWrap/>
            <w:hideMark/>
          </w:tcPr>
          <w:p w14:paraId="2F4BD57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36.85</w:t>
            </w:r>
          </w:p>
        </w:tc>
        <w:tc>
          <w:tcPr>
            <w:tcW w:w="0" w:type="dxa"/>
            <w:noWrap/>
            <w:hideMark/>
          </w:tcPr>
          <w:p w14:paraId="0B49E3E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102.00</w:t>
            </w:r>
          </w:p>
        </w:tc>
        <w:tc>
          <w:tcPr>
            <w:tcW w:w="0" w:type="dxa"/>
            <w:noWrap/>
            <w:hideMark/>
          </w:tcPr>
          <w:p w14:paraId="2CB8869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98.00</w:t>
            </w:r>
          </w:p>
        </w:tc>
        <w:tc>
          <w:tcPr>
            <w:tcW w:w="1276" w:type="dxa"/>
            <w:noWrap/>
            <w:hideMark/>
          </w:tcPr>
          <w:p w14:paraId="3E10CDE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18,126</w:t>
            </w:r>
          </w:p>
        </w:tc>
      </w:tr>
      <w:tr w:rsidR="00941063" w:rsidRPr="00941063" w14:paraId="280654E1" w14:textId="77777777" w:rsidTr="00B67DAB">
        <w:trPr>
          <w:trHeight w:val="288"/>
        </w:trPr>
        <w:tc>
          <w:tcPr>
            <w:tcW w:w="0" w:type="dxa"/>
            <w:noWrap/>
            <w:hideMark/>
          </w:tcPr>
          <w:p w14:paraId="29DBFB8C"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Swan Hill District Health</w:t>
            </w:r>
          </w:p>
        </w:tc>
        <w:tc>
          <w:tcPr>
            <w:tcW w:w="1134" w:type="dxa"/>
            <w:noWrap/>
            <w:hideMark/>
          </w:tcPr>
          <w:p w14:paraId="774DE62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4,973.83</w:t>
            </w:r>
          </w:p>
        </w:tc>
        <w:tc>
          <w:tcPr>
            <w:tcW w:w="1417" w:type="dxa"/>
            <w:noWrap/>
            <w:hideMark/>
          </w:tcPr>
          <w:p w14:paraId="02842EA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10.14</w:t>
            </w:r>
          </w:p>
        </w:tc>
        <w:tc>
          <w:tcPr>
            <w:tcW w:w="0" w:type="dxa"/>
            <w:noWrap/>
            <w:hideMark/>
          </w:tcPr>
          <w:p w14:paraId="23FEA27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61.00</w:t>
            </w:r>
          </w:p>
        </w:tc>
        <w:tc>
          <w:tcPr>
            <w:tcW w:w="0" w:type="dxa"/>
            <w:noWrap/>
            <w:hideMark/>
          </w:tcPr>
          <w:p w14:paraId="7AACB635"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23.00</w:t>
            </w:r>
          </w:p>
        </w:tc>
        <w:tc>
          <w:tcPr>
            <w:tcW w:w="1276" w:type="dxa"/>
            <w:noWrap/>
            <w:hideMark/>
          </w:tcPr>
          <w:p w14:paraId="4ED6F874"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5,068</w:t>
            </w:r>
          </w:p>
        </w:tc>
      </w:tr>
      <w:tr w:rsidR="00941063" w:rsidRPr="00941063" w14:paraId="4B9BA113" w14:textId="77777777" w:rsidTr="00B67DAB">
        <w:trPr>
          <w:trHeight w:val="288"/>
        </w:trPr>
        <w:tc>
          <w:tcPr>
            <w:tcW w:w="0" w:type="dxa"/>
            <w:noWrap/>
            <w:hideMark/>
          </w:tcPr>
          <w:p w14:paraId="15F3144E"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The Royal Children's Hospital</w:t>
            </w:r>
          </w:p>
        </w:tc>
        <w:tc>
          <w:tcPr>
            <w:tcW w:w="1134" w:type="dxa"/>
            <w:noWrap/>
            <w:hideMark/>
          </w:tcPr>
          <w:p w14:paraId="295EC2A3"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68,715.25</w:t>
            </w:r>
          </w:p>
        </w:tc>
        <w:tc>
          <w:tcPr>
            <w:tcW w:w="1417" w:type="dxa"/>
            <w:noWrap/>
            <w:hideMark/>
          </w:tcPr>
          <w:p w14:paraId="335DB9F0"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0" w:type="dxa"/>
            <w:noWrap/>
            <w:hideMark/>
          </w:tcPr>
          <w:p w14:paraId="2DB2F40C"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0" w:type="dxa"/>
            <w:noWrap/>
            <w:hideMark/>
          </w:tcPr>
          <w:p w14:paraId="45492B41"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380.00</w:t>
            </w:r>
          </w:p>
        </w:tc>
        <w:tc>
          <w:tcPr>
            <w:tcW w:w="1276" w:type="dxa"/>
            <w:noWrap/>
            <w:hideMark/>
          </w:tcPr>
          <w:p w14:paraId="230D2D9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69,095</w:t>
            </w:r>
          </w:p>
        </w:tc>
      </w:tr>
      <w:tr w:rsidR="00941063" w:rsidRPr="00941063" w14:paraId="5ECDF73B" w14:textId="77777777" w:rsidTr="00B67DAB">
        <w:trPr>
          <w:trHeight w:val="288"/>
        </w:trPr>
        <w:tc>
          <w:tcPr>
            <w:tcW w:w="0" w:type="dxa"/>
            <w:noWrap/>
            <w:hideMark/>
          </w:tcPr>
          <w:p w14:paraId="2C7F22DB"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The Royal Women's Hospital</w:t>
            </w:r>
          </w:p>
        </w:tc>
        <w:tc>
          <w:tcPr>
            <w:tcW w:w="1134" w:type="dxa"/>
            <w:noWrap/>
            <w:hideMark/>
          </w:tcPr>
          <w:p w14:paraId="2468F3F1"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35,144.28</w:t>
            </w:r>
          </w:p>
        </w:tc>
        <w:tc>
          <w:tcPr>
            <w:tcW w:w="1417" w:type="dxa"/>
            <w:noWrap/>
            <w:hideMark/>
          </w:tcPr>
          <w:p w14:paraId="696329DB"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0" w:type="dxa"/>
            <w:noWrap/>
            <w:hideMark/>
          </w:tcPr>
          <w:p w14:paraId="1C49B770"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0" w:type="dxa"/>
            <w:noWrap/>
            <w:hideMark/>
          </w:tcPr>
          <w:p w14:paraId="530F075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7.00</w:t>
            </w:r>
          </w:p>
        </w:tc>
        <w:tc>
          <w:tcPr>
            <w:tcW w:w="1276" w:type="dxa"/>
            <w:noWrap/>
            <w:hideMark/>
          </w:tcPr>
          <w:p w14:paraId="0299BC0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35,151</w:t>
            </w:r>
          </w:p>
        </w:tc>
      </w:tr>
      <w:tr w:rsidR="00941063" w:rsidRPr="00941063" w14:paraId="12517FA7" w14:textId="77777777" w:rsidTr="00B67DAB">
        <w:trPr>
          <w:trHeight w:val="288"/>
        </w:trPr>
        <w:tc>
          <w:tcPr>
            <w:tcW w:w="0" w:type="dxa"/>
            <w:noWrap/>
            <w:hideMark/>
          </w:tcPr>
          <w:p w14:paraId="1E928B39"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West Gippsland Healthcare Group</w:t>
            </w:r>
          </w:p>
        </w:tc>
        <w:tc>
          <w:tcPr>
            <w:tcW w:w="1134" w:type="dxa"/>
            <w:noWrap/>
            <w:hideMark/>
          </w:tcPr>
          <w:p w14:paraId="76F3CCB1"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12,797.59</w:t>
            </w:r>
          </w:p>
        </w:tc>
        <w:tc>
          <w:tcPr>
            <w:tcW w:w="1417" w:type="dxa"/>
            <w:noWrap/>
            <w:hideMark/>
          </w:tcPr>
          <w:p w14:paraId="02008AFB"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0" w:type="dxa"/>
            <w:noWrap/>
            <w:hideMark/>
          </w:tcPr>
          <w:p w14:paraId="69E0693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29.00</w:t>
            </w:r>
          </w:p>
        </w:tc>
        <w:tc>
          <w:tcPr>
            <w:tcW w:w="0" w:type="dxa"/>
            <w:noWrap/>
            <w:hideMark/>
          </w:tcPr>
          <w:p w14:paraId="61315F5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14.00</w:t>
            </w:r>
          </w:p>
        </w:tc>
        <w:tc>
          <w:tcPr>
            <w:tcW w:w="1276" w:type="dxa"/>
            <w:noWrap/>
            <w:hideMark/>
          </w:tcPr>
          <w:p w14:paraId="3E245158"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12,841</w:t>
            </w:r>
          </w:p>
        </w:tc>
      </w:tr>
      <w:tr w:rsidR="00941063" w:rsidRPr="00941063" w14:paraId="1448EC35" w14:textId="77777777" w:rsidTr="00B67DAB">
        <w:trPr>
          <w:trHeight w:val="288"/>
        </w:trPr>
        <w:tc>
          <w:tcPr>
            <w:tcW w:w="0" w:type="dxa"/>
            <w:noWrap/>
            <w:hideMark/>
          </w:tcPr>
          <w:p w14:paraId="5B9AE59C"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Western District Health Service</w:t>
            </w:r>
          </w:p>
        </w:tc>
        <w:tc>
          <w:tcPr>
            <w:tcW w:w="1134" w:type="dxa"/>
            <w:noWrap/>
            <w:hideMark/>
          </w:tcPr>
          <w:p w14:paraId="6067777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5,388.86</w:t>
            </w:r>
          </w:p>
        </w:tc>
        <w:tc>
          <w:tcPr>
            <w:tcW w:w="1417" w:type="dxa"/>
            <w:noWrap/>
            <w:hideMark/>
          </w:tcPr>
          <w:p w14:paraId="7C603D91"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49.80</w:t>
            </w:r>
          </w:p>
        </w:tc>
        <w:tc>
          <w:tcPr>
            <w:tcW w:w="0" w:type="dxa"/>
            <w:noWrap/>
            <w:hideMark/>
          </w:tcPr>
          <w:p w14:paraId="1326DC3D"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232.00</w:t>
            </w:r>
          </w:p>
        </w:tc>
        <w:tc>
          <w:tcPr>
            <w:tcW w:w="0" w:type="dxa"/>
            <w:noWrap/>
            <w:hideMark/>
          </w:tcPr>
          <w:p w14:paraId="54DBCDAD"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 </w:t>
            </w:r>
          </w:p>
        </w:tc>
        <w:tc>
          <w:tcPr>
            <w:tcW w:w="1276" w:type="dxa"/>
            <w:noWrap/>
            <w:hideMark/>
          </w:tcPr>
          <w:p w14:paraId="0F6E448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5,671</w:t>
            </w:r>
          </w:p>
        </w:tc>
      </w:tr>
      <w:tr w:rsidR="00941063" w:rsidRPr="00941063" w14:paraId="4BE96AB6" w14:textId="77777777" w:rsidTr="00B67DAB">
        <w:trPr>
          <w:trHeight w:val="288"/>
        </w:trPr>
        <w:tc>
          <w:tcPr>
            <w:tcW w:w="0" w:type="dxa"/>
            <w:noWrap/>
            <w:hideMark/>
          </w:tcPr>
          <w:p w14:paraId="4C9A60F4" w14:textId="77777777" w:rsidR="00941063" w:rsidRPr="00941063" w:rsidRDefault="00941063" w:rsidP="00941063">
            <w:pPr>
              <w:spacing w:after="0" w:line="240" w:lineRule="auto"/>
              <w:rPr>
                <w:rFonts w:cs="Arial"/>
                <w:color w:val="000000"/>
                <w:sz w:val="16"/>
                <w:szCs w:val="16"/>
                <w:lang w:eastAsia="en-AU"/>
              </w:rPr>
            </w:pPr>
            <w:r w:rsidRPr="00941063">
              <w:rPr>
                <w:rFonts w:cs="Arial"/>
                <w:color w:val="000000"/>
                <w:sz w:val="16"/>
                <w:szCs w:val="16"/>
                <w:lang w:eastAsia="en-AU"/>
              </w:rPr>
              <w:t>Western Health</w:t>
            </w:r>
          </w:p>
        </w:tc>
        <w:tc>
          <w:tcPr>
            <w:tcW w:w="1134" w:type="dxa"/>
            <w:noWrap/>
            <w:hideMark/>
          </w:tcPr>
          <w:p w14:paraId="59865737"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115,904.23</w:t>
            </w:r>
          </w:p>
        </w:tc>
        <w:tc>
          <w:tcPr>
            <w:tcW w:w="1417" w:type="dxa"/>
            <w:noWrap/>
            <w:hideMark/>
          </w:tcPr>
          <w:p w14:paraId="11CCCC60"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192.99</w:t>
            </w:r>
          </w:p>
        </w:tc>
        <w:tc>
          <w:tcPr>
            <w:tcW w:w="0" w:type="dxa"/>
            <w:noWrap/>
            <w:hideMark/>
          </w:tcPr>
          <w:p w14:paraId="78C927DC"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264.00</w:t>
            </w:r>
          </w:p>
        </w:tc>
        <w:tc>
          <w:tcPr>
            <w:tcW w:w="0" w:type="dxa"/>
            <w:noWrap/>
            <w:hideMark/>
          </w:tcPr>
          <w:p w14:paraId="580B0A79"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434.00</w:t>
            </w:r>
          </w:p>
        </w:tc>
        <w:tc>
          <w:tcPr>
            <w:tcW w:w="1276" w:type="dxa"/>
            <w:noWrap/>
            <w:hideMark/>
          </w:tcPr>
          <w:p w14:paraId="3A9D9EFF" w14:textId="77777777" w:rsidR="00941063" w:rsidRPr="00941063" w:rsidRDefault="00941063" w:rsidP="00941063">
            <w:pPr>
              <w:spacing w:after="0" w:line="240" w:lineRule="auto"/>
              <w:jc w:val="right"/>
              <w:rPr>
                <w:rFonts w:cs="Arial"/>
                <w:color w:val="000000"/>
                <w:sz w:val="16"/>
                <w:szCs w:val="16"/>
                <w:lang w:eastAsia="en-AU"/>
              </w:rPr>
            </w:pPr>
            <w:r w:rsidRPr="00941063">
              <w:rPr>
                <w:rFonts w:cs="Arial"/>
                <w:color w:val="000000"/>
                <w:sz w:val="16"/>
                <w:szCs w:val="16"/>
                <w:lang w:eastAsia="en-AU"/>
              </w:rPr>
              <w:t>116,795</w:t>
            </w:r>
          </w:p>
        </w:tc>
      </w:tr>
      <w:tr w:rsidR="00941063" w:rsidRPr="00941063" w14:paraId="615B8E6E" w14:textId="77777777" w:rsidTr="00941063">
        <w:trPr>
          <w:trHeight w:val="288"/>
        </w:trPr>
        <w:tc>
          <w:tcPr>
            <w:tcW w:w="3114" w:type="dxa"/>
            <w:shd w:val="clear" w:color="auto" w:fill="201547"/>
            <w:noWrap/>
            <w:hideMark/>
          </w:tcPr>
          <w:p w14:paraId="54AFAC4C" w14:textId="77777777" w:rsidR="00941063" w:rsidRPr="00B67DAB" w:rsidRDefault="00941063" w:rsidP="00941063">
            <w:pPr>
              <w:spacing w:after="0" w:line="240" w:lineRule="auto"/>
              <w:rPr>
                <w:rFonts w:cs="Arial"/>
                <w:b/>
                <w:bCs/>
                <w:color w:val="FFFFFF" w:themeColor="background1"/>
                <w:sz w:val="16"/>
                <w:szCs w:val="16"/>
                <w:lang w:eastAsia="en-AU"/>
              </w:rPr>
            </w:pPr>
            <w:r w:rsidRPr="00B67DAB">
              <w:rPr>
                <w:rFonts w:cs="Arial"/>
                <w:b/>
                <w:bCs/>
                <w:color w:val="FFFFFF" w:themeColor="background1"/>
                <w:sz w:val="16"/>
                <w:szCs w:val="16"/>
                <w:lang w:eastAsia="en-AU"/>
              </w:rPr>
              <w:t>Total</w:t>
            </w:r>
          </w:p>
        </w:tc>
        <w:tc>
          <w:tcPr>
            <w:tcW w:w="1134" w:type="dxa"/>
            <w:shd w:val="clear" w:color="auto" w:fill="201547"/>
            <w:noWrap/>
            <w:hideMark/>
          </w:tcPr>
          <w:p w14:paraId="7271B3D3" w14:textId="77777777" w:rsidR="00941063" w:rsidRPr="00B67DAB" w:rsidRDefault="00941063" w:rsidP="00941063">
            <w:pPr>
              <w:spacing w:after="0" w:line="240" w:lineRule="auto"/>
              <w:jc w:val="right"/>
              <w:rPr>
                <w:rFonts w:cs="Arial"/>
                <w:b/>
                <w:bCs/>
                <w:color w:val="FFFFFF" w:themeColor="background1"/>
                <w:sz w:val="16"/>
                <w:szCs w:val="16"/>
                <w:lang w:eastAsia="en-AU"/>
              </w:rPr>
            </w:pPr>
            <w:r w:rsidRPr="00B67DAB">
              <w:rPr>
                <w:rFonts w:cs="Arial"/>
                <w:b/>
                <w:bCs/>
                <w:color w:val="FFFFFF" w:themeColor="background1"/>
                <w:sz w:val="16"/>
                <w:szCs w:val="16"/>
                <w:lang w:eastAsia="en-AU"/>
              </w:rPr>
              <w:t>1,565,302.24</w:t>
            </w:r>
          </w:p>
        </w:tc>
        <w:tc>
          <w:tcPr>
            <w:tcW w:w="1417" w:type="dxa"/>
            <w:shd w:val="clear" w:color="auto" w:fill="201547"/>
            <w:noWrap/>
            <w:hideMark/>
          </w:tcPr>
          <w:p w14:paraId="0F0CAC27" w14:textId="77777777" w:rsidR="00941063" w:rsidRPr="00B67DAB" w:rsidRDefault="00941063" w:rsidP="00941063">
            <w:pPr>
              <w:spacing w:after="0" w:line="240" w:lineRule="auto"/>
              <w:jc w:val="right"/>
              <w:rPr>
                <w:rFonts w:cs="Arial"/>
                <w:b/>
                <w:bCs/>
                <w:color w:val="FFFFFF" w:themeColor="background1"/>
                <w:sz w:val="16"/>
                <w:szCs w:val="16"/>
                <w:lang w:eastAsia="en-AU"/>
              </w:rPr>
            </w:pPr>
            <w:r w:rsidRPr="00B67DAB">
              <w:rPr>
                <w:rFonts w:cs="Arial"/>
                <w:b/>
                <w:bCs/>
                <w:color w:val="FFFFFF" w:themeColor="background1"/>
                <w:sz w:val="16"/>
                <w:szCs w:val="16"/>
                <w:lang w:eastAsia="en-AU"/>
              </w:rPr>
              <w:t>1,604.58</w:t>
            </w:r>
          </w:p>
        </w:tc>
        <w:tc>
          <w:tcPr>
            <w:tcW w:w="1134" w:type="dxa"/>
            <w:shd w:val="clear" w:color="auto" w:fill="201547"/>
            <w:noWrap/>
            <w:hideMark/>
          </w:tcPr>
          <w:p w14:paraId="74350970" w14:textId="77777777" w:rsidR="00941063" w:rsidRPr="00B67DAB" w:rsidRDefault="00941063" w:rsidP="00941063">
            <w:pPr>
              <w:spacing w:after="0" w:line="240" w:lineRule="auto"/>
              <w:jc w:val="right"/>
              <w:rPr>
                <w:rFonts w:cs="Arial"/>
                <w:b/>
                <w:bCs/>
                <w:color w:val="FFFFFF" w:themeColor="background1"/>
                <w:sz w:val="16"/>
                <w:szCs w:val="16"/>
                <w:lang w:eastAsia="en-AU"/>
              </w:rPr>
            </w:pPr>
            <w:r w:rsidRPr="00B67DAB">
              <w:rPr>
                <w:rFonts w:cs="Arial"/>
                <w:b/>
                <w:bCs/>
                <w:color w:val="FFFFFF" w:themeColor="background1"/>
                <w:sz w:val="16"/>
                <w:szCs w:val="16"/>
                <w:lang w:eastAsia="en-AU"/>
              </w:rPr>
              <w:t>5,431.00</w:t>
            </w:r>
          </w:p>
        </w:tc>
        <w:tc>
          <w:tcPr>
            <w:tcW w:w="1276" w:type="dxa"/>
            <w:shd w:val="clear" w:color="auto" w:fill="201547"/>
            <w:noWrap/>
            <w:hideMark/>
          </w:tcPr>
          <w:p w14:paraId="31B81383" w14:textId="77777777" w:rsidR="00941063" w:rsidRPr="00B67DAB" w:rsidRDefault="00941063" w:rsidP="00941063">
            <w:pPr>
              <w:spacing w:after="0" w:line="240" w:lineRule="auto"/>
              <w:jc w:val="right"/>
              <w:rPr>
                <w:rFonts w:cs="Arial"/>
                <w:b/>
                <w:bCs/>
                <w:color w:val="FFFFFF" w:themeColor="background1"/>
                <w:sz w:val="16"/>
                <w:szCs w:val="16"/>
                <w:lang w:eastAsia="en-AU"/>
              </w:rPr>
            </w:pPr>
            <w:r w:rsidRPr="00B67DAB">
              <w:rPr>
                <w:rFonts w:cs="Arial"/>
                <w:b/>
                <w:bCs/>
                <w:color w:val="FFFFFF" w:themeColor="background1"/>
                <w:sz w:val="16"/>
                <w:szCs w:val="16"/>
                <w:lang w:eastAsia="en-AU"/>
              </w:rPr>
              <w:t>16,651.00</w:t>
            </w:r>
          </w:p>
        </w:tc>
        <w:tc>
          <w:tcPr>
            <w:tcW w:w="1276" w:type="dxa"/>
            <w:shd w:val="clear" w:color="auto" w:fill="201547"/>
            <w:noWrap/>
            <w:hideMark/>
          </w:tcPr>
          <w:p w14:paraId="7DD14BF2" w14:textId="47BABDE6" w:rsidR="00941063" w:rsidRPr="00B67DAB" w:rsidRDefault="00941063" w:rsidP="00941063">
            <w:pPr>
              <w:spacing w:after="0" w:line="240" w:lineRule="auto"/>
              <w:jc w:val="right"/>
              <w:rPr>
                <w:rFonts w:cs="Arial"/>
                <w:b/>
                <w:bCs/>
                <w:color w:val="FFFFFF" w:themeColor="background1"/>
                <w:sz w:val="16"/>
                <w:szCs w:val="16"/>
                <w:lang w:eastAsia="en-AU"/>
              </w:rPr>
            </w:pPr>
            <w:r w:rsidRPr="0FE61CA0">
              <w:rPr>
                <w:rFonts w:cs="Arial"/>
                <w:b/>
                <w:color w:val="FFFFFF" w:themeColor="background1"/>
                <w:sz w:val="16"/>
                <w:szCs w:val="16"/>
                <w:lang w:eastAsia="en-AU"/>
              </w:rPr>
              <w:t>1,588,988.82</w:t>
            </w:r>
          </w:p>
        </w:tc>
      </w:tr>
    </w:tbl>
    <w:p w14:paraId="34BBBAFD" w14:textId="77777777" w:rsidR="00941063" w:rsidRPr="001A247B" w:rsidRDefault="00941063" w:rsidP="001A247B">
      <w:pPr>
        <w:pStyle w:val="Body"/>
      </w:pPr>
    </w:p>
    <w:p w14:paraId="08F4FEF7" w14:textId="77777777" w:rsidR="002A1965" w:rsidRDefault="002A1965" w:rsidP="002A1965">
      <w:pPr>
        <w:spacing w:after="0" w:line="240" w:lineRule="auto"/>
      </w:pPr>
    </w:p>
    <w:p w14:paraId="51F584AD" w14:textId="689A84C7" w:rsidR="000B27B9" w:rsidRDefault="000B27B9" w:rsidP="009375E0">
      <w:pPr>
        <w:pStyle w:val="Heading3"/>
        <w:spacing w:before="240"/>
      </w:pPr>
      <w:bookmarkStart w:id="1251" w:name="_Toc12780667"/>
      <w:bookmarkStart w:id="1252" w:name="_Toc14172308"/>
      <w:bookmarkStart w:id="1253" w:name="_Toc33703982"/>
      <w:bookmarkStart w:id="1254" w:name="_Toc55381170"/>
      <w:bookmarkStart w:id="1255" w:name="_Toc100263376"/>
      <w:bookmarkStart w:id="1256" w:name="_Toc127192024"/>
      <w:r>
        <w:t xml:space="preserve">Victorian </w:t>
      </w:r>
      <w:r w:rsidR="00331D5D">
        <w:t>S</w:t>
      </w:r>
      <w:r>
        <w:t xml:space="preserve">mall </w:t>
      </w:r>
      <w:r w:rsidR="00331D5D">
        <w:t>R</w:t>
      </w:r>
      <w:r>
        <w:t xml:space="preserve">ural </w:t>
      </w:r>
      <w:r w:rsidR="00331D5D">
        <w:t>H</w:t>
      </w:r>
      <w:r>
        <w:t xml:space="preserve">ealth </w:t>
      </w:r>
      <w:r w:rsidR="00331D5D">
        <w:t>S</w:t>
      </w:r>
      <w:r>
        <w:t xml:space="preserve">ervice </w:t>
      </w:r>
      <w:r w:rsidR="00331D5D" w:rsidRPr="00FB011D">
        <w:t>A</w:t>
      </w:r>
      <w:r w:rsidRPr="00FB011D">
        <w:t xml:space="preserve">cute </w:t>
      </w:r>
      <w:r w:rsidR="00331D5D" w:rsidRPr="00FB011D">
        <w:t>A</w:t>
      </w:r>
      <w:r w:rsidRPr="00FB011D">
        <w:t xml:space="preserve">dmitted </w:t>
      </w:r>
      <w:r w:rsidR="00331D5D" w:rsidRPr="00FB011D">
        <w:t>A</w:t>
      </w:r>
      <w:r w:rsidRPr="00FB011D">
        <w:t>ctivit</w:t>
      </w:r>
      <w:r w:rsidRPr="00EE4218">
        <w:t>y</w:t>
      </w:r>
      <w:r>
        <w:t xml:space="preserve"> </w:t>
      </w:r>
      <w:r w:rsidR="00331D5D">
        <w:t>T</w:t>
      </w:r>
      <w:r>
        <w:t>arg</w:t>
      </w:r>
      <w:r w:rsidRPr="00FD0484">
        <w:t xml:space="preserve">ets </w:t>
      </w:r>
      <w:bookmarkEnd w:id="1251"/>
      <w:bookmarkEnd w:id="1252"/>
      <w:bookmarkEnd w:id="1253"/>
      <w:bookmarkEnd w:id="1254"/>
      <w:r w:rsidR="005D1FCB" w:rsidRPr="00FD0484">
        <w:t>2022</w:t>
      </w:r>
      <w:r w:rsidR="008E4EAD" w:rsidRPr="00FD0484">
        <w:t>–</w:t>
      </w:r>
      <w:r w:rsidR="005D1FCB" w:rsidRPr="00FD0484">
        <w:t>23</w:t>
      </w:r>
      <w:bookmarkEnd w:id="1255"/>
      <w:bookmarkEnd w:id="1256"/>
    </w:p>
    <w:p w14:paraId="52EFCFAA" w14:textId="77777777" w:rsidR="000B27B9" w:rsidRDefault="000B27B9" w:rsidP="0064265C">
      <w:pPr>
        <w:pStyle w:val="Tablefigurenote9pt"/>
      </w:pPr>
      <w:r w:rsidRPr="00A62258">
        <w:t>Notes:</w:t>
      </w:r>
    </w:p>
    <w:p w14:paraId="54FE9F66" w14:textId="43E8ED04" w:rsidR="000B27B9" w:rsidRDefault="000B27B9" w:rsidP="003C01AD">
      <w:pPr>
        <w:pStyle w:val="Tablenoteroman"/>
        <w:numPr>
          <w:ilvl w:val="0"/>
          <w:numId w:val="10"/>
        </w:numPr>
      </w:pPr>
      <w:r>
        <w:rPr>
          <w:lang w:eastAsia="en-AU"/>
        </w:rPr>
        <w:t xml:space="preserve">Recall is not applied on notional public/private </w:t>
      </w:r>
      <w:r w:rsidR="005F23C2">
        <w:rPr>
          <w:lang w:eastAsia="en-AU"/>
        </w:rPr>
        <w:t xml:space="preserve">NWAU </w:t>
      </w:r>
      <w:r>
        <w:rPr>
          <w:lang w:eastAsia="en-AU"/>
        </w:rPr>
        <w:t>targets for small rural health services.</w:t>
      </w:r>
    </w:p>
    <w:p w14:paraId="4735E272" w14:textId="0B6BF976" w:rsidR="000B27B9" w:rsidRDefault="000B27B9" w:rsidP="003C01AD">
      <w:pPr>
        <w:pStyle w:val="Tablenoteroman"/>
        <w:numPr>
          <w:ilvl w:val="0"/>
          <w:numId w:val="10"/>
        </w:numPr>
      </w:pPr>
      <w:r>
        <w:rPr>
          <w:lang w:eastAsia="en-AU"/>
        </w:rPr>
        <w:t xml:space="preserve">NBCSP refers to National Bowel Cancer Screen Program colonoscopy </w:t>
      </w:r>
      <w:r w:rsidR="005F23C2">
        <w:rPr>
          <w:lang w:eastAsia="en-AU"/>
        </w:rPr>
        <w:t>NWAU</w:t>
      </w:r>
      <w:r w:rsidR="003A2A05">
        <w:rPr>
          <w:lang w:eastAsia="en-AU"/>
        </w:rPr>
        <w:t>.</w:t>
      </w:r>
    </w:p>
    <w:p w14:paraId="793D19CF" w14:textId="484DEA00" w:rsidR="000B27B9" w:rsidRDefault="000B27B9" w:rsidP="003C01AD">
      <w:pPr>
        <w:pStyle w:val="Tablenoteroman"/>
        <w:numPr>
          <w:ilvl w:val="0"/>
          <w:numId w:val="10"/>
        </w:numPr>
      </w:pPr>
      <w:r>
        <w:rPr>
          <w:lang w:eastAsia="en-AU"/>
        </w:rPr>
        <w:t>NBCSP</w:t>
      </w:r>
      <w:r w:rsidDel="005F23C2">
        <w:rPr>
          <w:lang w:eastAsia="en-AU"/>
        </w:rPr>
        <w:t xml:space="preserve"> </w:t>
      </w:r>
      <w:r>
        <w:rPr>
          <w:lang w:eastAsia="en-AU"/>
        </w:rPr>
        <w:t>is paid to actual activity. Targets shown in the table are estimated activity volumes only.</w:t>
      </w:r>
    </w:p>
    <w:p w14:paraId="381417B4" w14:textId="150FE520" w:rsidR="000B27B9" w:rsidRDefault="000B27B9" w:rsidP="000E08EF">
      <w:pPr>
        <w:pStyle w:val="Tablecaption"/>
      </w:pPr>
      <w:bookmarkStart w:id="1257" w:name="_Toc12780570"/>
      <w:bookmarkStart w:id="1258" w:name="_Toc14194826"/>
      <w:bookmarkStart w:id="1259" w:name="_Toc33704007"/>
      <w:bookmarkStart w:id="1260" w:name="_Toc109894137"/>
      <w:bookmarkStart w:id="1261" w:name="_Toc119500918"/>
      <w:r>
        <w:t xml:space="preserve">Table </w:t>
      </w:r>
      <w:r>
        <w:fldChar w:fldCharType="begin"/>
      </w:r>
      <w:r>
        <w:instrText>STYLEREF 1 \s</w:instrText>
      </w:r>
      <w:r>
        <w:fldChar w:fldCharType="separate"/>
      </w:r>
      <w:r w:rsidR="006D0756">
        <w:rPr>
          <w:noProof/>
        </w:rPr>
        <w:t>2</w:t>
      </w:r>
      <w:r>
        <w:fldChar w:fldCharType="end"/>
      </w:r>
      <w:r w:rsidR="00EC6300">
        <w:t>.</w:t>
      </w:r>
      <w:r>
        <w:fldChar w:fldCharType="begin"/>
      </w:r>
      <w:r>
        <w:instrText>SEQ Table \* ARABIC \s 1</w:instrText>
      </w:r>
      <w:r>
        <w:fldChar w:fldCharType="separate"/>
      </w:r>
      <w:r w:rsidR="006D0756">
        <w:rPr>
          <w:noProof/>
        </w:rPr>
        <w:t>11</w:t>
      </w:r>
      <w:r>
        <w:fldChar w:fldCharType="end"/>
      </w:r>
      <w:r>
        <w:t xml:space="preserve">: Victorian small rural health service acute admitted activity </w:t>
      </w:r>
      <w:r w:rsidRPr="00FD0484">
        <w:t>targets</w:t>
      </w:r>
      <w:bookmarkEnd w:id="1257"/>
      <w:bookmarkEnd w:id="1258"/>
      <w:bookmarkEnd w:id="1259"/>
      <w:r w:rsidR="002C0ECE" w:rsidRPr="00FD0484">
        <w:t xml:space="preserve"> </w:t>
      </w:r>
      <w:r w:rsidR="005D1FCB" w:rsidRPr="00FD0484">
        <w:t>2022</w:t>
      </w:r>
      <w:r w:rsidR="008E4EAD" w:rsidRPr="00FD0484">
        <w:t>–</w:t>
      </w:r>
      <w:r w:rsidR="005D1FCB" w:rsidRPr="00FD0484">
        <w:t>23</w:t>
      </w:r>
      <w:bookmarkEnd w:id="1260"/>
      <w:bookmarkEnd w:id="1261"/>
    </w:p>
    <w:tbl>
      <w:tblPr>
        <w:tblStyle w:val="TableGrid1"/>
        <w:tblW w:w="9209" w:type="dxa"/>
        <w:tblLayout w:type="fixed"/>
        <w:tblLook w:val="06A0" w:firstRow="1" w:lastRow="0" w:firstColumn="1" w:lastColumn="0" w:noHBand="1" w:noVBand="1"/>
      </w:tblPr>
      <w:tblGrid>
        <w:gridCol w:w="3114"/>
        <w:gridCol w:w="1219"/>
        <w:gridCol w:w="1219"/>
        <w:gridCol w:w="1219"/>
        <w:gridCol w:w="1219"/>
        <w:gridCol w:w="1219"/>
      </w:tblGrid>
      <w:tr w:rsidR="00227EAF" w:rsidRPr="001E2FE7" w14:paraId="071256EF" w14:textId="77777777" w:rsidTr="00091651">
        <w:trPr>
          <w:cnfStyle w:val="100000000000" w:firstRow="1" w:lastRow="0" w:firstColumn="0" w:lastColumn="0" w:oddVBand="0" w:evenVBand="0" w:oddHBand="0" w:evenHBand="0" w:firstRowFirstColumn="0" w:firstRowLastColumn="0" w:lastRowFirstColumn="0" w:lastRowLastColumn="0"/>
          <w:trHeight w:val="636"/>
          <w:tblHeader/>
        </w:trPr>
        <w:tc>
          <w:tcPr>
            <w:tcW w:w="3114" w:type="dxa"/>
            <w:noWrap/>
            <w:hideMark/>
          </w:tcPr>
          <w:p w14:paraId="2E14D8BA" w14:textId="77777777" w:rsidR="001E2FE7" w:rsidRPr="001E2FE7" w:rsidRDefault="001E2FE7" w:rsidP="001E2FE7">
            <w:pPr>
              <w:spacing w:after="0" w:line="240" w:lineRule="auto"/>
              <w:rPr>
                <w:rFonts w:cs="Arial"/>
                <w:b/>
                <w:bCs/>
                <w:color w:val="FFFFFF"/>
                <w:sz w:val="16"/>
                <w:szCs w:val="16"/>
                <w:lang w:eastAsia="en-AU"/>
              </w:rPr>
            </w:pPr>
            <w:r w:rsidRPr="001E2FE7">
              <w:rPr>
                <w:rFonts w:cs="Arial"/>
                <w:b/>
                <w:bCs/>
                <w:color w:val="FFFFFF"/>
                <w:sz w:val="16"/>
                <w:szCs w:val="16"/>
                <w:lang w:eastAsia="en-AU"/>
              </w:rPr>
              <w:t>Health Service</w:t>
            </w:r>
          </w:p>
        </w:tc>
        <w:tc>
          <w:tcPr>
            <w:tcW w:w="1219" w:type="dxa"/>
            <w:hideMark/>
          </w:tcPr>
          <w:p w14:paraId="70CB2A97"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National Bowel Screening</w:t>
            </w:r>
          </w:p>
        </w:tc>
        <w:tc>
          <w:tcPr>
            <w:tcW w:w="1219" w:type="dxa"/>
            <w:hideMark/>
          </w:tcPr>
          <w:p w14:paraId="3D2DC696"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NWAU admitted DVA</w:t>
            </w:r>
          </w:p>
        </w:tc>
        <w:tc>
          <w:tcPr>
            <w:tcW w:w="1219" w:type="dxa"/>
            <w:hideMark/>
          </w:tcPr>
          <w:p w14:paraId="20283958"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NWAU admitted TAC</w:t>
            </w:r>
          </w:p>
        </w:tc>
        <w:tc>
          <w:tcPr>
            <w:tcW w:w="1219" w:type="dxa"/>
            <w:hideMark/>
          </w:tcPr>
          <w:p w14:paraId="422C9812"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NWAU Renal</w:t>
            </w:r>
          </w:p>
        </w:tc>
        <w:tc>
          <w:tcPr>
            <w:tcW w:w="1219" w:type="dxa"/>
            <w:hideMark/>
          </w:tcPr>
          <w:p w14:paraId="43D2BFBC"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Total</w:t>
            </w:r>
          </w:p>
        </w:tc>
      </w:tr>
      <w:tr w:rsidR="001E2FE7" w:rsidRPr="001E2FE7" w14:paraId="0CCFDD2C" w14:textId="77777777" w:rsidTr="00227EAF">
        <w:trPr>
          <w:trHeight w:val="288"/>
        </w:trPr>
        <w:tc>
          <w:tcPr>
            <w:tcW w:w="3114" w:type="dxa"/>
            <w:noWrap/>
            <w:hideMark/>
          </w:tcPr>
          <w:p w14:paraId="659DB4D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Alexandra District Health</w:t>
            </w:r>
          </w:p>
        </w:tc>
        <w:tc>
          <w:tcPr>
            <w:tcW w:w="1219" w:type="dxa"/>
            <w:noWrap/>
            <w:hideMark/>
          </w:tcPr>
          <w:p w14:paraId="6E2E6CEC"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7.23</w:t>
            </w:r>
          </w:p>
        </w:tc>
        <w:tc>
          <w:tcPr>
            <w:tcW w:w="1219" w:type="dxa"/>
            <w:noWrap/>
            <w:hideMark/>
          </w:tcPr>
          <w:p w14:paraId="06158004"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w:t>
            </w:r>
          </w:p>
        </w:tc>
        <w:tc>
          <w:tcPr>
            <w:tcW w:w="1219" w:type="dxa"/>
            <w:noWrap/>
            <w:hideMark/>
          </w:tcPr>
          <w:p w14:paraId="01DCCAA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E585C0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ECEC105"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9.23</w:t>
            </w:r>
          </w:p>
        </w:tc>
      </w:tr>
      <w:tr w:rsidR="001E2FE7" w:rsidRPr="001E2FE7" w14:paraId="6CE5F3D0" w14:textId="77777777" w:rsidTr="00227EAF">
        <w:trPr>
          <w:trHeight w:val="288"/>
        </w:trPr>
        <w:tc>
          <w:tcPr>
            <w:tcW w:w="3114" w:type="dxa"/>
            <w:noWrap/>
            <w:hideMark/>
          </w:tcPr>
          <w:p w14:paraId="1D649A4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Alpine Health</w:t>
            </w:r>
          </w:p>
        </w:tc>
        <w:tc>
          <w:tcPr>
            <w:tcW w:w="1219" w:type="dxa"/>
            <w:noWrap/>
            <w:hideMark/>
          </w:tcPr>
          <w:p w14:paraId="37807A7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6E67EF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29</w:t>
            </w:r>
          </w:p>
        </w:tc>
        <w:tc>
          <w:tcPr>
            <w:tcW w:w="1219" w:type="dxa"/>
            <w:noWrap/>
            <w:hideMark/>
          </w:tcPr>
          <w:p w14:paraId="63A2C1B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7</w:t>
            </w:r>
          </w:p>
        </w:tc>
        <w:tc>
          <w:tcPr>
            <w:tcW w:w="1219" w:type="dxa"/>
            <w:noWrap/>
            <w:hideMark/>
          </w:tcPr>
          <w:p w14:paraId="75EE9BD0"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40.27</w:t>
            </w:r>
          </w:p>
        </w:tc>
        <w:tc>
          <w:tcPr>
            <w:tcW w:w="1219" w:type="dxa"/>
            <w:noWrap/>
            <w:hideMark/>
          </w:tcPr>
          <w:p w14:paraId="5DDC70F3"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76.27</w:t>
            </w:r>
          </w:p>
        </w:tc>
      </w:tr>
      <w:tr w:rsidR="001E2FE7" w:rsidRPr="001E2FE7" w14:paraId="00B04811" w14:textId="77777777" w:rsidTr="00227EAF">
        <w:trPr>
          <w:trHeight w:val="288"/>
        </w:trPr>
        <w:tc>
          <w:tcPr>
            <w:tcW w:w="3114" w:type="dxa"/>
            <w:noWrap/>
            <w:hideMark/>
          </w:tcPr>
          <w:p w14:paraId="4CC7751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Beaufort &amp; Skipton Health Service</w:t>
            </w:r>
          </w:p>
        </w:tc>
        <w:tc>
          <w:tcPr>
            <w:tcW w:w="1219" w:type="dxa"/>
            <w:noWrap/>
            <w:hideMark/>
          </w:tcPr>
          <w:p w14:paraId="1AE3B705"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CF0EF1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3212237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CE8918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124ED4D"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0</w:t>
            </w:r>
          </w:p>
        </w:tc>
      </w:tr>
      <w:tr w:rsidR="001E2FE7" w:rsidRPr="001E2FE7" w14:paraId="32AC795C" w14:textId="77777777" w:rsidTr="00227EAF">
        <w:trPr>
          <w:trHeight w:val="288"/>
        </w:trPr>
        <w:tc>
          <w:tcPr>
            <w:tcW w:w="3114" w:type="dxa"/>
            <w:noWrap/>
            <w:hideMark/>
          </w:tcPr>
          <w:p w14:paraId="05C96449"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Beechworth Health Service</w:t>
            </w:r>
          </w:p>
        </w:tc>
        <w:tc>
          <w:tcPr>
            <w:tcW w:w="1219" w:type="dxa"/>
            <w:noWrap/>
            <w:hideMark/>
          </w:tcPr>
          <w:p w14:paraId="1A18F4A9"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A6EC21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18</w:t>
            </w:r>
          </w:p>
        </w:tc>
        <w:tc>
          <w:tcPr>
            <w:tcW w:w="1219" w:type="dxa"/>
            <w:noWrap/>
            <w:hideMark/>
          </w:tcPr>
          <w:p w14:paraId="161802A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w:t>
            </w:r>
          </w:p>
        </w:tc>
        <w:tc>
          <w:tcPr>
            <w:tcW w:w="1219" w:type="dxa"/>
            <w:noWrap/>
            <w:hideMark/>
          </w:tcPr>
          <w:p w14:paraId="3229CF6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9057D81"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24</w:t>
            </w:r>
          </w:p>
        </w:tc>
      </w:tr>
      <w:tr w:rsidR="001E2FE7" w:rsidRPr="001E2FE7" w14:paraId="0FA96D19" w14:textId="77777777" w:rsidTr="00227EAF">
        <w:trPr>
          <w:trHeight w:val="288"/>
        </w:trPr>
        <w:tc>
          <w:tcPr>
            <w:tcW w:w="3114" w:type="dxa"/>
            <w:noWrap/>
            <w:hideMark/>
          </w:tcPr>
          <w:p w14:paraId="1DB87A7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Boort District Health</w:t>
            </w:r>
          </w:p>
        </w:tc>
        <w:tc>
          <w:tcPr>
            <w:tcW w:w="1219" w:type="dxa"/>
            <w:noWrap/>
            <w:hideMark/>
          </w:tcPr>
          <w:p w14:paraId="493E077C"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BB1EFF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23</w:t>
            </w:r>
          </w:p>
        </w:tc>
        <w:tc>
          <w:tcPr>
            <w:tcW w:w="1219" w:type="dxa"/>
            <w:noWrap/>
            <w:hideMark/>
          </w:tcPr>
          <w:p w14:paraId="2450DC3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D1CBDB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2A5DA0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23</w:t>
            </w:r>
          </w:p>
        </w:tc>
      </w:tr>
      <w:tr w:rsidR="001E2FE7" w:rsidRPr="001E2FE7" w14:paraId="44111C9A" w14:textId="77777777" w:rsidTr="00227EAF">
        <w:trPr>
          <w:trHeight w:val="288"/>
        </w:trPr>
        <w:tc>
          <w:tcPr>
            <w:tcW w:w="3114" w:type="dxa"/>
            <w:noWrap/>
            <w:hideMark/>
          </w:tcPr>
          <w:p w14:paraId="71CB20E9"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Casterton Memorial Hospital</w:t>
            </w:r>
          </w:p>
        </w:tc>
        <w:tc>
          <w:tcPr>
            <w:tcW w:w="1219" w:type="dxa"/>
            <w:noWrap/>
            <w:hideMark/>
          </w:tcPr>
          <w:p w14:paraId="18BA79C4"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4.48</w:t>
            </w:r>
          </w:p>
        </w:tc>
        <w:tc>
          <w:tcPr>
            <w:tcW w:w="1219" w:type="dxa"/>
            <w:noWrap/>
            <w:hideMark/>
          </w:tcPr>
          <w:p w14:paraId="44DE1611"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w:t>
            </w:r>
          </w:p>
        </w:tc>
        <w:tc>
          <w:tcPr>
            <w:tcW w:w="1219" w:type="dxa"/>
            <w:noWrap/>
            <w:hideMark/>
          </w:tcPr>
          <w:p w14:paraId="1701570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9757580"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3.44</w:t>
            </w:r>
          </w:p>
        </w:tc>
        <w:tc>
          <w:tcPr>
            <w:tcW w:w="1219" w:type="dxa"/>
            <w:noWrap/>
            <w:hideMark/>
          </w:tcPr>
          <w:p w14:paraId="1A2978E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9.92</w:t>
            </w:r>
          </w:p>
        </w:tc>
      </w:tr>
      <w:tr w:rsidR="001E2FE7" w:rsidRPr="001E2FE7" w14:paraId="5ED1F66A" w14:textId="77777777" w:rsidTr="00227EAF">
        <w:trPr>
          <w:trHeight w:val="288"/>
        </w:trPr>
        <w:tc>
          <w:tcPr>
            <w:tcW w:w="3114" w:type="dxa"/>
            <w:noWrap/>
            <w:hideMark/>
          </w:tcPr>
          <w:p w14:paraId="5F83072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Central Highlands Rural Health</w:t>
            </w:r>
          </w:p>
        </w:tc>
        <w:tc>
          <w:tcPr>
            <w:tcW w:w="1219" w:type="dxa"/>
            <w:noWrap/>
            <w:hideMark/>
          </w:tcPr>
          <w:p w14:paraId="40B545E5"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110.43</w:t>
            </w:r>
          </w:p>
        </w:tc>
        <w:tc>
          <w:tcPr>
            <w:tcW w:w="1219" w:type="dxa"/>
            <w:noWrap/>
            <w:hideMark/>
          </w:tcPr>
          <w:p w14:paraId="054731EB"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8</w:t>
            </w:r>
          </w:p>
        </w:tc>
        <w:tc>
          <w:tcPr>
            <w:tcW w:w="1219" w:type="dxa"/>
            <w:noWrap/>
            <w:hideMark/>
          </w:tcPr>
          <w:p w14:paraId="1752C20A"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CEABFEA"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106.55</w:t>
            </w:r>
          </w:p>
        </w:tc>
        <w:tc>
          <w:tcPr>
            <w:tcW w:w="1219" w:type="dxa"/>
            <w:noWrap/>
            <w:hideMark/>
          </w:tcPr>
          <w:p w14:paraId="34D15C6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224.98</w:t>
            </w:r>
          </w:p>
        </w:tc>
      </w:tr>
      <w:tr w:rsidR="001E2FE7" w:rsidRPr="001E2FE7" w14:paraId="0D32F6AE" w14:textId="77777777" w:rsidTr="00227EAF">
        <w:trPr>
          <w:trHeight w:val="288"/>
        </w:trPr>
        <w:tc>
          <w:tcPr>
            <w:tcW w:w="3114" w:type="dxa"/>
            <w:noWrap/>
            <w:hideMark/>
          </w:tcPr>
          <w:p w14:paraId="37E7200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Cohuna District Hospital</w:t>
            </w:r>
          </w:p>
        </w:tc>
        <w:tc>
          <w:tcPr>
            <w:tcW w:w="1219" w:type="dxa"/>
            <w:noWrap/>
            <w:hideMark/>
          </w:tcPr>
          <w:p w14:paraId="38C5102D"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7.78</w:t>
            </w:r>
          </w:p>
        </w:tc>
        <w:tc>
          <w:tcPr>
            <w:tcW w:w="1219" w:type="dxa"/>
            <w:noWrap/>
            <w:hideMark/>
          </w:tcPr>
          <w:p w14:paraId="7B0A6171"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w:t>
            </w:r>
          </w:p>
        </w:tc>
        <w:tc>
          <w:tcPr>
            <w:tcW w:w="1219" w:type="dxa"/>
            <w:noWrap/>
            <w:hideMark/>
          </w:tcPr>
          <w:p w14:paraId="584916B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6FA906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24.96</w:t>
            </w:r>
          </w:p>
        </w:tc>
        <w:tc>
          <w:tcPr>
            <w:tcW w:w="1219" w:type="dxa"/>
            <w:noWrap/>
            <w:hideMark/>
          </w:tcPr>
          <w:p w14:paraId="5582924A"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38.74</w:t>
            </w:r>
          </w:p>
        </w:tc>
      </w:tr>
      <w:tr w:rsidR="001E2FE7" w:rsidRPr="001E2FE7" w14:paraId="5950331A" w14:textId="77777777" w:rsidTr="00227EAF">
        <w:trPr>
          <w:trHeight w:val="288"/>
        </w:trPr>
        <w:tc>
          <w:tcPr>
            <w:tcW w:w="3114" w:type="dxa"/>
            <w:noWrap/>
            <w:hideMark/>
          </w:tcPr>
          <w:p w14:paraId="772E23DC"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Corryong Health</w:t>
            </w:r>
          </w:p>
        </w:tc>
        <w:tc>
          <w:tcPr>
            <w:tcW w:w="1219" w:type="dxa"/>
            <w:noWrap/>
            <w:hideMark/>
          </w:tcPr>
          <w:p w14:paraId="4022A70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0</w:t>
            </w:r>
          </w:p>
        </w:tc>
        <w:tc>
          <w:tcPr>
            <w:tcW w:w="1219" w:type="dxa"/>
            <w:noWrap/>
            <w:hideMark/>
          </w:tcPr>
          <w:p w14:paraId="0C6EBE5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F88E0A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1203B3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29.39</w:t>
            </w:r>
          </w:p>
        </w:tc>
        <w:tc>
          <w:tcPr>
            <w:tcW w:w="1219" w:type="dxa"/>
            <w:noWrap/>
            <w:hideMark/>
          </w:tcPr>
          <w:p w14:paraId="1C8C9C2D"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29.39</w:t>
            </w:r>
          </w:p>
        </w:tc>
      </w:tr>
      <w:tr w:rsidR="001E2FE7" w:rsidRPr="001E2FE7" w14:paraId="673B6A64" w14:textId="77777777" w:rsidTr="00227EAF">
        <w:trPr>
          <w:trHeight w:val="288"/>
        </w:trPr>
        <w:tc>
          <w:tcPr>
            <w:tcW w:w="3114" w:type="dxa"/>
            <w:noWrap/>
            <w:hideMark/>
          </w:tcPr>
          <w:p w14:paraId="74C5549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Dhelkaya Health</w:t>
            </w:r>
          </w:p>
        </w:tc>
        <w:tc>
          <w:tcPr>
            <w:tcW w:w="1219" w:type="dxa"/>
            <w:noWrap/>
            <w:hideMark/>
          </w:tcPr>
          <w:p w14:paraId="514B377D"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D9CA262"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D0E59A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A9128A9"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DD1DDEC"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0</w:t>
            </w:r>
          </w:p>
        </w:tc>
      </w:tr>
      <w:tr w:rsidR="001E2FE7" w:rsidRPr="001E2FE7" w14:paraId="3F7FFC98" w14:textId="77777777" w:rsidTr="00227EAF">
        <w:trPr>
          <w:trHeight w:val="288"/>
        </w:trPr>
        <w:tc>
          <w:tcPr>
            <w:tcW w:w="3114" w:type="dxa"/>
            <w:noWrap/>
            <w:hideMark/>
          </w:tcPr>
          <w:p w14:paraId="6D6D7F5A"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East Wimmera Health Service</w:t>
            </w:r>
          </w:p>
        </w:tc>
        <w:tc>
          <w:tcPr>
            <w:tcW w:w="1219" w:type="dxa"/>
            <w:noWrap/>
            <w:hideMark/>
          </w:tcPr>
          <w:p w14:paraId="1CBB97A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3B5DA87"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w:t>
            </w:r>
          </w:p>
        </w:tc>
        <w:tc>
          <w:tcPr>
            <w:tcW w:w="1219" w:type="dxa"/>
            <w:noWrap/>
            <w:hideMark/>
          </w:tcPr>
          <w:p w14:paraId="528D465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0D0FEA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22.81</w:t>
            </w:r>
          </w:p>
        </w:tc>
        <w:tc>
          <w:tcPr>
            <w:tcW w:w="1219" w:type="dxa"/>
            <w:noWrap/>
            <w:hideMark/>
          </w:tcPr>
          <w:p w14:paraId="3CC7291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28.81</w:t>
            </w:r>
          </w:p>
        </w:tc>
      </w:tr>
      <w:tr w:rsidR="001E2FE7" w:rsidRPr="001E2FE7" w14:paraId="64A6747D" w14:textId="77777777" w:rsidTr="00227EAF">
        <w:trPr>
          <w:trHeight w:val="288"/>
        </w:trPr>
        <w:tc>
          <w:tcPr>
            <w:tcW w:w="3114" w:type="dxa"/>
            <w:noWrap/>
            <w:hideMark/>
          </w:tcPr>
          <w:p w14:paraId="2C0A37A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Grampians Health</w:t>
            </w:r>
          </w:p>
        </w:tc>
        <w:tc>
          <w:tcPr>
            <w:tcW w:w="1219" w:type="dxa"/>
            <w:noWrap/>
            <w:hideMark/>
          </w:tcPr>
          <w:p w14:paraId="1F04B7E3"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30F533D"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w:t>
            </w:r>
          </w:p>
        </w:tc>
        <w:tc>
          <w:tcPr>
            <w:tcW w:w="1219" w:type="dxa"/>
            <w:noWrap/>
            <w:hideMark/>
          </w:tcPr>
          <w:p w14:paraId="4DF9017C"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4BABFF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32.57</w:t>
            </w:r>
          </w:p>
        </w:tc>
        <w:tc>
          <w:tcPr>
            <w:tcW w:w="1219" w:type="dxa"/>
            <w:noWrap/>
            <w:hideMark/>
          </w:tcPr>
          <w:p w14:paraId="6B6389B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34.57</w:t>
            </w:r>
          </w:p>
        </w:tc>
      </w:tr>
      <w:tr w:rsidR="001E2FE7" w:rsidRPr="001E2FE7" w14:paraId="2F092B63" w14:textId="77777777" w:rsidTr="00227EAF">
        <w:trPr>
          <w:trHeight w:val="288"/>
        </w:trPr>
        <w:tc>
          <w:tcPr>
            <w:tcW w:w="3114" w:type="dxa"/>
            <w:noWrap/>
            <w:hideMark/>
          </w:tcPr>
          <w:p w14:paraId="60CFBEF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Great Ocean Road Health</w:t>
            </w:r>
          </w:p>
        </w:tc>
        <w:tc>
          <w:tcPr>
            <w:tcW w:w="1219" w:type="dxa"/>
            <w:noWrap/>
            <w:hideMark/>
          </w:tcPr>
          <w:p w14:paraId="1CDD141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858AFD0"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150.46</w:t>
            </w:r>
          </w:p>
        </w:tc>
        <w:tc>
          <w:tcPr>
            <w:tcW w:w="1219" w:type="dxa"/>
            <w:noWrap/>
            <w:hideMark/>
          </w:tcPr>
          <w:p w14:paraId="2D5DA943"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D333BFD"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21.06</w:t>
            </w:r>
          </w:p>
        </w:tc>
        <w:tc>
          <w:tcPr>
            <w:tcW w:w="1219" w:type="dxa"/>
            <w:noWrap/>
            <w:hideMark/>
          </w:tcPr>
          <w:p w14:paraId="31915225"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171.52</w:t>
            </w:r>
          </w:p>
        </w:tc>
      </w:tr>
      <w:tr w:rsidR="001E2FE7" w:rsidRPr="001E2FE7" w14:paraId="7819264F" w14:textId="77777777" w:rsidTr="00227EAF">
        <w:trPr>
          <w:trHeight w:val="288"/>
        </w:trPr>
        <w:tc>
          <w:tcPr>
            <w:tcW w:w="3114" w:type="dxa"/>
            <w:noWrap/>
            <w:hideMark/>
          </w:tcPr>
          <w:p w14:paraId="0DD2358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Heathcote Health</w:t>
            </w:r>
          </w:p>
        </w:tc>
        <w:tc>
          <w:tcPr>
            <w:tcW w:w="1219" w:type="dxa"/>
            <w:noWrap/>
            <w:hideMark/>
          </w:tcPr>
          <w:p w14:paraId="545D521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B231D77"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w:t>
            </w:r>
          </w:p>
        </w:tc>
        <w:tc>
          <w:tcPr>
            <w:tcW w:w="1219" w:type="dxa"/>
            <w:noWrap/>
            <w:hideMark/>
          </w:tcPr>
          <w:p w14:paraId="2D2E214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DC0038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A541E3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w:t>
            </w:r>
          </w:p>
        </w:tc>
      </w:tr>
      <w:tr w:rsidR="001E2FE7" w:rsidRPr="001E2FE7" w14:paraId="0B1B9C6A" w14:textId="77777777" w:rsidTr="00227EAF">
        <w:trPr>
          <w:trHeight w:val="288"/>
        </w:trPr>
        <w:tc>
          <w:tcPr>
            <w:tcW w:w="3114" w:type="dxa"/>
            <w:noWrap/>
            <w:hideMark/>
          </w:tcPr>
          <w:p w14:paraId="77DF933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Hesse Rural Health Service</w:t>
            </w:r>
          </w:p>
        </w:tc>
        <w:tc>
          <w:tcPr>
            <w:tcW w:w="1219" w:type="dxa"/>
            <w:noWrap/>
            <w:hideMark/>
          </w:tcPr>
          <w:p w14:paraId="571FA22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39DD2F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0</w:t>
            </w:r>
          </w:p>
        </w:tc>
        <w:tc>
          <w:tcPr>
            <w:tcW w:w="1219" w:type="dxa"/>
            <w:noWrap/>
            <w:hideMark/>
          </w:tcPr>
          <w:p w14:paraId="08B4460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w:t>
            </w:r>
          </w:p>
        </w:tc>
        <w:tc>
          <w:tcPr>
            <w:tcW w:w="1219" w:type="dxa"/>
            <w:noWrap/>
            <w:hideMark/>
          </w:tcPr>
          <w:p w14:paraId="06EF0F7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C307C41"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w:t>
            </w:r>
          </w:p>
        </w:tc>
      </w:tr>
      <w:tr w:rsidR="001E2FE7" w:rsidRPr="001E2FE7" w14:paraId="08E3E327" w14:textId="77777777" w:rsidTr="00227EAF">
        <w:trPr>
          <w:trHeight w:val="288"/>
        </w:trPr>
        <w:tc>
          <w:tcPr>
            <w:tcW w:w="3114" w:type="dxa"/>
            <w:noWrap/>
            <w:hideMark/>
          </w:tcPr>
          <w:p w14:paraId="3D4C36F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Heywood Rural Health</w:t>
            </w:r>
          </w:p>
        </w:tc>
        <w:tc>
          <w:tcPr>
            <w:tcW w:w="1219" w:type="dxa"/>
            <w:noWrap/>
            <w:hideMark/>
          </w:tcPr>
          <w:p w14:paraId="2FE5A53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80099C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5</w:t>
            </w:r>
          </w:p>
        </w:tc>
        <w:tc>
          <w:tcPr>
            <w:tcW w:w="1219" w:type="dxa"/>
            <w:noWrap/>
            <w:hideMark/>
          </w:tcPr>
          <w:p w14:paraId="6A1957B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946E63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FF9B00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5</w:t>
            </w:r>
          </w:p>
        </w:tc>
      </w:tr>
      <w:tr w:rsidR="001E2FE7" w:rsidRPr="001E2FE7" w14:paraId="3457F49E" w14:textId="77777777" w:rsidTr="00227EAF">
        <w:trPr>
          <w:trHeight w:val="288"/>
        </w:trPr>
        <w:tc>
          <w:tcPr>
            <w:tcW w:w="3114" w:type="dxa"/>
            <w:noWrap/>
            <w:hideMark/>
          </w:tcPr>
          <w:p w14:paraId="298E0F62"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Inglewood &amp; Districts Health Service</w:t>
            </w:r>
          </w:p>
        </w:tc>
        <w:tc>
          <w:tcPr>
            <w:tcW w:w="1219" w:type="dxa"/>
            <w:noWrap/>
            <w:hideMark/>
          </w:tcPr>
          <w:p w14:paraId="49F0EFA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3B25C2D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32B0734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3643DF23"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4D401DA"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r>
      <w:tr w:rsidR="001E2FE7" w:rsidRPr="001E2FE7" w14:paraId="5EDC6E1D" w14:textId="77777777" w:rsidTr="00227EAF">
        <w:trPr>
          <w:trHeight w:val="288"/>
        </w:trPr>
        <w:tc>
          <w:tcPr>
            <w:tcW w:w="3114" w:type="dxa"/>
            <w:noWrap/>
            <w:hideMark/>
          </w:tcPr>
          <w:p w14:paraId="2D5024D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Kerang &amp; District Health</w:t>
            </w:r>
          </w:p>
        </w:tc>
        <w:tc>
          <w:tcPr>
            <w:tcW w:w="1219" w:type="dxa"/>
            <w:noWrap/>
            <w:hideMark/>
          </w:tcPr>
          <w:p w14:paraId="76A33FD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3.67</w:t>
            </w:r>
          </w:p>
        </w:tc>
        <w:tc>
          <w:tcPr>
            <w:tcW w:w="1219" w:type="dxa"/>
            <w:noWrap/>
            <w:hideMark/>
          </w:tcPr>
          <w:p w14:paraId="6FD4600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11</w:t>
            </w:r>
          </w:p>
        </w:tc>
        <w:tc>
          <w:tcPr>
            <w:tcW w:w="1219" w:type="dxa"/>
            <w:noWrap/>
            <w:hideMark/>
          </w:tcPr>
          <w:p w14:paraId="41761A8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AE5A435"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6D9714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14.67</w:t>
            </w:r>
          </w:p>
        </w:tc>
      </w:tr>
      <w:tr w:rsidR="001E2FE7" w:rsidRPr="001E2FE7" w14:paraId="52A14D3C" w14:textId="77777777" w:rsidTr="00227EAF">
        <w:trPr>
          <w:trHeight w:val="288"/>
        </w:trPr>
        <w:tc>
          <w:tcPr>
            <w:tcW w:w="3114" w:type="dxa"/>
            <w:noWrap/>
            <w:hideMark/>
          </w:tcPr>
          <w:p w14:paraId="497931E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Kilmore District Health</w:t>
            </w:r>
          </w:p>
        </w:tc>
        <w:tc>
          <w:tcPr>
            <w:tcW w:w="1219" w:type="dxa"/>
            <w:noWrap/>
            <w:hideMark/>
          </w:tcPr>
          <w:p w14:paraId="497BCC1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27.45</w:t>
            </w:r>
          </w:p>
        </w:tc>
        <w:tc>
          <w:tcPr>
            <w:tcW w:w="1219" w:type="dxa"/>
            <w:noWrap/>
            <w:hideMark/>
          </w:tcPr>
          <w:p w14:paraId="2D52A85D"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w:t>
            </w:r>
          </w:p>
        </w:tc>
        <w:tc>
          <w:tcPr>
            <w:tcW w:w="1219" w:type="dxa"/>
            <w:noWrap/>
            <w:hideMark/>
          </w:tcPr>
          <w:p w14:paraId="5711CF3A"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147BCE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8280700"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28.45</w:t>
            </w:r>
          </w:p>
        </w:tc>
      </w:tr>
      <w:tr w:rsidR="001E2FE7" w:rsidRPr="001E2FE7" w14:paraId="6D82056A" w14:textId="77777777" w:rsidTr="00227EAF">
        <w:trPr>
          <w:trHeight w:val="288"/>
        </w:trPr>
        <w:tc>
          <w:tcPr>
            <w:tcW w:w="3114" w:type="dxa"/>
            <w:noWrap/>
            <w:hideMark/>
          </w:tcPr>
          <w:p w14:paraId="111CE685"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Kooweerup Regional Health Services</w:t>
            </w:r>
          </w:p>
        </w:tc>
        <w:tc>
          <w:tcPr>
            <w:tcW w:w="1219" w:type="dxa"/>
            <w:noWrap/>
            <w:hideMark/>
          </w:tcPr>
          <w:p w14:paraId="1CC4292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C6A7BE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C2121F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E21E08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4AF209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r>
      <w:tr w:rsidR="001E2FE7" w:rsidRPr="001E2FE7" w14:paraId="28DA9C11" w14:textId="77777777" w:rsidTr="00227EAF">
        <w:trPr>
          <w:trHeight w:val="288"/>
        </w:trPr>
        <w:tc>
          <w:tcPr>
            <w:tcW w:w="3114" w:type="dxa"/>
            <w:noWrap/>
            <w:hideMark/>
          </w:tcPr>
          <w:p w14:paraId="3016951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Mansfield District Hospital</w:t>
            </w:r>
          </w:p>
        </w:tc>
        <w:tc>
          <w:tcPr>
            <w:tcW w:w="1219" w:type="dxa"/>
            <w:noWrap/>
            <w:hideMark/>
          </w:tcPr>
          <w:p w14:paraId="6D6173D5"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9.93</w:t>
            </w:r>
          </w:p>
        </w:tc>
        <w:tc>
          <w:tcPr>
            <w:tcW w:w="1219" w:type="dxa"/>
            <w:noWrap/>
            <w:hideMark/>
          </w:tcPr>
          <w:p w14:paraId="4EA5973B"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7</w:t>
            </w:r>
          </w:p>
        </w:tc>
        <w:tc>
          <w:tcPr>
            <w:tcW w:w="1219" w:type="dxa"/>
            <w:noWrap/>
            <w:hideMark/>
          </w:tcPr>
          <w:p w14:paraId="41A79F2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4</w:t>
            </w:r>
          </w:p>
        </w:tc>
        <w:tc>
          <w:tcPr>
            <w:tcW w:w="1219" w:type="dxa"/>
            <w:noWrap/>
            <w:hideMark/>
          </w:tcPr>
          <w:p w14:paraId="56918A83"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47.68</w:t>
            </w:r>
          </w:p>
        </w:tc>
        <w:tc>
          <w:tcPr>
            <w:tcW w:w="1219" w:type="dxa"/>
            <w:noWrap/>
            <w:hideMark/>
          </w:tcPr>
          <w:p w14:paraId="287B9A49"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68.61</w:t>
            </w:r>
          </w:p>
        </w:tc>
      </w:tr>
      <w:tr w:rsidR="001E2FE7" w:rsidRPr="001E2FE7" w14:paraId="3E9DE318" w14:textId="77777777" w:rsidTr="00227EAF">
        <w:trPr>
          <w:trHeight w:val="288"/>
        </w:trPr>
        <w:tc>
          <w:tcPr>
            <w:tcW w:w="3114" w:type="dxa"/>
            <w:noWrap/>
            <w:hideMark/>
          </w:tcPr>
          <w:p w14:paraId="65A1FED5"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Moyne Health Services</w:t>
            </w:r>
          </w:p>
        </w:tc>
        <w:tc>
          <w:tcPr>
            <w:tcW w:w="1219" w:type="dxa"/>
            <w:noWrap/>
            <w:hideMark/>
          </w:tcPr>
          <w:p w14:paraId="12BA163C"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7F3C20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17</w:t>
            </w:r>
          </w:p>
        </w:tc>
        <w:tc>
          <w:tcPr>
            <w:tcW w:w="1219" w:type="dxa"/>
            <w:noWrap/>
            <w:hideMark/>
          </w:tcPr>
          <w:p w14:paraId="2D6681C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08D418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616AAA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17</w:t>
            </w:r>
          </w:p>
        </w:tc>
      </w:tr>
      <w:tr w:rsidR="001E2FE7" w:rsidRPr="001E2FE7" w14:paraId="7A658430" w14:textId="77777777" w:rsidTr="00227EAF">
        <w:trPr>
          <w:trHeight w:val="288"/>
        </w:trPr>
        <w:tc>
          <w:tcPr>
            <w:tcW w:w="3114" w:type="dxa"/>
            <w:noWrap/>
            <w:hideMark/>
          </w:tcPr>
          <w:p w14:paraId="4A1DF76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NCN Health</w:t>
            </w:r>
          </w:p>
        </w:tc>
        <w:tc>
          <w:tcPr>
            <w:tcW w:w="1219" w:type="dxa"/>
            <w:noWrap/>
            <w:hideMark/>
          </w:tcPr>
          <w:p w14:paraId="7AA9ACB1"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1.01</w:t>
            </w:r>
          </w:p>
        </w:tc>
        <w:tc>
          <w:tcPr>
            <w:tcW w:w="1219" w:type="dxa"/>
            <w:noWrap/>
            <w:hideMark/>
          </w:tcPr>
          <w:p w14:paraId="5A5306EC"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17</w:t>
            </w:r>
          </w:p>
        </w:tc>
        <w:tc>
          <w:tcPr>
            <w:tcW w:w="1219" w:type="dxa"/>
            <w:noWrap/>
            <w:hideMark/>
          </w:tcPr>
          <w:p w14:paraId="3E3D790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759E873"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F375FD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18.01</w:t>
            </w:r>
          </w:p>
        </w:tc>
      </w:tr>
      <w:tr w:rsidR="001E2FE7" w:rsidRPr="001E2FE7" w14:paraId="2EA9C60A" w14:textId="77777777" w:rsidTr="00227EAF">
        <w:trPr>
          <w:trHeight w:val="288"/>
        </w:trPr>
        <w:tc>
          <w:tcPr>
            <w:tcW w:w="3114" w:type="dxa"/>
            <w:noWrap/>
            <w:hideMark/>
          </w:tcPr>
          <w:p w14:paraId="238D1CA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Omeo District Health</w:t>
            </w:r>
          </w:p>
        </w:tc>
        <w:tc>
          <w:tcPr>
            <w:tcW w:w="1219" w:type="dxa"/>
            <w:noWrap/>
            <w:hideMark/>
          </w:tcPr>
          <w:p w14:paraId="7790E5D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CCE6BA2"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603E983"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3F22214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B628C3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r>
      <w:tr w:rsidR="001E2FE7" w:rsidRPr="001E2FE7" w14:paraId="04B5439F" w14:textId="77777777" w:rsidTr="00227EAF">
        <w:trPr>
          <w:trHeight w:val="288"/>
        </w:trPr>
        <w:tc>
          <w:tcPr>
            <w:tcW w:w="3114" w:type="dxa"/>
            <w:noWrap/>
            <w:hideMark/>
          </w:tcPr>
          <w:p w14:paraId="421F3FF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Orbost Regional Health</w:t>
            </w:r>
          </w:p>
        </w:tc>
        <w:tc>
          <w:tcPr>
            <w:tcW w:w="1219" w:type="dxa"/>
            <w:noWrap/>
            <w:hideMark/>
          </w:tcPr>
          <w:p w14:paraId="43E64B9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4EDA2C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7</w:t>
            </w:r>
          </w:p>
        </w:tc>
        <w:tc>
          <w:tcPr>
            <w:tcW w:w="1219" w:type="dxa"/>
            <w:noWrap/>
            <w:hideMark/>
          </w:tcPr>
          <w:p w14:paraId="5B8BD4A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1E6B369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86.58</w:t>
            </w:r>
          </w:p>
        </w:tc>
        <w:tc>
          <w:tcPr>
            <w:tcW w:w="1219" w:type="dxa"/>
            <w:noWrap/>
            <w:hideMark/>
          </w:tcPr>
          <w:p w14:paraId="1219D96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93.58</w:t>
            </w:r>
          </w:p>
        </w:tc>
      </w:tr>
      <w:tr w:rsidR="001E2FE7" w:rsidRPr="001E2FE7" w14:paraId="0E89F935" w14:textId="77777777" w:rsidTr="00227EAF">
        <w:trPr>
          <w:trHeight w:val="288"/>
        </w:trPr>
        <w:tc>
          <w:tcPr>
            <w:tcW w:w="3114" w:type="dxa"/>
            <w:noWrap/>
            <w:hideMark/>
          </w:tcPr>
          <w:p w14:paraId="38EFD50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lastRenderedPageBreak/>
              <w:t>Robinvale District Health Services</w:t>
            </w:r>
          </w:p>
        </w:tc>
        <w:tc>
          <w:tcPr>
            <w:tcW w:w="1219" w:type="dxa"/>
            <w:noWrap/>
            <w:hideMark/>
          </w:tcPr>
          <w:p w14:paraId="63CC0BBD"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5EB333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B18B1DA"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D6BCF1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176.35</w:t>
            </w:r>
          </w:p>
        </w:tc>
        <w:tc>
          <w:tcPr>
            <w:tcW w:w="1219" w:type="dxa"/>
            <w:noWrap/>
            <w:hideMark/>
          </w:tcPr>
          <w:p w14:paraId="7BF559FB"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176.35</w:t>
            </w:r>
          </w:p>
        </w:tc>
      </w:tr>
      <w:tr w:rsidR="001E2FE7" w:rsidRPr="001E2FE7" w14:paraId="4E4994D6" w14:textId="77777777" w:rsidTr="00227EAF">
        <w:trPr>
          <w:trHeight w:val="288"/>
        </w:trPr>
        <w:tc>
          <w:tcPr>
            <w:tcW w:w="3114" w:type="dxa"/>
            <w:noWrap/>
            <w:hideMark/>
          </w:tcPr>
          <w:p w14:paraId="5E2A260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Rochester and Elmore District Health Service</w:t>
            </w:r>
          </w:p>
        </w:tc>
        <w:tc>
          <w:tcPr>
            <w:tcW w:w="1219" w:type="dxa"/>
            <w:noWrap/>
            <w:hideMark/>
          </w:tcPr>
          <w:p w14:paraId="1201576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5882A5C4"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w:t>
            </w:r>
          </w:p>
        </w:tc>
        <w:tc>
          <w:tcPr>
            <w:tcW w:w="1219" w:type="dxa"/>
            <w:noWrap/>
            <w:hideMark/>
          </w:tcPr>
          <w:p w14:paraId="271E3582"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CF785E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ED7F7C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w:t>
            </w:r>
          </w:p>
        </w:tc>
      </w:tr>
      <w:tr w:rsidR="001E2FE7" w:rsidRPr="001E2FE7" w14:paraId="51C41ABC" w14:textId="77777777" w:rsidTr="00227EAF">
        <w:trPr>
          <w:trHeight w:val="288"/>
        </w:trPr>
        <w:tc>
          <w:tcPr>
            <w:tcW w:w="3114" w:type="dxa"/>
            <w:noWrap/>
            <w:hideMark/>
          </w:tcPr>
          <w:p w14:paraId="77DFC622"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Rural Northwest Health</w:t>
            </w:r>
          </w:p>
        </w:tc>
        <w:tc>
          <w:tcPr>
            <w:tcW w:w="1219" w:type="dxa"/>
            <w:noWrap/>
            <w:hideMark/>
          </w:tcPr>
          <w:p w14:paraId="5EC0F1D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B0BEB07"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8</w:t>
            </w:r>
          </w:p>
        </w:tc>
        <w:tc>
          <w:tcPr>
            <w:tcW w:w="1219" w:type="dxa"/>
            <w:noWrap/>
            <w:hideMark/>
          </w:tcPr>
          <w:p w14:paraId="03443E6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C1B3E4C"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C31E8FD"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8</w:t>
            </w:r>
          </w:p>
        </w:tc>
      </w:tr>
      <w:tr w:rsidR="001E2FE7" w:rsidRPr="001E2FE7" w14:paraId="5E873BDF" w14:textId="77777777" w:rsidTr="00227EAF">
        <w:trPr>
          <w:trHeight w:val="288"/>
        </w:trPr>
        <w:tc>
          <w:tcPr>
            <w:tcW w:w="3114" w:type="dxa"/>
            <w:noWrap/>
            <w:hideMark/>
          </w:tcPr>
          <w:p w14:paraId="6B427CA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Seymour District Memorial Hospital</w:t>
            </w:r>
          </w:p>
        </w:tc>
        <w:tc>
          <w:tcPr>
            <w:tcW w:w="1219" w:type="dxa"/>
            <w:noWrap/>
            <w:hideMark/>
          </w:tcPr>
          <w:p w14:paraId="70B420A0"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20.8</w:t>
            </w:r>
          </w:p>
        </w:tc>
        <w:tc>
          <w:tcPr>
            <w:tcW w:w="1219" w:type="dxa"/>
            <w:noWrap/>
            <w:hideMark/>
          </w:tcPr>
          <w:p w14:paraId="495488F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37</w:t>
            </w:r>
          </w:p>
        </w:tc>
        <w:tc>
          <w:tcPr>
            <w:tcW w:w="1219" w:type="dxa"/>
            <w:noWrap/>
            <w:hideMark/>
          </w:tcPr>
          <w:p w14:paraId="4B16784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3810A611"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167.68</w:t>
            </w:r>
          </w:p>
        </w:tc>
        <w:tc>
          <w:tcPr>
            <w:tcW w:w="1219" w:type="dxa"/>
            <w:noWrap/>
            <w:hideMark/>
          </w:tcPr>
          <w:p w14:paraId="71BF9A1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225.48</w:t>
            </w:r>
          </w:p>
        </w:tc>
      </w:tr>
      <w:tr w:rsidR="001E2FE7" w:rsidRPr="001E2FE7" w14:paraId="5EA01518" w14:textId="77777777" w:rsidTr="00227EAF">
        <w:trPr>
          <w:trHeight w:val="288"/>
        </w:trPr>
        <w:tc>
          <w:tcPr>
            <w:tcW w:w="3114" w:type="dxa"/>
            <w:noWrap/>
            <w:hideMark/>
          </w:tcPr>
          <w:p w14:paraId="0510B9D9"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South Gippsland Hospital</w:t>
            </w:r>
          </w:p>
        </w:tc>
        <w:tc>
          <w:tcPr>
            <w:tcW w:w="1219" w:type="dxa"/>
            <w:noWrap/>
            <w:hideMark/>
          </w:tcPr>
          <w:p w14:paraId="6DB67985"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20.66</w:t>
            </w:r>
          </w:p>
        </w:tc>
        <w:tc>
          <w:tcPr>
            <w:tcW w:w="1219" w:type="dxa"/>
            <w:noWrap/>
            <w:hideMark/>
          </w:tcPr>
          <w:p w14:paraId="0C60CC4B"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w:t>
            </w:r>
          </w:p>
        </w:tc>
        <w:tc>
          <w:tcPr>
            <w:tcW w:w="1219" w:type="dxa"/>
            <w:noWrap/>
            <w:hideMark/>
          </w:tcPr>
          <w:p w14:paraId="788A1F2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5DA071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84DE03A"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29.66</w:t>
            </w:r>
          </w:p>
        </w:tc>
      </w:tr>
      <w:tr w:rsidR="001E2FE7" w:rsidRPr="001E2FE7" w14:paraId="45B20568" w14:textId="77777777" w:rsidTr="00227EAF">
        <w:trPr>
          <w:trHeight w:val="288"/>
        </w:trPr>
        <w:tc>
          <w:tcPr>
            <w:tcW w:w="3114" w:type="dxa"/>
            <w:noWrap/>
            <w:hideMark/>
          </w:tcPr>
          <w:p w14:paraId="3E5615A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Tallangatta Health Service</w:t>
            </w:r>
          </w:p>
        </w:tc>
        <w:tc>
          <w:tcPr>
            <w:tcW w:w="1219" w:type="dxa"/>
            <w:noWrap/>
            <w:hideMark/>
          </w:tcPr>
          <w:p w14:paraId="0789A30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63F101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C591B11"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1705DC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ECA65D9"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r>
      <w:tr w:rsidR="001E2FE7" w:rsidRPr="001E2FE7" w14:paraId="38AB5894" w14:textId="77777777" w:rsidTr="00227EAF">
        <w:trPr>
          <w:trHeight w:val="288"/>
        </w:trPr>
        <w:tc>
          <w:tcPr>
            <w:tcW w:w="3114" w:type="dxa"/>
            <w:noWrap/>
            <w:hideMark/>
          </w:tcPr>
          <w:p w14:paraId="5986485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Terang and Mortlake Health Service</w:t>
            </w:r>
          </w:p>
        </w:tc>
        <w:tc>
          <w:tcPr>
            <w:tcW w:w="1219" w:type="dxa"/>
            <w:noWrap/>
            <w:hideMark/>
          </w:tcPr>
          <w:p w14:paraId="0F91F81E"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4.5</w:t>
            </w:r>
          </w:p>
        </w:tc>
        <w:tc>
          <w:tcPr>
            <w:tcW w:w="1219" w:type="dxa"/>
            <w:noWrap/>
            <w:hideMark/>
          </w:tcPr>
          <w:p w14:paraId="6DE84773"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w:t>
            </w:r>
          </w:p>
        </w:tc>
        <w:tc>
          <w:tcPr>
            <w:tcW w:w="1219" w:type="dxa"/>
            <w:noWrap/>
            <w:hideMark/>
          </w:tcPr>
          <w:p w14:paraId="0309FB9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3105B097"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2545771"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10.5</w:t>
            </w:r>
          </w:p>
        </w:tc>
      </w:tr>
      <w:tr w:rsidR="001E2FE7" w:rsidRPr="001E2FE7" w14:paraId="1393BBB9" w14:textId="77777777" w:rsidTr="00227EAF">
        <w:trPr>
          <w:trHeight w:val="288"/>
        </w:trPr>
        <w:tc>
          <w:tcPr>
            <w:tcW w:w="3114" w:type="dxa"/>
            <w:noWrap/>
            <w:hideMark/>
          </w:tcPr>
          <w:p w14:paraId="2071E70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Timboon &amp; District Healthcare Service</w:t>
            </w:r>
          </w:p>
        </w:tc>
        <w:tc>
          <w:tcPr>
            <w:tcW w:w="1219" w:type="dxa"/>
            <w:noWrap/>
            <w:hideMark/>
          </w:tcPr>
          <w:p w14:paraId="4CB8D96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6.43</w:t>
            </w:r>
          </w:p>
        </w:tc>
        <w:tc>
          <w:tcPr>
            <w:tcW w:w="1219" w:type="dxa"/>
            <w:noWrap/>
            <w:hideMark/>
          </w:tcPr>
          <w:p w14:paraId="6A79006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13</w:t>
            </w:r>
          </w:p>
        </w:tc>
        <w:tc>
          <w:tcPr>
            <w:tcW w:w="1219" w:type="dxa"/>
            <w:noWrap/>
            <w:hideMark/>
          </w:tcPr>
          <w:p w14:paraId="3F128F1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609683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1EFB22F"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19.43</w:t>
            </w:r>
          </w:p>
        </w:tc>
      </w:tr>
      <w:tr w:rsidR="001E2FE7" w:rsidRPr="001E2FE7" w14:paraId="42241CF9" w14:textId="77777777" w:rsidTr="00227EAF">
        <w:trPr>
          <w:trHeight w:val="288"/>
        </w:trPr>
        <w:tc>
          <w:tcPr>
            <w:tcW w:w="3114" w:type="dxa"/>
            <w:noWrap/>
            <w:hideMark/>
          </w:tcPr>
          <w:p w14:paraId="25956B6B"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West Wimmera Health Service</w:t>
            </w:r>
          </w:p>
        </w:tc>
        <w:tc>
          <w:tcPr>
            <w:tcW w:w="1219" w:type="dxa"/>
            <w:noWrap/>
            <w:hideMark/>
          </w:tcPr>
          <w:p w14:paraId="7046BF16"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51D9950"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w:t>
            </w:r>
          </w:p>
        </w:tc>
        <w:tc>
          <w:tcPr>
            <w:tcW w:w="1219" w:type="dxa"/>
            <w:noWrap/>
            <w:hideMark/>
          </w:tcPr>
          <w:p w14:paraId="3B8F88AD"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C7B1CE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A11A642"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6</w:t>
            </w:r>
          </w:p>
        </w:tc>
      </w:tr>
      <w:tr w:rsidR="001E2FE7" w:rsidRPr="001E2FE7" w14:paraId="7D9E52E1" w14:textId="77777777" w:rsidTr="00227EAF">
        <w:trPr>
          <w:trHeight w:val="288"/>
        </w:trPr>
        <w:tc>
          <w:tcPr>
            <w:tcW w:w="3114" w:type="dxa"/>
            <w:noWrap/>
            <w:hideMark/>
          </w:tcPr>
          <w:p w14:paraId="7E7864FA"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Western District Health Service</w:t>
            </w:r>
          </w:p>
        </w:tc>
        <w:tc>
          <w:tcPr>
            <w:tcW w:w="1219" w:type="dxa"/>
            <w:noWrap/>
            <w:hideMark/>
          </w:tcPr>
          <w:p w14:paraId="6BC6D9E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6A37D44"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90972A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25.5</w:t>
            </w:r>
          </w:p>
        </w:tc>
        <w:tc>
          <w:tcPr>
            <w:tcW w:w="1219" w:type="dxa"/>
            <w:noWrap/>
            <w:hideMark/>
          </w:tcPr>
          <w:p w14:paraId="4A7FEEB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28F5ED53"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25.5</w:t>
            </w:r>
          </w:p>
        </w:tc>
      </w:tr>
      <w:tr w:rsidR="001E2FE7" w:rsidRPr="001E2FE7" w14:paraId="73B6B6C1" w14:textId="77777777" w:rsidTr="00227EAF">
        <w:trPr>
          <w:trHeight w:val="288"/>
        </w:trPr>
        <w:tc>
          <w:tcPr>
            <w:tcW w:w="3114" w:type="dxa"/>
            <w:noWrap/>
            <w:hideMark/>
          </w:tcPr>
          <w:p w14:paraId="3DDE77C0"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Yarram &amp; District Health Service</w:t>
            </w:r>
          </w:p>
        </w:tc>
        <w:tc>
          <w:tcPr>
            <w:tcW w:w="1219" w:type="dxa"/>
            <w:noWrap/>
            <w:hideMark/>
          </w:tcPr>
          <w:p w14:paraId="1AA4DDE3"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41E11ED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4</w:t>
            </w:r>
          </w:p>
        </w:tc>
        <w:tc>
          <w:tcPr>
            <w:tcW w:w="1219" w:type="dxa"/>
            <w:noWrap/>
            <w:hideMark/>
          </w:tcPr>
          <w:p w14:paraId="7468DB9E"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75BE417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55.29</w:t>
            </w:r>
          </w:p>
        </w:tc>
        <w:tc>
          <w:tcPr>
            <w:tcW w:w="1219" w:type="dxa"/>
            <w:noWrap/>
            <w:hideMark/>
          </w:tcPr>
          <w:p w14:paraId="1EE28937"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59.29</w:t>
            </w:r>
          </w:p>
        </w:tc>
      </w:tr>
      <w:tr w:rsidR="001E2FE7" w:rsidRPr="001E2FE7" w14:paraId="6EC67982" w14:textId="77777777" w:rsidTr="00227EAF">
        <w:trPr>
          <w:trHeight w:val="288"/>
        </w:trPr>
        <w:tc>
          <w:tcPr>
            <w:tcW w:w="3114" w:type="dxa"/>
            <w:noWrap/>
            <w:hideMark/>
          </w:tcPr>
          <w:p w14:paraId="438DF7A9"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Yarrawonga District Health Service</w:t>
            </w:r>
          </w:p>
        </w:tc>
        <w:tc>
          <w:tcPr>
            <w:tcW w:w="1219" w:type="dxa"/>
            <w:noWrap/>
            <w:hideMark/>
          </w:tcPr>
          <w:p w14:paraId="3862D773"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4.51</w:t>
            </w:r>
          </w:p>
        </w:tc>
        <w:tc>
          <w:tcPr>
            <w:tcW w:w="1219" w:type="dxa"/>
            <w:noWrap/>
            <w:hideMark/>
          </w:tcPr>
          <w:p w14:paraId="42F03470"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19</w:t>
            </w:r>
          </w:p>
        </w:tc>
        <w:tc>
          <w:tcPr>
            <w:tcW w:w="1219" w:type="dxa"/>
            <w:noWrap/>
            <w:hideMark/>
          </w:tcPr>
          <w:p w14:paraId="1418887A"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C38775B"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133.35</w:t>
            </w:r>
          </w:p>
        </w:tc>
        <w:tc>
          <w:tcPr>
            <w:tcW w:w="1219" w:type="dxa"/>
            <w:noWrap/>
            <w:hideMark/>
          </w:tcPr>
          <w:p w14:paraId="6D479906"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156.86</w:t>
            </w:r>
          </w:p>
        </w:tc>
      </w:tr>
      <w:tr w:rsidR="001E2FE7" w:rsidRPr="001E2FE7" w14:paraId="7D536AA7" w14:textId="77777777" w:rsidTr="00227EAF">
        <w:trPr>
          <w:trHeight w:val="288"/>
        </w:trPr>
        <w:tc>
          <w:tcPr>
            <w:tcW w:w="3114" w:type="dxa"/>
            <w:noWrap/>
            <w:hideMark/>
          </w:tcPr>
          <w:p w14:paraId="4F3053A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Yea &amp; District Memorial Hospital</w:t>
            </w:r>
          </w:p>
        </w:tc>
        <w:tc>
          <w:tcPr>
            <w:tcW w:w="1219" w:type="dxa"/>
            <w:noWrap/>
            <w:hideMark/>
          </w:tcPr>
          <w:p w14:paraId="0C062F5F"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4541318"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w:t>
            </w:r>
          </w:p>
        </w:tc>
        <w:tc>
          <w:tcPr>
            <w:tcW w:w="1219" w:type="dxa"/>
            <w:noWrap/>
            <w:hideMark/>
          </w:tcPr>
          <w:p w14:paraId="086D79C8"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6AE59D02" w14:textId="77777777" w:rsidR="001E2FE7" w:rsidRPr="001E2FE7" w:rsidRDefault="001E2FE7" w:rsidP="001E2FE7">
            <w:pPr>
              <w:spacing w:after="0" w:line="240" w:lineRule="auto"/>
              <w:rPr>
                <w:rFonts w:cs="Arial"/>
                <w:color w:val="000000"/>
                <w:sz w:val="16"/>
                <w:szCs w:val="16"/>
                <w:lang w:eastAsia="en-AU"/>
              </w:rPr>
            </w:pPr>
            <w:r w:rsidRPr="001E2FE7">
              <w:rPr>
                <w:rFonts w:cs="Arial"/>
                <w:color w:val="000000"/>
                <w:sz w:val="16"/>
                <w:szCs w:val="16"/>
                <w:lang w:eastAsia="en-AU"/>
              </w:rPr>
              <w:t> </w:t>
            </w:r>
          </w:p>
        </w:tc>
        <w:tc>
          <w:tcPr>
            <w:tcW w:w="1219" w:type="dxa"/>
            <w:noWrap/>
            <w:hideMark/>
          </w:tcPr>
          <w:p w14:paraId="05C54E24" w14:textId="77777777" w:rsidR="001E2FE7" w:rsidRPr="001E2FE7" w:rsidRDefault="001E2FE7" w:rsidP="001E2FE7">
            <w:pPr>
              <w:spacing w:after="0" w:line="240" w:lineRule="auto"/>
              <w:jc w:val="right"/>
              <w:rPr>
                <w:rFonts w:cs="Arial"/>
                <w:color w:val="000000"/>
                <w:sz w:val="16"/>
                <w:szCs w:val="16"/>
                <w:lang w:eastAsia="en-AU"/>
              </w:rPr>
            </w:pPr>
            <w:r w:rsidRPr="001E2FE7">
              <w:rPr>
                <w:rFonts w:cs="Arial"/>
                <w:color w:val="000000"/>
                <w:sz w:val="16"/>
                <w:szCs w:val="16"/>
                <w:lang w:eastAsia="en-AU"/>
              </w:rPr>
              <w:t>9</w:t>
            </w:r>
          </w:p>
        </w:tc>
      </w:tr>
      <w:tr w:rsidR="001E2FE7" w:rsidRPr="001E2FE7" w14:paraId="378376DE" w14:textId="77777777" w:rsidTr="00227EAF">
        <w:trPr>
          <w:cantSplit/>
          <w:trHeight w:val="288"/>
        </w:trPr>
        <w:tc>
          <w:tcPr>
            <w:tcW w:w="3114" w:type="dxa"/>
            <w:shd w:val="clear" w:color="auto" w:fill="201547"/>
            <w:hideMark/>
          </w:tcPr>
          <w:p w14:paraId="042F95FD" w14:textId="77777777" w:rsidR="001E2FE7" w:rsidRPr="001E2FE7" w:rsidRDefault="001E2FE7" w:rsidP="001E2FE7">
            <w:pPr>
              <w:spacing w:after="0" w:line="240" w:lineRule="auto"/>
              <w:rPr>
                <w:rFonts w:cs="Arial"/>
                <w:b/>
                <w:bCs/>
                <w:color w:val="FFFFFF"/>
                <w:sz w:val="16"/>
                <w:szCs w:val="16"/>
                <w:lang w:eastAsia="en-AU"/>
              </w:rPr>
            </w:pPr>
            <w:r w:rsidRPr="001E2FE7">
              <w:rPr>
                <w:rFonts w:cs="Arial"/>
                <w:b/>
                <w:bCs/>
                <w:color w:val="FFFFFF"/>
                <w:sz w:val="16"/>
                <w:szCs w:val="16"/>
                <w:lang w:eastAsia="en-AU"/>
              </w:rPr>
              <w:t>Total</w:t>
            </w:r>
          </w:p>
        </w:tc>
        <w:tc>
          <w:tcPr>
            <w:tcW w:w="1219" w:type="dxa"/>
            <w:shd w:val="clear" w:color="auto" w:fill="201547"/>
            <w:hideMark/>
          </w:tcPr>
          <w:p w14:paraId="3099AE34"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228.88</w:t>
            </w:r>
          </w:p>
        </w:tc>
        <w:tc>
          <w:tcPr>
            <w:tcW w:w="1219" w:type="dxa"/>
            <w:shd w:val="clear" w:color="auto" w:fill="201547"/>
            <w:hideMark/>
          </w:tcPr>
          <w:p w14:paraId="12BCC993"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432.46</w:t>
            </w:r>
          </w:p>
        </w:tc>
        <w:tc>
          <w:tcPr>
            <w:tcW w:w="1219" w:type="dxa"/>
            <w:shd w:val="clear" w:color="auto" w:fill="201547"/>
            <w:hideMark/>
          </w:tcPr>
          <w:p w14:paraId="6F8DC738"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45.5</w:t>
            </w:r>
          </w:p>
        </w:tc>
        <w:tc>
          <w:tcPr>
            <w:tcW w:w="1219" w:type="dxa"/>
            <w:shd w:val="clear" w:color="auto" w:fill="201547"/>
            <w:hideMark/>
          </w:tcPr>
          <w:p w14:paraId="2D209FBD"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947.98</w:t>
            </w:r>
          </w:p>
        </w:tc>
        <w:tc>
          <w:tcPr>
            <w:tcW w:w="1219" w:type="dxa"/>
            <w:shd w:val="clear" w:color="auto" w:fill="201547"/>
            <w:hideMark/>
          </w:tcPr>
          <w:p w14:paraId="579CDAD1" w14:textId="77777777" w:rsidR="001E2FE7" w:rsidRPr="001E2FE7" w:rsidRDefault="001E2FE7" w:rsidP="001E2FE7">
            <w:pPr>
              <w:spacing w:after="0" w:line="240" w:lineRule="auto"/>
              <w:jc w:val="right"/>
              <w:rPr>
                <w:rFonts w:cs="Arial"/>
                <w:b/>
                <w:bCs/>
                <w:color w:val="FFFFFF"/>
                <w:sz w:val="16"/>
                <w:szCs w:val="16"/>
                <w:lang w:eastAsia="en-AU"/>
              </w:rPr>
            </w:pPr>
            <w:r w:rsidRPr="001E2FE7">
              <w:rPr>
                <w:rFonts w:cs="Arial"/>
                <w:b/>
                <w:bCs/>
                <w:color w:val="FFFFFF"/>
                <w:sz w:val="16"/>
                <w:szCs w:val="16"/>
                <w:lang w:eastAsia="en-AU"/>
              </w:rPr>
              <w:t>1654.82</w:t>
            </w:r>
          </w:p>
        </w:tc>
      </w:tr>
    </w:tbl>
    <w:p w14:paraId="2A6F0C37" w14:textId="6A270310" w:rsidR="000B27B9" w:rsidRPr="00903CD6" w:rsidRDefault="000B27B9" w:rsidP="00B92CD4">
      <w:pPr>
        <w:pStyle w:val="Body"/>
      </w:pPr>
    </w:p>
    <w:p w14:paraId="0496FB59" w14:textId="61B5B284" w:rsidR="00EE3416" w:rsidRDefault="00EE3416">
      <w:pPr>
        <w:spacing w:after="0" w:line="240" w:lineRule="auto"/>
        <w:rPr>
          <w:rFonts w:eastAsia="MS Gothic"/>
          <w:b/>
          <w:bCs/>
          <w:color w:val="53565A"/>
          <w:sz w:val="32"/>
          <w:szCs w:val="26"/>
        </w:rPr>
      </w:pPr>
      <w:bookmarkStart w:id="1262" w:name="_Toc12780669"/>
      <w:bookmarkStart w:id="1263" w:name="_Toc14172310"/>
      <w:bookmarkStart w:id="1264" w:name="_Toc33703984"/>
      <w:bookmarkStart w:id="1265" w:name="_Toc55381172"/>
      <w:bookmarkStart w:id="1266" w:name="_Toc100263377"/>
      <w:bookmarkStart w:id="1267" w:name="_Hlk78967372"/>
    </w:p>
    <w:p w14:paraId="604B69A9" w14:textId="7A32A954" w:rsidR="000B27B9" w:rsidRPr="00454AA1" w:rsidRDefault="000B27B9" w:rsidP="009375E0">
      <w:pPr>
        <w:pStyle w:val="Heading3"/>
        <w:spacing w:before="240"/>
      </w:pPr>
      <w:bookmarkStart w:id="1268" w:name="_Toc127192025"/>
      <w:r w:rsidRPr="00454AA1">
        <w:t>Non-</w:t>
      </w:r>
      <w:r w:rsidR="00331D5D" w:rsidRPr="00454AA1">
        <w:t>A</w:t>
      </w:r>
      <w:r w:rsidRPr="00454AA1">
        <w:t xml:space="preserve">dmitted </w:t>
      </w:r>
      <w:r w:rsidR="00331D5D" w:rsidRPr="00454AA1">
        <w:t>R</w:t>
      </w:r>
      <w:r w:rsidRPr="00454AA1">
        <w:t xml:space="preserve">adiotherapy </w:t>
      </w:r>
      <w:r w:rsidR="00331D5D" w:rsidRPr="00454AA1">
        <w:t>A</w:t>
      </w:r>
      <w:r w:rsidRPr="00454AA1">
        <w:t xml:space="preserve">ctivity (WAU) </w:t>
      </w:r>
      <w:r w:rsidR="00331D5D" w:rsidRPr="00454AA1">
        <w:t>T</w:t>
      </w:r>
      <w:r w:rsidRPr="00454AA1">
        <w:t xml:space="preserve">argets </w:t>
      </w:r>
      <w:bookmarkEnd w:id="1262"/>
      <w:bookmarkEnd w:id="1263"/>
      <w:bookmarkEnd w:id="1264"/>
      <w:bookmarkEnd w:id="1265"/>
      <w:r w:rsidR="005D1FCB" w:rsidRPr="00454AA1">
        <w:t>2022</w:t>
      </w:r>
      <w:r w:rsidR="009A3347" w:rsidRPr="00454AA1">
        <w:t>–</w:t>
      </w:r>
      <w:r w:rsidR="005D1FCB" w:rsidRPr="00454AA1">
        <w:t>23</w:t>
      </w:r>
      <w:bookmarkEnd w:id="1266"/>
      <w:bookmarkEnd w:id="1268"/>
    </w:p>
    <w:p w14:paraId="48217407" w14:textId="19003FDB" w:rsidR="000B27B9" w:rsidRPr="00454AA1" w:rsidRDefault="000B27B9" w:rsidP="000E08EF">
      <w:pPr>
        <w:pStyle w:val="Tablecaption"/>
      </w:pPr>
      <w:bookmarkStart w:id="1269" w:name="_Toc12534179"/>
      <w:bookmarkStart w:id="1270" w:name="_Toc12780572"/>
      <w:bookmarkStart w:id="1271" w:name="_Toc14194828"/>
      <w:bookmarkStart w:id="1272" w:name="_Toc33704009"/>
      <w:bookmarkStart w:id="1273" w:name="_Toc109894138"/>
      <w:bookmarkStart w:id="1274" w:name="_Toc119500919"/>
      <w:r w:rsidRPr="00454AA1">
        <w:t xml:space="preserve">Table </w:t>
      </w:r>
      <w:r>
        <w:fldChar w:fldCharType="begin"/>
      </w:r>
      <w:r>
        <w:instrText>STYLEREF 1 \s</w:instrText>
      </w:r>
      <w:r>
        <w:fldChar w:fldCharType="separate"/>
      </w:r>
      <w:r w:rsidR="006D0756" w:rsidRPr="00454AA1">
        <w:rPr>
          <w:noProof/>
        </w:rPr>
        <w:t>2</w:t>
      </w:r>
      <w:r>
        <w:fldChar w:fldCharType="end"/>
      </w:r>
      <w:r w:rsidR="00EC6300" w:rsidRPr="00454AA1">
        <w:t>.</w:t>
      </w:r>
      <w:r>
        <w:fldChar w:fldCharType="begin"/>
      </w:r>
      <w:r>
        <w:instrText>SEQ Table \* ARABIC \s 1</w:instrText>
      </w:r>
      <w:r>
        <w:fldChar w:fldCharType="separate"/>
      </w:r>
      <w:r w:rsidR="006D0756" w:rsidRPr="00454AA1">
        <w:rPr>
          <w:noProof/>
        </w:rPr>
        <w:t>12</w:t>
      </w:r>
      <w:r>
        <w:fldChar w:fldCharType="end"/>
      </w:r>
      <w:r w:rsidRPr="00454AA1">
        <w:t xml:space="preserve">: Non-admitted radiotherapy activity targets </w:t>
      </w:r>
      <w:bookmarkEnd w:id="1269"/>
      <w:bookmarkEnd w:id="1270"/>
      <w:bookmarkEnd w:id="1271"/>
      <w:bookmarkEnd w:id="1272"/>
      <w:r w:rsidR="005D1FCB" w:rsidRPr="00454AA1">
        <w:t>2022</w:t>
      </w:r>
      <w:r w:rsidR="009A3347" w:rsidRPr="00454AA1">
        <w:t>–</w:t>
      </w:r>
      <w:r w:rsidR="005D1FCB" w:rsidRPr="00454AA1">
        <w:t>23</w:t>
      </w:r>
      <w:bookmarkEnd w:id="1273"/>
      <w:bookmarkEnd w:id="1274"/>
    </w:p>
    <w:tbl>
      <w:tblPr>
        <w:tblStyle w:val="TableGrid1"/>
        <w:tblW w:w="9209" w:type="dxa"/>
        <w:tblLayout w:type="fixed"/>
        <w:tblLook w:val="04A0" w:firstRow="1" w:lastRow="0" w:firstColumn="1" w:lastColumn="0" w:noHBand="0" w:noVBand="1"/>
      </w:tblPr>
      <w:tblGrid>
        <w:gridCol w:w="3681"/>
        <w:gridCol w:w="1842"/>
        <w:gridCol w:w="1843"/>
        <w:gridCol w:w="1843"/>
      </w:tblGrid>
      <w:tr w:rsidR="00C65911" w:rsidRPr="00C65911" w14:paraId="673EF472" w14:textId="77777777" w:rsidTr="00CF4E52">
        <w:trPr>
          <w:cnfStyle w:val="100000000000" w:firstRow="1" w:lastRow="0" w:firstColumn="0" w:lastColumn="0" w:oddVBand="0" w:evenVBand="0" w:oddHBand="0" w:evenHBand="0" w:firstRowFirstColumn="0" w:firstRowLastColumn="0" w:lastRowFirstColumn="0" w:lastRowLastColumn="0"/>
          <w:trHeight w:val="432"/>
        </w:trPr>
        <w:tc>
          <w:tcPr>
            <w:tcW w:w="3681" w:type="dxa"/>
            <w:noWrap/>
            <w:hideMark/>
          </w:tcPr>
          <w:p w14:paraId="71A290F7" w14:textId="77777777" w:rsidR="00C65911" w:rsidRPr="00C65911" w:rsidRDefault="00C65911" w:rsidP="00C65911">
            <w:pPr>
              <w:spacing w:after="0" w:line="240" w:lineRule="auto"/>
              <w:rPr>
                <w:rFonts w:cs="Arial"/>
                <w:b/>
                <w:bCs/>
                <w:color w:val="FFFFFF"/>
                <w:sz w:val="16"/>
                <w:szCs w:val="16"/>
                <w:lang w:eastAsia="en-AU"/>
              </w:rPr>
            </w:pPr>
            <w:r w:rsidRPr="00C65911">
              <w:rPr>
                <w:rFonts w:cs="Arial"/>
                <w:b/>
                <w:bCs/>
                <w:color w:val="FFFFFF"/>
                <w:sz w:val="16"/>
                <w:szCs w:val="16"/>
                <w:lang w:eastAsia="en-AU"/>
              </w:rPr>
              <w:t>Health Service</w:t>
            </w:r>
          </w:p>
        </w:tc>
        <w:tc>
          <w:tcPr>
            <w:tcW w:w="1842" w:type="dxa"/>
            <w:hideMark/>
          </w:tcPr>
          <w:p w14:paraId="04A058CF" w14:textId="77777777" w:rsidR="00C65911" w:rsidRPr="00C65911" w:rsidRDefault="00C65911" w:rsidP="00C65911">
            <w:pPr>
              <w:spacing w:after="0" w:line="240" w:lineRule="auto"/>
              <w:rPr>
                <w:rFonts w:cs="Arial"/>
                <w:b/>
                <w:bCs/>
                <w:color w:val="FFFFFF"/>
                <w:sz w:val="16"/>
                <w:szCs w:val="16"/>
                <w:lang w:eastAsia="en-AU"/>
              </w:rPr>
            </w:pPr>
            <w:r w:rsidRPr="00C65911">
              <w:rPr>
                <w:rFonts w:cs="Arial"/>
                <w:b/>
                <w:bCs/>
                <w:color w:val="FFFFFF"/>
                <w:sz w:val="16"/>
                <w:szCs w:val="16"/>
                <w:lang w:eastAsia="en-AU"/>
              </w:rPr>
              <w:t>Radiotherapy base variable WAU</w:t>
            </w:r>
          </w:p>
        </w:tc>
        <w:tc>
          <w:tcPr>
            <w:tcW w:w="1843" w:type="dxa"/>
            <w:hideMark/>
          </w:tcPr>
          <w:p w14:paraId="167BA118" w14:textId="77777777" w:rsidR="00C65911" w:rsidRPr="00C65911" w:rsidRDefault="00C65911" w:rsidP="00C65911">
            <w:pPr>
              <w:spacing w:after="0" w:line="240" w:lineRule="auto"/>
              <w:rPr>
                <w:rFonts w:cs="Arial"/>
                <w:b/>
                <w:bCs/>
                <w:color w:val="FFFFFF"/>
                <w:sz w:val="16"/>
                <w:szCs w:val="16"/>
                <w:lang w:eastAsia="en-AU"/>
              </w:rPr>
            </w:pPr>
            <w:r w:rsidRPr="00C65911">
              <w:rPr>
                <w:rFonts w:cs="Arial"/>
                <w:b/>
                <w:bCs/>
                <w:color w:val="FFFFFF"/>
                <w:sz w:val="16"/>
                <w:szCs w:val="16"/>
                <w:lang w:eastAsia="en-AU"/>
              </w:rPr>
              <w:t>Radiotherapy DVA base variable WAU</w:t>
            </w:r>
          </w:p>
        </w:tc>
        <w:tc>
          <w:tcPr>
            <w:tcW w:w="1843" w:type="dxa"/>
            <w:hideMark/>
          </w:tcPr>
          <w:p w14:paraId="1FDFC96C" w14:textId="6DC47EF4" w:rsidR="00C65911" w:rsidRPr="00C65911" w:rsidRDefault="00C65911" w:rsidP="00C65911">
            <w:pPr>
              <w:spacing w:after="0" w:line="240" w:lineRule="auto"/>
              <w:jc w:val="right"/>
              <w:rPr>
                <w:rFonts w:cs="Arial"/>
                <w:b/>
                <w:bCs/>
                <w:color w:val="FFFFFF"/>
                <w:sz w:val="16"/>
                <w:szCs w:val="16"/>
                <w:lang w:eastAsia="en-AU"/>
              </w:rPr>
            </w:pPr>
            <w:r w:rsidRPr="00C65911">
              <w:rPr>
                <w:rFonts w:cs="Arial"/>
                <w:b/>
                <w:bCs/>
                <w:color w:val="FFFFFF"/>
                <w:sz w:val="16"/>
                <w:szCs w:val="16"/>
                <w:lang w:eastAsia="en-AU"/>
              </w:rPr>
              <w:t>Total</w:t>
            </w:r>
          </w:p>
        </w:tc>
      </w:tr>
      <w:tr w:rsidR="00C65911" w:rsidRPr="00C65911" w14:paraId="5AA503FC" w14:textId="77777777" w:rsidTr="00CF4E52">
        <w:trPr>
          <w:trHeight w:val="288"/>
        </w:trPr>
        <w:tc>
          <w:tcPr>
            <w:tcW w:w="3681" w:type="dxa"/>
            <w:noWrap/>
            <w:hideMark/>
          </w:tcPr>
          <w:p w14:paraId="7534ACCD" w14:textId="77777777" w:rsidR="00C65911" w:rsidRPr="00C65911" w:rsidRDefault="00C65911" w:rsidP="00C65911">
            <w:pPr>
              <w:spacing w:after="0" w:line="240" w:lineRule="auto"/>
              <w:rPr>
                <w:rFonts w:cs="Arial"/>
                <w:color w:val="000000"/>
                <w:sz w:val="16"/>
                <w:szCs w:val="16"/>
                <w:lang w:eastAsia="en-AU"/>
              </w:rPr>
            </w:pPr>
            <w:r w:rsidRPr="00C65911">
              <w:rPr>
                <w:rFonts w:cs="Arial"/>
                <w:color w:val="000000"/>
                <w:sz w:val="16"/>
                <w:szCs w:val="16"/>
                <w:lang w:eastAsia="en-AU"/>
              </w:rPr>
              <w:t>Alfred Health</w:t>
            </w:r>
          </w:p>
        </w:tc>
        <w:tc>
          <w:tcPr>
            <w:tcW w:w="1842" w:type="dxa"/>
            <w:noWrap/>
            <w:hideMark/>
          </w:tcPr>
          <w:p w14:paraId="00D62A30"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78,194</w:t>
            </w:r>
          </w:p>
        </w:tc>
        <w:tc>
          <w:tcPr>
            <w:tcW w:w="1843" w:type="dxa"/>
            <w:noWrap/>
            <w:hideMark/>
          </w:tcPr>
          <w:p w14:paraId="331D34B3"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405</w:t>
            </w:r>
          </w:p>
        </w:tc>
        <w:tc>
          <w:tcPr>
            <w:tcW w:w="1843" w:type="dxa"/>
            <w:noWrap/>
            <w:hideMark/>
          </w:tcPr>
          <w:p w14:paraId="027B98E4"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78,599</w:t>
            </w:r>
          </w:p>
        </w:tc>
      </w:tr>
      <w:tr w:rsidR="00C65911" w:rsidRPr="00C65911" w14:paraId="08CA02BE" w14:textId="77777777" w:rsidTr="00CF4E52">
        <w:trPr>
          <w:trHeight w:val="288"/>
        </w:trPr>
        <w:tc>
          <w:tcPr>
            <w:tcW w:w="3681" w:type="dxa"/>
            <w:noWrap/>
            <w:hideMark/>
          </w:tcPr>
          <w:p w14:paraId="0796AFA2" w14:textId="77777777" w:rsidR="00C65911" w:rsidRPr="00C65911" w:rsidRDefault="00C65911" w:rsidP="00C65911">
            <w:pPr>
              <w:spacing w:after="0" w:line="240" w:lineRule="auto"/>
              <w:rPr>
                <w:rFonts w:cs="Arial"/>
                <w:color w:val="000000"/>
                <w:sz w:val="16"/>
                <w:szCs w:val="16"/>
                <w:lang w:eastAsia="en-AU"/>
              </w:rPr>
            </w:pPr>
            <w:r w:rsidRPr="00C65911">
              <w:rPr>
                <w:rFonts w:cs="Arial"/>
                <w:color w:val="000000"/>
                <w:sz w:val="16"/>
                <w:szCs w:val="16"/>
                <w:lang w:eastAsia="en-AU"/>
              </w:rPr>
              <w:t>Austin Health</w:t>
            </w:r>
          </w:p>
        </w:tc>
        <w:tc>
          <w:tcPr>
            <w:tcW w:w="1842" w:type="dxa"/>
            <w:noWrap/>
            <w:hideMark/>
          </w:tcPr>
          <w:p w14:paraId="3ADC9AD1"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85,644</w:t>
            </w:r>
          </w:p>
        </w:tc>
        <w:tc>
          <w:tcPr>
            <w:tcW w:w="1843" w:type="dxa"/>
            <w:noWrap/>
            <w:hideMark/>
          </w:tcPr>
          <w:p w14:paraId="3C2C09E9"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457</w:t>
            </w:r>
          </w:p>
        </w:tc>
        <w:tc>
          <w:tcPr>
            <w:tcW w:w="1843" w:type="dxa"/>
            <w:noWrap/>
            <w:hideMark/>
          </w:tcPr>
          <w:p w14:paraId="0084FC27"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86,101</w:t>
            </w:r>
          </w:p>
        </w:tc>
      </w:tr>
      <w:tr w:rsidR="00C65911" w:rsidRPr="00C65911" w14:paraId="7CA2FC0A" w14:textId="77777777" w:rsidTr="00CF4E52">
        <w:trPr>
          <w:trHeight w:val="288"/>
        </w:trPr>
        <w:tc>
          <w:tcPr>
            <w:tcW w:w="3681" w:type="dxa"/>
            <w:noWrap/>
            <w:hideMark/>
          </w:tcPr>
          <w:p w14:paraId="48D7EAB2" w14:textId="77777777" w:rsidR="00C65911" w:rsidRPr="00C65911" w:rsidRDefault="00C65911" w:rsidP="00C65911">
            <w:pPr>
              <w:spacing w:after="0" w:line="240" w:lineRule="auto"/>
              <w:rPr>
                <w:rFonts w:cs="Arial"/>
                <w:color w:val="000000"/>
                <w:sz w:val="16"/>
                <w:szCs w:val="16"/>
                <w:lang w:eastAsia="en-AU"/>
              </w:rPr>
            </w:pPr>
            <w:r w:rsidRPr="00C65911">
              <w:rPr>
                <w:rFonts w:cs="Arial"/>
                <w:color w:val="000000"/>
                <w:sz w:val="16"/>
                <w:szCs w:val="16"/>
                <w:lang w:eastAsia="en-AU"/>
              </w:rPr>
              <w:t>Barwon Health</w:t>
            </w:r>
          </w:p>
        </w:tc>
        <w:tc>
          <w:tcPr>
            <w:tcW w:w="1842" w:type="dxa"/>
            <w:noWrap/>
            <w:hideMark/>
          </w:tcPr>
          <w:p w14:paraId="1E53926F"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42,395</w:t>
            </w:r>
          </w:p>
        </w:tc>
        <w:tc>
          <w:tcPr>
            <w:tcW w:w="1843" w:type="dxa"/>
            <w:noWrap/>
            <w:hideMark/>
          </w:tcPr>
          <w:p w14:paraId="07256D5E"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344</w:t>
            </w:r>
          </w:p>
        </w:tc>
        <w:tc>
          <w:tcPr>
            <w:tcW w:w="1843" w:type="dxa"/>
            <w:noWrap/>
            <w:hideMark/>
          </w:tcPr>
          <w:p w14:paraId="41E155BD"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42,739</w:t>
            </w:r>
          </w:p>
        </w:tc>
      </w:tr>
      <w:tr w:rsidR="00C65911" w:rsidRPr="00C65911" w14:paraId="4972DF82" w14:textId="77777777" w:rsidTr="00CF4E52">
        <w:trPr>
          <w:trHeight w:val="288"/>
        </w:trPr>
        <w:tc>
          <w:tcPr>
            <w:tcW w:w="3681" w:type="dxa"/>
            <w:noWrap/>
            <w:hideMark/>
          </w:tcPr>
          <w:p w14:paraId="13ABF74F" w14:textId="19967152" w:rsidR="00C65911" w:rsidRPr="00C65911" w:rsidRDefault="00C65911" w:rsidP="00C65911">
            <w:pPr>
              <w:spacing w:after="0" w:line="240" w:lineRule="auto"/>
              <w:rPr>
                <w:rFonts w:cs="Arial"/>
                <w:color w:val="000000"/>
                <w:sz w:val="16"/>
                <w:szCs w:val="16"/>
                <w:lang w:eastAsia="en-AU"/>
              </w:rPr>
            </w:pPr>
            <w:r w:rsidRPr="00C65911">
              <w:rPr>
                <w:rFonts w:cs="Arial"/>
                <w:color w:val="000000"/>
                <w:sz w:val="16"/>
                <w:szCs w:val="16"/>
                <w:lang w:eastAsia="en-AU"/>
              </w:rPr>
              <w:t>Peter Mac</w:t>
            </w:r>
            <w:r>
              <w:rPr>
                <w:rFonts w:cs="Arial"/>
                <w:color w:val="000000"/>
                <w:sz w:val="16"/>
                <w:szCs w:val="16"/>
                <w:lang w:eastAsia="en-AU"/>
              </w:rPr>
              <w:t>C</w:t>
            </w:r>
            <w:r w:rsidRPr="00C65911">
              <w:rPr>
                <w:rFonts w:cs="Arial"/>
                <w:color w:val="000000"/>
                <w:sz w:val="16"/>
                <w:szCs w:val="16"/>
                <w:lang w:eastAsia="en-AU"/>
              </w:rPr>
              <w:t>allum Cancer Institute</w:t>
            </w:r>
          </w:p>
        </w:tc>
        <w:tc>
          <w:tcPr>
            <w:tcW w:w="1842" w:type="dxa"/>
            <w:noWrap/>
            <w:hideMark/>
          </w:tcPr>
          <w:p w14:paraId="473B45ED"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316,290</w:t>
            </w:r>
          </w:p>
        </w:tc>
        <w:tc>
          <w:tcPr>
            <w:tcW w:w="1843" w:type="dxa"/>
            <w:noWrap/>
            <w:hideMark/>
          </w:tcPr>
          <w:p w14:paraId="47F65FBA"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1,307</w:t>
            </w:r>
          </w:p>
        </w:tc>
        <w:tc>
          <w:tcPr>
            <w:tcW w:w="1843" w:type="dxa"/>
            <w:noWrap/>
            <w:hideMark/>
          </w:tcPr>
          <w:p w14:paraId="51C3391D" w14:textId="77777777" w:rsidR="00C65911" w:rsidRPr="00C65911" w:rsidRDefault="00C65911" w:rsidP="00C65911">
            <w:pPr>
              <w:spacing w:after="0" w:line="240" w:lineRule="auto"/>
              <w:jc w:val="right"/>
              <w:rPr>
                <w:rFonts w:cs="Arial"/>
                <w:color w:val="000000"/>
                <w:sz w:val="16"/>
                <w:szCs w:val="16"/>
                <w:lang w:eastAsia="en-AU"/>
              </w:rPr>
            </w:pPr>
            <w:r w:rsidRPr="00C65911">
              <w:rPr>
                <w:rFonts w:cs="Arial"/>
                <w:color w:val="000000"/>
                <w:sz w:val="16"/>
                <w:szCs w:val="16"/>
                <w:lang w:eastAsia="en-AU"/>
              </w:rPr>
              <w:t>317,597</w:t>
            </w:r>
          </w:p>
        </w:tc>
      </w:tr>
      <w:tr w:rsidR="00C65911" w:rsidRPr="00C65911" w14:paraId="2FF537B4" w14:textId="77777777" w:rsidTr="00CF4E52">
        <w:trPr>
          <w:trHeight w:val="288"/>
        </w:trPr>
        <w:tc>
          <w:tcPr>
            <w:tcW w:w="3681" w:type="dxa"/>
            <w:shd w:val="clear" w:color="auto" w:fill="201547"/>
            <w:hideMark/>
          </w:tcPr>
          <w:p w14:paraId="56F54D20" w14:textId="77777777" w:rsidR="00C65911" w:rsidRPr="00C65911" w:rsidRDefault="00C65911" w:rsidP="00C65911">
            <w:pPr>
              <w:spacing w:after="0" w:line="240" w:lineRule="auto"/>
              <w:rPr>
                <w:rFonts w:cs="Arial"/>
                <w:b/>
                <w:bCs/>
                <w:color w:val="FFFFFF"/>
                <w:sz w:val="16"/>
                <w:szCs w:val="16"/>
                <w:lang w:eastAsia="en-AU"/>
              </w:rPr>
            </w:pPr>
            <w:r w:rsidRPr="00C65911">
              <w:rPr>
                <w:rFonts w:cs="Arial"/>
                <w:b/>
                <w:bCs/>
                <w:color w:val="FFFFFF"/>
                <w:sz w:val="16"/>
                <w:szCs w:val="16"/>
                <w:lang w:eastAsia="en-AU"/>
              </w:rPr>
              <w:t xml:space="preserve">Total  </w:t>
            </w:r>
          </w:p>
        </w:tc>
        <w:tc>
          <w:tcPr>
            <w:tcW w:w="1842" w:type="dxa"/>
            <w:shd w:val="clear" w:color="auto" w:fill="201547"/>
            <w:hideMark/>
          </w:tcPr>
          <w:p w14:paraId="1B9CA8BB" w14:textId="77777777" w:rsidR="00C65911" w:rsidRPr="00C65911" w:rsidRDefault="00C65911" w:rsidP="00C65911">
            <w:pPr>
              <w:spacing w:after="0" w:line="240" w:lineRule="auto"/>
              <w:jc w:val="right"/>
              <w:rPr>
                <w:rFonts w:cs="Arial"/>
                <w:b/>
                <w:bCs/>
                <w:color w:val="FFFFFF"/>
                <w:sz w:val="16"/>
                <w:szCs w:val="16"/>
                <w:lang w:eastAsia="en-AU"/>
              </w:rPr>
            </w:pPr>
            <w:r w:rsidRPr="00C65911">
              <w:rPr>
                <w:rFonts w:cs="Arial"/>
                <w:b/>
                <w:bCs/>
                <w:color w:val="FFFFFF"/>
                <w:sz w:val="16"/>
                <w:szCs w:val="16"/>
                <w:lang w:eastAsia="en-AU"/>
              </w:rPr>
              <w:t>522,523</w:t>
            </w:r>
          </w:p>
        </w:tc>
        <w:tc>
          <w:tcPr>
            <w:tcW w:w="1843" w:type="dxa"/>
            <w:shd w:val="clear" w:color="auto" w:fill="201547"/>
            <w:hideMark/>
          </w:tcPr>
          <w:p w14:paraId="6401DB2F" w14:textId="77777777" w:rsidR="00C65911" w:rsidRPr="00C65911" w:rsidRDefault="00C65911" w:rsidP="00C65911">
            <w:pPr>
              <w:spacing w:after="0" w:line="240" w:lineRule="auto"/>
              <w:jc w:val="right"/>
              <w:rPr>
                <w:rFonts w:cs="Arial"/>
                <w:b/>
                <w:bCs/>
                <w:color w:val="FFFFFF"/>
                <w:sz w:val="16"/>
                <w:szCs w:val="16"/>
                <w:lang w:eastAsia="en-AU"/>
              </w:rPr>
            </w:pPr>
            <w:r w:rsidRPr="00C65911">
              <w:rPr>
                <w:rFonts w:cs="Arial"/>
                <w:b/>
                <w:bCs/>
                <w:color w:val="FFFFFF"/>
                <w:sz w:val="16"/>
                <w:szCs w:val="16"/>
                <w:lang w:eastAsia="en-AU"/>
              </w:rPr>
              <w:t>2,513</w:t>
            </w:r>
          </w:p>
        </w:tc>
        <w:tc>
          <w:tcPr>
            <w:tcW w:w="1843" w:type="dxa"/>
            <w:shd w:val="clear" w:color="auto" w:fill="201547"/>
            <w:hideMark/>
          </w:tcPr>
          <w:p w14:paraId="36427E54" w14:textId="77777777" w:rsidR="00C65911" w:rsidRPr="00C65911" w:rsidRDefault="00C65911" w:rsidP="00C65911">
            <w:pPr>
              <w:spacing w:after="0" w:line="240" w:lineRule="auto"/>
              <w:jc w:val="right"/>
              <w:rPr>
                <w:rFonts w:cs="Arial"/>
                <w:b/>
                <w:bCs/>
                <w:color w:val="FFFFFF"/>
                <w:sz w:val="16"/>
                <w:szCs w:val="16"/>
                <w:lang w:eastAsia="en-AU"/>
              </w:rPr>
            </w:pPr>
            <w:r w:rsidRPr="00C65911">
              <w:rPr>
                <w:rFonts w:cs="Arial"/>
                <w:b/>
                <w:bCs/>
                <w:color w:val="FFFFFF"/>
                <w:sz w:val="16"/>
                <w:szCs w:val="16"/>
                <w:lang w:eastAsia="en-AU"/>
              </w:rPr>
              <w:t>525,036</w:t>
            </w:r>
          </w:p>
        </w:tc>
      </w:tr>
    </w:tbl>
    <w:p w14:paraId="3C3ED9D0" w14:textId="77777777" w:rsidR="00454AA1" w:rsidRPr="00454AA1" w:rsidRDefault="00454AA1" w:rsidP="00454AA1">
      <w:pPr>
        <w:pStyle w:val="Body"/>
      </w:pPr>
    </w:p>
    <w:p w14:paraId="1AA812A6" w14:textId="77777777" w:rsidR="00454AA1" w:rsidRPr="00454AA1" w:rsidRDefault="00454AA1" w:rsidP="00454AA1">
      <w:pPr>
        <w:pStyle w:val="Body"/>
      </w:pPr>
    </w:p>
    <w:p w14:paraId="3A4AC9D1" w14:textId="5C857E66" w:rsidR="000B27B9" w:rsidRPr="007A725F" w:rsidRDefault="000B27B9" w:rsidP="000E08EF">
      <w:pPr>
        <w:pStyle w:val="Tablecaption"/>
      </w:pPr>
      <w:bookmarkStart w:id="1275" w:name="_Toc12780573"/>
      <w:bookmarkStart w:id="1276" w:name="_Toc14194829"/>
      <w:bookmarkStart w:id="1277" w:name="_Toc33704010"/>
      <w:bookmarkStart w:id="1278" w:name="_Toc109894139"/>
      <w:bookmarkStart w:id="1279" w:name="_Toc119500920"/>
      <w:r w:rsidRPr="00454AA1">
        <w:t xml:space="preserve">Table </w:t>
      </w:r>
      <w:r>
        <w:fldChar w:fldCharType="begin"/>
      </w:r>
      <w:r>
        <w:instrText>STYLEREF 1 \s</w:instrText>
      </w:r>
      <w:r>
        <w:fldChar w:fldCharType="separate"/>
      </w:r>
      <w:r w:rsidR="006D0756" w:rsidRPr="00454AA1">
        <w:rPr>
          <w:noProof/>
        </w:rPr>
        <w:t>2</w:t>
      </w:r>
      <w:r>
        <w:fldChar w:fldCharType="end"/>
      </w:r>
      <w:r w:rsidR="00EC6300" w:rsidRPr="00454AA1">
        <w:t>.</w:t>
      </w:r>
      <w:r>
        <w:fldChar w:fldCharType="begin"/>
      </w:r>
      <w:r>
        <w:instrText>SEQ Table \* ARABIC \s 1</w:instrText>
      </w:r>
      <w:r>
        <w:fldChar w:fldCharType="separate"/>
      </w:r>
      <w:r w:rsidR="006D0756" w:rsidRPr="00454AA1">
        <w:rPr>
          <w:noProof/>
        </w:rPr>
        <w:t>13</w:t>
      </w:r>
      <w:r>
        <w:fldChar w:fldCharType="end"/>
      </w:r>
      <w:r w:rsidRPr="00454AA1">
        <w:t>: Shared</w:t>
      </w:r>
      <w:r w:rsidR="006B4DBF" w:rsidRPr="00454AA1">
        <w:t xml:space="preserve"> </w:t>
      </w:r>
      <w:r w:rsidRPr="00454AA1">
        <w:t xml:space="preserve">care radiotherapy activity targets </w:t>
      </w:r>
      <w:bookmarkEnd w:id="1275"/>
      <w:bookmarkEnd w:id="1276"/>
      <w:bookmarkEnd w:id="1277"/>
      <w:r w:rsidR="005D1FCB" w:rsidRPr="00454AA1">
        <w:t>2022</w:t>
      </w:r>
      <w:r w:rsidR="009A3347" w:rsidRPr="00454AA1">
        <w:t>–</w:t>
      </w:r>
      <w:r w:rsidR="005D1FCB" w:rsidRPr="00454AA1">
        <w:t>23</w:t>
      </w:r>
      <w:bookmarkEnd w:id="1278"/>
      <w:bookmarkEnd w:id="1279"/>
    </w:p>
    <w:p w14:paraId="0C06989F" w14:textId="77777777" w:rsidR="00EC02E0" w:rsidRDefault="00B93C8E" w:rsidP="00B93C8E">
      <w:pPr>
        <w:pStyle w:val="Body"/>
      </w:pPr>
      <w:bookmarkStart w:id="1280" w:name="_Toc12780670"/>
      <w:bookmarkStart w:id="1281" w:name="_Toc14172311"/>
      <w:bookmarkStart w:id="1282" w:name="_Toc33703985"/>
      <w:bookmarkStart w:id="1283" w:name="_Toc55381173"/>
      <w:bookmarkEnd w:id="1267"/>
      <w:r>
        <w:t xml:space="preserve"> </w:t>
      </w:r>
    </w:p>
    <w:tbl>
      <w:tblPr>
        <w:tblStyle w:val="TableGrid1"/>
        <w:tblW w:w="4957" w:type="dxa"/>
        <w:tblLook w:val="04A0" w:firstRow="1" w:lastRow="0" w:firstColumn="1" w:lastColumn="0" w:noHBand="0" w:noVBand="1"/>
      </w:tblPr>
      <w:tblGrid>
        <w:gridCol w:w="2830"/>
        <w:gridCol w:w="2127"/>
      </w:tblGrid>
      <w:tr w:rsidR="00EC02E0" w:rsidRPr="00EC02E0" w14:paraId="0C76233F" w14:textId="77777777" w:rsidTr="005826E3">
        <w:trPr>
          <w:cnfStyle w:val="100000000000" w:firstRow="1" w:lastRow="0" w:firstColumn="0" w:lastColumn="0" w:oddVBand="0" w:evenVBand="0" w:oddHBand="0" w:evenHBand="0" w:firstRowFirstColumn="0" w:firstRowLastColumn="0" w:lastRowFirstColumn="0" w:lastRowLastColumn="0"/>
          <w:trHeight w:val="493"/>
        </w:trPr>
        <w:tc>
          <w:tcPr>
            <w:tcW w:w="2830" w:type="dxa"/>
            <w:noWrap/>
            <w:hideMark/>
          </w:tcPr>
          <w:p w14:paraId="7419D650" w14:textId="77777777" w:rsidR="00EC02E0" w:rsidRPr="00EC02E0" w:rsidRDefault="00EC02E0" w:rsidP="00EC02E0">
            <w:pPr>
              <w:spacing w:after="0" w:line="240" w:lineRule="auto"/>
              <w:rPr>
                <w:rFonts w:cs="Arial"/>
                <w:b/>
                <w:bCs/>
                <w:color w:val="FFFFFF"/>
                <w:sz w:val="16"/>
                <w:szCs w:val="16"/>
                <w:lang w:eastAsia="en-AU"/>
              </w:rPr>
            </w:pPr>
            <w:r w:rsidRPr="00EC02E0">
              <w:rPr>
                <w:rFonts w:cs="Arial"/>
                <w:b/>
                <w:bCs/>
                <w:color w:val="FFFFFF"/>
                <w:sz w:val="16"/>
                <w:szCs w:val="16"/>
                <w:lang w:eastAsia="en-AU"/>
              </w:rPr>
              <w:t>Health Service</w:t>
            </w:r>
          </w:p>
        </w:tc>
        <w:tc>
          <w:tcPr>
            <w:tcW w:w="2127" w:type="dxa"/>
            <w:hideMark/>
          </w:tcPr>
          <w:p w14:paraId="1E3FB101" w14:textId="77777777" w:rsidR="00EC02E0" w:rsidRPr="00EC02E0" w:rsidRDefault="00EC02E0" w:rsidP="004A5138">
            <w:pPr>
              <w:spacing w:after="0" w:line="240" w:lineRule="auto"/>
              <w:jc w:val="right"/>
              <w:rPr>
                <w:rFonts w:cs="Arial"/>
                <w:b/>
                <w:bCs/>
                <w:color w:val="FFFFFF"/>
                <w:sz w:val="16"/>
                <w:szCs w:val="16"/>
                <w:lang w:eastAsia="en-AU"/>
              </w:rPr>
            </w:pPr>
            <w:r w:rsidRPr="00EC02E0">
              <w:rPr>
                <w:rFonts w:cs="Arial"/>
                <w:b/>
                <w:bCs/>
                <w:color w:val="FFFFFF"/>
                <w:sz w:val="16"/>
                <w:szCs w:val="16"/>
                <w:lang w:eastAsia="en-AU"/>
              </w:rPr>
              <w:t>Radiotherapy non admitted shared care</w:t>
            </w:r>
          </w:p>
        </w:tc>
      </w:tr>
      <w:tr w:rsidR="00EC02E0" w:rsidRPr="00EC02E0" w14:paraId="5BB9EC11" w14:textId="77777777" w:rsidTr="005826E3">
        <w:trPr>
          <w:trHeight w:val="288"/>
        </w:trPr>
        <w:tc>
          <w:tcPr>
            <w:tcW w:w="2830" w:type="dxa"/>
            <w:noWrap/>
            <w:hideMark/>
          </w:tcPr>
          <w:p w14:paraId="2B32DDFD" w14:textId="77777777" w:rsidR="00EC02E0" w:rsidRPr="00EC02E0" w:rsidRDefault="00EC02E0" w:rsidP="00EC02E0">
            <w:pPr>
              <w:spacing w:after="0" w:line="240" w:lineRule="auto"/>
              <w:rPr>
                <w:rFonts w:cs="Arial"/>
                <w:color w:val="000000"/>
                <w:sz w:val="16"/>
                <w:szCs w:val="16"/>
                <w:lang w:eastAsia="en-AU"/>
              </w:rPr>
            </w:pPr>
            <w:r w:rsidRPr="00EC02E0">
              <w:rPr>
                <w:rFonts w:cs="Arial"/>
                <w:color w:val="000000"/>
                <w:sz w:val="16"/>
                <w:szCs w:val="16"/>
                <w:lang w:eastAsia="en-AU"/>
              </w:rPr>
              <w:t>Monash Health</w:t>
            </w:r>
          </w:p>
        </w:tc>
        <w:tc>
          <w:tcPr>
            <w:tcW w:w="2127" w:type="dxa"/>
            <w:noWrap/>
            <w:hideMark/>
          </w:tcPr>
          <w:p w14:paraId="597AEBEE" w14:textId="77777777" w:rsidR="00EC02E0" w:rsidRPr="00EC02E0" w:rsidRDefault="00EC02E0" w:rsidP="00EC02E0">
            <w:pPr>
              <w:spacing w:after="0" w:line="240" w:lineRule="auto"/>
              <w:jc w:val="right"/>
              <w:rPr>
                <w:rFonts w:cs="Arial"/>
                <w:color w:val="000000"/>
                <w:sz w:val="16"/>
                <w:szCs w:val="16"/>
                <w:lang w:eastAsia="en-AU"/>
              </w:rPr>
            </w:pPr>
            <w:r w:rsidRPr="00EC02E0">
              <w:rPr>
                <w:rFonts w:cs="Arial"/>
                <w:color w:val="000000"/>
                <w:sz w:val="16"/>
                <w:szCs w:val="16"/>
                <w:lang w:eastAsia="en-AU"/>
              </w:rPr>
              <w:t>173</w:t>
            </w:r>
          </w:p>
        </w:tc>
      </w:tr>
      <w:tr w:rsidR="00EC02E0" w:rsidRPr="00EC02E0" w14:paraId="50BA7BD4" w14:textId="77777777" w:rsidTr="005826E3">
        <w:trPr>
          <w:trHeight w:val="288"/>
        </w:trPr>
        <w:tc>
          <w:tcPr>
            <w:tcW w:w="2830" w:type="dxa"/>
            <w:noWrap/>
            <w:hideMark/>
          </w:tcPr>
          <w:p w14:paraId="06A22384" w14:textId="77777777" w:rsidR="00EC02E0" w:rsidRPr="00EC02E0" w:rsidRDefault="00EC02E0" w:rsidP="00EC02E0">
            <w:pPr>
              <w:spacing w:after="0" w:line="240" w:lineRule="auto"/>
              <w:rPr>
                <w:rFonts w:cs="Arial"/>
                <w:color w:val="000000"/>
                <w:sz w:val="16"/>
                <w:szCs w:val="16"/>
                <w:lang w:eastAsia="en-AU"/>
              </w:rPr>
            </w:pPr>
            <w:r w:rsidRPr="00EC02E0">
              <w:rPr>
                <w:rFonts w:cs="Arial"/>
                <w:color w:val="000000"/>
                <w:sz w:val="16"/>
                <w:szCs w:val="16"/>
                <w:lang w:eastAsia="en-AU"/>
              </w:rPr>
              <w:t>Northern Health</w:t>
            </w:r>
          </w:p>
        </w:tc>
        <w:tc>
          <w:tcPr>
            <w:tcW w:w="2127" w:type="dxa"/>
            <w:noWrap/>
            <w:hideMark/>
          </w:tcPr>
          <w:p w14:paraId="1539428B" w14:textId="77777777" w:rsidR="00EC02E0" w:rsidRPr="00EC02E0" w:rsidRDefault="00EC02E0" w:rsidP="00EC02E0">
            <w:pPr>
              <w:spacing w:after="0" w:line="240" w:lineRule="auto"/>
              <w:jc w:val="right"/>
              <w:rPr>
                <w:rFonts w:cs="Arial"/>
                <w:color w:val="000000"/>
                <w:sz w:val="16"/>
                <w:szCs w:val="16"/>
                <w:lang w:eastAsia="en-AU"/>
              </w:rPr>
            </w:pPr>
            <w:r w:rsidRPr="00EC02E0">
              <w:rPr>
                <w:rFonts w:cs="Arial"/>
                <w:color w:val="000000"/>
                <w:sz w:val="16"/>
                <w:szCs w:val="16"/>
                <w:lang w:eastAsia="en-AU"/>
              </w:rPr>
              <w:t>209</w:t>
            </w:r>
          </w:p>
        </w:tc>
      </w:tr>
      <w:tr w:rsidR="00EC02E0" w:rsidRPr="00EC02E0" w14:paraId="5D259CD6" w14:textId="77777777" w:rsidTr="005826E3">
        <w:trPr>
          <w:trHeight w:val="288"/>
        </w:trPr>
        <w:tc>
          <w:tcPr>
            <w:tcW w:w="2830" w:type="dxa"/>
            <w:noWrap/>
            <w:hideMark/>
          </w:tcPr>
          <w:p w14:paraId="1D2D49BC" w14:textId="77777777" w:rsidR="00EC02E0" w:rsidRPr="00EC02E0" w:rsidRDefault="00EC02E0" w:rsidP="00EC02E0">
            <w:pPr>
              <w:spacing w:after="0" w:line="240" w:lineRule="auto"/>
              <w:rPr>
                <w:rFonts w:cs="Arial"/>
                <w:color w:val="000000"/>
                <w:sz w:val="16"/>
                <w:szCs w:val="16"/>
                <w:lang w:eastAsia="en-AU"/>
              </w:rPr>
            </w:pPr>
            <w:r w:rsidRPr="00EC02E0">
              <w:rPr>
                <w:rFonts w:cs="Arial"/>
                <w:color w:val="000000"/>
                <w:sz w:val="16"/>
                <w:szCs w:val="16"/>
                <w:lang w:eastAsia="en-AU"/>
              </w:rPr>
              <w:t>Peninsula Health</w:t>
            </w:r>
          </w:p>
        </w:tc>
        <w:tc>
          <w:tcPr>
            <w:tcW w:w="2127" w:type="dxa"/>
            <w:noWrap/>
            <w:hideMark/>
          </w:tcPr>
          <w:p w14:paraId="6D728357" w14:textId="77777777" w:rsidR="00EC02E0" w:rsidRPr="00EC02E0" w:rsidRDefault="00EC02E0" w:rsidP="00EC02E0">
            <w:pPr>
              <w:spacing w:after="0" w:line="240" w:lineRule="auto"/>
              <w:jc w:val="right"/>
              <w:rPr>
                <w:rFonts w:cs="Arial"/>
                <w:color w:val="000000"/>
                <w:sz w:val="16"/>
                <w:szCs w:val="16"/>
                <w:lang w:eastAsia="en-AU"/>
              </w:rPr>
            </w:pPr>
            <w:r w:rsidRPr="00EC02E0">
              <w:rPr>
                <w:rFonts w:cs="Arial"/>
                <w:color w:val="000000"/>
                <w:sz w:val="16"/>
                <w:szCs w:val="16"/>
                <w:lang w:eastAsia="en-AU"/>
              </w:rPr>
              <w:t>165</w:t>
            </w:r>
          </w:p>
        </w:tc>
      </w:tr>
      <w:tr w:rsidR="00EC02E0" w:rsidRPr="00EC02E0" w14:paraId="79E850AD" w14:textId="77777777" w:rsidTr="005826E3">
        <w:trPr>
          <w:trHeight w:val="288"/>
        </w:trPr>
        <w:tc>
          <w:tcPr>
            <w:tcW w:w="2830" w:type="dxa"/>
            <w:noWrap/>
            <w:hideMark/>
          </w:tcPr>
          <w:p w14:paraId="06FE9DE1" w14:textId="77777777" w:rsidR="00EC02E0" w:rsidRPr="00EC02E0" w:rsidRDefault="00EC02E0" w:rsidP="00EC02E0">
            <w:pPr>
              <w:spacing w:after="0" w:line="240" w:lineRule="auto"/>
              <w:rPr>
                <w:rFonts w:cs="Arial"/>
                <w:color w:val="000000"/>
                <w:sz w:val="16"/>
                <w:szCs w:val="16"/>
                <w:lang w:eastAsia="en-AU"/>
              </w:rPr>
            </w:pPr>
            <w:r w:rsidRPr="00EC02E0">
              <w:rPr>
                <w:rFonts w:cs="Arial"/>
                <w:color w:val="000000"/>
                <w:sz w:val="16"/>
                <w:szCs w:val="16"/>
                <w:lang w:eastAsia="en-AU"/>
              </w:rPr>
              <w:t>Western Health</w:t>
            </w:r>
          </w:p>
        </w:tc>
        <w:tc>
          <w:tcPr>
            <w:tcW w:w="2127" w:type="dxa"/>
            <w:noWrap/>
            <w:hideMark/>
          </w:tcPr>
          <w:p w14:paraId="70FB75EF" w14:textId="77777777" w:rsidR="00EC02E0" w:rsidRPr="00EC02E0" w:rsidRDefault="00EC02E0" w:rsidP="00EC02E0">
            <w:pPr>
              <w:spacing w:after="0" w:line="240" w:lineRule="auto"/>
              <w:jc w:val="right"/>
              <w:rPr>
                <w:rFonts w:cs="Arial"/>
                <w:color w:val="000000"/>
                <w:sz w:val="16"/>
                <w:szCs w:val="16"/>
                <w:lang w:eastAsia="en-AU"/>
              </w:rPr>
            </w:pPr>
            <w:r w:rsidRPr="00EC02E0">
              <w:rPr>
                <w:rFonts w:cs="Arial"/>
                <w:color w:val="000000"/>
                <w:sz w:val="16"/>
                <w:szCs w:val="16"/>
                <w:lang w:eastAsia="en-AU"/>
              </w:rPr>
              <w:t>17</w:t>
            </w:r>
          </w:p>
        </w:tc>
      </w:tr>
      <w:tr w:rsidR="00EC02E0" w:rsidRPr="00EC02E0" w14:paraId="5A7CF3D9" w14:textId="77777777" w:rsidTr="00CF4E52">
        <w:trPr>
          <w:trHeight w:val="288"/>
        </w:trPr>
        <w:tc>
          <w:tcPr>
            <w:tcW w:w="2830" w:type="dxa"/>
            <w:shd w:val="clear" w:color="auto" w:fill="201547"/>
            <w:hideMark/>
          </w:tcPr>
          <w:p w14:paraId="606BEA9E" w14:textId="77777777" w:rsidR="00EC02E0" w:rsidRPr="00EC02E0" w:rsidRDefault="00EC02E0" w:rsidP="00EC02E0">
            <w:pPr>
              <w:spacing w:after="0" w:line="240" w:lineRule="auto"/>
              <w:rPr>
                <w:rFonts w:cs="Arial"/>
                <w:b/>
                <w:bCs/>
                <w:color w:val="FFFFFF"/>
                <w:sz w:val="16"/>
                <w:szCs w:val="16"/>
                <w:lang w:eastAsia="en-AU"/>
              </w:rPr>
            </w:pPr>
            <w:r w:rsidRPr="00EC02E0">
              <w:rPr>
                <w:rFonts w:cs="Arial"/>
                <w:b/>
                <w:bCs/>
                <w:color w:val="FFFFFF"/>
                <w:sz w:val="16"/>
                <w:szCs w:val="16"/>
                <w:lang w:eastAsia="en-AU"/>
              </w:rPr>
              <w:t xml:space="preserve">Total  </w:t>
            </w:r>
          </w:p>
        </w:tc>
        <w:tc>
          <w:tcPr>
            <w:tcW w:w="2127" w:type="dxa"/>
            <w:shd w:val="clear" w:color="auto" w:fill="201547"/>
            <w:hideMark/>
          </w:tcPr>
          <w:p w14:paraId="27148D49" w14:textId="77777777" w:rsidR="00EC02E0" w:rsidRPr="00EC02E0" w:rsidRDefault="00EC02E0" w:rsidP="00EC02E0">
            <w:pPr>
              <w:spacing w:after="0" w:line="240" w:lineRule="auto"/>
              <w:jc w:val="right"/>
              <w:rPr>
                <w:rFonts w:cs="Arial"/>
                <w:b/>
                <w:bCs/>
                <w:color w:val="FFFFFF"/>
                <w:sz w:val="16"/>
                <w:szCs w:val="16"/>
                <w:lang w:eastAsia="en-AU"/>
              </w:rPr>
            </w:pPr>
            <w:r w:rsidRPr="00EC02E0">
              <w:rPr>
                <w:rFonts w:cs="Arial"/>
                <w:b/>
                <w:bCs/>
                <w:color w:val="FFFFFF"/>
                <w:sz w:val="16"/>
                <w:szCs w:val="16"/>
                <w:lang w:eastAsia="en-AU"/>
              </w:rPr>
              <w:t>564</w:t>
            </w:r>
          </w:p>
        </w:tc>
      </w:tr>
    </w:tbl>
    <w:p w14:paraId="18240DB8" w14:textId="31EDD4B9" w:rsidR="00E20023" w:rsidRDefault="00E20023" w:rsidP="00B93C8E">
      <w:pPr>
        <w:pStyle w:val="Body"/>
      </w:pPr>
      <w:r>
        <w:br w:type="page"/>
      </w:r>
    </w:p>
    <w:p w14:paraId="18DB015B" w14:textId="3CF38935" w:rsidR="000B27B9" w:rsidRPr="00FD0484" w:rsidRDefault="000B27B9" w:rsidP="00D36F1C">
      <w:pPr>
        <w:pStyle w:val="Heading3"/>
      </w:pPr>
      <w:bookmarkStart w:id="1284" w:name="_Ref70960744"/>
      <w:bookmarkStart w:id="1285" w:name="_Ref70960745"/>
      <w:bookmarkStart w:id="1286" w:name="_Ref96635057"/>
      <w:bookmarkStart w:id="1287" w:name="_Toc100263378"/>
      <w:bookmarkStart w:id="1288" w:name="_Toc127192026"/>
      <w:r>
        <w:lastRenderedPageBreak/>
        <w:t xml:space="preserve">Admitted </w:t>
      </w:r>
      <w:r w:rsidR="00331D5D">
        <w:t>S</w:t>
      </w:r>
      <w:r>
        <w:t xml:space="preserve">ubacute and </w:t>
      </w:r>
      <w:r w:rsidR="00331D5D">
        <w:t>N</w:t>
      </w:r>
      <w:r>
        <w:t>on-</w:t>
      </w:r>
      <w:r w:rsidR="00331D5D">
        <w:t>A</w:t>
      </w:r>
      <w:r>
        <w:t xml:space="preserve">cute </w:t>
      </w:r>
      <w:r w:rsidR="00331D5D">
        <w:t>T</w:t>
      </w:r>
      <w:r>
        <w:t>argets (</w:t>
      </w:r>
      <w:r w:rsidR="00331D5D">
        <w:t>S</w:t>
      </w:r>
      <w:r>
        <w:t xml:space="preserve">ubacute </w:t>
      </w:r>
      <w:r w:rsidR="00E000A8">
        <w:t>NWAU</w:t>
      </w:r>
      <w:r>
        <w:t xml:space="preserve">) </w:t>
      </w:r>
      <w:bookmarkEnd w:id="1280"/>
      <w:bookmarkEnd w:id="1281"/>
      <w:bookmarkEnd w:id="1282"/>
      <w:bookmarkEnd w:id="1283"/>
      <w:bookmarkEnd w:id="1284"/>
      <w:bookmarkEnd w:id="1285"/>
      <w:bookmarkEnd w:id="1286"/>
      <w:r w:rsidR="005D1FCB" w:rsidRPr="00FD0484">
        <w:t>2022</w:t>
      </w:r>
      <w:r w:rsidR="009A3347" w:rsidRPr="00FD0484">
        <w:t>–</w:t>
      </w:r>
      <w:r w:rsidR="005D1FCB" w:rsidRPr="00FD0484">
        <w:t>23</w:t>
      </w:r>
      <w:bookmarkEnd w:id="1287"/>
      <w:bookmarkEnd w:id="1288"/>
    </w:p>
    <w:p w14:paraId="4F713973" w14:textId="69AD0D51" w:rsidR="00C5123F" w:rsidRPr="00FD0484" w:rsidRDefault="00C5123F" w:rsidP="00C5123F">
      <w:pPr>
        <w:pStyle w:val="Tablefigurenote9pt"/>
      </w:pPr>
      <w:bookmarkStart w:id="1289" w:name="_Ref70960740"/>
      <w:bookmarkStart w:id="1290" w:name="_Toc14194830"/>
      <w:bookmarkStart w:id="1291" w:name="_Ref14204212"/>
      <w:bookmarkStart w:id="1292" w:name="_Toc33704011"/>
      <w:r w:rsidRPr="00FD0484">
        <w:t>Notes:</w:t>
      </w:r>
    </w:p>
    <w:p w14:paraId="049E8821" w14:textId="7B1777FE" w:rsidR="00F66684" w:rsidRPr="00FD0484" w:rsidRDefault="00F66684" w:rsidP="003C01AD">
      <w:pPr>
        <w:pStyle w:val="Tablenoteroman"/>
        <w:numPr>
          <w:ilvl w:val="0"/>
          <w:numId w:val="45"/>
        </w:numPr>
        <w:rPr>
          <w:lang w:eastAsia="en-AU"/>
        </w:rPr>
      </w:pPr>
      <w:r w:rsidRPr="00FD0484">
        <w:rPr>
          <w:lang w:eastAsia="en-AU"/>
        </w:rPr>
        <w:t xml:space="preserve">Targets include adjustments made in the statement of priorities, including changes relating </w:t>
      </w:r>
      <w:r w:rsidR="00601236">
        <w:rPr>
          <w:lang w:eastAsia="en-AU"/>
        </w:rPr>
        <w:t xml:space="preserve">to </w:t>
      </w:r>
      <w:r w:rsidRPr="00FD0484">
        <w:rPr>
          <w:lang w:eastAsia="en-AU"/>
        </w:rPr>
        <w:t xml:space="preserve">National Funding Model implementation.  </w:t>
      </w:r>
    </w:p>
    <w:p w14:paraId="24CFBC61" w14:textId="0FDC1801" w:rsidR="000B27B9" w:rsidRDefault="000B27B9" w:rsidP="000E08EF">
      <w:pPr>
        <w:pStyle w:val="Tablecaption"/>
      </w:pPr>
      <w:bookmarkStart w:id="1293" w:name="_Ref96635115"/>
      <w:bookmarkStart w:id="1294" w:name="_Toc109894140"/>
      <w:bookmarkStart w:id="1295" w:name="_Toc119500921"/>
      <w:permStart w:id="1817188005" w:ed="health.vic.gov.au\andrew.haywood"/>
      <w:permStart w:id="1342507373" w:ed="health.vic.gov.au\jy.yeo"/>
      <w:permStart w:id="1599415817" w:ed="health.vic.gov.au\lucy.solier"/>
      <w:permEnd w:id="1817188005"/>
      <w:permEnd w:id="1342507373"/>
      <w:permEnd w:id="1599415817"/>
      <w:r w:rsidRPr="00FD0484">
        <w:t xml:space="preserve">Table </w:t>
      </w:r>
      <w:r>
        <w:fldChar w:fldCharType="begin"/>
      </w:r>
      <w:r>
        <w:instrText>STYLEREF 1 \s</w:instrText>
      </w:r>
      <w:r>
        <w:fldChar w:fldCharType="separate"/>
      </w:r>
      <w:r w:rsidR="006D0756" w:rsidRPr="00FD0484">
        <w:rPr>
          <w:noProof/>
        </w:rPr>
        <w:t>2</w:t>
      </w:r>
      <w:r>
        <w:fldChar w:fldCharType="end"/>
      </w:r>
      <w:r w:rsidR="00EC6300" w:rsidRPr="00FD0484">
        <w:t>.</w:t>
      </w:r>
      <w:r>
        <w:fldChar w:fldCharType="begin"/>
      </w:r>
      <w:r>
        <w:instrText>SEQ Table \* ARABIC \s 1</w:instrText>
      </w:r>
      <w:r>
        <w:fldChar w:fldCharType="separate"/>
      </w:r>
      <w:r w:rsidR="006D0756" w:rsidRPr="00FD0484">
        <w:rPr>
          <w:noProof/>
        </w:rPr>
        <w:t>14</w:t>
      </w:r>
      <w:r>
        <w:fldChar w:fldCharType="end"/>
      </w:r>
      <w:bookmarkEnd w:id="1293"/>
      <w:r w:rsidRPr="00FD0484">
        <w:t xml:space="preserve">: Admitted subacute and non-acute targets (subacute </w:t>
      </w:r>
      <w:r w:rsidR="00036AB6" w:rsidRPr="00FD0484">
        <w:t>NWAU</w:t>
      </w:r>
      <w:r w:rsidRPr="00FD0484">
        <w:t xml:space="preserve">) </w:t>
      </w:r>
      <w:bookmarkEnd w:id="1289"/>
      <w:bookmarkEnd w:id="1290"/>
      <w:bookmarkEnd w:id="1291"/>
      <w:bookmarkEnd w:id="1292"/>
      <w:r w:rsidR="005D1FCB" w:rsidRPr="00FD0484">
        <w:t>2022</w:t>
      </w:r>
      <w:r w:rsidR="009A3347" w:rsidRPr="00FD0484">
        <w:t>–</w:t>
      </w:r>
      <w:r w:rsidR="005D1FCB" w:rsidRPr="00FD0484">
        <w:t>23</w:t>
      </w:r>
      <w:bookmarkEnd w:id="1294"/>
      <w:bookmarkEnd w:id="1295"/>
      <w:r w:rsidR="00D43B1A">
        <w:t xml:space="preserve"> </w:t>
      </w:r>
    </w:p>
    <w:tbl>
      <w:tblPr>
        <w:tblStyle w:val="TableGrid1"/>
        <w:tblW w:w="7366" w:type="dxa"/>
        <w:tblLook w:val="00A0" w:firstRow="1" w:lastRow="0" w:firstColumn="1" w:lastColumn="0" w:noHBand="0" w:noVBand="0"/>
      </w:tblPr>
      <w:tblGrid>
        <w:gridCol w:w="3114"/>
        <w:gridCol w:w="2268"/>
        <w:gridCol w:w="1984"/>
      </w:tblGrid>
      <w:tr w:rsidR="005E4099" w:rsidRPr="005E4099" w14:paraId="2C602BFC" w14:textId="77777777" w:rsidTr="00CF4E52">
        <w:trPr>
          <w:cnfStyle w:val="100000000000" w:firstRow="1" w:lastRow="0" w:firstColumn="0" w:lastColumn="0" w:oddVBand="0" w:evenVBand="0" w:oddHBand="0" w:evenHBand="0" w:firstRowFirstColumn="0" w:firstRowLastColumn="0" w:lastRowFirstColumn="0" w:lastRowLastColumn="0"/>
          <w:trHeight w:val="303"/>
          <w:tblHeader/>
        </w:trPr>
        <w:tc>
          <w:tcPr>
            <w:tcW w:w="3114" w:type="dxa"/>
            <w:noWrap/>
            <w:hideMark/>
          </w:tcPr>
          <w:p w14:paraId="1C40390D" w14:textId="77777777" w:rsidR="005E4099" w:rsidRPr="005E4099" w:rsidRDefault="005E4099" w:rsidP="005E4099">
            <w:pPr>
              <w:spacing w:after="0" w:line="240" w:lineRule="auto"/>
              <w:rPr>
                <w:rFonts w:cs="Arial"/>
                <w:b/>
                <w:bCs/>
                <w:color w:val="FFFFFF"/>
                <w:sz w:val="16"/>
                <w:szCs w:val="16"/>
                <w:lang w:eastAsia="en-AU"/>
              </w:rPr>
            </w:pPr>
            <w:r w:rsidRPr="005E4099">
              <w:rPr>
                <w:rFonts w:cs="Arial"/>
                <w:b/>
                <w:bCs/>
                <w:color w:val="FFFFFF"/>
                <w:sz w:val="16"/>
                <w:szCs w:val="16"/>
                <w:lang w:eastAsia="en-AU"/>
              </w:rPr>
              <w:t>Health Service</w:t>
            </w:r>
          </w:p>
        </w:tc>
        <w:tc>
          <w:tcPr>
            <w:tcW w:w="2268" w:type="dxa"/>
            <w:noWrap/>
            <w:hideMark/>
          </w:tcPr>
          <w:p w14:paraId="66D962B0" w14:textId="7519B655" w:rsidR="005E4099" w:rsidRPr="005E4099" w:rsidRDefault="005E4099" w:rsidP="004A5138">
            <w:pPr>
              <w:spacing w:after="0" w:line="240" w:lineRule="auto"/>
              <w:jc w:val="right"/>
              <w:rPr>
                <w:rFonts w:cs="Arial"/>
                <w:b/>
                <w:bCs/>
                <w:color w:val="FFFFFF"/>
                <w:sz w:val="16"/>
                <w:szCs w:val="16"/>
                <w:lang w:eastAsia="en-AU"/>
              </w:rPr>
            </w:pPr>
            <w:r w:rsidRPr="005E4099">
              <w:rPr>
                <w:rFonts w:cs="Arial"/>
                <w:b/>
                <w:bCs/>
                <w:color w:val="FFFFFF"/>
                <w:sz w:val="16"/>
                <w:szCs w:val="16"/>
                <w:lang w:eastAsia="en-AU"/>
              </w:rPr>
              <w:t>Sub</w:t>
            </w:r>
            <w:r w:rsidR="0005411E">
              <w:rPr>
                <w:rFonts w:cs="Arial"/>
                <w:b/>
                <w:bCs/>
                <w:color w:val="FFFFFF"/>
                <w:sz w:val="16"/>
                <w:szCs w:val="16"/>
                <w:lang w:eastAsia="en-AU"/>
              </w:rPr>
              <w:t>a</w:t>
            </w:r>
            <w:r w:rsidRPr="005E4099">
              <w:rPr>
                <w:rFonts w:cs="Arial"/>
                <w:b/>
                <w:bCs/>
                <w:color w:val="FFFFFF"/>
                <w:sz w:val="16"/>
                <w:szCs w:val="16"/>
                <w:lang w:eastAsia="en-AU"/>
              </w:rPr>
              <w:t>cute</w:t>
            </w:r>
            <w:r w:rsidR="0005411E">
              <w:rPr>
                <w:rFonts w:cs="Arial"/>
                <w:b/>
                <w:bCs/>
                <w:color w:val="FFFFFF"/>
                <w:sz w:val="16"/>
                <w:szCs w:val="16"/>
                <w:lang w:eastAsia="en-AU"/>
              </w:rPr>
              <w:t xml:space="preserve"> admitted NWAU</w:t>
            </w:r>
          </w:p>
        </w:tc>
        <w:tc>
          <w:tcPr>
            <w:tcW w:w="1984" w:type="dxa"/>
            <w:hideMark/>
          </w:tcPr>
          <w:p w14:paraId="3CABF844" w14:textId="77777777" w:rsidR="005E4099" w:rsidRPr="005E4099" w:rsidRDefault="005E4099" w:rsidP="004A5138">
            <w:pPr>
              <w:spacing w:after="0" w:line="240" w:lineRule="auto"/>
              <w:jc w:val="right"/>
              <w:rPr>
                <w:rFonts w:cs="Arial"/>
                <w:b/>
                <w:bCs/>
                <w:color w:val="FFFFFF"/>
                <w:sz w:val="16"/>
                <w:szCs w:val="16"/>
                <w:lang w:eastAsia="en-AU"/>
              </w:rPr>
            </w:pPr>
            <w:r w:rsidRPr="005E4099">
              <w:rPr>
                <w:rFonts w:cs="Arial"/>
                <w:b/>
                <w:bCs/>
                <w:color w:val="FFFFFF"/>
                <w:sz w:val="16"/>
                <w:szCs w:val="16"/>
                <w:lang w:eastAsia="en-AU"/>
              </w:rPr>
              <w:t>DVA  subacute admitted NWAU</w:t>
            </w:r>
          </w:p>
        </w:tc>
      </w:tr>
      <w:tr w:rsidR="005E4099" w:rsidRPr="005E4099" w14:paraId="6AC07B22" w14:textId="77777777" w:rsidTr="005826E3">
        <w:trPr>
          <w:trHeight w:val="288"/>
        </w:trPr>
        <w:tc>
          <w:tcPr>
            <w:tcW w:w="3114" w:type="dxa"/>
            <w:shd w:val="clear" w:color="auto" w:fill="auto"/>
            <w:noWrap/>
            <w:hideMark/>
          </w:tcPr>
          <w:p w14:paraId="00842FE1"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Albury Wodonga Health</w:t>
            </w:r>
          </w:p>
        </w:tc>
        <w:tc>
          <w:tcPr>
            <w:tcW w:w="2268" w:type="dxa"/>
            <w:noWrap/>
            <w:hideMark/>
          </w:tcPr>
          <w:p w14:paraId="6A2D693B"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1,413</w:t>
            </w:r>
          </w:p>
        </w:tc>
        <w:tc>
          <w:tcPr>
            <w:tcW w:w="1984" w:type="dxa"/>
            <w:noWrap/>
            <w:hideMark/>
          </w:tcPr>
          <w:p w14:paraId="6B2AF9DD"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75</w:t>
            </w:r>
          </w:p>
        </w:tc>
      </w:tr>
      <w:tr w:rsidR="005E4099" w:rsidRPr="005E4099" w14:paraId="4570F7F9" w14:textId="77777777" w:rsidTr="005826E3">
        <w:trPr>
          <w:trHeight w:val="288"/>
        </w:trPr>
        <w:tc>
          <w:tcPr>
            <w:tcW w:w="3114" w:type="dxa"/>
            <w:shd w:val="clear" w:color="auto" w:fill="auto"/>
            <w:noWrap/>
            <w:hideMark/>
          </w:tcPr>
          <w:p w14:paraId="7540BE43"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Alfred Health</w:t>
            </w:r>
          </w:p>
        </w:tc>
        <w:tc>
          <w:tcPr>
            <w:tcW w:w="2268" w:type="dxa"/>
            <w:noWrap/>
            <w:hideMark/>
          </w:tcPr>
          <w:p w14:paraId="4FCFF44B"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13,096</w:t>
            </w:r>
          </w:p>
        </w:tc>
        <w:tc>
          <w:tcPr>
            <w:tcW w:w="1984" w:type="dxa"/>
            <w:noWrap/>
            <w:hideMark/>
          </w:tcPr>
          <w:p w14:paraId="77DBC712"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135</w:t>
            </w:r>
          </w:p>
        </w:tc>
      </w:tr>
      <w:tr w:rsidR="005E4099" w:rsidRPr="005E4099" w14:paraId="36A2C1CF" w14:textId="77777777" w:rsidTr="005826E3">
        <w:trPr>
          <w:cantSplit/>
          <w:trHeight w:val="288"/>
        </w:trPr>
        <w:tc>
          <w:tcPr>
            <w:tcW w:w="3114" w:type="dxa"/>
            <w:shd w:val="clear" w:color="auto" w:fill="auto"/>
            <w:noWrap/>
            <w:hideMark/>
          </w:tcPr>
          <w:p w14:paraId="19E5DDCE"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Austin Health</w:t>
            </w:r>
          </w:p>
        </w:tc>
        <w:tc>
          <w:tcPr>
            <w:tcW w:w="2268" w:type="dxa"/>
            <w:noWrap/>
            <w:hideMark/>
          </w:tcPr>
          <w:p w14:paraId="227AF337"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14,116</w:t>
            </w:r>
          </w:p>
        </w:tc>
        <w:tc>
          <w:tcPr>
            <w:tcW w:w="1984" w:type="dxa"/>
            <w:noWrap/>
            <w:hideMark/>
          </w:tcPr>
          <w:p w14:paraId="61D1547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184</w:t>
            </w:r>
          </w:p>
        </w:tc>
      </w:tr>
      <w:tr w:rsidR="005E4099" w:rsidRPr="005E4099" w14:paraId="6B6EE454" w14:textId="77777777" w:rsidTr="005826E3">
        <w:trPr>
          <w:trHeight w:val="288"/>
        </w:trPr>
        <w:tc>
          <w:tcPr>
            <w:tcW w:w="3114" w:type="dxa"/>
            <w:shd w:val="clear" w:color="auto" w:fill="auto"/>
            <w:noWrap/>
            <w:hideMark/>
          </w:tcPr>
          <w:p w14:paraId="1CF1F4D9"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Bairnsdale Regional Health Service</w:t>
            </w:r>
          </w:p>
        </w:tc>
        <w:tc>
          <w:tcPr>
            <w:tcW w:w="2268" w:type="dxa"/>
            <w:noWrap/>
            <w:hideMark/>
          </w:tcPr>
          <w:p w14:paraId="094AE9B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1,474</w:t>
            </w:r>
          </w:p>
        </w:tc>
        <w:tc>
          <w:tcPr>
            <w:tcW w:w="1984" w:type="dxa"/>
            <w:noWrap/>
            <w:hideMark/>
          </w:tcPr>
          <w:p w14:paraId="19F51D3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31</w:t>
            </w:r>
          </w:p>
        </w:tc>
      </w:tr>
      <w:tr w:rsidR="005E4099" w:rsidRPr="005E4099" w14:paraId="4DF68180" w14:textId="77777777" w:rsidTr="005826E3">
        <w:trPr>
          <w:trHeight w:val="288"/>
        </w:trPr>
        <w:tc>
          <w:tcPr>
            <w:tcW w:w="3114" w:type="dxa"/>
            <w:shd w:val="clear" w:color="auto" w:fill="auto"/>
            <w:noWrap/>
            <w:hideMark/>
          </w:tcPr>
          <w:p w14:paraId="183A5571"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Barwon Health</w:t>
            </w:r>
          </w:p>
        </w:tc>
        <w:tc>
          <w:tcPr>
            <w:tcW w:w="2268" w:type="dxa"/>
            <w:noWrap/>
            <w:hideMark/>
          </w:tcPr>
          <w:p w14:paraId="10EC8B52"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8,050</w:t>
            </w:r>
          </w:p>
        </w:tc>
        <w:tc>
          <w:tcPr>
            <w:tcW w:w="1984" w:type="dxa"/>
            <w:noWrap/>
            <w:hideMark/>
          </w:tcPr>
          <w:p w14:paraId="5DA99643"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72</w:t>
            </w:r>
          </w:p>
        </w:tc>
      </w:tr>
      <w:tr w:rsidR="005E4099" w:rsidRPr="005E4099" w14:paraId="675AA07E" w14:textId="77777777" w:rsidTr="005826E3">
        <w:trPr>
          <w:trHeight w:val="288"/>
        </w:trPr>
        <w:tc>
          <w:tcPr>
            <w:tcW w:w="3114" w:type="dxa"/>
            <w:shd w:val="clear" w:color="auto" w:fill="auto"/>
            <w:noWrap/>
            <w:hideMark/>
          </w:tcPr>
          <w:p w14:paraId="04D2DA54"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Bass Coast Health</w:t>
            </w:r>
          </w:p>
        </w:tc>
        <w:tc>
          <w:tcPr>
            <w:tcW w:w="2268" w:type="dxa"/>
            <w:noWrap/>
            <w:hideMark/>
          </w:tcPr>
          <w:p w14:paraId="280E7F4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1,863</w:t>
            </w:r>
          </w:p>
        </w:tc>
        <w:tc>
          <w:tcPr>
            <w:tcW w:w="1984" w:type="dxa"/>
            <w:noWrap/>
            <w:hideMark/>
          </w:tcPr>
          <w:p w14:paraId="4F360B41"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46</w:t>
            </w:r>
          </w:p>
        </w:tc>
      </w:tr>
      <w:tr w:rsidR="005E4099" w:rsidRPr="005E4099" w14:paraId="54828AD8" w14:textId="77777777" w:rsidTr="005826E3">
        <w:trPr>
          <w:trHeight w:val="288"/>
        </w:trPr>
        <w:tc>
          <w:tcPr>
            <w:tcW w:w="3114" w:type="dxa"/>
            <w:shd w:val="clear" w:color="auto" w:fill="auto"/>
            <w:noWrap/>
            <w:hideMark/>
          </w:tcPr>
          <w:p w14:paraId="1ACBE07C"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Benalla Health</w:t>
            </w:r>
          </w:p>
        </w:tc>
        <w:tc>
          <w:tcPr>
            <w:tcW w:w="2268" w:type="dxa"/>
            <w:noWrap/>
            <w:hideMark/>
          </w:tcPr>
          <w:p w14:paraId="1A6FBF4E"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175</w:t>
            </w:r>
          </w:p>
        </w:tc>
        <w:tc>
          <w:tcPr>
            <w:tcW w:w="1984" w:type="dxa"/>
            <w:noWrap/>
            <w:hideMark/>
          </w:tcPr>
          <w:p w14:paraId="4C0AC70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10</w:t>
            </w:r>
          </w:p>
        </w:tc>
      </w:tr>
      <w:tr w:rsidR="005E4099" w:rsidRPr="005E4099" w14:paraId="77E98C49" w14:textId="77777777" w:rsidTr="005826E3">
        <w:trPr>
          <w:trHeight w:val="288"/>
        </w:trPr>
        <w:tc>
          <w:tcPr>
            <w:tcW w:w="3114" w:type="dxa"/>
            <w:shd w:val="clear" w:color="auto" w:fill="auto"/>
            <w:noWrap/>
            <w:hideMark/>
          </w:tcPr>
          <w:p w14:paraId="2F1573DC"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Bendigo Health</w:t>
            </w:r>
          </w:p>
        </w:tc>
        <w:tc>
          <w:tcPr>
            <w:tcW w:w="2268" w:type="dxa"/>
            <w:noWrap/>
            <w:hideMark/>
          </w:tcPr>
          <w:p w14:paraId="650A8E45"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7,155</w:t>
            </w:r>
          </w:p>
        </w:tc>
        <w:tc>
          <w:tcPr>
            <w:tcW w:w="1984" w:type="dxa"/>
            <w:noWrap/>
            <w:hideMark/>
          </w:tcPr>
          <w:p w14:paraId="6100D49E"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168</w:t>
            </w:r>
          </w:p>
        </w:tc>
      </w:tr>
      <w:tr w:rsidR="005E4099" w:rsidRPr="005E4099" w14:paraId="17F04DAB" w14:textId="77777777" w:rsidTr="005826E3">
        <w:trPr>
          <w:trHeight w:val="288"/>
        </w:trPr>
        <w:tc>
          <w:tcPr>
            <w:tcW w:w="3114" w:type="dxa"/>
            <w:shd w:val="clear" w:color="auto" w:fill="auto"/>
            <w:noWrap/>
            <w:hideMark/>
          </w:tcPr>
          <w:p w14:paraId="55B7B305"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Calvary Health Care Bethlehem Limited</w:t>
            </w:r>
          </w:p>
        </w:tc>
        <w:tc>
          <w:tcPr>
            <w:tcW w:w="2268" w:type="dxa"/>
            <w:noWrap/>
            <w:hideMark/>
          </w:tcPr>
          <w:p w14:paraId="035BB33E"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2,113</w:t>
            </w:r>
          </w:p>
        </w:tc>
        <w:tc>
          <w:tcPr>
            <w:tcW w:w="1984" w:type="dxa"/>
            <w:noWrap/>
            <w:hideMark/>
          </w:tcPr>
          <w:p w14:paraId="6FF7FEA1"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08FCAF2A" w14:textId="77777777" w:rsidTr="005826E3">
        <w:trPr>
          <w:trHeight w:val="288"/>
        </w:trPr>
        <w:tc>
          <w:tcPr>
            <w:tcW w:w="3114" w:type="dxa"/>
            <w:shd w:val="clear" w:color="auto" w:fill="auto"/>
            <w:noWrap/>
            <w:hideMark/>
          </w:tcPr>
          <w:p w14:paraId="78E0513D"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Central Gippsland Health Service</w:t>
            </w:r>
          </w:p>
        </w:tc>
        <w:tc>
          <w:tcPr>
            <w:tcW w:w="2268" w:type="dxa"/>
            <w:noWrap/>
            <w:hideMark/>
          </w:tcPr>
          <w:p w14:paraId="5099933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1,012</w:t>
            </w:r>
          </w:p>
        </w:tc>
        <w:tc>
          <w:tcPr>
            <w:tcW w:w="1984" w:type="dxa"/>
            <w:noWrap/>
            <w:hideMark/>
          </w:tcPr>
          <w:p w14:paraId="2EB24B3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12</w:t>
            </w:r>
          </w:p>
        </w:tc>
      </w:tr>
      <w:tr w:rsidR="005E4099" w:rsidRPr="005E4099" w14:paraId="77458E43" w14:textId="77777777" w:rsidTr="005826E3">
        <w:trPr>
          <w:trHeight w:val="288"/>
        </w:trPr>
        <w:tc>
          <w:tcPr>
            <w:tcW w:w="3114" w:type="dxa"/>
            <w:shd w:val="clear" w:color="auto" w:fill="auto"/>
            <w:noWrap/>
            <w:hideMark/>
          </w:tcPr>
          <w:p w14:paraId="60D88F7C"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Colac Area Health</w:t>
            </w:r>
          </w:p>
        </w:tc>
        <w:tc>
          <w:tcPr>
            <w:tcW w:w="2268" w:type="dxa"/>
            <w:noWrap/>
            <w:hideMark/>
          </w:tcPr>
          <w:p w14:paraId="6F056ED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229</w:t>
            </w:r>
          </w:p>
        </w:tc>
        <w:tc>
          <w:tcPr>
            <w:tcW w:w="1984" w:type="dxa"/>
            <w:noWrap/>
            <w:hideMark/>
          </w:tcPr>
          <w:p w14:paraId="3E7A5CC4"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32048D49" w14:textId="77777777" w:rsidTr="005826E3">
        <w:trPr>
          <w:trHeight w:val="288"/>
        </w:trPr>
        <w:tc>
          <w:tcPr>
            <w:tcW w:w="3114" w:type="dxa"/>
            <w:shd w:val="clear" w:color="auto" w:fill="auto"/>
            <w:noWrap/>
            <w:hideMark/>
          </w:tcPr>
          <w:p w14:paraId="426F8FFC"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Dhelkaya Health</w:t>
            </w:r>
          </w:p>
        </w:tc>
        <w:tc>
          <w:tcPr>
            <w:tcW w:w="2268" w:type="dxa"/>
            <w:noWrap/>
            <w:hideMark/>
          </w:tcPr>
          <w:p w14:paraId="4CF382E6"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1,146</w:t>
            </w:r>
          </w:p>
        </w:tc>
        <w:tc>
          <w:tcPr>
            <w:tcW w:w="1984" w:type="dxa"/>
            <w:noWrap/>
            <w:hideMark/>
          </w:tcPr>
          <w:p w14:paraId="34F18EEB"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36</w:t>
            </w:r>
          </w:p>
        </w:tc>
      </w:tr>
      <w:tr w:rsidR="005E4099" w:rsidRPr="005E4099" w14:paraId="71C755FB" w14:textId="77777777" w:rsidTr="005826E3">
        <w:trPr>
          <w:trHeight w:val="288"/>
        </w:trPr>
        <w:tc>
          <w:tcPr>
            <w:tcW w:w="3114" w:type="dxa"/>
            <w:shd w:val="clear" w:color="auto" w:fill="auto"/>
            <w:noWrap/>
            <w:hideMark/>
          </w:tcPr>
          <w:p w14:paraId="73AD0108"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East Grampians Health Serv</w:t>
            </w:r>
          </w:p>
        </w:tc>
        <w:tc>
          <w:tcPr>
            <w:tcW w:w="2268" w:type="dxa"/>
            <w:noWrap/>
            <w:hideMark/>
          </w:tcPr>
          <w:p w14:paraId="4F0D961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337</w:t>
            </w:r>
          </w:p>
        </w:tc>
        <w:tc>
          <w:tcPr>
            <w:tcW w:w="1984" w:type="dxa"/>
            <w:noWrap/>
            <w:hideMark/>
          </w:tcPr>
          <w:p w14:paraId="57444992"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44F19422" w14:textId="77777777" w:rsidTr="005826E3">
        <w:trPr>
          <w:trHeight w:val="288"/>
        </w:trPr>
        <w:tc>
          <w:tcPr>
            <w:tcW w:w="3114" w:type="dxa"/>
            <w:shd w:val="clear" w:color="auto" w:fill="auto"/>
            <w:noWrap/>
            <w:hideMark/>
          </w:tcPr>
          <w:p w14:paraId="073A6643"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Eastern Health</w:t>
            </w:r>
          </w:p>
        </w:tc>
        <w:tc>
          <w:tcPr>
            <w:tcW w:w="2268" w:type="dxa"/>
            <w:noWrap/>
            <w:hideMark/>
          </w:tcPr>
          <w:p w14:paraId="6671D75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17,517</w:t>
            </w:r>
          </w:p>
        </w:tc>
        <w:tc>
          <w:tcPr>
            <w:tcW w:w="1984" w:type="dxa"/>
            <w:noWrap/>
            <w:hideMark/>
          </w:tcPr>
          <w:p w14:paraId="385F8EAF"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216</w:t>
            </w:r>
          </w:p>
        </w:tc>
      </w:tr>
      <w:tr w:rsidR="005E4099" w:rsidRPr="005E4099" w14:paraId="1C9A6E70" w14:textId="77777777" w:rsidTr="005826E3">
        <w:trPr>
          <w:trHeight w:val="288"/>
        </w:trPr>
        <w:tc>
          <w:tcPr>
            <w:tcW w:w="3114" w:type="dxa"/>
            <w:shd w:val="clear" w:color="auto" w:fill="auto"/>
            <w:noWrap/>
            <w:hideMark/>
          </w:tcPr>
          <w:p w14:paraId="02CCBDEA"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Echuca Regional Health</w:t>
            </w:r>
          </w:p>
        </w:tc>
        <w:tc>
          <w:tcPr>
            <w:tcW w:w="2268" w:type="dxa"/>
            <w:noWrap/>
            <w:hideMark/>
          </w:tcPr>
          <w:p w14:paraId="039E5A28"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1,304</w:t>
            </w:r>
          </w:p>
        </w:tc>
        <w:tc>
          <w:tcPr>
            <w:tcW w:w="1984" w:type="dxa"/>
            <w:noWrap/>
            <w:hideMark/>
          </w:tcPr>
          <w:p w14:paraId="6CF56116"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10</w:t>
            </w:r>
          </w:p>
        </w:tc>
      </w:tr>
      <w:tr w:rsidR="005E4099" w:rsidRPr="005E4099" w14:paraId="0D32BEF1" w14:textId="77777777" w:rsidTr="005826E3">
        <w:trPr>
          <w:trHeight w:val="288"/>
        </w:trPr>
        <w:tc>
          <w:tcPr>
            <w:tcW w:w="3114" w:type="dxa"/>
            <w:shd w:val="clear" w:color="auto" w:fill="auto"/>
            <w:noWrap/>
            <w:hideMark/>
          </w:tcPr>
          <w:p w14:paraId="6B8B8724"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Gippsland Southern Health Service</w:t>
            </w:r>
          </w:p>
        </w:tc>
        <w:tc>
          <w:tcPr>
            <w:tcW w:w="2268" w:type="dxa"/>
            <w:noWrap/>
            <w:hideMark/>
          </w:tcPr>
          <w:p w14:paraId="62CC62B7"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302</w:t>
            </w:r>
          </w:p>
        </w:tc>
        <w:tc>
          <w:tcPr>
            <w:tcW w:w="1984" w:type="dxa"/>
            <w:noWrap/>
            <w:hideMark/>
          </w:tcPr>
          <w:p w14:paraId="55F40363"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31</w:t>
            </w:r>
          </w:p>
        </w:tc>
      </w:tr>
      <w:tr w:rsidR="005E4099" w:rsidRPr="005E4099" w14:paraId="2D8D2922" w14:textId="77777777" w:rsidTr="005826E3">
        <w:trPr>
          <w:trHeight w:val="288"/>
        </w:trPr>
        <w:tc>
          <w:tcPr>
            <w:tcW w:w="3114" w:type="dxa"/>
            <w:shd w:val="clear" w:color="auto" w:fill="auto"/>
            <w:noWrap/>
            <w:hideMark/>
          </w:tcPr>
          <w:p w14:paraId="6ED3CC16"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Goulburn Valley Health</w:t>
            </w:r>
          </w:p>
        </w:tc>
        <w:tc>
          <w:tcPr>
            <w:tcW w:w="2268" w:type="dxa"/>
            <w:noWrap/>
            <w:hideMark/>
          </w:tcPr>
          <w:p w14:paraId="4E494C1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4,292</w:t>
            </w:r>
          </w:p>
        </w:tc>
        <w:tc>
          <w:tcPr>
            <w:tcW w:w="1984" w:type="dxa"/>
            <w:noWrap/>
            <w:hideMark/>
          </w:tcPr>
          <w:p w14:paraId="6CF92855"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63</w:t>
            </w:r>
          </w:p>
        </w:tc>
      </w:tr>
      <w:tr w:rsidR="005E4099" w:rsidRPr="005E4099" w14:paraId="2AD3FB9D" w14:textId="77777777" w:rsidTr="005826E3">
        <w:trPr>
          <w:trHeight w:val="288"/>
        </w:trPr>
        <w:tc>
          <w:tcPr>
            <w:tcW w:w="3114" w:type="dxa"/>
            <w:shd w:val="clear" w:color="auto" w:fill="auto"/>
            <w:noWrap/>
            <w:hideMark/>
          </w:tcPr>
          <w:p w14:paraId="1B6FD8B1"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Grampians Health</w:t>
            </w:r>
          </w:p>
        </w:tc>
        <w:tc>
          <w:tcPr>
            <w:tcW w:w="2268" w:type="dxa"/>
            <w:noWrap/>
            <w:hideMark/>
          </w:tcPr>
          <w:p w14:paraId="2CD8C1E3"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7,092</w:t>
            </w:r>
          </w:p>
        </w:tc>
        <w:tc>
          <w:tcPr>
            <w:tcW w:w="1984" w:type="dxa"/>
            <w:noWrap/>
            <w:hideMark/>
          </w:tcPr>
          <w:p w14:paraId="1292F52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20</w:t>
            </w:r>
          </w:p>
        </w:tc>
      </w:tr>
      <w:tr w:rsidR="005E4099" w:rsidRPr="005E4099" w14:paraId="6C3E75E3" w14:textId="77777777" w:rsidTr="005826E3">
        <w:trPr>
          <w:trHeight w:val="288"/>
        </w:trPr>
        <w:tc>
          <w:tcPr>
            <w:tcW w:w="3114" w:type="dxa"/>
            <w:shd w:val="clear" w:color="auto" w:fill="auto"/>
            <w:noWrap/>
            <w:hideMark/>
          </w:tcPr>
          <w:p w14:paraId="21688815"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Kyabram District Health Services</w:t>
            </w:r>
          </w:p>
        </w:tc>
        <w:tc>
          <w:tcPr>
            <w:tcW w:w="2268" w:type="dxa"/>
            <w:noWrap/>
            <w:hideMark/>
          </w:tcPr>
          <w:p w14:paraId="4239637F"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185</w:t>
            </w:r>
          </w:p>
        </w:tc>
        <w:tc>
          <w:tcPr>
            <w:tcW w:w="1984" w:type="dxa"/>
            <w:noWrap/>
            <w:hideMark/>
          </w:tcPr>
          <w:p w14:paraId="2EAADF1F"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1BD244AC" w14:textId="77777777" w:rsidTr="005826E3">
        <w:trPr>
          <w:trHeight w:val="288"/>
        </w:trPr>
        <w:tc>
          <w:tcPr>
            <w:tcW w:w="3114" w:type="dxa"/>
            <w:shd w:val="clear" w:color="auto" w:fill="auto"/>
            <w:noWrap/>
            <w:hideMark/>
          </w:tcPr>
          <w:p w14:paraId="333D6633"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Latrobe Regional Hospital</w:t>
            </w:r>
          </w:p>
        </w:tc>
        <w:tc>
          <w:tcPr>
            <w:tcW w:w="2268" w:type="dxa"/>
            <w:noWrap/>
            <w:hideMark/>
          </w:tcPr>
          <w:p w14:paraId="5586792F"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3,731</w:t>
            </w:r>
          </w:p>
        </w:tc>
        <w:tc>
          <w:tcPr>
            <w:tcW w:w="1984" w:type="dxa"/>
            <w:noWrap/>
            <w:hideMark/>
          </w:tcPr>
          <w:p w14:paraId="22E3E4EE"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71</w:t>
            </w:r>
          </w:p>
        </w:tc>
      </w:tr>
      <w:tr w:rsidR="005E4099" w:rsidRPr="005E4099" w14:paraId="181BD5D5" w14:textId="77777777" w:rsidTr="005826E3">
        <w:trPr>
          <w:trHeight w:val="288"/>
        </w:trPr>
        <w:tc>
          <w:tcPr>
            <w:tcW w:w="3114" w:type="dxa"/>
            <w:shd w:val="clear" w:color="auto" w:fill="auto"/>
            <w:noWrap/>
            <w:hideMark/>
          </w:tcPr>
          <w:p w14:paraId="6CA13587"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Maryborough District Health Service</w:t>
            </w:r>
          </w:p>
        </w:tc>
        <w:tc>
          <w:tcPr>
            <w:tcW w:w="2268" w:type="dxa"/>
            <w:noWrap/>
            <w:hideMark/>
          </w:tcPr>
          <w:p w14:paraId="7F8F5AF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52</w:t>
            </w:r>
          </w:p>
        </w:tc>
        <w:tc>
          <w:tcPr>
            <w:tcW w:w="1984" w:type="dxa"/>
            <w:noWrap/>
            <w:hideMark/>
          </w:tcPr>
          <w:p w14:paraId="39A2080E"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4D910FF7" w14:textId="77777777" w:rsidTr="005826E3">
        <w:trPr>
          <w:trHeight w:val="288"/>
        </w:trPr>
        <w:tc>
          <w:tcPr>
            <w:tcW w:w="3114" w:type="dxa"/>
            <w:shd w:val="clear" w:color="auto" w:fill="auto"/>
            <w:noWrap/>
            <w:hideMark/>
          </w:tcPr>
          <w:p w14:paraId="7EE7108F"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Melbourne Health</w:t>
            </w:r>
          </w:p>
        </w:tc>
        <w:tc>
          <w:tcPr>
            <w:tcW w:w="2268" w:type="dxa"/>
            <w:noWrap/>
            <w:hideMark/>
          </w:tcPr>
          <w:p w14:paraId="01734965"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12,597</w:t>
            </w:r>
          </w:p>
        </w:tc>
        <w:tc>
          <w:tcPr>
            <w:tcW w:w="1984" w:type="dxa"/>
            <w:noWrap/>
            <w:hideMark/>
          </w:tcPr>
          <w:p w14:paraId="3ED35C84"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18</w:t>
            </w:r>
          </w:p>
        </w:tc>
      </w:tr>
      <w:tr w:rsidR="005E4099" w:rsidRPr="005E4099" w14:paraId="30019327" w14:textId="77777777" w:rsidTr="005826E3">
        <w:trPr>
          <w:trHeight w:val="288"/>
        </w:trPr>
        <w:tc>
          <w:tcPr>
            <w:tcW w:w="3114" w:type="dxa"/>
            <w:shd w:val="clear" w:color="auto" w:fill="auto"/>
            <w:noWrap/>
            <w:hideMark/>
          </w:tcPr>
          <w:p w14:paraId="511E5E21"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Mercy Hospitals Victoria Limited</w:t>
            </w:r>
          </w:p>
        </w:tc>
        <w:tc>
          <w:tcPr>
            <w:tcW w:w="2268" w:type="dxa"/>
            <w:noWrap/>
            <w:hideMark/>
          </w:tcPr>
          <w:p w14:paraId="150E0B4E"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2,302</w:t>
            </w:r>
          </w:p>
        </w:tc>
        <w:tc>
          <w:tcPr>
            <w:tcW w:w="1984" w:type="dxa"/>
            <w:noWrap/>
            <w:hideMark/>
          </w:tcPr>
          <w:p w14:paraId="56D477B7"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49</w:t>
            </w:r>
          </w:p>
        </w:tc>
      </w:tr>
      <w:tr w:rsidR="005E4099" w:rsidRPr="005E4099" w14:paraId="195F1A77" w14:textId="77777777" w:rsidTr="005826E3">
        <w:trPr>
          <w:trHeight w:val="288"/>
        </w:trPr>
        <w:tc>
          <w:tcPr>
            <w:tcW w:w="3114" w:type="dxa"/>
            <w:shd w:val="clear" w:color="auto" w:fill="auto"/>
            <w:noWrap/>
            <w:hideMark/>
          </w:tcPr>
          <w:p w14:paraId="477719AE"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Mildura Base Public Hospital</w:t>
            </w:r>
          </w:p>
        </w:tc>
        <w:tc>
          <w:tcPr>
            <w:tcW w:w="2268" w:type="dxa"/>
            <w:noWrap/>
            <w:hideMark/>
          </w:tcPr>
          <w:p w14:paraId="3F21123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1,404</w:t>
            </w:r>
          </w:p>
        </w:tc>
        <w:tc>
          <w:tcPr>
            <w:tcW w:w="1984" w:type="dxa"/>
            <w:noWrap/>
            <w:hideMark/>
          </w:tcPr>
          <w:p w14:paraId="72C56275"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36</w:t>
            </w:r>
          </w:p>
        </w:tc>
      </w:tr>
      <w:tr w:rsidR="005E4099" w:rsidRPr="005E4099" w14:paraId="71463D14" w14:textId="77777777" w:rsidTr="005826E3">
        <w:trPr>
          <w:trHeight w:val="288"/>
        </w:trPr>
        <w:tc>
          <w:tcPr>
            <w:tcW w:w="3114" w:type="dxa"/>
            <w:shd w:val="clear" w:color="auto" w:fill="auto"/>
            <w:noWrap/>
            <w:hideMark/>
          </w:tcPr>
          <w:p w14:paraId="708719B9"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Monash Health</w:t>
            </w:r>
          </w:p>
        </w:tc>
        <w:tc>
          <w:tcPr>
            <w:tcW w:w="2268" w:type="dxa"/>
            <w:noWrap/>
            <w:hideMark/>
          </w:tcPr>
          <w:p w14:paraId="09F2CDE3"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20,310</w:t>
            </w:r>
          </w:p>
        </w:tc>
        <w:tc>
          <w:tcPr>
            <w:tcW w:w="1984" w:type="dxa"/>
            <w:noWrap/>
            <w:hideMark/>
          </w:tcPr>
          <w:p w14:paraId="42D144B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119</w:t>
            </w:r>
          </w:p>
        </w:tc>
      </w:tr>
      <w:tr w:rsidR="005E4099" w:rsidRPr="005E4099" w14:paraId="6580A94F" w14:textId="77777777" w:rsidTr="005826E3">
        <w:trPr>
          <w:trHeight w:val="288"/>
        </w:trPr>
        <w:tc>
          <w:tcPr>
            <w:tcW w:w="3114" w:type="dxa"/>
            <w:shd w:val="clear" w:color="auto" w:fill="auto"/>
            <w:noWrap/>
            <w:hideMark/>
          </w:tcPr>
          <w:p w14:paraId="2EA21A3C"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Northeast Health Wangaratta</w:t>
            </w:r>
          </w:p>
        </w:tc>
        <w:tc>
          <w:tcPr>
            <w:tcW w:w="2268" w:type="dxa"/>
            <w:noWrap/>
            <w:hideMark/>
          </w:tcPr>
          <w:p w14:paraId="1BD52DE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1,849</w:t>
            </w:r>
          </w:p>
        </w:tc>
        <w:tc>
          <w:tcPr>
            <w:tcW w:w="1984" w:type="dxa"/>
            <w:noWrap/>
            <w:hideMark/>
          </w:tcPr>
          <w:p w14:paraId="5C4F33B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61</w:t>
            </w:r>
          </w:p>
        </w:tc>
      </w:tr>
      <w:tr w:rsidR="005E4099" w:rsidRPr="005E4099" w14:paraId="712CF003" w14:textId="77777777" w:rsidTr="005826E3">
        <w:trPr>
          <w:trHeight w:val="288"/>
        </w:trPr>
        <w:tc>
          <w:tcPr>
            <w:tcW w:w="3114" w:type="dxa"/>
            <w:shd w:val="clear" w:color="auto" w:fill="auto"/>
            <w:noWrap/>
            <w:hideMark/>
          </w:tcPr>
          <w:p w14:paraId="13EC18C3"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Northern Health</w:t>
            </w:r>
          </w:p>
        </w:tc>
        <w:tc>
          <w:tcPr>
            <w:tcW w:w="2268" w:type="dxa"/>
            <w:noWrap/>
            <w:hideMark/>
          </w:tcPr>
          <w:p w14:paraId="637EBB3E"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10,828</w:t>
            </w:r>
          </w:p>
        </w:tc>
        <w:tc>
          <w:tcPr>
            <w:tcW w:w="1984" w:type="dxa"/>
            <w:noWrap/>
            <w:hideMark/>
          </w:tcPr>
          <w:p w14:paraId="0FE22187"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86</w:t>
            </w:r>
          </w:p>
        </w:tc>
      </w:tr>
      <w:tr w:rsidR="005E4099" w:rsidRPr="005E4099" w14:paraId="2E226734" w14:textId="77777777" w:rsidTr="005826E3">
        <w:trPr>
          <w:trHeight w:val="288"/>
        </w:trPr>
        <w:tc>
          <w:tcPr>
            <w:tcW w:w="3114" w:type="dxa"/>
            <w:shd w:val="clear" w:color="auto" w:fill="auto"/>
            <w:noWrap/>
            <w:hideMark/>
          </w:tcPr>
          <w:p w14:paraId="6400973A"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Peninsula Health</w:t>
            </w:r>
          </w:p>
        </w:tc>
        <w:tc>
          <w:tcPr>
            <w:tcW w:w="2268" w:type="dxa"/>
            <w:noWrap/>
            <w:hideMark/>
          </w:tcPr>
          <w:p w14:paraId="05B67AE5"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13,286</w:t>
            </w:r>
          </w:p>
        </w:tc>
        <w:tc>
          <w:tcPr>
            <w:tcW w:w="1984" w:type="dxa"/>
            <w:noWrap/>
            <w:hideMark/>
          </w:tcPr>
          <w:p w14:paraId="4495491B"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252</w:t>
            </w:r>
          </w:p>
        </w:tc>
      </w:tr>
      <w:tr w:rsidR="005E4099" w:rsidRPr="005E4099" w14:paraId="2A325732" w14:textId="77777777" w:rsidTr="005826E3">
        <w:tc>
          <w:tcPr>
            <w:tcW w:w="3114" w:type="dxa"/>
            <w:shd w:val="clear" w:color="auto" w:fill="auto"/>
            <w:noWrap/>
            <w:hideMark/>
          </w:tcPr>
          <w:p w14:paraId="78DDF9EC" w14:textId="78B1148E"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Peter Mac</w:t>
            </w:r>
            <w:r w:rsidR="0005411E">
              <w:rPr>
                <w:rFonts w:cs="Arial"/>
                <w:color w:val="000000"/>
                <w:sz w:val="16"/>
                <w:szCs w:val="16"/>
                <w:lang w:eastAsia="en-AU"/>
              </w:rPr>
              <w:t>C</w:t>
            </w:r>
            <w:r w:rsidRPr="005E4099">
              <w:rPr>
                <w:rFonts w:cs="Arial"/>
                <w:color w:val="000000"/>
                <w:sz w:val="16"/>
                <w:szCs w:val="16"/>
                <w:lang w:eastAsia="en-AU"/>
              </w:rPr>
              <w:t>allum Cancer Institute</w:t>
            </w:r>
          </w:p>
        </w:tc>
        <w:tc>
          <w:tcPr>
            <w:tcW w:w="2268" w:type="dxa"/>
            <w:noWrap/>
            <w:hideMark/>
          </w:tcPr>
          <w:p w14:paraId="76C9D03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1,096</w:t>
            </w:r>
          </w:p>
        </w:tc>
        <w:tc>
          <w:tcPr>
            <w:tcW w:w="1984" w:type="dxa"/>
            <w:noWrap/>
            <w:hideMark/>
          </w:tcPr>
          <w:p w14:paraId="37469797"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17B7B667" w14:textId="77777777" w:rsidTr="005826E3">
        <w:trPr>
          <w:trHeight w:val="288"/>
        </w:trPr>
        <w:tc>
          <w:tcPr>
            <w:tcW w:w="3114" w:type="dxa"/>
            <w:shd w:val="clear" w:color="auto" w:fill="auto"/>
            <w:noWrap/>
            <w:hideMark/>
          </w:tcPr>
          <w:p w14:paraId="6847DCBF"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Portland District Health</w:t>
            </w:r>
          </w:p>
        </w:tc>
        <w:tc>
          <w:tcPr>
            <w:tcW w:w="2268" w:type="dxa"/>
            <w:noWrap/>
            <w:hideMark/>
          </w:tcPr>
          <w:p w14:paraId="27EC8572"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324</w:t>
            </w:r>
          </w:p>
        </w:tc>
        <w:tc>
          <w:tcPr>
            <w:tcW w:w="1984" w:type="dxa"/>
            <w:noWrap/>
            <w:hideMark/>
          </w:tcPr>
          <w:p w14:paraId="37C83C22"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w:t>
            </w:r>
          </w:p>
        </w:tc>
      </w:tr>
      <w:tr w:rsidR="005E4099" w:rsidRPr="005E4099" w14:paraId="3027AD33" w14:textId="77777777" w:rsidTr="005826E3">
        <w:trPr>
          <w:trHeight w:val="288"/>
        </w:trPr>
        <w:tc>
          <w:tcPr>
            <w:tcW w:w="3114" w:type="dxa"/>
            <w:shd w:val="clear" w:color="auto" w:fill="auto"/>
            <w:noWrap/>
            <w:hideMark/>
          </w:tcPr>
          <w:p w14:paraId="7DDD3CEB"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Royal Victorian Eye &amp; Ear Hospital</w:t>
            </w:r>
          </w:p>
        </w:tc>
        <w:tc>
          <w:tcPr>
            <w:tcW w:w="2268" w:type="dxa"/>
            <w:noWrap/>
            <w:hideMark/>
          </w:tcPr>
          <w:p w14:paraId="2B7709B8"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83</w:t>
            </w:r>
          </w:p>
        </w:tc>
        <w:tc>
          <w:tcPr>
            <w:tcW w:w="1984" w:type="dxa"/>
            <w:noWrap/>
            <w:hideMark/>
          </w:tcPr>
          <w:p w14:paraId="10BCA58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51CA60EA" w14:textId="77777777" w:rsidTr="005826E3">
        <w:trPr>
          <w:trHeight w:val="288"/>
        </w:trPr>
        <w:tc>
          <w:tcPr>
            <w:tcW w:w="3114" w:type="dxa"/>
            <w:shd w:val="clear" w:color="auto" w:fill="auto"/>
            <w:noWrap/>
            <w:hideMark/>
          </w:tcPr>
          <w:p w14:paraId="7D2C3FFC"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South West Healthcare</w:t>
            </w:r>
          </w:p>
        </w:tc>
        <w:tc>
          <w:tcPr>
            <w:tcW w:w="2268" w:type="dxa"/>
            <w:noWrap/>
            <w:hideMark/>
          </w:tcPr>
          <w:p w14:paraId="259FAB2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2,860</w:t>
            </w:r>
          </w:p>
        </w:tc>
        <w:tc>
          <w:tcPr>
            <w:tcW w:w="1984" w:type="dxa"/>
            <w:noWrap/>
            <w:hideMark/>
          </w:tcPr>
          <w:p w14:paraId="79767DF0"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54</w:t>
            </w:r>
          </w:p>
        </w:tc>
      </w:tr>
      <w:tr w:rsidR="005E4099" w:rsidRPr="005E4099" w14:paraId="26D3C054" w14:textId="77777777" w:rsidTr="005826E3">
        <w:trPr>
          <w:trHeight w:val="288"/>
        </w:trPr>
        <w:tc>
          <w:tcPr>
            <w:tcW w:w="3114" w:type="dxa"/>
            <w:shd w:val="clear" w:color="auto" w:fill="auto"/>
            <w:noWrap/>
            <w:hideMark/>
          </w:tcPr>
          <w:p w14:paraId="5BF4CD3E" w14:textId="1B754BAA"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St Vincent</w:t>
            </w:r>
            <w:r w:rsidR="0005411E">
              <w:rPr>
                <w:rFonts w:cs="Arial"/>
                <w:color w:val="000000"/>
                <w:sz w:val="16"/>
                <w:szCs w:val="16"/>
                <w:lang w:eastAsia="en-AU"/>
              </w:rPr>
              <w:t>’</w:t>
            </w:r>
            <w:r w:rsidRPr="005E4099">
              <w:rPr>
                <w:rFonts w:cs="Arial"/>
                <w:color w:val="000000"/>
                <w:sz w:val="16"/>
                <w:szCs w:val="16"/>
                <w:lang w:eastAsia="en-AU"/>
              </w:rPr>
              <w:t>s Hospital Melbourne Limited</w:t>
            </w:r>
          </w:p>
        </w:tc>
        <w:tc>
          <w:tcPr>
            <w:tcW w:w="2268" w:type="dxa"/>
            <w:noWrap/>
            <w:hideMark/>
          </w:tcPr>
          <w:p w14:paraId="5972B45D"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10,987</w:t>
            </w:r>
          </w:p>
        </w:tc>
        <w:tc>
          <w:tcPr>
            <w:tcW w:w="1984" w:type="dxa"/>
            <w:noWrap/>
            <w:hideMark/>
          </w:tcPr>
          <w:p w14:paraId="207E42C2"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111</w:t>
            </w:r>
          </w:p>
        </w:tc>
      </w:tr>
      <w:tr w:rsidR="005E4099" w:rsidRPr="005E4099" w14:paraId="7F1365BE" w14:textId="77777777" w:rsidTr="005826E3">
        <w:trPr>
          <w:trHeight w:val="288"/>
        </w:trPr>
        <w:tc>
          <w:tcPr>
            <w:tcW w:w="3114" w:type="dxa"/>
            <w:shd w:val="clear" w:color="auto" w:fill="auto"/>
            <w:noWrap/>
            <w:hideMark/>
          </w:tcPr>
          <w:p w14:paraId="248624AB"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Swan Hill District Health</w:t>
            </w:r>
          </w:p>
        </w:tc>
        <w:tc>
          <w:tcPr>
            <w:tcW w:w="2268" w:type="dxa"/>
            <w:noWrap/>
            <w:hideMark/>
          </w:tcPr>
          <w:p w14:paraId="493978E8"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757</w:t>
            </w:r>
          </w:p>
        </w:tc>
        <w:tc>
          <w:tcPr>
            <w:tcW w:w="1984" w:type="dxa"/>
            <w:noWrap/>
            <w:hideMark/>
          </w:tcPr>
          <w:p w14:paraId="3CE02C61"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23</w:t>
            </w:r>
          </w:p>
        </w:tc>
      </w:tr>
      <w:tr w:rsidR="005E4099" w:rsidRPr="005E4099" w14:paraId="331743C2" w14:textId="77777777" w:rsidTr="005826E3">
        <w:trPr>
          <w:trHeight w:val="288"/>
        </w:trPr>
        <w:tc>
          <w:tcPr>
            <w:tcW w:w="3114" w:type="dxa"/>
            <w:shd w:val="clear" w:color="auto" w:fill="auto"/>
            <w:noWrap/>
            <w:hideMark/>
          </w:tcPr>
          <w:p w14:paraId="2633286E" w14:textId="7D2BB375"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The Royal Children</w:t>
            </w:r>
            <w:r w:rsidR="0005411E">
              <w:rPr>
                <w:rFonts w:cs="Arial"/>
                <w:color w:val="000000"/>
                <w:sz w:val="16"/>
                <w:szCs w:val="16"/>
                <w:lang w:eastAsia="en-AU"/>
              </w:rPr>
              <w:t>’</w:t>
            </w:r>
            <w:r w:rsidRPr="005E4099">
              <w:rPr>
                <w:rFonts w:cs="Arial"/>
                <w:color w:val="000000"/>
                <w:sz w:val="16"/>
                <w:szCs w:val="16"/>
                <w:lang w:eastAsia="en-AU"/>
              </w:rPr>
              <w:t>s Hospital</w:t>
            </w:r>
          </w:p>
        </w:tc>
        <w:tc>
          <w:tcPr>
            <w:tcW w:w="2268" w:type="dxa"/>
            <w:noWrap/>
            <w:hideMark/>
          </w:tcPr>
          <w:p w14:paraId="13A2C7ED"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2,113</w:t>
            </w:r>
          </w:p>
        </w:tc>
        <w:tc>
          <w:tcPr>
            <w:tcW w:w="1984" w:type="dxa"/>
            <w:noWrap/>
            <w:hideMark/>
          </w:tcPr>
          <w:p w14:paraId="66DC78E8"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1EC71451" w14:textId="77777777" w:rsidTr="005826E3">
        <w:trPr>
          <w:trHeight w:val="288"/>
        </w:trPr>
        <w:tc>
          <w:tcPr>
            <w:tcW w:w="3114" w:type="dxa"/>
            <w:shd w:val="clear" w:color="auto" w:fill="auto"/>
            <w:noWrap/>
            <w:hideMark/>
          </w:tcPr>
          <w:p w14:paraId="1E8F3D66" w14:textId="314FD1E5"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The Royal Women</w:t>
            </w:r>
            <w:r w:rsidR="0005411E">
              <w:rPr>
                <w:rFonts w:cs="Arial"/>
                <w:color w:val="000000"/>
                <w:sz w:val="16"/>
                <w:szCs w:val="16"/>
                <w:lang w:eastAsia="en-AU"/>
              </w:rPr>
              <w:t>’</w:t>
            </w:r>
            <w:r w:rsidRPr="005E4099">
              <w:rPr>
                <w:rFonts w:cs="Arial"/>
                <w:color w:val="000000"/>
                <w:sz w:val="16"/>
                <w:szCs w:val="16"/>
                <w:lang w:eastAsia="en-AU"/>
              </w:rPr>
              <w:t>s Hospital</w:t>
            </w:r>
          </w:p>
        </w:tc>
        <w:tc>
          <w:tcPr>
            <w:tcW w:w="2268" w:type="dxa"/>
            <w:noWrap/>
            <w:hideMark/>
          </w:tcPr>
          <w:p w14:paraId="78333650"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325</w:t>
            </w:r>
          </w:p>
        </w:tc>
        <w:tc>
          <w:tcPr>
            <w:tcW w:w="1984" w:type="dxa"/>
            <w:noWrap/>
            <w:hideMark/>
          </w:tcPr>
          <w:p w14:paraId="5FB7871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166203DE" w14:textId="77777777" w:rsidTr="005826E3">
        <w:trPr>
          <w:trHeight w:val="288"/>
        </w:trPr>
        <w:tc>
          <w:tcPr>
            <w:tcW w:w="3114" w:type="dxa"/>
            <w:shd w:val="clear" w:color="auto" w:fill="auto"/>
            <w:noWrap/>
            <w:hideMark/>
          </w:tcPr>
          <w:p w14:paraId="5663246B"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West Gippsland Healthcare Group</w:t>
            </w:r>
          </w:p>
        </w:tc>
        <w:tc>
          <w:tcPr>
            <w:tcW w:w="2268" w:type="dxa"/>
            <w:noWrap/>
            <w:hideMark/>
          </w:tcPr>
          <w:p w14:paraId="3478F12B"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550</w:t>
            </w:r>
          </w:p>
        </w:tc>
        <w:tc>
          <w:tcPr>
            <w:tcW w:w="1984" w:type="dxa"/>
            <w:noWrap/>
            <w:hideMark/>
          </w:tcPr>
          <w:p w14:paraId="1EC8BF5D"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0</w:t>
            </w:r>
          </w:p>
        </w:tc>
      </w:tr>
      <w:tr w:rsidR="005E4099" w:rsidRPr="005E4099" w14:paraId="34A57497" w14:textId="77777777" w:rsidTr="005826E3">
        <w:trPr>
          <w:trHeight w:val="288"/>
        </w:trPr>
        <w:tc>
          <w:tcPr>
            <w:tcW w:w="3114" w:type="dxa"/>
            <w:shd w:val="clear" w:color="auto" w:fill="auto"/>
            <w:noWrap/>
            <w:hideMark/>
          </w:tcPr>
          <w:p w14:paraId="493B0E26"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Western District Health Service</w:t>
            </w:r>
          </w:p>
        </w:tc>
        <w:tc>
          <w:tcPr>
            <w:tcW w:w="2268" w:type="dxa"/>
            <w:noWrap/>
            <w:hideMark/>
          </w:tcPr>
          <w:p w14:paraId="799AB1FA"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651</w:t>
            </w:r>
          </w:p>
        </w:tc>
        <w:tc>
          <w:tcPr>
            <w:tcW w:w="1984" w:type="dxa"/>
            <w:noWrap/>
            <w:hideMark/>
          </w:tcPr>
          <w:p w14:paraId="3EAAAC6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366</w:t>
            </w:r>
          </w:p>
        </w:tc>
      </w:tr>
      <w:tr w:rsidR="005E4099" w:rsidRPr="005E4099" w14:paraId="75A78307" w14:textId="77777777" w:rsidTr="005826E3">
        <w:trPr>
          <w:trHeight w:val="288"/>
        </w:trPr>
        <w:tc>
          <w:tcPr>
            <w:tcW w:w="3114" w:type="dxa"/>
            <w:shd w:val="clear" w:color="auto" w:fill="auto"/>
            <w:noWrap/>
            <w:hideMark/>
          </w:tcPr>
          <w:p w14:paraId="4A769807" w14:textId="77777777" w:rsidR="005E4099" w:rsidRPr="005E4099" w:rsidRDefault="005E4099" w:rsidP="005E4099">
            <w:pPr>
              <w:spacing w:after="0" w:line="240" w:lineRule="auto"/>
              <w:rPr>
                <w:rFonts w:cs="Arial"/>
                <w:color w:val="000000"/>
                <w:sz w:val="16"/>
                <w:szCs w:val="16"/>
                <w:lang w:eastAsia="en-AU"/>
              </w:rPr>
            </w:pPr>
            <w:r w:rsidRPr="005E4099">
              <w:rPr>
                <w:rFonts w:cs="Arial"/>
                <w:color w:val="000000"/>
                <w:sz w:val="16"/>
                <w:szCs w:val="16"/>
                <w:lang w:eastAsia="en-AU"/>
              </w:rPr>
              <w:t>Western Health</w:t>
            </w:r>
          </w:p>
        </w:tc>
        <w:tc>
          <w:tcPr>
            <w:tcW w:w="2268" w:type="dxa"/>
            <w:noWrap/>
            <w:hideMark/>
          </w:tcPr>
          <w:p w14:paraId="42B30FD9"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12,736</w:t>
            </w:r>
          </w:p>
        </w:tc>
        <w:tc>
          <w:tcPr>
            <w:tcW w:w="1984" w:type="dxa"/>
            <w:noWrap/>
            <w:hideMark/>
          </w:tcPr>
          <w:p w14:paraId="6A73C05C" w14:textId="77777777" w:rsidR="005E4099" w:rsidRPr="005E4099" w:rsidRDefault="005E4099" w:rsidP="005E4099">
            <w:pPr>
              <w:spacing w:after="0" w:line="240" w:lineRule="auto"/>
              <w:jc w:val="right"/>
              <w:rPr>
                <w:rFonts w:cs="Arial"/>
                <w:color w:val="000000"/>
                <w:sz w:val="16"/>
                <w:szCs w:val="16"/>
                <w:lang w:eastAsia="en-AU"/>
              </w:rPr>
            </w:pPr>
            <w:r w:rsidRPr="005E4099">
              <w:rPr>
                <w:rFonts w:cs="Arial"/>
                <w:color w:val="000000"/>
                <w:sz w:val="16"/>
                <w:szCs w:val="16"/>
                <w:lang w:eastAsia="en-AU"/>
              </w:rPr>
              <w:t>152</w:t>
            </w:r>
          </w:p>
        </w:tc>
      </w:tr>
      <w:tr w:rsidR="005E4099" w:rsidRPr="005E4099" w14:paraId="2FBDD5A2" w14:textId="77777777" w:rsidTr="005826E3">
        <w:trPr>
          <w:trHeight w:val="288"/>
        </w:trPr>
        <w:tc>
          <w:tcPr>
            <w:tcW w:w="3114" w:type="dxa"/>
            <w:shd w:val="clear" w:color="auto" w:fill="201547"/>
            <w:noWrap/>
            <w:hideMark/>
          </w:tcPr>
          <w:p w14:paraId="365A9C2E" w14:textId="77777777" w:rsidR="005E4099" w:rsidRPr="005E4099" w:rsidRDefault="005E4099" w:rsidP="005E4099">
            <w:pPr>
              <w:spacing w:after="0" w:line="240" w:lineRule="auto"/>
              <w:rPr>
                <w:rFonts w:cs="Arial"/>
                <w:b/>
                <w:bCs/>
                <w:color w:val="FFFFFF"/>
                <w:sz w:val="16"/>
                <w:szCs w:val="16"/>
                <w:lang w:eastAsia="en-AU"/>
              </w:rPr>
            </w:pPr>
            <w:r w:rsidRPr="005E4099">
              <w:rPr>
                <w:rFonts w:cs="Arial"/>
                <w:b/>
                <w:bCs/>
                <w:color w:val="FFFFFF"/>
                <w:sz w:val="16"/>
                <w:szCs w:val="16"/>
                <w:lang w:eastAsia="en-AU"/>
              </w:rPr>
              <w:t>Total</w:t>
            </w:r>
          </w:p>
        </w:tc>
        <w:tc>
          <w:tcPr>
            <w:tcW w:w="2268" w:type="dxa"/>
            <w:shd w:val="clear" w:color="auto" w:fill="201547"/>
            <w:noWrap/>
            <w:hideMark/>
          </w:tcPr>
          <w:p w14:paraId="4D265545" w14:textId="77777777" w:rsidR="005E4099" w:rsidRPr="005E4099" w:rsidRDefault="005E4099" w:rsidP="005E4099">
            <w:pPr>
              <w:spacing w:after="0" w:line="240" w:lineRule="auto"/>
              <w:jc w:val="right"/>
              <w:rPr>
                <w:rFonts w:cs="Arial"/>
                <w:b/>
                <w:bCs/>
                <w:color w:val="FFFFFF"/>
                <w:sz w:val="16"/>
                <w:szCs w:val="16"/>
                <w:lang w:eastAsia="en-AU"/>
              </w:rPr>
            </w:pPr>
            <w:r w:rsidRPr="005E4099">
              <w:rPr>
                <w:rFonts w:cs="Arial"/>
                <w:b/>
                <w:bCs/>
                <w:color w:val="FFFFFF"/>
                <w:sz w:val="16"/>
                <w:szCs w:val="16"/>
                <w:lang w:eastAsia="en-AU"/>
              </w:rPr>
              <w:t>181,713</w:t>
            </w:r>
          </w:p>
        </w:tc>
        <w:tc>
          <w:tcPr>
            <w:tcW w:w="1984" w:type="dxa"/>
            <w:shd w:val="clear" w:color="auto" w:fill="201547"/>
            <w:noWrap/>
            <w:hideMark/>
          </w:tcPr>
          <w:p w14:paraId="52A2199F" w14:textId="77777777" w:rsidR="005E4099" w:rsidRPr="005E4099" w:rsidRDefault="005E4099" w:rsidP="005E4099">
            <w:pPr>
              <w:spacing w:after="0" w:line="240" w:lineRule="auto"/>
              <w:jc w:val="right"/>
              <w:rPr>
                <w:rFonts w:cs="Arial"/>
                <w:b/>
                <w:bCs/>
                <w:color w:val="FFFFFF"/>
                <w:sz w:val="16"/>
                <w:szCs w:val="16"/>
                <w:lang w:eastAsia="en-AU"/>
              </w:rPr>
            </w:pPr>
            <w:r w:rsidRPr="005E4099">
              <w:rPr>
                <w:rFonts w:cs="Arial"/>
                <w:b/>
                <w:bCs/>
                <w:color w:val="FFFFFF"/>
                <w:sz w:val="16"/>
                <w:szCs w:val="16"/>
                <w:lang w:eastAsia="en-AU"/>
              </w:rPr>
              <w:t>2,509</w:t>
            </w:r>
          </w:p>
        </w:tc>
      </w:tr>
    </w:tbl>
    <w:p w14:paraId="442A6049" w14:textId="77777777" w:rsidR="000B27B9" w:rsidRDefault="000B27B9" w:rsidP="00B92CD4">
      <w:pPr>
        <w:pStyle w:val="Body"/>
      </w:pPr>
    </w:p>
    <w:p w14:paraId="28BCA62A" w14:textId="77B59D7E" w:rsidR="000B27B9" w:rsidRPr="005A088D" w:rsidRDefault="000B27B9" w:rsidP="009375E0">
      <w:pPr>
        <w:pStyle w:val="Heading3"/>
        <w:spacing w:before="0"/>
      </w:pPr>
      <w:bookmarkStart w:id="1296" w:name="_Toc12780671"/>
      <w:bookmarkStart w:id="1297" w:name="_Toc14172312"/>
      <w:bookmarkStart w:id="1298" w:name="_Toc33703986"/>
      <w:bookmarkStart w:id="1299" w:name="_Toc55381174"/>
      <w:bookmarkStart w:id="1300" w:name="_Toc100263379"/>
      <w:bookmarkStart w:id="1301" w:name="_Toc127192027"/>
      <w:r>
        <w:lastRenderedPageBreak/>
        <w:t xml:space="preserve">Transition Care </w:t>
      </w:r>
      <w:r w:rsidRPr="005A088D">
        <w:t xml:space="preserve">Program </w:t>
      </w:r>
      <w:r w:rsidR="00331D5D" w:rsidRPr="005A088D">
        <w:t>T</w:t>
      </w:r>
      <w:r w:rsidRPr="005A088D">
        <w:t xml:space="preserve">argets </w:t>
      </w:r>
      <w:bookmarkEnd w:id="1296"/>
      <w:bookmarkEnd w:id="1297"/>
      <w:bookmarkEnd w:id="1298"/>
      <w:bookmarkEnd w:id="1299"/>
      <w:r w:rsidR="005D1FCB" w:rsidRPr="005A088D">
        <w:t>2022</w:t>
      </w:r>
      <w:r w:rsidR="009A3347" w:rsidRPr="005A088D">
        <w:t>–</w:t>
      </w:r>
      <w:r w:rsidR="005D1FCB" w:rsidRPr="005A088D">
        <w:t>23</w:t>
      </w:r>
      <w:bookmarkEnd w:id="1300"/>
      <w:bookmarkEnd w:id="1301"/>
    </w:p>
    <w:p w14:paraId="683F6455" w14:textId="3B81A4D3" w:rsidR="000B27B9" w:rsidRDefault="000B27B9" w:rsidP="000E08EF">
      <w:pPr>
        <w:pStyle w:val="Tablecaption"/>
      </w:pPr>
      <w:bookmarkStart w:id="1302" w:name="_Toc12780575"/>
      <w:bookmarkStart w:id="1303" w:name="_Toc14194831"/>
      <w:bookmarkStart w:id="1304" w:name="_Toc33704012"/>
      <w:bookmarkStart w:id="1305" w:name="_Toc109894141"/>
      <w:bookmarkStart w:id="1306" w:name="_Toc119500922"/>
      <w:r w:rsidRPr="005A088D">
        <w:t xml:space="preserve">Table </w:t>
      </w:r>
      <w:r>
        <w:fldChar w:fldCharType="begin"/>
      </w:r>
      <w:r>
        <w:instrText>STYLEREF 1 \s</w:instrText>
      </w:r>
      <w:r>
        <w:fldChar w:fldCharType="separate"/>
      </w:r>
      <w:r w:rsidR="006D0756" w:rsidRPr="005A088D">
        <w:rPr>
          <w:noProof/>
        </w:rPr>
        <w:t>2</w:t>
      </w:r>
      <w:r>
        <w:fldChar w:fldCharType="end"/>
      </w:r>
      <w:r w:rsidR="00EC6300" w:rsidRPr="005A088D">
        <w:t>.</w:t>
      </w:r>
      <w:r>
        <w:fldChar w:fldCharType="begin"/>
      </w:r>
      <w:r>
        <w:instrText>SEQ Table \* ARABIC \s 1</w:instrText>
      </w:r>
      <w:r>
        <w:fldChar w:fldCharType="separate"/>
      </w:r>
      <w:r w:rsidR="006D0756" w:rsidRPr="005A088D">
        <w:rPr>
          <w:noProof/>
        </w:rPr>
        <w:t>15</w:t>
      </w:r>
      <w:r>
        <w:fldChar w:fldCharType="end"/>
      </w:r>
      <w:r w:rsidRPr="005A088D">
        <w:t xml:space="preserve">: Transition Care Program targets </w:t>
      </w:r>
      <w:bookmarkEnd w:id="1302"/>
      <w:bookmarkEnd w:id="1303"/>
      <w:bookmarkEnd w:id="1304"/>
      <w:r w:rsidR="005D1FCB" w:rsidRPr="005A088D">
        <w:t>2022</w:t>
      </w:r>
      <w:r w:rsidR="009A3347" w:rsidRPr="005A088D">
        <w:t>–</w:t>
      </w:r>
      <w:r w:rsidR="005D1FCB" w:rsidRPr="005A088D">
        <w:t>23</w:t>
      </w:r>
      <w:bookmarkEnd w:id="1305"/>
      <w:bookmarkEnd w:id="1306"/>
    </w:p>
    <w:p w14:paraId="2385DA0F" w14:textId="5A9559DC" w:rsidR="0011603E" w:rsidRDefault="0011603E" w:rsidP="0011603E">
      <w:pPr>
        <w:pStyle w:val="Body"/>
      </w:pPr>
    </w:p>
    <w:tbl>
      <w:tblPr>
        <w:tblStyle w:val="TableGrid1"/>
        <w:tblW w:w="7933" w:type="dxa"/>
        <w:tblLook w:val="04A0" w:firstRow="1" w:lastRow="0" w:firstColumn="1" w:lastColumn="0" w:noHBand="0" w:noVBand="1"/>
      </w:tblPr>
      <w:tblGrid>
        <w:gridCol w:w="3539"/>
        <w:gridCol w:w="1276"/>
        <w:gridCol w:w="1134"/>
        <w:gridCol w:w="1984"/>
      </w:tblGrid>
      <w:tr w:rsidR="005A088D" w:rsidRPr="005A088D" w14:paraId="21E87CD2" w14:textId="77777777" w:rsidTr="00091651">
        <w:trPr>
          <w:cnfStyle w:val="100000000000" w:firstRow="1" w:lastRow="0" w:firstColumn="0" w:lastColumn="0" w:oddVBand="0" w:evenVBand="0" w:oddHBand="0" w:evenHBand="0" w:firstRowFirstColumn="0" w:firstRowLastColumn="0" w:lastRowFirstColumn="0" w:lastRowLastColumn="0"/>
          <w:trHeight w:val="765"/>
        </w:trPr>
        <w:tc>
          <w:tcPr>
            <w:tcW w:w="3539" w:type="dxa"/>
            <w:hideMark/>
          </w:tcPr>
          <w:p w14:paraId="32B9B15C" w14:textId="77777777" w:rsidR="005A088D" w:rsidRPr="005A088D" w:rsidRDefault="005A088D" w:rsidP="005A088D">
            <w:pPr>
              <w:spacing w:after="0" w:line="240" w:lineRule="auto"/>
              <w:rPr>
                <w:rFonts w:cs="Arial"/>
                <w:b/>
                <w:bCs/>
                <w:color w:val="FFFFFF"/>
                <w:sz w:val="16"/>
                <w:szCs w:val="16"/>
                <w:lang w:eastAsia="en-AU"/>
              </w:rPr>
            </w:pPr>
            <w:r w:rsidRPr="005A088D">
              <w:rPr>
                <w:rFonts w:cs="Arial"/>
                <w:b/>
                <w:bCs/>
                <w:color w:val="FFFFFF"/>
                <w:sz w:val="16"/>
                <w:szCs w:val="16"/>
                <w:lang w:eastAsia="en-AU"/>
              </w:rPr>
              <w:t>Health Service</w:t>
            </w:r>
          </w:p>
        </w:tc>
        <w:tc>
          <w:tcPr>
            <w:tcW w:w="1276" w:type="dxa"/>
            <w:hideMark/>
          </w:tcPr>
          <w:p w14:paraId="18D5F330" w14:textId="77777777" w:rsidR="005A088D" w:rsidRPr="005A088D" w:rsidRDefault="005A088D" w:rsidP="004A5138">
            <w:pPr>
              <w:spacing w:after="0" w:line="240" w:lineRule="auto"/>
              <w:jc w:val="right"/>
              <w:rPr>
                <w:rFonts w:cs="Arial"/>
                <w:b/>
                <w:bCs/>
                <w:color w:val="FFFFFF"/>
                <w:sz w:val="16"/>
                <w:szCs w:val="16"/>
                <w:lang w:eastAsia="en-AU"/>
              </w:rPr>
            </w:pPr>
            <w:r w:rsidRPr="005A088D">
              <w:rPr>
                <w:rFonts w:cs="Arial"/>
                <w:b/>
                <w:bCs/>
                <w:color w:val="FFFFFF"/>
                <w:sz w:val="16"/>
                <w:szCs w:val="16"/>
                <w:lang w:eastAsia="en-AU"/>
              </w:rPr>
              <w:t>Transition care program bed day</w:t>
            </w:r>
          </w:p>
        </w:tc>
        <w:tc>
          <w:tcPr>
            <w:tcW w:w="1134" w:type="dxa"/>
            <w:hideMark/>
          </w:tcPr>
          <w:p w14:paraId="62DF26F7" w14:textId="77777777" w:rsidR="005A088D" w:rsidRPr="005A088D" w:rsidRDefault="005A088D" w:rsidP="004A5138">
            <w:pPr>
              <w:spacing w:after="0" w:line="240" w:lineRule="auto"/>
              <w:jc w:val="right"/>
              <w:rPr>
                <w:rFonts w:cs="Arial"/>
                <w:b/>
                <w:bCs/>
                <w:color w:val="FFFFFF"/>
                <w:sz w:val="16"/>
                <w:szCs w:val="16"/>
                <w:lang w:eastAsia="en-AU"/>
              </w:rPr>
            </w:pPr>
            <w:r w:rsidRPr="005A088D">
              <w:rPr>
                <w:rFonts w:cs="Arial"/>
                <w:b/>
                <w:bCs/>
                <w:color w:val="FFFFFF"/>
                <w:sz w:val="16"/>
                <w:szCs w:val="16"/>
                <w:lang w:eastAsia="en-AU"/>
              </w:rPr>
              <w:t>Transition care program home day</w:t>
            </w:r>
          </w:p>
        </w:tc>
        <w:tc>
          <w:tcPr>
            <w:tcW w:w="1984" w:type="dxa"/>
            <w:hideMark/>
          </w:tcPr>
          <w:p w14:paraId="25E6CA38" w14:textId="77777777" w:rsidR="005A088D" w:rsidRPr="005A088D" w:rsidRDefault="005A088D" w:rsidP="004A5138">
            <w:pPr>
              <w:spacing w:after="0" w:line="240" w:lineRule="auto"/>
              <w:jc w:val="right"/>
              <w:rPr>
                <w:rFonts w:cs="Arial"/>
                <w:b/>
                <w:bCs/>
                <w:color w:val="FFFFFF"/>
                <w:sz w:val="16"/>
                <w:szCs w:val="16"/>
                <w:lang w:eastAsia="en-AU"/>
              </w:rPr>
            </w:pPr>
            <w:r w:rsidRPr="005A088D">
              <w:rPr>
                <w:rFonts w:cs="Arial"/>
                <w:b/>
                <w:bCs/>
                <w:color w:val="FFFFFF"/>
                <w:sz w:val="16"/>
                <w:szCs w:val="16"/>
                <w:lang w:eastAsia="en-AU"/>
              </w:rPr>
              <w:t>Total</w:t>
            </w:r>
          </w:p>
        </w:tc>
      </w:tr>
      <w:tr w:rsidR="005A088D" w:rsidRPr="005A088D" w14:paraId="5807D291" w14:textId="77777777" w:rsidTr="00091651">
        <w:trPr>
          <w:trHeight w:val="288"/>
        </w:trPr>
        <w:tc>
          <w:tcPr>
            <w:tcW w:w="3539" w:type="dxa"/>
            <w:noWrap/>
            <w:hideMark/>
          </w:tcPr>
          <w:p w14:paraId="6F0939C9"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Alfred Health</w:t>
            </w:r>
          </w:p>
        </w:tc>
        <w:tc>
          <w:tcPr>
            <w:tcW w:w="1276" w:type="dxa"/>
            <w:noWrap/>
            <w:hideMark/>
          </w:tcPr>
          <w:p w14:paraId="4FFAC862"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21,900.00</w:t>
            </w:r>
          </w:p>
        </w:tc>
        <w:tc>
          <w:tcPr>
            <w:tcW w:w="1134" w:type="dxa"/>
            <w:noWrap/>
            <w:hideMark/>
          </w:tcPr>
          <w:p w14:paraId="62E634E3"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10,220.00</w:t>
            </w:r>
          </w:p>
        </w:tc>
        <w:tc>
          <w:tcPr>
            <w:tcW w:w="1984" w:type="dxa"/>
            <w:noWrap/>
            <w:hideMark/>
          </w:tcPr>
          <w:p w14:paraId="3487C7C6"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32,120.00</w:t>
            </w:r>
          </w:p>
        </w:tc>
      </w:tr>
      <w:tr w:rsidR="005A088D" w:rsidRPr="005A088D" w14:paraId="4E652D23" w14:textId="77777777" w:rsidTr="00091651">
        <w:trPr>
          <w:trHeight w:val="288"/>
        </w:trPr>
        <w:tc>
          <w:tcPr>
            <w:tcW w:w="3539" w:type="dxa"/>
            <w:noWrap/>
            <w:hideMark/>
          </w:tcPr>
          <w:p w14:paraId="3F25E423"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Austin Health</w:t>
            </w:r>
          </w:p>
        </w:tc>
        <w:tc>
          <w:tcPr>
            <w:tcW w:w="1276" w:type="dxa"/>
            <w:noWrap/>
            <w:hideMark/>
          </w:tcPr>
          <w:p w14:paraId="2BADD5ED"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5,840.41</w:t>
            </w:r>
          </w:p>
        </w:tc>
        <w:tc>
          <w:tcPr>
            <w:tcW w:w="1134" w:type="dxa"/>
            <w:noWrap/>
            <w:hideMark/>
          </w:tcPr>
          <w:p w14:paraId="46F4BC5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12,410.23</w:t>
            </w:r>
          </w:p>
        </w:tc>
        <w:tc>
          <w:tcPr>
            <w:tcW w:w="1984" w:type="dxa"/>
            <w:noWrap/>
            <w:hideMark/>
          </w:tcPr>
          <w:p w14:paraId="35E93363"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18,250.64</w:t>
            </w:r>
          </w:p>
        </w:tc>
      </w:tr>
      <w:tr w:rsidR="005A088D" w:rsidRPr="005A088D" w14:paraId="57CE22A7" w14:textId="77777777" w:rsidTr="00091651">
        <w:trPr>
          <w:trHeight w:val="288"/>
        </w:trPr>
        <w:tc>
          <w:tcPr>
            <w:tcW w:w="3539" w:type="dxa"/>
            <w:noWrap/>
            <w:hideMark/>
          </w:tcPr>
          <w:p w14:paraId="1A817F32"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Barwon Health</w:t>
            </w:r>
          </w:p>
        </w:tc>
        <w:tc>
          <w:tcPr>
            <w:tcW w:w="1276" w:type="dxa"/>
            <w:noWrap/>
            <w:hideMark/>
          </w:tcPr>
          <w:p w14:paraId="74F94EB8"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13,119.62</w:t>
            </w:r>
          </w:p>
        </w:tc>
        <w:tc>
          <w:tcPr>
            <w:tcW w:w="1134" w:type="dxa"/>
            <w:noWrap/>
            <w:hideMark/>
          </w:tcPr>
          <w:p w14:paraId="1B4DD378"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7,320.01</w:t>
            </w:r>
          </w:p>
        </w:tc>
        <w:tc>
          <w:tcPr>
            <w:tcW w:w="1984" w:type="dxa"/>
            <w:noWrap/>
            <w:hideMark/>
          </w:tcPr>
          <w:p w14:paraId="13B6685B"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20,439.63</w:t>
            </w:r>
          </w:p>
        </w:tc>
      </w:tr>
      <w:tr w:rsidR="005A088D" w:rsidRPr="005A088D" w14:paraId="1DB135B1" w14:textId="77777777" w:rsidTr="00091651">
        <w:trPr>
          <w:trHeight w:val="288"/>
        </w:trPr>
        <w:tc>
          <w:tcPr>
            <w:tcW w:w="3539" w:type="dxa"/>
            <w:noWrap/>
            <w:hideMark/>
          </w:tcPr>
          <w:p w14:paraId="1A145855"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Bendigo Health</w:t>
            </w:r>
          </w:p>
        </w:tc>
        <w:tc>
          <w:tcPr>
            <w:tcW w:w="1276" w:type="dxa"/>
            <w:noWrap/>
            <w:hideMark/>
          </w:tcPr>
          <w:p w14:paraId="198D6B6E"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18,220.03</w:t>
            </w:r>
          </w:p>
        </w:tc>
        <w:tc>
          <w:tcPr>
            <w:tcW w:w="1134" w:type="dxa"/>
            <w:noWrap/>
            <w:hideMark/>
          </w:tcPr>
          <w:p w14:paraId="615F176D"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12,813.90</w:t>
            </w:r>
          </w:p>
        </w:tc>
        <w:tc>
          <w:tcPr>
            <w:tcW w:w="1984" w:type="dxa"/>
            <w:noWrap/>
            <w:hideMark/>
          </w:tcPr>
          <w:p w14:paraId="1812A0D8"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31,033.93</w:t>
            </w:r>
          </w:p>
        </w:tc>
      </w:tr>
      <w:tr w:rsidR="005A088D" w:rsidRPr="005A088D" w14:paraId="038FBB1D" w14:textId="77777777" w:rsidTr="00091651">
        <w:trPr>
          <w:trHeight w:val="288"/>
        </w:trPr>
        <w:tc>
          <w:tcPr>
            <w:tcW w:w="3539" w:type="dxa"/>
            <w:noWrap/>
            <w:hideMark/>
          </w:tcPr>
          <w:p w14:paraId="32659C1F"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Eastern Health</w:t>
            </w:r>
          </w:p>
        </w:tc>
        <w:tc>
          <w:tcPr>
            <w:tcW w:w="1276" w:type="dxa"/>
            <w:noWrap/>
            <w:hideMark/>
          </w:tcPr>
          <w:p w14:paraId="7F231C69"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26,279.85</w:t>
            </w:r>
          </w:p>
        </w:tc>
        <w:tc>
          <w:tcPr>
            <w:tcW w:w="1134" w:type="dxa"/>
            <w:noWrap/>
            <w:hideMark/>
          </w:tcPr>
          <w:p w14:paraId="0105EF78"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9,855.45</w:t>
            </w:r>
          </w:p>
        </w:tc>
        <w:tc>
          <w:tcPr>
            <w:tcW w:w="1984" w:type="dxa"/>
            <w:noWrap/>
            <w:hideMark/>
          </w:tcPr>
          <w:p w14:paraId="5BC083DE"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36,135.30</w:t>
            </w:r>
          </w:p>
        </w:tc>
      </w:tr>
      <w:tr w:rsidR="005A088D" w:rsidRPr="005A088D" w14:paraId="76BB173D" w14:textId="77777777" w:rsidTr="00091651">
        <w:trPr>
          <w:trHeight w:val="288"/>
        </w:trPr>
        <w:tc>
          <w:tcPr>
            <w:tcW w:w="3539" w:type="dxa"/>
            <w:noWrap/>
            <w:hideMark/>
          </w:tcPr>
          <w:p w14:paraId="3C09EFD9"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Goulburn Valley Health</w:t>
            </w:r>
          </w:p>
        </w:tc>
        <w:tc>
          <w:tcPr>
            <w:tcW w:w="1276" w:type="dxa"/>
            <w:noWrap/>
            <w:hideMark/>
          </w:tcPr>
          <w:p w14:paraId="64432708"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13,118.42</w:t>
            </w:r>
          </w:p>
        </w:tc>
        <w:tc>
          <w:tcPr>
            <w:tcW w:w="1134" w:type="dxa"/>
            <w:noWrap/>
            <w:hideMark/>
          </w:tcPr>
          <w:p w14:paraId="7F3D3784"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13,546.12</w:t>
            </w:r>
          </w:p>
        </w:tc>
        <w:tc>
          <w:tcPr>
            <w:tcW w:w="1984" w:type="dxa"/>
            <w:noWrap/>
            <w:hideMark/>
          </w:tcPr>
          <w:p w14:paraId="6A87CC72"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26,664.54</w:t>
            </w:r>
          </w:p>
        </w:tc>
      </w:tr>
      <w:tr w:rsidR="005A088D" w:rsidRPr="005A088D" w14:paraId="15EC05EB" w14:textId="77777777" w:rsidTr="00091651">
        <w:trPr>
          <w:trHeight w:val="288"/>
        </w:trPr>
        <w:tc>
          <w:tcPr>
            <w:tcW w:w="3539" w:type="dxa"/>
            <w:noWrap/>
            <w:hideMark/>
          </w:tcPr>
          <w:p w14:paraId="02777999"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Grampians Health</w:t>
            </w:r>
          </w:p>
        </w:tc>
        <w:tc>
          <w:tcPr>
            <w:tcW w:w="1276" w:type="dxa"/>
            <w:noWrap/>
            <w:hideMark/>
          </w:tcPr>
          <w:p w14:paraId="3C808E91"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13,847.22</w:t>
            </w:r>
          </w:p>
        </w:tc>
        <w:tc>
          <w:tcPr>
            <w:tcW w:w="1134" w:type="dxa"/>
            <w:noWrap/>
            <w:hideMark/>
          </w:tcPr>
          <w:p w14:paraId="2AEA1C0F"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9,152.79</w:t>
            </w:r>
          </w:p>
        </w:tc>
        <w:tc>
          <w:tcPr>
            <w:tcW w:w="1984" w:type="dxa"/>
            <w:noWrap/>
            <w:hideMark/>
          </w:tcPr>
          <w:p w14:paraId="72432B96"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23,000.01</w:t>
            </w:r>
          </w:p>
        </w:tc>
      </w:tr>
      <w:tr w:rsidR="005A088D" w:rsidRPr="005A088D" w14:paraId="11F64EDE" w14:textId="77777777" w:rsidTr="00091651">
        <w:trPr>
          <w:trHeight w:val="288"/>
        </w:trPr>
        <w:tc>
          <w:tcPr>
            <w:tcW w:w="3539" w:type="dxa"/>
            <w:noWrap/>
            <w:hideMark/>
          </w:tcPr>
          <w:p w14:paraId="1AABB58E"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Latrobe Regional Hospital</w:t>
            </w:r>
          </w:p>
        </w:tc>
        <w:tc>
          <w:tcPr>
            <w:tcW w:w="1276" w:type="dxa"/>
            <w:noWrap/>
            <w:hideMark/>
          </w:tcPr>
          <w:p w14:paraId="4860D05E"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9,111.22</w:t>
            </w:r>
          </w:p>
        </w:tc>
        <w:tc>
          <w:tcPr>
            <w:tcW w:w="1134" w:type="dxa"/>
            <w:noWrap/>
            <w:hideMark/>
          </w:tcPr>
          <w:p w14:paraId="4526807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7,686.12</w:t>
            </w:r>
          </w:p>
        </w:tc>
        <w:tc>
          <w:tcPr>
            <w:tcW w:w="1984" w:type="dxa"/>
            <w:noWrap/>
            <w:hideMark/>
          </w:tcPr>
          <w:p w14:paraId="711A1DCE"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16,797.34</w:t>
            </w:r>
          </w:p>
        </w:tc>
      </w:tr>
      <w:tr w:rsidR="005A088D" w:rsidRPr="005A088D" w14:paraId="341984F0" w14:textId="77777777" w:rsidTr="00091651">
        <w:trPr>
          <w:trHeight w:val="288"/>
        </w:trPr>
        <w:tc>
          <w:tcPr>
            <w:tcW w:w="3539" w:type="dxa"/>
            <w:noWrap/>
            <w:hideMark/>
          </w:tcPr>
          <w:p w14:paraId="313C44D6"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Melbourne Health</w:t>
            </w:r>
          </w:p>
        </w:tc>
        <w:tc>
          <w:tcPr>
            <w:tcW w:w="1276" w:type="dxa"/>
            <w:noWrap/>
            <w:hideMark/>
          </w:tcPr>
          <w:p w14:paraId="70298355"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8,373.30</w:t>
            </w:r>
          </w:p>
        </w:tc>
        <w:tc>
          <w:tcPr>
            <w:tcW w:w="1134" w:type="dxa"/>
            <w:noWrap/>
            <w:hideMark/>
          </w:tcPr>
          <w:p w14:paraId="03A0399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14,652.45</w:t>
            </w:r>
          </w:p>
        </w:tc>
        <w:tc>
          <w:tcPr>
            <w:tcW w:w="1984" w:type="dxa"/>
            <w:noWrap/>
            <w:hideMark/>
          </w:tcPr>
          <w:p w14:paraId="34CCE928"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23,025.75</w:t>
            </w:r>
          </w:p>
        </w:tc>
      </w:tr>
      <w:tr w:rsidR="005A088D" w:rsidRPr="005A088D" w14:paraId="36F40F60" w14:textId="77777777" w:rsidTr="00091651">
        <w:trPr>
          <w:trHeight w:val="288"/>
        </w:trPr>
        <w:tc>
          <w:tcPr>
            <w:tcW w:w="3539" w:type="dxa"/>
            <w:noWrap/>
            <w:hideMark/>
          </w:tcPr>
          <w:p w14:paraId="520DCA1F"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Mercy Hospitals Victoria Limited</w:t>
            </w:r>
          </w:p>
        </w:tc>
        <w:tc>
          <w:tcPr>
            <w:tcW w:w="1276" w:type="dxa"/>
            <w:noWrap/>
            <w:hideMark/>
          </w:tcPr>
          <w:p w14:paraId="760FE66B"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2,186.40</w:t>
            </w:r>
          </w:p>
        </w:tc>
        <w:tc>
          <w:tcPr>
            <w:tcW w:w="1134" w:type="dxa"/>
            <w:noWrap/>
            <w:hideMark/>
          </w:tcPr>
          <w:p w14:paraId="5B078AEF"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1,464.45</w:t>
            </w:r>
          </w:p>
        </w:tc>
        <w:tc>
          <w:tcPr>
            <w:tcW w:w="1984" w:type="dxa"/>
            <w:noWrap/>
            <w:hideMark/>
          </w:tcPr>
          <w:p w14:paraId="4B69DA99"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3,650.85</w:t>
            </w:r>
          </w:p>
        </w:tc>
      </w:tr>
      <w:tr w:rsidR="005A088D" w:rsidRPr="005A088D" w14:paraId="38D7C194" w14:textId="77777777" w:rsidTr="00091651">
        <w:trPr>
          <w:trHeight w:val="288"/>
        </w:trPr>
        <w:tc>
          <w:tcPr>
            <w:tcW w:w="3539" w:type="dxa"/>
            <w:noWrap/>
            <w:hideMark/>
          </w:tcPr>
          <w:p w14:paraId="4BFEB003"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Mildura Base Public Hospital</w:t>
            </w:r>
          </w:p>
        </w:tc>
        <w:tc>
          <w:tcPr>
            <w:tcW w:w="1276" w:type="dxa"/>
            <w:noWrap/>
            <w:hideMark/>
          </w:tcPr>
          <w:p w14:paraId="04B350A4"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2,275.80</w:t>
            </w:r>
          </w:p>
        </w:tc>
        <w:tc>
          <w:tcPr>
            <w:tcW w:w="1134" w:type="dxa"/>
            <w:noWrap/>
            <w:hideMark/>
          </w:tcPr>
          <w:p w14:paraId="6E29461E"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3,570.00</w:t>
            </w:r>
          </w:p>
        </w:tc>
        <w:tc>
          <w:tcPr>
            <w:tcW w:w="1984" w:type="dxa"/>
            <w:noWrap/>
            <w:hideMark/>
          </w:tcPr>
          <w:p w14:paraId="4073E2FC"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5,845.80</w:t>
            </w:r>
          </w:p>
        </w:tc>
      </w:tr>
      <w:tr w:rsidR="005A088D" w:rsidRPr="005A088D" w14:paraId="265AFAEF" w14:textId="77777777" w:rsidTr="00091651">
        <w:trPr>
          <w:trHeight w:val="288"/>
        </w:trPr>
        <w:tc>
          <w:tcPr>
            <w:tcW w:w="3539" w:type="dxa"/>
            <w:noWrap/>
            <w:hideMark/>
          </w:tcPr>
          <w:p w14:paraId="482A110C"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Monash Health</w:t>
            </w:r>
          </w:p>
        </w:tc>
        <w:tc>
          <w:tcPr>
            <w:tcW w:w="1276" w:type="dxa"/>
            <w:noWrap/>
            <w:hideMark/>
          </w:tcPr>
          <w:p w14:paraId="10DCE1BD"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17,491.23</w:t>
            </w:r>
          </w:p>
        </w:tc>
        <w:tc>
          <w:tcPr>
            <w:tcW w:w="1134" w:type="dxa"/>
            <w:noWrap/>
            <w:hideMark/>
          </w:tcPr>
          <w:p w14:paraId="04CCC41D"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10,983.34</w:t>
            </w:r>
          </w:p>
        </w:tc>
        <w:tc>
          <w:tcPr>
            <w:tcW w:w="1984" w:type="dxa"/>
            <w:noWrap/>
            <w:hideMark/>
          </w:tcPr>
          <w:p w14:paraId="3E8C45B5"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28,474.57</w:t>
            </w:r>
          </w:p>
        </w:tc>
      </w:tr>
      <w:tr w:rsidR="005A088D" w:rsidRPr="005A088D" w14:paraId="6B3FDB47" w14:textId="77777777" w:rsidTr="00091651">
        <w:trPr>
          <w:trHeight w:val="288"/>
        </w:trPr>
        <w:tc>
          <w:tcPr>
            <w:tcW w:w="3539" w:type="dxa"/>
            <w:noWrap/>
            <w:hideMark/>
          </w:tcPr>
          <w:p w14:paraId="0B5975EC"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Northern Health</w:t>
            </w:r>
          </w:p>
        </w:tc>
        <w:tc>
          <w:tcPr>
            <w:tcW w:w="1276" w:type="dxa"/>
            <w:noWrap/>
            <w:hideMark/>
          </w:tcPr>
          <w:p w14:paraId="020DA313"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8,745.62</w:t>
            </w:r>
          </w:p>
        </w:tc>
        <w:tc>
          <w:tcPr>
            <w:tcW w:w="1134" w:type="dxa"/>
            <w:noWrap/>
            <w:hideMark/>
          </w:tcPr>
          <w:p w14:paraId="6035B63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15,742.79</w:t>
            </w:r>
          </w:p>
        </w:tc>
        <w:tc>
          <w:tcPr>
            <w:tcW w:w="1984" w:type="dxa"/>
            <w:noWrap/>
            <w:hideMark/>
          </w:tcPr>
          <w:p w14:paraId="079B48AD"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24,488.41</w:t>
            </w:r>
          </w:p>
        </w:tc>
      </w:tr>
      <w:tr w:rsidR="005A088D" w:rsidRPr="005A088D" w14:paraId="4A4BCD60" w14:textId="77777777" w:rsidTr="00091651">
        <w:trPr>
          <w:trHeight w:val="288"/>
        </w:trPr>
        <w:tc>
          <w:tcPr>
            <w:tcW w:w="3539" w:type="dxa"/>
            <w:noWrap/>
            <w:hideMark/>
          </w:tcPr>
          <w:p w14:paraId="0BCC291C"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Peninsula Health</w:t>
            </w:r>
          </w:p>
        </w:tc>
        <w:tc>
          <w:tcPr>
            <w:tcW w:w="1276" w:type="dxa"/>
            <w:noWrap/>
            <w:hideMark/>
          </w:tcPr>
          <w:p w14:paraId="3251C375"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22,237.43</w:t>
            </w:r>
          </w:p>
        </w:tc>
        <w:tc>
          <w:tcPr>
            <w:tcW w:w="1134" w:type="dxa"/>
            <w:noWrap/>
            <w:hideMark/>
          </w:tcPr>
          <w:p w14:paraId="05C42065"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5,491.67</w:t>
            </w:r>
          </w:p>
        </w:tc>
        <w:tc>
          <w:tcPr>
            <w:tcW w:w="1984" w:type="dxa"/>
            <w:noWrap/>
            <w:hideMark/>
          </w:tcPr>
          <w:p w14:paraId="501B81B5"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27,729.10</w:t>
            </w:r>
          </w:p>
        </w:tc>
      </w:tr>
      <w:tr w:rsidR="005A088D" w:rsidRPr="005A088D" w14:paraId="01571A3C" w14:textId="77777777" w:rsidTr="00091651">
        <w:trPr>
          <w:trHeight w:val="288"/>
        </w:trPr>
        <w:tc>
          <w:tcPr>
            <w:tcW w:w="3539" w:type="dxa"/>
            <w:noWrap/>
            <w:hideMark/>
          </w:tcPr>
          <w:p w14:paraId="5912C6CC"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Portland District Health</w:t>
            </w:r>
          </w:p>
        </w:tc>
        <w:tc>
          <w:tcPr>
            <w:tcW w:w="1276" w:type="dxa"/>
            <w:noWrap/>
            <w:hideMark/>
          </w:tcPr>
          <w:p w14:paraId="406161AB"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1,457.60</w:t>
            </w:r>
          </w:p>
        </w:tc>
        <w:tc>
          <w:tcPr>
            <w:tcW w:w="1134" w:type="dxa"/>
            <w:noWrap/>
            <w:hideMark/>
          </w:tcPr>
          <w:p w14:paraId="72ECA3A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732.22</w:t>
            </w:r>
          </w:p>
        </w:tc>
        <w:tc>
          <w:tcPr>
            <w:tcW w:w="1984" w:type="dxa"/>
            <w:noWrap/>
            <w:hideMark/>
          </w:tcPr>
          <w:p w14:paraId="7B4E2E67"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2,189.82</w:t>
            </w:r>
          </w:p>
        </w:tc>
      </w:tr>
      <w:tr w:rsidR="005A088D" w:rsidRPr="005A088D" w14:paraId="2DFD8839" w14:textId="77777777" w:rsidTr="00091651">
        <w:trPr>
          <w:trHeight w:val="288"/>
        </w:trPr>
        <w:tc>
          <w:tcPr>
            <w:tcW w:w="3539" w:type="dxa"/>
            <w:noWrap/>
            <w:hideMark/>
          </w:tcPr>
          <w:p w14:paraId="05962A2B"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Ramsay Health Care Australia PTY LTD</w:t>
            </w:r>
          </w:p>
        </w:tc>
        <w:tc>
          <w:tcPr>
            <w:tcW w:w="1276" w:type="dxa"/>
            <w:noWrap/>
            <w:hideMark/>
          </w:tcPr>
          <w:p w14:paraId="6CDC7A34"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0.00</w:t>
            </w:r>
          </w:p>
        </w:tc>
        <w:tc>
          <w:tcPr>
            <w:tcW w:w="1134" w:type="dxa"/>
            <w:noWrap/>
            <w:hideMark/>
          </w:tcPr>
          <w:p w14:paraId="61490645"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0.00</w:t>
            </w:r>
          </w:p>
        </w:tc>
        <w:tc>
          <w:tcPr>
            <w:tcW w:w="1984" w:type="dxa"/>
            <w:noWrap/>
            <w:hideMark/>
          </w:tcPr>
          <w:p w14:paraId="49827CE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0.00</w:t>
            </w:r>
          </w:p>
        </w:tc>
      </w:tr>
      <w:tr w:rsidR="005A088D" w:rsidRPr="005A088D" w14:paraId="459F0AAF" w14:textId="77777777" w:rsidTr="00091651">
        <w:trPr>
          <w:trHeight w:val="288"/>
        </w:trPr>
        <w:tc>
          <w:tcPr>
            <w:tcW w:w="3539" w:type="dxa"/>
            <w:noWrap/>
            <w:hideMark/>
          </w:tcPr>
          <w:p w14:paraId="725FCD4B"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South West Healthcare</w:t>
            </w:r>
          </w:p>
        </w:tc>
        <w:tc>
          <w:tcPr>
            <w:tcW w:w="1276" w:type="dxa"/>
            <w:noWrap/>
            <w:hideMark/>
          </w:tcPr>
          <w:p w14:paraId="6053A73C"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3,645.21</w:t>
            </w:r>
          </w:p>
        </w:tc>
        <w:tc>
          <w:tcPr>
            <w:tcW w:w="1134" w:type="dxa"/>
            <w:noWrap/>
            <w:hideMark/>
          </w:tcPr>
          <w:p w14:paraId="0443A5B5"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3,663.34</w:t>
            </w:r>
          </w:p>
        </w:tc>
        <w:tc>
          <w:tcPr>
            <w:tcW w:w="1984" w:type="dxa"/>
            <w:noWrap/>
            <w:hideMark/>
          </w:tcPr>
          <w:p w14:paraId="3238BC5D"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7,308.55</w:t>
            </w:r>
          </w:p>
        </w:tc>
      </w:tr>
      <w:tr w:rsidR="005A088D" w:rsidRPr="005A088D" w14:paraId="2FAA1E27" w14:textId="77777777" w:rsidTr="00091651">
        <w:trPr>
          <w:trHeight w:val="288"/>
        </w:trPr>
        <w:tc>
          <w:tcPr>
            <w:tcW w:w="3539" w:type="dxa"/>
            <w:noWrap/>
            <w:hideMark/>
          </w:tcPr>
          <w:p w14:paraId="0169BFAF" w14:textId="59762366"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St Vincent</w:t>
            </w:r>
            <w:r w:rsidR="00A67DC2">
              <w:rPr>
                <w:rFonts w:cs="Arial"/>
                <w:color w:val="000000"/>
                <w:sz w:val="16"/>
                <w:szCs w:val="16"/>
                <w:lang w:eastAsia="en-AU"/>
              </w:rPr>
              <w:t>’</w:t>
            </w:r>
            <w:r w:rsidRPr="005A088D">
              <w:rPr>
                <w:rFonts w:cs="Arial"/>
                <w:color w:val="000000"/>
                <w:sz w:val="16"/>
                <w:szCs w:val="16"/>
                <w:lang w:eastAsia="en-AU"/>
              </w:rPr>
              <w:t>s Hospital Melbourne Limited</w:t>
            </w:r>
          </w:p>
        </w:tc>
        <w:tc>
          <w:tcPr>
            <w:tcW w:w="1276" w:type="dxa"/>
            <w:noWrap/>
            <w:hideMark/>
          </w:tcPr>
          <w:p w14:paraId="50EB4376"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9,472.02</w:t>
            </w:r>
          </w:p>
        </w:tc>
        <w:tc>
          <w:tcPr>
            <w:tcW w:w="1134" w:type="dxa"/>
            <w:noWrap/>
            <w:hideMark/>
          </w:tcPr>
          <w:p w14:paraId="6C87EA1F"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16,459.45</w:t>
            </w:r>
          </w:p>
        </w:tc>
        <w:tc>
          <w:tcPr>
            <w:tcW w:w="1984" w:type="dxa"/>
            <w:noWrap/>
            <w:hideMark/>
          </w:tcPr>
          <w:p w14:paraId="352D8DEA"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25,931.47</w:t>
            </w:r>
          </w:p>
        </w:tc>
      </w:tr>
      <w:tr w:rsidR="005A088D" w:rsidRPr="005A088D" w14:paraId="6854A415" w14:textId="77777777" w:rsidTr="00091651">
        <w:trPr>
          <w:trHeight w:val="288"/>
        </w:trPr>
        <w:tc>
          <w:tcPr>
            <w:tcW w:w="3539" w:type="dxa"/>
            <w:noWrap/>
            <w:hideMark/>
          </w:tcPr>
          <w:p w14:paraId="2C539756"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Western District Health Service</w:t>
            </w:r>
          </w:p>
        </w:tc>
        <w:tc>
          <w:tcPr>
            <w:tcW w:w="1276" w:type="dxa"/>
            <w:noWrap/>
            <w:hideMark/>
          </w:tcPr>
          <w:p w14:paraId="1DE17791"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1,458.20</w:t>
            </w:r>
          </w:p>
        </w:tc>
        <w:tc>
          <w:tcPr>
            <w:tcW w:w="1134" w:type="dxa"/>
            <w:noWrap/>
            <w:hideMark/>
          </w:tcPr>
          <w:p w14:paraId="6DB4A76D"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1,829.45</w:t>
            </w:r>
          </w:p>
        </w:tc>
        <w:tc>
          <w:tcPr>
            <w:tcW w:w="1984" w:type="dxa"/>
            <w:noWrap/>
            <w:hideMark/>
          </w:tcPr>
          <w:p w14:paraId="4687F1D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3,287.65</w:t>
            </w:r>
          </w:p>
        </w:tc>
      </w:tr>
      <w:tr w:rsidR="005A088D" w:rsidRPr="005A088D" w14:paraId="7672D05A" w14:textId="77777777" w:rsidTr="00091651">
        <w:trPr>
          <w:trHeight w:val="288"/>
        </w:trPr>
        <w:tc>
          <w:tcPr>
            <w:tcW w:w="3539" w:type="dxa"/>
            <w:noWrap/>
            <w:hideMark/>
          </w:tcPr>
          <w:p w14:paraId="1227AC92" w14:textId="77777777" w:rsidR="005A088D" w:rsidRPr="005A088D" w:rsidRDefault="005A088D" w:rsidP="005A088D">
            <w:pPr>
              <w:spacing w:after="0" w:line="240" w:lineRule="auto"/>
              <w:rPr>
                <w:rFonts w:cs="Arial"/>
                <w:color w:val="000000"/>
                <w:sz w:val="16"/>
                <w:szCs w:val="16"/>
                <w:lang w:eastAsia="en-AU"/>
              </w:rPr>
            </w:pPr>
            <w:r w:rsidRPr="005A088D">
              <w:rPr>
                <w:rFonts w:cs="Arial"/>
                <w:color w:val="000000"/>
                <w:sz w:val="16"/>
                <w:szCs w:val="16"/>
                <w:lang w:eastAsia="en-AU"/>
              </w:rPr>
              <w:t>Western Health</w:t>
            </w:r>
          </w:p>
        </w:tc>
        <w:tc>
          <w:tcPr>
            <w:tcW w:w="1276" w:type="dxa"/>
            <w:noWrap/>
            <w:hideMark/>
          </w:tcPr>
          <w:p w14:paraId="171428F2"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12,389.62</w:t>
            </w:r>
          </w:p>
        </w:tc>
        <w:tc>
          <w:tcPr>
            <w:tcW w:w="1134" w:type="dxa"/>
            <w:noWrap/>
            <w:hideMark/>
          </w:tcPr>
          <w:p w14:paraId="7B737F76"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12,808.34</w:t>
            </w:r>
          </w:p>
        </w:tc>
        <w:tc>
          <w:tcPr>
            <w:tcW w:w="1984" w:type="dxa"/>
            <w:noWrap/>
            <w:hideMark/>
          </w:tcPr>
          <w:p w14:paraId="18EDD0E0" w14:textId="77777777" w:rsidR="005A088D" w:rsidRPr="005A088D" w:rsidRDefault="005A088D" w:rsidP="005A088D">
            <w:pPr>
              <w:spacing w:after="0" w:line="240" w:lineRule="auto"/>
              <w:jc w:val="right"/>
              <w:rPr>
                <w:rFonts w:cs="Arial"/>
                <w:color w:val="000000"/>
                <w:sz w:val="16"/>
                <w:szCs w:val="16"/>
                <w:lang w:eastAsia="en-AU"/>
              </w:rPr>
            </w:pPr>
            <w:r w:rsidRPr="005A088D">
              <w:rPr>
                <w:rFonts w:cs="Arial"/>
                <w:color w:val="000000"/>
                <w:sz w:val="16"/>
                <w:szCs w:val="16"/>
                <w:lang w:eastAsia="en-AU"/>
              </w:rPr>
              <w:t>25,197.96</w:t>
            </w:r>
          </w:p>
        </w:tc>
      </w:tr>
      <w:tr w:rsidR="005A088D" w:rsidRPr="005A088D" w14:paraId="6EC80CD7" w14:textId="77777777" w:rsidTr="00091651">
        <w:trPr>
          <w:trHeight w:val="288"/>
        </w:trPr>
        <w:tc>
          <w:tcPr>
            <w:tcW w:w="3539" w:type="dxa"/>
            <w:shd w:val="clear" w:color="auto" w:fill="201547"/>
            <w:noWrap/>
            <w:hideMark/>
          </w:tcPr>
          <w:p w14:paraId="2DB008A1" w14:textId="2182443A" w:rsidR="005A088D" w:rsidRPr="005A088D" w:rsidRDefault="005A088D" w:rsidP="005A088D">
            <w:pPr>
              <w:spacing w:after="0" w:line="240" w:lineRule="auto"/>
              <w:rPr>
                <w:rFonts w:cs="Arial"/>
                <w:b/>
                <w:bCs/>
                <w:color w:val="FFFFFF"/>
                <w:sz w:val="16"/>
                <w:szCs w:val="16"/>
                <w:lang w:eastAsia="en-AU"/>
              </w:rPr>
            </w:pPr>
            <w:r w:rsidRPr="005A088D">
              <w:rPr>
                <w:rFonts w:cs="Arial"/>
                <w:b/>
                <w:bCs/>
                <w:color w:val="FFFFFF"/>
                <w:sz w:val="16"/>
                <w:szCs w:val="16"/>
                <w:lang w:eastAsia="en-AU"/>
              </w:rPr>
              <w:t>Total</w:t>
            </w:r>
          </w:p>
        </w:tc>
        <w:tc>
          <w:tcPr>
            <w:tcW w:w="1276" w:type="dxa"/>
            <w:shd w:val="clear" w:color="auto" w:fill="201547"/>
            <w:noWrap/>
            <w:hideMark/>
          </w:tcPr>
          <w:p w14:paraId="5547CCBF" w14:textId="77777777" w:rsidR="005A088D" w:rsidRPr="005A088D" w:rsidRDefault="005A088D" w:rsidP="005A088D">
            <w:pPr>
              <w:spacing w:after="0" w:line="240" w:lineRule="auto"/>
              <w:jc w:val="right"/>
              <w:rPr>
                <w:rFonts w:cs="Arial"/>
                <w:b/>
                <w:bCs/>
                <w:color w:val="FFFFFF"/>
                <w:sz w:val="16"/>
                <w:szCs w:val="16"/>
                <w:lang w:eastAsia="en-AU"/>
              </w:rPr>
            </w:pPr>
            <w:r w:rsidRPr="005A088D">
              <w:rPr>
                <w:rFonts w:cs="Arial"/>
                <w:b/>
                <w:bCs/>
                <w:color w:val="FFFFFF"/>
                <w:sz w:val="16"/>
                <w:szCs w:val="16"/>
                <w:lang w:eastAsia="en-AU"/>
              </w:rPr>
              <w:t>211,169.20</w:t>
            </w:r>
          </w:p>
        </w:tc>
        <w:tc>
          <w:tcPr>
            <w:tcW w:w="1134" w:type="dxa"/>
            <w:shd w:val="clear" w:color="auto" w:fill="201547"/>
            <w:noWrap/>
            <w:hideMark/>
          </w:tcPr>
          <w:p w14:paraId="3E86A76F" w14:textId="77777777" w:rsidR="005A088D" w:rsidRPr="005A088D" w:rsidRDefault="005A088D" w:rsidP="005A088D">
            <w:pPr>
              <w:spacing w:after="0" w:line="240" w:lineRule="auto"/>
              <w:jc w:val="right"/>
              <w:rPr>
                <w:rFonts w:cs="Arial"/>
                <w:b/>
                <w:bCs/>
                <w:color w:val="FFFFFF"/>
                <w:sz w:val="16"/>
                <w:szCs w:val="16"/>
                <w:lang w:eastAsia="en-AU"/>
              </w:rPr>
            </w:pPr>
            <w:r w:rsidRPr="005A088D">
              <w:rPr>
                <w:rFonts w:cs="Arial"/>
                <w:b/>
                <w:bCs/>
                <w:color w:val="FFFFFF"/>
                <w:sz w:val="16"/>
                <w:szCs w:val="16"/>
                <w:lang w:eastAsia="en-AU"/>
              </w:rPr>
              <w:t>170,402.12</w:t>
            </w:r>
          </w:p>
        </w:tc>
        <w:tc>
          <w:tcPr>
            <w:tcW w:w="1984" w:type="dxa"/>
            <w:shd w:val="clear" w:color="auto" w:fill="201547"/>
            <w:noWrap/>
            <w:hideMark/>
          </w:tcPr>
          <w:p w14:paraId="4ED22451" w14:textId="77777777" w:rsidR="005A088D" w:rsidRPr="005A088D" w:rsidRDefault="005A088D" w:rsidP="005A088D">
            <w:pPr>
              <w:spacing w:after="0" w:line="240" w:lineRule="auto"/>
              <w:jc w:val="right"/>
              <w:rPr>
                <w:rFonts w:cs="Arial"/>
                <w:b/>
                <w:bCs/>
                <w:color w:val="FFFFFF"/>
                <w:sz w:val="16"/>
                <w:szCs w:val="16"/>
                <w:lang w:eastAsia="en-AU"/>
              </w:rPr>
            </w:pPr>
            <w:r w:rsidRPr="005A088D">
              <w:rPr>
                <w:rFonts w:cs="Arial"/>
                <w:b/>
                <w:bCs/>
                <w:color w:val="FFFFFF"/>
                <w:sz w:val="16"/>
                <w:szCs w:val="16"/>
                <w:lang w:eastAsia="en-AU"/>
              </w:rPr>
              <w:t>381,571.32</w:t>
            </w:r>
          </w:p>
        </w:tc>
      </w:tr>
    </w:tbl>
    <w:p w14:paraId="32EA5468" w14:textId="77777777" w:rsidR="00360E0C" w:rsidRDefault="00360E0C" w:rsidP="0011603E">
      <w:pPr>
        <w:pStyle w:val="Body"/>
      </w:pPr>
    </w:p>
    <w:p w14:paraId="763079F7" w14:textId="44B6511B" w:rsidR="000B27B9" w:rsidRPr="00E30582" w:rsidRDefault="000B27B9" w:rsidP="009375E0">
      <w:pPr>
        <w:pStyle w:val="Heading3"/>
        <w:spacing w:before="240"/>
      </w:pPr>
      <w:bookmarkStart w:id="1307" w:name="_Toc483748272"/>
      <w:bookmarkStart w:id="1308" w:name="_Toc483748591"/>
      <w:bookmarkStart w:id="1309" w:name="_Toc483748115"/>
      <w:bookmarkStart w:id="1310" w:name="_Toc483748274"/>
      <w:bookmarkStart w:id="1311" w:name="_Toc483748593"/>
      <w:bookmarkStart w:id="1312" w:name="_Toc12780673"/>
      <w:bookmarkStart w:id="1313" w:name="_Toc14172314"/>
      <w:bookmarkStart w:id="1314" w:name="_Toc33703988"/>
      <w:bookmarkStart w:id="1315" w:name="_Toc55381176"/>
      <w:bookmarkStart w:id="1316" w:name="_Toc100263380"/>
      <w:bookmarkStart w:id="1317" w:name="_Toc127192028"/>
      <w:bookmarkEnd w:id="1307"/>
      <w:bookmarkEnd w:id="1308"/>
      <w:bookmarkEnd w:id="1309"/>
      <w:bookmarkEnd w:id="1310"/>
      <w:bookmarkEnd w:id="1311"/>
      <w:r>
        <w:t xml:space="preserve">Total </w:t>
      </w:r>
      <w:r w:rsidR="00331D5D">
        <w:t>P</w:t>
      </w:r>
      <w:r>
        <w:t xml:space="preserve">arenteral </w:t>
      </w:r>
      <w:r w:rsidR="00331D5D">
        <w:t>N</w:t>
      </w:r>
      <w:r>
        <w:t xml:space="preserve">utrition </w:t>
      </w:r>
      <w:r w:rsidR="00B67411">
        <w:t xml:space="preserve">Activity </w:t>
      </w:r>
      <w:r w:rsidR="00B67411" w:rsidRPr="00E30582">
        <w:t xml:space="preserve">Targets </w:t>
      </w:r>
      <w:r w:rsidR="00B67411">
        <w:t>(NWAU)</w:t>
      </w:r>
      <w:r w:rsidR="009375E0">
        <w:br/>
      </w:r>
      <w:bookmarkEnd w:id="1312"/>
      <w:bookmarkEnd w:id="1313"/>
      <w:bookmarkEnd w:id="1314"/>
      <w:bookmarkEnd w:id="1315"/>
      <w:r w:rsidR="005D1FCB" w:rsidRPr="00E30582">
        <w:t>2022</w:t>
      </w:r>
      <w:r w:rsidR="009A3347" w:rsidRPr="00E30582">
        <w:t>–</w:t>
      </w:r>
      <w:r w:rsidR="005D1FCB" w:rsidRPr="00E30582">
        <w:t>23</w:t>
      </w:r>
      <w:bookmarkEnd w:id="1316"/>
      <w:bookmarkEnd w:id="1317"/>
    </w:p>
    <w:p w14:paraId="7ABFEC27" w14:textId="77777777" w:rsidR="00BD575E" w:rsidRPr="00E30582" w:rsidRDefault="00BD575E" w:rsidP="00BD575E">
      <w:pPr>
        <w:pStyle w:val="Tablefigurenote9pt"/>
      </w:pPr>
      <w:bookmarkStart w:id="1318" w:name="_Toc12780577"/>
      <w:bookmarkStart w:id="1319" w:name="_Toc14194833"/>
      <w:bookmarkStart w:id="1320" w:name="_Toc33704014"/>
      <w:r w:rsidRPr="00E30582">
        <w:t>Notes:</w:t>
      </w:r>
    </w:p>
    <w:p w14:paraId="41DDF1C4" w14:textId="359720FF" w:rsidR="00F66684" w:rsidRPr="00E30582" w:rsidRDefault="00F66684" w:rsidP="003C01AD">
      <w:pPr>
        <w:pStyle w:val="Tablenoteroman"/>
        <w:numPr>
          <w:ilvl w:val="0"/>
          <w:numId w:val="26"/>
        </w:numPr>
        <w:rPr>
          <w:lang w:eastAsia="en-AU"/>
        </w:rPr>
      </w:pPr>
      <w:r w:rsidRPr="00E30582">
        <w:rPr>
          <w:lang w:eastAsia="en-AU"/>
        </w:rPr>
        <w:t>Targets include adjustments made in the statement of priorities, including changes relating</w:t>
      </w:r>
      <w:r w:rsidR="00601236">
        <w:rPr>
          <w:lang w:eastAsia="en-AU"/>
        </w:rPr>
        <w:t xml:space="preserve"> to</w:t>
      </w:r>
      <w:r w:rsidRPr="00E30582">
        <w:rPr>
          <w:lang w:eastAsia="en-AU"/>
        </w:rPr>
        <w:t xml:space="preserve"> National Funding Model implementation.  </w:t>
      </w:r>
    </w:p>
    <w:p w14:paraId="3CC3E201" w14:textId="1B36C875" w:rsidR="000B27B9" w:rsidRDefault="000B27B9" w:rsidP="000E08EF">
      <w:pPr>
        <w:pStyle w:val="Tablecaption"/>
      </w:pPr>
      <w:bookmarkStart w:id="1321" w:name="_Toc109894142"/>
      <w:bookmarkStart w:id="1322" w:name="_Toc119500923"/>
      <w:r w:rsidRPr="00E30582">
        <w:t xml:space="preserve">Table </w:t>
      </w:r>
      <w:r>
        <w:fldChar w:fldCharType="begin"/>
      </w:r>
      <w:r>
        <w:instrText>STYLEREF 1 \s</w:instrText>
      </w:r>
      <w:r>
        <w:fldChar w:fldCharType="separate"/>
      </w:r>
      <w:r w:rsidR="006D0756" w:rsidRPr="00E30582">
        <w:rPr>
          <w:noProof/>
        </w:rPr>
        <w:t>2</w:t>
      </w:r>
      <w:r>
        <w:fldChar w:fldCharType="end"/>
      </w:r>
      <w:r w:rsidR="00EC6300" w:rsidRPr="00E30582">
        <w:t>.</w:t>
      </w:r>
      <w:r>
        <w:fldChar w:fldCharType="begin"/>
      </w:r>
      <w:r>
        <w:instrText>SEQ Table \* ARABIC \s 1</w:instrText>
      </w:r>
      <w:r>
        <w:fldChar w:fldCharType="separate"/>
      </w:r>
      <w:r w:rsidR="006D0756" w:rsidRPr="00E30582">
        <w:rPr>
          <w:noProof/>
        </w:rPr>
        <w:t>16</w:t>
      </w:r>
      <w:r>
        <w:fldChar w:fldCharType="end"/>
      </w:r>
      <w:r w:rsidRPr="00E30582">
        <w:t xml:space="preserve">: Total parenteral nutrition </w:t>
      </w:r>
      <w:r w:rsidR="00B67411">
        <w:t>activity targets (NWAU)</w:t>
      </w:r>
      <w:r w:rsidRPr="00E30582">
        <w:t xml:space="preserve"> </w:t>
      </w:r>
      <w:bookmarkEnd w:id="1318"/>
      <w:bookmarkEnd w:id="1319"/>
      <w:bookmarkEnd w:id="1320"/>
      <w:r w:rsidR="005D1FCB" w:rsidRPr="00E30582">
        <w:t>202</w:t>
      </w:r>
      <w:r w:rsidR="005D1FCB" w:rsidRPr="00425C59">
        <w:rPr>
          <w:color w:val="000000" w:themeColor="text1"/>
        </w:rPr>
        <w:t>2</w:t>
      </w:r>
      <w:r w:rsidR="00425C59" w:rsidRPr="00425C59">
        <w:rPr>
          <w:rFonts w:cs="Arial"/>
          <w:bCs/>
          <w:color w:val="000000" w:themeColor="text1"/>
          <w:szCs w:val="21"/>
          <w:lang w:eastAsia="en-AU"/>
        </w:rPr>
        <w:t>–</w:t>
      </w:r>
      <w:r w:rsidR="005D1FCB" w:rsidRPr="00425C59">
        <w:rPr>
          <w:color w:val="000000" w:themeColor="text1"/>
        </w:rPr>
        <w:t>23</w:t>
      </w:r>
      <w:bookmarkEnd w:id="1321"/>
      <w:bookmarkEnd w:id="1322"/>
    </w:p>
    <w:tbl>
      <w:tblPr>
        <w:tblStyle w:val="TableGrid1"/>
        <w:tblW w:w="6232" w:type="dxa"/>
        <w:tblLook w:val="04A0" w:firstRow="1" w:lastRow="0" w:firstColumn="1" w:lastColumn="0" w:noHBand="0" w:noVBand="1"/>
      </w:tblPr>
      <w:tblGrid>
        <w:gridCol w:w="3539"/>
        <w:gridCol w:w="2693"/>
      </w:tblGrid>
      <w:tr w:rsidR="00910F79" w:rsidRPr="00910F79" w14:paraId="084D3DF1" w14:textId="77777777" w:rsidTr="005826E3">
        <w:trPr>
          <w:cnfStyle w:val="100000000000" w:firstRow="1" w:lastRow="0" w:firstColumn="0" w:lastColumn="0" w:oddVBand="0" w:evenVBand="0" w:oddHBand="0" w:evenHBand="0" w:firstRowFirstColumn="0" w:firstRowLastColumn="0" w:lastRowFirstColumn="0" w:lastRowLastColumn="0"/>
          <w:trHeight w:val="355"/>
        </w:trPr>
        <w:tc>
          <w:tcPr>
            <w:tcW w:w="3539" w:type="dxa"/>
            <w:noWrap/>
            <w:hideMark/>
          </w:tcPr>
          <w:p w14:paraId="0CE55126" w14:textId="77777777" w:rsidR="00910F79" w:rsidRPr="00910F79" w:rsidRDefault="00910F79" w:rsidP="00910F79">
            <w:pPr>
              <w:spacing w:after="0" w:line="240" w:lineRule="auto"/>
              <w:rPr>
                <w:rFonts w:cs="Arial"/>
                <w:b/>
                <w:bCs/>
                <w:color w:val="FFFFFF"/>
                <w:sz w:val="16"/>
                <w:szCs w:val="16"/>
                <w:lang w:eastAsia="en-AU"/>
              </w:rPr>
            </w:pPr>
            <w:r w:rsidRPr="00910F79">
              <w:rPr>
                <w:rFonts w:cs="Arial"/>
                <w:b/>
                <w:bCs/>
                <w:color w:val="FFFFFF"/>
                <w:sz w:val="16"/>
                <w:szCs w:val="16"/>
                <w:lang w:eastAsia="en-AU"/>
              </w:rPr>
              <w:t>Health Service</w:t>
            </w:r>
          </w:p>
        </w:tc>
        <w:tc>
          <w:tcPr>
            <w:tcW w:w="2693" w:type="dxa"/>
            <w:noWrap/>
            <w:hideMark/>
          </w:tcPr>
          <w:p w14:paraId="5466D6DA" w14:textId="77777777" w:rsidR="00910F79" w:rsidRPr="00910F79" w:rsidRDefault="00910F79" w:rsidP="00910F79">
            <w:pPr>
              <w:spacing w:after="0" w:line="240" w:lineRule="auto"/>
              <w:jc w:val="right"/>
              <w:rPr>
                <w:rFonts w:cs="Arial"/>
                <w:b/>
                <w:bCs/>
                <w:color w:val="FFFFFF"/>
                <w:sz w:val="16"/>
                <w:szCs w:val="16"/>
                <w:lang w:eastAsia="en-AU"/>
              </w:rPr>
            </w:pPr>
            <w:r w:rsidRPr="00910F79">
              <w:rPr>
                <w:rFonts w:cs="Arial"/>
                <w:b/>
                <w:bCs/>
                <w:color w:val="FFFFFF"/>
                <w:sz w:val="16"/>
                <w:szCs w:val="16"/>
                <w:lang w:eastAsia="en-AU"/>
              </w:rPr>
              <w:t>Service event target</w:t>
            </w:r>
          </w:p>
        </w:tc>
      </w:tr>
      <w:tr w:rsidR="00910F79" w:rsidRPr="00910F79" w14:paraId="283444FD" w14:textId="77777777" w:rsidTr="005826E3">
        <w:trPr>
          <w:trHeight w:val="288"/>
        </w:trPr>
        <w:tc>
          <w:tcPr>
            <w:tcW w:w="3539" w:type="dxa"/>
            <w:noWrap/>
            <w:hideMark/>
          </w:tcPr>
          <w:p w14:paraId="164E0ABD" w14:textId="77777777" w:rsidR="00910F79" w:rsidRPr="00910F79" w:rsidRDefault="00910F79" w:rsidP="00910F79">
            <w:pPr>
              <w:spacing w:after="0" w:line="240" w:lineRule="auto"/>
              <w:rPr>
                <w:rFonts w:cs="Arial"/>
                <w:color w:val="000000"/>
                <w:sz w:val="16"/>
                <w:szCs w:val="16"/>
                <w:lang w:eastAsia="en-AU"/>
              </w:rPr>
            </w:pPr>
            <w:r w:rsidRPr="00910F79">
              <w:rPr>
                <w:rFonts w:cs="Arial"/>
                <w:color w:val="000000"/>
                <w:sz w:val="16"/>
                <w:szCs w:val="16"/>
                <w:lang w:eastAsia="en-AU"/>
              </w:rPr>
              <w:t>Austin Health</w:t>
            </w:r>
          </w:p>
        </w:tc>
        <w:tc>
          <w:tcPr>
            <w:tcW w:w="2693" w:type="dxa"/>
            <w:noWrap/>
            <w:hideMark/>
          </w:tcPr>
          <w:p w14:paraId="4AFEB360" w14:textId="77777777" w:rsidR="00910F79" w:rsidRPr="00910F79" w:rsidRDefault="00910F79" w:rsidP="00910F79">
            <w:pPr>
              <w:spacing w:after="0" w:line="240" w:lineRule="auto"/>
              <w:jc w:val="right"/>
              <w:rPr>
                <w:rFonts w:cs="Arial"/>
                <w:color w:val="000000"/>
                <w:sz w:val="16"/>
                <w:szCs w:val="16"/>
                <w:lang w:eastAsia="en-AU"/>
              </w:rPr>
            </w:pPr>
            <w:r w:rsidRPr="00910F79">
              <w:rPr>
                <w:rFonts w:cs="Arial"/>
                <w:color w:val="000000"/>
                <w:sz w:val="16"/>
                <w:szCs w:val="16"/>
                <w:lang w:eastAsia="en-AU"/>
              </w:rPr>
              <w:t>349.43</w:t>
            </w:r>
          </w:p>
        </w:tc>
      </w:tr>
      <w:tr w:rsidR="00910F79" w:rsidRPr="00910F79" w14:paraId="0FFFD9C6" w14:textId="77777777" w:rsidTr="005826E3">
        <w:trPr>
          <w:trHeight w:val="288"/>
        </w:trPr>
        <w:tc>
          <w:tcPr>
            <w:tcW w:w="3539" w:type="dxa"/>
            <w:noWrap/>
            <w:hideMark/>
          </w:tcPr>
          <w:p w14:paraId="784772F3" w14:textId="77777777" w:rsidR="00910F79" w:rsidRPr="00910F79" w:rsidRDefault="00910F79" w:rsidP="00910F79">
            <w:pPr>
              <w:spacing w:after="0" w:line="240" w:lineRule="auto"/>
              <w:rPr>
                <w:rFonts w:cs="Arial"/>
                <w:color w:val="000000"/>
                <w:sz w:val="16"/>
                <w:szCs w:val="16"/>
                <w:lang w:eastAsia="en-AU"/>
              </w:rPr>
            </w:pPr>
            <w:r w:rsidRPr="00910F79">
              <w:rPr>
                <w:rFonts w:cs="Arial"/>
                <w:color w:val="000000"/>
                <w:sz w:val="16"/>
                <w:szCs w:val="16"/>
                <w:lang w:eastAsia="en-AU"/>
              </w:rPr>
              <w:t>Melbourne Health</w:t>
            </w:r>
          </w:p>
        </w:tc>
        <w:tc>
          <w:tcPr>
            <w:tcW w:w="2693" w:type="dxa"/>
            <w:noWrap/>
            <w:hideMark/>
          </w:tcPr>
          <w:p w14:paraId="6811DAB2" w14:textId="77777777" w:rsidR="00910F79" w:rsidRPr="00910F79" w:rsidRDefault="00910F79" w:rsidP="00910F79">
            <w:pPr>
              <w:spacing w:after="0" w:line="240" w:lineRule="auto"/>
              <w:jc w:val="right"/>
              <w:rPr>
                <w:rFonts w:cs="Arial"/>
                <w:color w:val="000000"/>
                <w:sz w:val="16"/>
                <w:szCs w:val="16"/>
                <w:lang w:eastAsia="en-AU"/>
              </w:rPr>
            </w:pPr>
            <w:r w:rsidRPr="00910F79">
              <w:rPr>
                <w:rFonts w:cs="Arial"/>
                <w:color w:val="000000"/>
                <w:sz w:val="16"/>
                <w:szCs w:val="16"/>
                <w:lang w:eastAsia="en-AU"/>
              </w:rPr>
              <w:t>273.24</w:t>
            </w:r>
          </w:p>
        </w:tc>
      </w:tr>
      <w:tr w:rsidR="00910F79" w:rsidRPr="00910F79" w14:paraId="44FEB826" w14:textId="77777777" w:rsidTr="005826E3">
        <w:trPr>
          <w:trHeight w:val="288"/>
        </w:trPr>
        <w:tc>
          <w:tcPr>
            <w:tcW w:w="3539" w:type="dxa"/>
            <w:noWrap/>
            <w:hideMark/>
          </w:tcPr>
          <w:p w14:paraId="6552451D" w14:textId="77777777" w:rsidR="00910F79" w:rsidRPr="00910F79" w:rsidRDefault="00910F79" w:rsidP="00910F79">
            <w:pPr>
              <w:spacing w:after="0" w:line="240" w:lineRule="auto"/>
              <w:rPr>
                <w:rFonts w:cs="Arial"/>
                <w:color w:val="000000"/>
                <w:sz w:val="16"/>
                <w:szCs w:val="16"/>
                <w:lang w:eastAsia="en-AU"/>
              </w:rPr>
            </w:pPr>
            <w:r w:rsidRPr="00910F79">
              <w:rPr>
                <w:rFonts w:cs="Arial"/>
                <w:color w:val="000000"/>
                <w:sz w:val="16"/>
                <w:szCs w:val="16"/>
                <w:lang w:eastAsia="en-AU"/>
              </w:rPr>
              <w:t>Monash Health</w:t>
            </w:r>
          </w:p>
        </w:tc>
        <w:tc>
          <w:tcPr>
            <w:tcW w:w="2693" w:type="dxa"/>
            <w:noWrap/>
            <w:hideMark/>
          </w:tcPr>
          <w:p w14:paraId="20324E9E" w14:textId="77777777" w:rsidR="00910F79" w:rsidRPr="00910F79" w:rsidRDefault="00910F79" w:rsidP="00910F79">
            <w:pPr>
              <w:spacing w:after="0" w:line="240" w:lineRule="auto"/>
              <w:jc w:val="right"/>
              <w:rPr>
                <w:rFonts w:cs="Arial"/>
                <w:color w:val="000000"/>
                <w:sz w:val="16"/>
                <w:szCs w:val="16"/>
                <w:lang w:eastAsia="en-AU"/>
              </w:rPr>
            </w:pPr>
            <w:r w:rsidRPr="00910F79">
              <w:rPr>
                <w:rFonts w:cs="Arial"/>
                <w:color w:val="000000"/>
                <w:sz w:val="16"/>
                <w:szCs w:val="16"/>
                <w:lang w:eastAsia="en-AU"/>
              </w:rPr>
              <w:t>567.49</w:t>
            </w:r>
          </w:p>
        </w:tc>
      </w:tr>
      <w:tr w:rsidR="00910F79" w:rsidRPr="00910F79" w14:paraId="20B72193" w14:textId="77777777" w:rsidTr="005826E3">
        <w:trPr>
          <w:trHeight w:val="288"/>
        </w:trPr>
        <w:tc>
          <w:tcPr>
            <w:tcW w:w="3539" w:type="dxa"/>
            <w:noWrap/>
            <w:hideMark/>
          </w:tcPr>
          <w:p w14:paraId="7AEB5ED8" w14:textId="4A3F574E" w:rsidR="00910F79" w:rsidRPr="00910F79" w:rsidRDefault="00910F79" w:rsidP="00910F79">
            <w:pPr>
              <w:spacing w:after="0" w:line="240" w:lineRule="auto"/>
              <w:rPr>
                <w:rFonts w:cs="Arial"/>
                <w:color w:val="000000"/>
                <w:sz w:val="16"/>
                <w:szCs w:val="16"/>
                <w:lang w:eastAsia="en-AU"/>
              </w:rPr>
            </w:pPr>
            <w:r w:rsidRPr="00910F79">
              <w:rPr>
                <w:rFonts w:cs="Arial"/>
                <w:color w:val="000000"/>
                <w:sz w:val="16"/>
                <w:szCs w:val="16"/>
                <w:lang w:eastAsia="en-AU"/>
              </w:rPr>
              <w:t>St Vincent</w:t>
            </w:r>
            <w:r>
              <w:rPr>
                <w:rFonts w:cs="Arial"/>
                <w:color w:val="000000"/>
                <w:sz w:val="16"/>
                <w:szCs w:val="16"/>
                <w:lang w:eastAsia="en-AU"/>
              </w:rPr>
              <w:t>’</w:t>
            </w:r>
            <w:r w:rsidRPr="00910F79">
              <w:rPr>
                <w:rFonts w:cs="Arial"/>
                <w:color w:val="000000"/>
                <w:sz w:val="16"/>
                <w:szCs w:val="16"/>
                <w:lang w:eastAsia="en-AU"/>
              </w:rPr>
              <w:t>s Hospital Melbourne Limited</w:t>
            </w:r>
          </w:p>
        </w:tc>
        <w:tc>
          <w:tcPr>
            <w:tcW w:w="2693" w:type="dxa"/>
            <w:noWrap/>
            <w:hideMark/>
          </w:tcPr>
          <w:p w14:paraId="32A28AE4" w14:textId="77777777" w:rsidR="00910F79" w:rsidRPr="00910F79" w:rsidRDefault="00910F79" w:rsidP="00910F79">
            <w:pPr>
              <w:spacing w:after="0" w:line="240" w:lineRule="auto"/>
              <w:jc w:val="right"/>
              <w:rPr>
                <w:rFonts w:cs="Arial"/>
                <w:color w:val="000000"/>
                <w:sz w:val="16"/>
                <w:szCs w:val="16"/>
                <w:lang w:eastAsia="en-AU"/>
              </w:rPr>
            </w:pPr>
            <w:r w:rsidRPr="00910F79">
              <w:rPr>
                <w:rFonts w:cs="Arial"/>
                <w:color w:val="000000"/>
                <w:sz w:val="16"/>
                <w:szCs w:val="16"/>
                <w:lang w:eastAsia="en-AU"/>
              </w:rPr>
              <w:t>149.75</w:t>
            </w:r>
          </w:p>
        </w:tc>
      </w:tr>
      <w:tr w:rsidR="00910F79" w:rsidRPr="00910F79" w14:paraId="12A24728" w14:textId="77777777" w:rsidTr="005826E3">
        <w:trPr>
          <w:trHeight w:val="288"/>
        </w:trPr>
        <w:tc>
          <w:tcPr>
            <w:tcW w:w="3539" w:type="dxa"/>
            <w:noWrap/>
            <w:hideMark/>
          </w:tcPr>
          <w:p w14:paraId="2C8FC897" w14:textId="0C2FD5CB" w:rsidR="00910F79" w:rsidRPr="00910F79" w:rsidRDefault="00910F79" w:rsidP="00910F79">
            <w:pPr>
              <w:spacing w:after="0" w:line="240" w:lineRule="auto"/>
              <w:rPr>
                <w:rFonts w:cs="Arial"/>
                <w:color w:val="000000"/>
                <w:sz w:val="16"/>
                <w:szCs w:val="16"/>
                <w:lang w:eastAsia="en-AU"/>
              </w:rPr>
            </w:pPr>
            <w:r w:rsidRPr="00910F79">
              <w:rPr>
                <w:rFonts w:cs="Arial"/>
                <w:color w:val="000000"/>
                <w:sz w:val="16"/>
                <w:szCs w:val="16"/>
                <w:lang w:eastAsia="en-AU"/>
              </w:rPr>
              <w:t>The Royal Children</w:t>
            </w:r>
            <w:r>
              <w:rPr>
                <w:rFonts w:cs="Arial"/>
                <w:color w:val="000000"/>
                <w:sz w:val="16"/>
                <w:szCs w:val="16"/>
                <w:lang w:eastAsia="en-AU"/>
              </w:rPr>
              <w:t>’</w:t>
            </w:r>
            <w:r w:rsidRPr="00910F79">
              <w:rPr>
                <w:rFonts w:cs="Arial"/>
                <w:color w:val="000000"/>
                <w:sz w:val="16"/>
                <w:szCs w:val="16"/>
                <w:lang w:eastAsia="en-AU"/>
              </w:rPr>
              <w:t>s Hospital</w:t>
            </w:r>
          </w:p>
        </w:tc>
        <w:tc>
          <w:tcPr>
            <w:tcW w:w="2693" w:type="dxa"/>
            <w:noWrap/>
            <w:hideMark/>
          </w:tcPr>
          <w:p w14:paraId="230F0793" w14:textId="77777777" w:rsidR="00910F79" w:rsidRPr="00910F79" w:rsidRDefault="00910F79" w:rsidP="00910F79">
            <w:pPr>
              <w:spacing w:after="0" w:line="240" w:lineRule="auto"/>
              <w:jc w:val="right"/>
              <w:rPr>
                <w:rFonts w:cs="Arial"/>
                <w:color w:val="000000"/>
                <w:sz w:val="16"/>
                <w:szCs w:val="16"/>
                <w:lang w:eastAsia="en-AU"/>
              </w:rPr>
            </w:pPr>
            <w:r w:rsidRPr="00910F79">
              <w:rPr>
                <w:rFonts w:cs="Arial"/>
                <w:color w:val="000000"/>
                <w:sz w:val="16"/>
                <w:szCs w:val="16"/>
                <w:lang w:eastAsia="en-AU"/>
              </w:rPr>
              <w:t>312.65</w:t>
            </w:r>
          </w:p>
        </w:tc>
      </w:tr>
      <w:tr w:rsidR="00910F79" w:rsidRPr="00910F79" w14:paraId="5674B497" w14:textId="77777777" w:rsidTr="005826E3">
        <w:trPr>
          <w:trHeight w:val="288"/>
        </w:trPr>
        <w:tc>
          <w:tcPr>
            <w:tcW w:w="3539" w:type="dxa"/>
            <w:shd w:val="clear" w:color="auto" w:fill="201547"/>
            <w:noWrap/>
            <w:hideMark/>
          </w:tcPr>
          <w:p w14:paraId="76907835" w14:textId="77777777" w:rsidR="00910F79" w:rsidRPr="00910F79" w:rsidRDefault="00910F79" w:rsidP="00910F79">
            <w:pPr>
              <w:spacing w:after="0" w:line="240" w:lineRule="auto"/>
              <w:rPr>
                <w:rFonts w:cs="Arial"/>
                <w:b/>
                <w:bCs/>
                <w:color w:val="FFFFFF"/>
                <w:sz w:val="16"/>
                <w:szCs w:val="16"/>
                <w:lang w:eastAsia="en-AU"/>
              </w:rPr>
            </w:pPr>
            <w:r w:rsidRPr="00910F79">
              <w:rPr>
                <w:rFonts w:cs="Arial"/>
                <w:b/>
                <w:bCs/>
                <w:color w:val="FFFFFF"/>
                <w:sz w:val="16"/>
                <w:szCs w:val="16"/>
                <w:lang w:eastAsia="en-AU"/>
              </w:rPr>
              <w:t xml:space="preserve"> Total</w:t>
            </w:r>
          </w:p>
        </w:tc>
        <w:tc>
          <w:tcPr>
            <w:tcW w:w="2693" w:type="dxa"/>
            <w:shd w:val="clear" w:color="auto" w:fill="201547"/>
            <w:noWrap/>
            <w:hideMark/>
          </w:tcPr>
          <w:p w14:paraId="1F608FAD" w14:textId="77777777" w:rsidR="00910F79" w:rsidRPr="00910F79" w:rsidRDefault="00910F79" w:rsidP="00910F79">
            <w:pPr>
              <w:spacing w:after="0" w:line="240" w:lineRule="auto"/>
              <w:jc w:val="right"/>
              <w:rPr>
                <w:rFonts w:cs="Arial"/>
                <w:b/>
                <w:bCs/>
                <w:color w:val="FFFFFF"/>
                <w:sz w:val="16"/>
                <w:szCs w:val="16"/>
                <w:lang w:eastAsia="en-AU"/>
              </w:rPr>
            </w:pPr>
            <w:r w:rsidRPr="00910F79">
              <w:rPr>
                <w:rFonts w:cs="Arial"/>
                <w:b/>
                <w:bCs/>
                <w:color w:val="FFFFFF"/>
                <w:sz w:val="16"/>
                <w:szCs w:val="16"/>
                <w:lang w:eastAsia="en-AU"/>
              </w:rPr>
              <w:t>1,652.56</w:t>
            </w:r>
          </w:p>
        </w:tc>
      </w:tr>
    </w:tbl>
    <w:p w14:paraId="7497E28E" w14:textId="0FFCA42E" w:rsidR="000B27B9" w:rsidRPr="00E30582" w:rsidRDefault="000B27B9" w:rsidP="00E03611">
      <w:pPr>
        <w:pStyle w:val="Heading3"/>
        <w:spacing w:before="240" w:line="240" w:lineRule="auto"/>
      </w:pPr>
      <w:bookmarkStart w:id="1323" w:name="_Toc12780674"/>
      <w:bookmarkStart w:id="1324" w:name="_Toc14172315"/>
      <w:bookmarkStart w:id="1325" w:name="_Toc33703989"/>
      <w:bookmarkStart w:id="1326" w:name="_Toc55381177"/>
      <w:bookmarkStart w:id="1327" w:name="_Toc100263381"/>
      <w:bookmarkStart w:id="1328" w:name="_Toc127192029"/>
      <w:r w:rsidRPr="00E30582">
        <w:lastRenderedPageBreak/>
        <w:t xml:space="preserve">Home </w:t>
      </w:r>
      <w:r w:rsidR="00331D5D" w:rsidRPr="00E30582">
        <w:t>E</w:t>
      </w:r>
      <w:r w:rsidRPr="00E30582">
        <w:t xml:space="preserve">nteral </w:t>
      </w:r>
      <w:r w:rsidR="00331D5D" w:rsidRPr="00E30582">
        <w:t>N</w:t>
      </w:r>
      <w:r w:rsidRPr="00E30582">
        <w:t xml:space="preserve">utrition </w:t>
      </w:r>
      <w:r w:rsidR="00B67411">
        <w:t xml:space="preserve">Activity </w:t>
      </w:r>
      <w:r w:rsidR="00331D5D" w:rsidRPr="00E30582">
        <w:t>T</w:t>
      </w:r>
      <w:r w:rsidRPr="00E30582">
        <w:t xml:space="preserve">argets </w:t>
      </w:r>
      <w:bookmarkEnd w:id="1323"/>
      <w:bookmarkEnd w:id="1324"/>
      <w:bookmarkEnd w:id="1325"/>
      <w:bookmarkEnd w:id="1326"/>
      <w:r w:rsidR="00B67411">
        <w:t xml:space="preserve">(NWAU) </w:t>
      </w:r>
      <w:r w:rsidR="005D1FCB" w:rsidRPr="00E30582">
        <w:t>2022</w:t>
      </w:r>
      <w:r w:rsidR="00740CE9" w:rsidRPr="00E30582">
        <w:t>–</w:t>
      </w:r>
      <w:r w:rsidR="005D1FCB" w:rsidRPr="00E30582">
        <w:t>23</w:t>
      </w:r>
      <w:bookmarkEnd w:id="1327"/>
      <w:bookmarkEnd w:id="1328"/>
    </w:p>
    <w:p w14:paraId="1F538337" w14:textId="77777777" w:rsidR="00BD575E" w:rsidRPr="00E30582" w:rsidRDefault="00BD575E" w:rsidP="00E03611">
      <w:pPr>
        <w:pStyle w:val="Tablefigurenote9pt"/>
        <w:keepNext/>
        <w:keepLines/>
        <w:spacing w:line="240" w:lineRule="auto"/>
      </w:pPr>
      <w:bookmarkStart w:id="1329" w:name="_Toc12780578"/>
      <w:bookmarkStart w:id="1330" w:name="_Toc14194834"/>
      <w:bookmarkStart w:id="1331" w:name="_Ref14204365"/>
      <w:bookmarkStart w:id="1332" w:name="_Toc33704015"/>
      <w:r w:rsidRPr="00E30582">
        <w:t>Notes:</w:t>
      </w:r>
    </w:p>
    <w:p w14:paraId="011CDBB2" w14:textId="5128BEF9" w:rsidR="008A3D5B" w:rsidRPr="00E30582" w:rsidRDefault="008A3D5B" w:rsidP="003C01AD">
      <w:pPr>
        <w:pStyle w:val="Tablenoteroman"/>
        <w:keepNext/>
        <w:keepLines/>
        <w:numPr>
          <w:ilvl w:val="0"/>
          <w:numId w:val="27"/>
        </w:numPr>
        <w:spacing w:line="240" w:lineRule="auto"/>
        <w:rPr>
          <w:lang w:eastAsia="en-AU"/>
        </w:rPr>
      </w:pPr>
      <w:r w:rsidRPr="00E30582">
        <w:rPr>
          <w:lang w:eastAsia="en-AU"/>
        </w:rPr>
        <w:t xml:space="preserve">Targets include adjustments made in the statement of priorities, including changes relating </w:t>
      </w:r>
      <w:r w:rsidR="00601236">
        <w:rPr>
          <w:lang w:eastAsia="en-AU"/>
        </w:rPr>
        <w:t xml:space="preserve">to </w:t>
      </w:r>
      <w:r w:rsidRPr="00E30582">
        <w:rPr>
          <w:lang w:eastAsia="en-AU"/>
        </w:rPr>
        <w:t xml:space="preserve">National Funding Model implementation.  </w:t>
      </w:r>
    </w:p>
    <w:p w14:paraId="01DB647D" w14:textId="66FDFE55" w:rsidR="000B27B9" w:rsidRDefault="000B27B9" w:rsidP="00E03611">
      <w:pPr>
        <w:pStyle w:val="Tablecaption"/>
        <w:spacing w:line="240" w:lineRule="auto"/>
      </w:pPr>
      <w:bookmarkStart w:id="1333" w:name="_Toc109894143"/>
      <w:bookmarkStart w:id="1334" w:name="_Toc119500924"/>
      <w:r w:rsidRPr="00E30582">
        <w:t xml:space="preserve">Table </w:t>
      </w:r>
      <w:r>
        <w:fldChar w:fldCharType="begin"/>
      </w:r>
      <w:r>
        <w:instrText>STYLEREF 1 \s</w:instrText>
      </w:r>
      <w:r>
        <w:fldChar w:fldCharType="separate"/>
      </w:r>
      <w:r w:rsidR="006D0756" w:rsidRPr="00E30582">
        <w:rPr>
          <w:noProof/>
        </w:rPr>
        <w:t>2</w:t>
      </w:r>
      <w:r>
        <w:fldChar w:fldCharType="end"/>
      </w:r>
      <w:r w:rsidR="00EC6300" w:rsidRPr="00E30582">
        <w:t>.</w:t>
      </w:r>
      <w:r>
        <w:fldChar w:fldCharType="begin"/>
      </w:r>
      <w:r>
        <w:instrText>SEQ Table \* ARABIC \s 1</w:instrText>
      </w:r>
      <w:r>
        <w:fldChar w:fldCharType="separate"/>
      </w:r>
      <w:r w:rsidR="006D0756" w:rsidRPr="00E30582">
        <w:rPr>
          <w:noProof/>
        </w:rPr>
        <w:t>17</w:t>
      </w:r>
      <w:r>
        <w:fldChar w:fldCharType="end"/>
      </w:r>
      <w:r w:rsidRPr="00E30582">
        <w:t xml:space="preserve">: Home enteral nutrition </w:t>
      </w:r>
      <w:bookmarkEnd w:id="1329"/>
      <w:bookmarkEnd w:id="1330"/>
      <w:bookmarkEnd w:id="1331"/>
      <w:bookmarkEnd w:id="1332"/>
      <w:r w:rsidR="00B67411">
        <w:t>activity targets (NWAU)</w:t>
      </w:r>
      <w:r w:rsidR="00B67411" w:rsidRPr="00E30582">
        <w:t xml:space="preserve"> </w:t>
      </w:r>
      <w:r w:rsidR="005D1FCB" w:rsidRPr="00E30582">
        <w:t>2022</w:t>
      </w:r>
      <w:r w:rsidR="00740CE9" w:rsidRPr="00E30582">
        <w:t>–</w:t>
      </w:r>
      <w:r w:rsidR="005D1FCB" w:rsidRPr="00E30582">
        <w:t>23</w:t>
      </w:r>
      <w:bookmarkEnd w:id="1333"/>
      <w:bookmarkEnd w:id="1334"/>
    </w:p>
    <w:p w14:paraId="6317AFD7" w14:textId="5FA2D33E" w:rsidR="0011603E" w:rsidRDefault="0011603E" w:rsidP="00E03611">
      <w:pPr>
        <w:pStyle w:val="Body"/>
        <w:keepNext/>
        <w:keepLines/>
        <w:spacing w:line="240" w:lineRule="auto"/>
      </w:pPr>
      <w:r>
        <w:t>Metropolitan and Regional</w:t>
      </w:r>
    </w:p>
    <w:tbl>
      <w:tblPr>
        <w:tblStyle w:val="TableGrid1"/>
        <w:tblW w:w="6091" w:type="dxa"/>
        <w:tblLook w:val="04A0" w:firstRow="1" w:lastRow="0" w:firstColumn="1" w:lastColumn="0" w:noHBand="0" w:noVBand="1"/>
      </w:tblPr>
      <w:tblGrid>
        <w:gridCol w:w="3600"/>
        <w:gridCol w:w="2491"/>
      </w:tblGrid>
      <w:tr w:rsidR="00616583" w:rsidRPr="00616583" w14:paraId="4452BDCF" w14:textId="77777777" w:rsidTr="005826E3">
        <w:trPr>
          <w:cnfStyle w:val="100000000000" w:firstRow="1" w:lastRow="0" w:firstColumn="0" w:lastColumn="0" w:oddVBand="0" w:evenVBand="0" w:oddHBand="0" w:evenHBand="0" w:firstRowFirstColumn="0" w:firstRowLastColumn="0" w:lastRowFirstColumn="0" w:lastRowLastColumn="0"/>
          <w:trHeight w:val="335"/>
        </w:trPr>
        <w:tc>
          <w:tcPr>
            <w:tcW w:w="3600" w:type="dxa"/>
            <w:noWrap/>
            <w:hideMark/>
          </w:tcPr>
          <w:p w14:paraId="0123C54A" w14:textId="77777777" w:rsidR="00616583" w:rsidRPr="00616583" w:rsidRDefault="00616583" w:rsidP="00616583">
            <w:pPr>
              <w:spacing w:after="0" w:line="240" w:lineRule="auto"/>
              <w:rPr>
                <w:rFonts w:cs="Arial"/>
                <w:b/>
                <w:bCs/>
                <w:color w:val="FFFFFF"/>
                <w:sz w:val="16"/>
                <w:szCs w:val="16"/>
                <w:lang w:eastAsia="en-AU"/>
              </w:rPr>
            </w:pPr>
            <w:bookmarkStart w:id="1335" w:name="_Toc12780675"/>
            <w:bookmarkStart w:id="1336" w:name="_Toc14172316"/>
            <w:bookmarkStart w:id="1337" w:name="_Toc33703990"/>
            <w:bookmarkStart w:id="1338" w:name="_Toc55381178"/>
            <w:bookmarkStart w:id="1339" w:name="_Toc100263382"/>
            <w:r w:rsidRPr="00616583">
              <w:rPr>
                <w:rFonts w:cs="Arial"/>
                <w:b/>
                <w:bCs/>
                <w:color w:val="FFFFFF"/>
                <w:sz w:val="16"/>
                <w:szCs w:val="16"/>
                <w:lang w:eastAsia="en-AU"/>
              </w:rPr>
              <w:t>Health Service</w:t>
            </w:r>
          </w:p>
        </w:tc>
        <w:tc>
          <w:tcPr>
            <w:tcW w:w="2491" w:type="dxa"/>
            <w:noWrap/>
            <w:hideMark/>
          </w:tcPr>
          <w:p w14:paraId="5454627A" w14:textId="77777777" w:rsidR="00616583" w:rsidRPr="00616583" w:rsidRDefault="00616583" w:rsidP="00616583">
            <w:pPr>
              <w:spacing w:after="0" w:line="240" w:lineRule="auto"/>
              <w:jc w:val="right"/>
              <w:rPr>
                <w:rFonts w:cs="Arial"/>
                <w:b/>
                <w:bCs/>
                <w:color w:val="FFFFFF"/>
                <w:sz w:val="16"/>
                <w:szCs w:val="16"/>
                <w:lang w:eastAsia="en-AU"/>
              </w:rPr>
            </w:pPr>
            <w:r w:rsidRPr="00616583">
              <w:rPr>
                <w:rFonts w:cs="Arial"/>
                <w:b/>
                <w:bCs/>
                <w:color w:val="FFFFFF"/>
                <w:sz w:val="16"/>
                <w:szCs w:val="16"/>
                <w:lang w:eastAsia="en-AU"/>
              </w:rPr>
              <w:t>Service event target</w:t>
            </w:r>
          </w:p>
        </w:tc>
      </w:tr>
      <w:tr w:rsidR="00616583" w:rsidRPr="00616583" w14:paraId="013A1E23" w14:textId="77777777" w:rsidTr="005826E3">
        <w:trPr>
          <w:trHeight w:val="288"/>
        </w:trPr>
        <w:tc>
          <w:tcPr>
            <w:tcW w:w="3600" w:type="dxa"/>
            <w:noWrap/>
            <w:hideMark/>
          </w:tcPr>
          <w:p w14:paraId="35488B30"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Albury Wodonga Health</w:t>
            </w:r>
          </w:p>
        </w:tc>
        <w:tc>
          <w:tcPr>
            <w:tcW w:w="2491" w:type="dxa"/>
            <w:noWrap/>
            <w:hideMark/>
          </w:tcPr>
          <w:p w14:paraId="3B1073E0"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26.6</w:t>
            </w:r>
          </w:p>
        </w:tc>
      </w:tr>
      <w:tr w:rsidR="00616583" w:rsidRPr="00616583" w14:paraId="56FC43D5" w14:textId="77777777" w:rsidTr="005826E3">
        <w:trPr>
          <w:trHeight w:val="288"/>
        </w:trPr>
        <w:tc>
          <w:tcPr>
            <w:tcW w:w="3600" w:type="dxa"/>
            <w:noWrap/>
            <w:hideMark/>
          </w:tcPr>
          <w:p w14:paraId="2DA2DC50"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Alfred Health</w:t>
            </w:r>
          </w:p>
        </w:tc>
        <w:tc>
          <w:tcPr>
            <w:tcW w:w="2491" w:type="dxa"/>
            <w:noWrap/>
            <w:hideMark/>
          </w:tcPr>
          <w:p w14:paraId="5BEABA5C"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267.4</w:t>
            </w:r>
          </w:p>
        </w:tc>
      </w:tr>
      <w:tr w:rsidR="00616583" w:rsidRPr="00616583" w14:paraId="27475867" w14:textId="77777777" w:rsidTr="005826E3">
        <w:trPr>
          <w:trHeight w:val="288"/>
        </w:trPr>
        <w:tc>
          <w:tcPr>
            <w:tcW w:w="3600" w:type="dxa"/>
            <w:noWrap/>
            <w:hideMark/>
          </w:tcPr>
          <w:p w14:paraId="26C333D2"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Austin Health</w:t>
            </w:r>
          </w:p>
        </w:tc>
        <w:tc>
          <w:tcPr>
            <w:tcW w:w="2491" w:type="dxa"/>
            <w:noWrap/>
            <w:hideMark/>
          </w:tcPr>
          <w:p w14:paraId="29A7D948"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70.8</w:t>
            </w:r>
          </w:p>
        </w:tc>
      </w:tr>
      <w:tr w:rsidR="00616583" w:rsidRPr="00616583" w14:paraId="049A8888" w14:textId="77777777" w:rsidTr="005826E3">
        <w:trPr>
          <w:trHeight w:val="288"/>
        </w:trPr>
        <w:tc>
          <w:tcPr>
            <w:tcW w:w="3600" w:type="dxa"/>
            <w:noWrap/>
            <w:hideMark/>
          </w:tcPr>
          <w:p w14:paraId="77173890"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Barwon Health</w:t>
            </w:r>
          </w:p>
        </w:tc>
        <w:tc>
          <w:tcPr>
            <w:tcW w:w="2491" w:type="dxa"/>
            <w:noWrap/>
            <w:hideMark/>
          </w:tcPr>
          <w:p w14:paraId="50E1E1A6"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69.4</w:t>
            </w:r>
          </w:p>
        </w:tc>
      </w:tr>
      <w:tr w:rsidR="00616583" w:rsidRPr="00616583" w14:paraId="06EE265E" w14:textId="77777777" w:rsidTr="005826E3">
        <w:trPr>
          <w:trHeight w:val="288"/>
        </w:trPr>
        <w:tc>
          <w:tcPr>
            <w:tcW w:w="3600" w:type="dxa"/>
            <w:noWrap/>
            <w:hideMark/>
          </w:tcPr>
          <w:p w14:paraId="37747A1C"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Bendigo Health</w:t>
            </w:r>
          </w:p>
        </w:tc>
        <w:tc>
          <w:tcPr>
            <w:tcW w:w="2491" w:type="dxa"/>
            <w:noWrap/>
            <w:hideMark/>
          </w:tcPr>
          <w:p w14:paraId="0A7D6090"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40.9</w:t>
            </w:r>
          </w:p>
        </w:tc>
      </w:tr>
      <w:tr w:rsidR="00616583" w:rsidRPr="00616583" w14:paraId="0CBDDED9" w14:textId="77777777" w:rsidTr="005826E3">
        <w:trPr>
          <w:trHeight w:val="288"/>
        </w:trPr>
        <w:tc>
          <w:tcPr>
            <w:tcW w:w="3600" w:type="dxa"/>
            <w:noWrap/>
            <w:hideMark/>
          </w:tcPr>
          <w:p w14:paraId="7942A482"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Calvary Health Care Bethlehem Limited</w:t>
            </w:r>
          </w:p>
        </w:tc>
        <w:tc>
          <w:tcPr>
            <w:tcW w:w="2491" w:type="dxa"/>
            <w:noWrap/>
            <w:hideMark/>
          </w:tcPr>
          <w:p w14:paraId="0CAE108E"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16.5</w:t>
            </w:r>
          </w:p>
        </w:tc>
      </w:tr>
      <w:tr w:rsidR="00616583" w:rsidRPr="00616583" w14:paraId="61696884" w14:textId="77777777" w:rsidTr="005826E3">
        <w:trPr>
          <w:trHeight w:val="288"/>
        </w:trPr>
        <w:tc>
          <w:tcPr>
            <w:tcW w:w="3600" w:type="dxa"/>
            <w:noWrap/>
            <w:hideMark/>
          </w:tcPr>
          <w:p w14:paraId="6B1AD457"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Eastern Health</w:t>
            </w:r>
          </w:p>
        </w:tc>
        <w:tc>
          <w:tcPr>
            <w:tcW w:w="2491" w:type="dxa"/>
            <w:noWrap/>
            <w:hideMark/>
          </w:tcPr>
          <w:p w14:paraId="7F50FF91"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39.2</w:t>
            </w:r>
          </w:p>
        </w:tc>
      </w:tr>
      <w:tr w:rsidR="00616583" w:rsidRPr="00616583" w14:paraId="3DA1BFAE" w14:textId="77777777" w:rsidTr="005826E3">
        <w:trPr>
          <w:trHeight w:val="288"/>
        </w:trPr>
        <w:tc>
          <w:tcPr>
            <w:tcW w:w="3600" w:type="dxa"/>
            <w:noWrap/>
            <w:hideMark/>
          </w:tcPr>
          <w:p w14:paraId="23DB801F"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Goulburn Valley Health</w:t>
            </w:r>
          </w:p>
        </w:tc>
        <w:tc>
          <w:tcPr>
            <w:tcW w:w="2491" w:type="dxa"/>
            <w:noWrap/>
            <w:hideMark/>
          </w:tcPr>
          <w:p w14:paraId="36CEFBE1"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17.4</w:t>
            </w:r>
          </w:p>
        </w:tc>
      </w:tr>
      <w:tr w:rsidR="00616583" w:rsidRPr="00616583" w14:paraId="6B31DC0E" w14:textId="77777777" w:rsidTr="005826E3">
        <w:trPr>
          <w:trHeight w:val="288"/>
        </w:trPr>
        <w:tc>
          <w:tcPr>
            <w:tcW w:w="3600" w:type="dxa"/>
            <w:noWrap/>
            <w:hideMark/>
          </w:tcPr>
          <w:p w14:paraId="014340FE" w14:textId="076836B3" w:rsidR="00616583" w:rsidRPr="00616583" w:rsidRDefault="00616583" w:rsidP="00616583">
            <w:pPr>
              <w:spacing w:after="0" w:line="240" w:lineRule="auto"/>
              <w:rPr>
                <w:rFonts w:cs="Arial"/>
                <w:color w:val="000000"/>
                <w:sz w:val="16"/>
                <w:szCs w:val="16"/>
                <w:lang w:eastAsia="en-AU"/>
              </w:rPr>
            </w:pPr>
            <w:bookmarkStart w:id="1340" w:name="RANGE!F24"/>
            <w:r w:rsidRPr="00616583">
              <w:rPr>
                <w:rFonts w:cs="Arial"/>
                <w:color w:val="000000"/>
                <w:sz w:val="16"/>
                <w:szCs w:val="16"/>
                <w:lang w:eastAsia="en-AU"/>
              </w:rPr>
              <w:t>Grampians Health</w:t>
            </w:r>
            <w:bookmarkEnd w:id="1340"/>
          </w:p>
        </w:tc>
        <w:tc>
          <w:tcPr>
            <w:tcW w:w="2491" w:type="dxa"/>
            <w:noWrap/>
            <w:hideMark/>
          </w:tcPr>
          <w:p w14:paraId="0C210E64"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55.6</w:t>
            </w:r>
          </w:p>
        </w:tc>
      </w:tr>
      <w:tr w:rsidR="00616583" w:rsidRPr="00616583" w14:paraId="743EE2F1" w14:textId="77777777" w:rsidTr="005826E3">
        <w:trPr>
          <w:trHeight w:val="288"/>
        </w:trPr>
        <w:tc>
          <w:tcPr>
            <w:tcW w:w="3600" w:type="dxa"/>
            <w:noWrap/>
            <w:hideMark/>
          </w:tcPr>
          <w:p w14:paraId="72D40699"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Latrobe Regional Hospital</w:t>
            </w:r>
          </w:p>
        </w:tc>
        <w:tc>
          <w:tcPr>
            <w:tcW w:w="2491" w:type="dxa"/>
            <w:noWrap/>
            <w:hideMark/>
          </w:tcPr>
          <w:p w14:paraId="4B0E0767"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13.4</w:t>
            </w:r>
          </w:p>
        </w:tc>
      </w:tr>
      <w:tr w:rsidR="00616583" w:rsidRPr="00616583" w14:paraId="4214185F" w14:textId="77777777" w:rsidTr="005826E3">
        <w:trPr>
          <w:trHeight w:val="288"/>
        </w:trPr>
        <w:tc>
          <w:tcPr>
            <w:tcW w:w="3600" w:type="dxa"/>
            <w:noWrap/>
            <w:hideMark/>
          </w:tcPr>
          <w:p w14:paraId="2B95204D"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Melbourne Health</w:t>
            </w:r>
          </w:p>
        </w:tc>
        <w:tc>
          <w:tcPr>
            <w:tcW w:w="2491" w:type="dxa"/>
            <w:noWrap/>
            <w:hideMark/>
          </w:tcPr>
          <w:p w14:paraId="1305016B"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72.5</w:t>
            </w:r>
          </w:p>
        </w:tc>
      </w:tr>
      <w:tr w:rsidR="00616583" w:rsidRPr="00616583" w14:paraId="39DA2FB4" w14:textId="77777777" w:rsidTr="005826E3">
        <w:trPr>
          <w:trHeight w:val="288"/>
        </w:trPr>
        <w:tc>
          <w:tcPr>
            <w:tcW w:w="3600" w:type="dxa"/>
            <w:noWrap/>
            <w:hideMark/>
          </w:tcPr>
          <w:p w14:paraId="17F7DEB0"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Monash Health</w:t>
            </w:r>
          </w:p>
        </w:tc>
        <w:tc>
          <w:tcPr>
            <w:tcW w:w="2491" w:type="dxa"/>
            <w:noWrap/>
            <w:hideMark/>
          </w:tcPr>
          <w:p w14:paraId="1B26C82D"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316.1</w:t>
            </w:r>
          </w:p>
        </w:tc>
      </w:tr>
      <w:tr w:rsidR="00616583" w:rsidRPr="00616583" w14:paraId="4B910FEE" w14:textId="77777777" w:rsidTr="005826E3">
        <w:trPr>
          <w:trHeight w:val="288"/>
        </w:trPr>
        <w:tc>
          <w:tcPr>
            <w:tcW w:w="3600" w:type="dxa"/>
            <w:noWrap/>
            <w:hideMark/>
          </w:tcPr>
          <w:p w14:paraId="0264DF91"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Northern Health</w:t>
            </w:r>
          </w:p>
        </w:tc>
        <w:tc>
          <w:tcPr>
            <w:tcW w:w="2491" w:type="dxa"/>
            <w:noWrap/>
            <w:hideMark/>
          </w:tcPr>
          <w:p w14:paraId="72E1629D"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40.4</w:t>
            </w:r>
          </w:p>
        </w:tc>
      </w:tr>
      <w:tr w:rsidR="00616583" w:rsidRPr="00616583" w14:paraId="261C9147" w14:textId="77777777" w:rsidTr="005826E3">
        <w:trPr>
          <w:trHeight w:val="288"/>
        </w:trPr>
        <w:tc>
          <w:tcPr>
            <w:tcW w:w="3600" w:type="dxa"/>
            <w:noWrap/>
            <w:hideMark/>
          </w:tcPr>
          <w:p w14:paraId="171D07C9"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Peninsula Health</w:t>
            </w:r>
          </w:p>
        </w:tc>
        <w:tc>
          <w:tcPr>
            <w:tcW w:w="2491" w:type="dxa"/>
            <w:noWrap/>
            <w:hideMark/>
          </w:tcPr>
          <w:p w14:paraId="4FC07A31"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27.6</w:t>
            </w:r>
          </w:p>
        </w:tc>
      </w:tr>
      <w:tr w:rsidR="00616583" w:rsidRPr="00616583" w14:paraId="6400F2B4" w14:textId="77777777" w:rsidTr="005826E3">
        <w:trPr>
          <w:trHeight w:val="288"/>
        </w:trPr>
        <w:tc>
          <w:tcPr>
            <w:tcW w:w="3600" w:type="dxa"/>
            <w:noWrap/>
            <w:hideMark/>
          </w:tcPr>
          <w:p w14:paraId="30FE24B7" w14:textId="6FDF808C"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Peter Mac</w:t>
            </w:r>
            <w:r w:rsidR="00E80047">
              <w:rPr>
                <w:rFonts w:cs="Arial"/>
                <w:color w:val="000000"/>
                <w:sz w:val="16"/>
                <w:szCs w:val="16"/>
                <w:lang w:eastAsia="en-AU"/>
              </w:rPr>
              <w:t>C</w:t>
            </w:r>
            <w:r w:rsidRPr="00616583">
              <w:rPr>
                <w:rFonts w:cs="Arial"/>
                <w:color w:val="000000"/>
                <w:sz w:val="16"/>
                <w:szCs w:val="16"/>
                <w:lang w:eastAsia="en-AU"/>
              </w:rPr>
              <w:t>allum Cancer Institute</w:t>
            </w:r>
          </w:p>
        </w:tc>
        <w:tc>
          <w:tcPr>
            <w:tcW w:w="2491" w:type="dxa"/>
            <w:noWrap/>
            <w:hideMark/>
          </w:tcPr>
          <w:p w14:paraId="20D344BE"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149.5</w:t>
            </w:r>
          </w:p>
        </w:tc>
      </w:tr>
      <w:tr w:rsidR="00616583" w:rsidRPr="00616583" w14:paraId="2485BF60" w14:textId="77777777" w:rsidTr="005826E3">
        <w:trPr>
          <w:trHeight w:val="288"/>
        </w:trPr>
        <w:tc>
          <w:tcPr>
            <w:tcW w:w="3600" w:type="dxa"/>
            <w:noWrap/>
            <w:hideMark/>
          </w:tcPr>
          <w:p w14:paraId="136BE0C0" w14:textId="4C649848"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St Vincent</w:t>
            </w:r>
            <w:r w:rsidR="00E80047">
              <w:rPr>
                <w:rFonts w:cs="Arial"/>
                <w:color w:val="000000"/>
                <w:sz w:val="16"/>
                <w:szCs w:val="16"/>
                <w:lang w:eastAsia="en-AU"/>
              </w:rPr>
              <w:t>’</w:t>
            </w:r>
            <w:r w:rsidRPr="00616583">
              <w:rPr>
                <w:rFonts w:cs="Arial"/>
                <w:color w:val="000000"/>
                <w:sz w:val="16"/>
                <w:szCs w:val="16"/>
                <w:lang w:eastAsia="en-AU"/>
              </w:rPr>
              <w:t>s Hospital Melbourne Limited</w:t>
            </w:r>
          </w:p>
        </w:tc>
        <w:tc>
          <w:tcPr>
            <w:tcW w:w="2491" w:type="dxa"/>
            <w:noWrap/>
            <w:hideMark/>
          </w:tcPr>
          <w:p w14:paraId="2C99D4CE"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126.6</w:t>
            </w:r>
          </w:p>
        </w:tc>
      </w:tr>
      <w:tr w:rsidR="00616583" w:rsidRPr="00616583" w14:paraId="1D835A48" w14:textId="77777777" w:rsidTr="005826E3">
        <w:trPr>
          <w:trHeight w:val="288"/>
        </w:trPr>
        <w:tc>
          <w:tcPr>
            <w:tcW w:w="3600" w:type="dxa"/>
            <w:noWrap/>
            <w:hideMark/>
          </w:tcPr>
          <w:p w14:paraId="3A0B85DD" w14:textId="2A469A26"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The Royal Children</w:t>
            </w:r>
            <w:r w:rsidR="00E80047">
              <w:rPr>
                <w:rFonts w:cs="Arial"/>
                <w:color w:val="000000"/>
                <w:sz w:val="16"/>
                <w:szCs w:val="16"/>
                <w:lang w:eastAsia="en-AU"/>
              </w:rPr>
              <w:t>’</w:t>
            </w:r>
            <w:r w:rsidRPr="00616583">
              <w:rPr>
                <w:rFonts w:cs="Arial"/>
                <w:color w:val="000000"/>
                <w:sz w:val="16"/>
                <w:szCs w:val="16"/>
                <w:lang w:eastAsia="en-AU"/>
              </w:rPr>
              <w:t>s Hospital</w:t>
            </w:r>
          </w:p>
        </w:tc>
        <w:tc>
          <w:tcPr>
            <w:tcW w:w="2491" w:type="dxa"/>
            <w:noWrap/>
            <w:hideMark/>
          </w:tcPr>
          <w:p w14:paraId="671B4DC5"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489.1</w:t>
            </w:r>
          </w:p>
        </w:tc>
      </w:tr>
      <w:tr w:rsidR="00616583" w:rsidRPr="00616583" w14:paraId="16FB0AB4" w14:textId="77777777" w:rsidTr="005826E3">
        <w:trPr>
          <w:trHeight w:val="288"/>
        </w:trPr>
        <w:tc>
          <w:tcPr>
            <w:tcW w:w="3600" w:type="dxa"/>
            <w:noWrap/>
            <w:hideMark/>
          </w:tcPr>
          <w:p w14:paraId="532B3C38" w14:textId="77777777" w:rsidR="00616583" w:rsidRPr="00616583" w:rsidRDefault="00616583" w:rsidP="00616583">
            <w:pPr>
              <w:spacing w:after="0" w:line="240" w:lineRule="auto"/>
              <w:rPr>
                <w:rFonts w:cs="Arial"/>
                <w:color w:val="000000"/>
                <w:sz w:val="16"/>
                <w:szCs w:val="16"/>
                <w:lang w:eastAsia="en-AU"/>
              </w:rPr>
            </w:pPr>
            <w:r w:rsidRPr="00616583">
              <w:rPr>
                <w:rFonts w:cs="Arial"/>
                <w:color w:val="000000"/>
                <w:sz w:val="16"/>
                <w:szCs w:val="16"/>
                <w:lang w:eastAsia="en-AU"/>
              </w:rPr>
              <w:t>Western Health</w:t>
            </w:r>
          </w:p>
        </w:tc>
        <w:tc>
          <w:tcPr>
            <w:tcW w:w="2491" w:type="dxa"/>
            <w:noWrap/>
            <w:hideMark/>
          </w:tcPr>
          <w:p w14:paraId="3CB215CC" w14:textId="77777777" w:rsidR="00616583" w:rsidRPr="00616583" w:rsidRDefault="00616583" w:rsidP="00616583">
            <w:pPr>
              <w:spacing w:after="0" w:line="240" w:lineRule="auto"/>
              <w:jc w:val="right"/>
              <w:rPr>
                <w:rFonts w:cs="Arial"/>
                <w:color w:val="000000"/>
                <w:sz w:val="16"/>
                <w:szCs w:val="16"/>
                <w:lang w:eastAsia="en-AU"/>
              </w:rPr>
            </w:pPr>
            <w:r w:rsidRPr="00616583">
              <w:rPr>
                <w:rFonts w:cs="Arial"/>
                <w:color w:val="000000"/>
                <w:sz w:val="16"/>
                <w:szCs w:val="16"/>
                <w:lang w:eastAsia="en-AU"/>
              </w:rPr>
              <w:t>32.2</w:t>
            </w:r>
          </w:p>
        </w:tc>
      </w:tr>
      <w:tr w:rsidR="0002664B" w:rsidRPr="0002664B" w14:paraId="1F104800" w14:textId="77777777" w:rsidTr="005826E3">
        <w:trPr>
          <w:trHeight w:val="288"/>
        </w:trPr>
        <w:tc>
          <w:tcPr>
            <w:tcW w:w="3600" w:type="dxa"/>
            <w:shd w:val="clear" w:color="auto" w:fill="201547"/>
            <w:noWrap/>
            <w:hideMark/>
          </w:tcPr>
          <w:p w14:paraId="4F9A4D55" w14:textId="77777777" w:rsidR="0002664B" w:rsidRPr="0002664B" w:rsidRDefault="0002664B" w:rsidP="0002664B">
            <w:pPr>
              <w:spacing w:after="0" w:line="240" w:lineRule="auto"/>
              <w:rPr>
                <w:rFonts w:cs="Arial"/>
                <w:b/>
                <w:bCs/>
                <w:color w:val="FFFFFF"/>
                <w:sz w:val="16"/>
                <w:szCs w:val="16"/>
                <w:lang w:eastAsia="en-AU"/>
              </w:rPr>
            </w:pPr>
            <w:r w:rsidRPr="0002664B">
              <w:rPr>
                <w:rFonts w:cs="Arial"/>
                <w:b/>
                <w:bCs/>
                <w:color w:val="FFFFFF"/>
                <w:sz w:val="16"/>
                <w:szCs w:val="16"/>
                <w:lang w:eastAsia="en-AU"/>
              </w:rPr>
              <w:t>Total</w:t>
            </w:r>
          </w:p>
        </w:tc>
        <w:tc>
          <w:tcPr>
            <w:tcW w:w="2491" w:type="dxa"/>
            <w:shd w:val="clear" w:color="auto" w:fill="201547"/>
            <w:noWrap/>
            <w:hideMark/>
          </w:tcPr>
          <w:p w14:paraId="6D9598B5" w14:textId="77777777" w:rsidR="0002664B" w:rsidRPr="0002664B" w:rsidRDefault="0002664B" w:rsidP="0002664B">
            <w:pPr>
              <w:spacing w:after="0" w:line="240" w:lineRule="auto"/>
              <w:jc w:val="right"/>
              <w:rPr>
                <w:rFonts w:cs="Arial"/>
                <w:b/>
                <w:bCs/>
                <w:color w:val="FFFFFF"/>
                <w:sz w:val="16"/>
                <w:szCs w:val="16"/>
                <w:lang w:eastAsia="en-AU"/>
              </w:rPr>
            </w:pPr>
            <w:r w:rsidRPr="0002664B">
              <w:rPr>
                <w:rFonts w:cs="Arial"/>
                <w:b/>
                <w:bCs/>
                <w:color w:val="FFFFFF"/>
                <w:sz w:val="16"/>
                <w:szCs w:val="16"/>
                <w:lang w:eastAsia="en-AU"/>
              </w:rPr>
              <w:t>1871.07</w:t>
            </w:r>
          </w:p>
        </w:tc>
      </w:tr>
    </w:tbl>
    <w:p w14:paraId="789EBC26" w14:textId="121D7DAE" w:rsidR="00744D4C" w:rsidRDefault="00744D4C" w:rsidP="00E03611">
      <w:pPr>
        <w:pStyle w:val="Bodyaftertablefigure"/>
      </w:pPr>
      <w:r w:rsidRPr="00A83A84">
        <w:t>Subregional and local</w:t>
      </w:r>
    </w:p>
    <w:tbl>
      <w:tblPr>
        <w:tblStyle w:val="TableGrid1"/>
        <w:tblW w:w="6091" w:type="dxa"/>
        <w:tblLook w:val="04A0" w:firstRow="1" w:lastRow="0" w:firstColumn="1" w:lastColumn="0" w:noHBand="0" w:noVBand="1"/>
      </w:tblPr>
      <w:tblGrid>
        <w:gridCol w:w="3600"/>
        <w:gridCol w:w="2491"/>
      </w:tblGrid>
      <w:tr w:rsidR="0071731C" w:rsidRPr="0071731C" w14:paraId="382F1B5A" w14:textId="77777777" w:rsidTr="005826E3">
        <w:trPr>
          <w:cnfStyle w:val="100000000000" w:firstRow="1" w:lastRow="0" w:firstColumn="0" w:lastColumn="0" w:oddVBand="0" w:evenVBand="0" w:oddHBand="0" w:evenHBand="0" w:firstRowFirstColumn="0" w:firstRowLastColumn="0" w:lastRowFirstColumn="0" w:lastRowLastColumn="0"/>
          <w:trHeight w:val="288"/>
        </w:trPr>
        <w:tc>
          <w:tcPr>
            <w:tcW w:w="3600" w:type="dxa"/>
            <w:noWrap/>
            <w:hideMark/>
          </w:tcPr>
          <w:p w14:paraId="6E5F2CCD" w14:textId="77777777" w:rsidR="0071731C" w:rsidRPr="0071731C" w:rsidRDefault="0071731C" w:rsidP="0071731C">
            <w:pPr>
              <w:spacing w:after="0" w:line="240" w:lineRule="auto"/>
              <w:rPr>
                <w:rFonts w:cs="Arial"/>
                <w:b/>
                <w:bCs/>
                <w:color w:val="FFFFFF"/>
                <w:sz w:val="16"/>
                <w:szCs w:val="16"/>
                <w:lang w:eastAsia="en-AU"/>
              </w:rPr>
            </w:pPr>
            <w:r w:rsidRPr="0071731C">
              <w:rPr>
                <w:rFonts w:cs="Arial"/>
                <w:b/>
                <w:bCs/>
                <w:color w:val="FFFFFF"/>
                <w:sz w:val="16"/>
                <w:szCs w:val="16"/>
                <w:lang w:eastAsia="en-AU"/>
              </w:rPr>
              <w:t>Health Service</w:t>
            </w:r>
          </w:p>
        </w:tc>
        <w:tc>
          <w:tcPr>
            <w:tcW w:w="2491" w:type="dxa"/>
            <w:noWrap/>
            <w:hideMark/>
          </w:tcPr>
          <w:p w14:paraId="5446B8DF" w14:textId="77777777" w:rsidR="0071731C" w:rsidRPr="0071731C" w:rsidRDefault="0071731C" w:rsidP="0071731C">
            <w:pPr>
              <w:spacing w:after="0" w:line="240" w:lineRule="auto"/>
              <w:jc w:val="right"/>
              <w:rPr>
                <w:rFonts w:cs="Arial"/>
                <w:b/>
                <w:bCs/>
                <w:color w:val="FFFFFF"/>
                <w:sz w:val="16"/>
                <w:szCs w:val="16"/>
                <w:lang w:eastAsia="en-AU"/>
              </w:rPr>
            </w:pPr>
            <w:r w:rsidRPr="0071731C">
              <w:rPr>
                <w:rFonts w:cs="Arial"/>
                <w:b/>
                <w:bCs/>
                <w:color w:val="FFFFFF"/>
                <w:sz w:val="16"/>
                <w:szCs w:val="16"/>
                <w:lang w:eastAsia="en-AU"/>
              </w:rPr>
              <w:t>Service event target</w:t>
            </w:r>
          </w:p>
        </w:tc>
      </w:tr>
      <w:tr w:rsidR="0071731C" w:rsidRPr="0071731C" w14:paraId="7B5AD7CD" w14:textId="77777777" w:rsidTr="005826E3">
        <w:trPr>
          <w:trHeight w:val="288"/>
        </w:trPr>
        <w:tc>
          <w:tcPr>
            <w:tcW w:w="3600" w:type="dxa"/>
            <w:noWrap/>
            <w:hideMark/>
          </w:tcPr>
          <w:p w14:paraId="02392B75"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Bairnsdale Regional Health Service</w:t>
            </w:r>
          </w:p>
        </w:tc>
        <w:tc>
          <w:tcPr>
            <w:tcW w:w="2491" w:type="dxa"/>
            <w:noWrap/>
            <w:hideMark/>
          </w:tcPr>
          <w:p w14:paraId="6644E039"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3.8</w:t>
            </w:r>
          </w:p>
        </w:tc>
      </w:tr>
      <w:tr w:rsidR="0071731C" w:rsidRPr="0071731C" w14:paraId="45F7B29F" w14:textId="77777777" w:rsidTr="005826E3">
        <w:trPr>
          <w:trHeight w:val="288"/>
        </w:trPr>
        <w:tc>
          <w:tcPr>
            <w:tcW w:w="3600" w:type="dxa"/>
            <w:noWrap/>
            <w:hideMark/>
          </w:tcPr>
          <w:p w14:paraId="6715D64C"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Bass Coast Health</w:t>
            </w:r>
          </w:p>
        </w:tc>
        <w:tc>
          <w:tcPr>
            <w:tcW w:w="2491" w:type="dxa"/>
            <w:noWrap/>
            <w:hideMark/>
          </w:tcPr>
          <w:p w14:paraId="4BCB0124"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5.3</w:t>
            </w:r>
          </w:p>
        </w:tc>
      </w:tr>
      <w:tr w:rsidR="0071731C" w:rsidRPr="0071731C" w14:paraId="13D6CCA2" w14:textId="77777777" w:rsidTr="005826E3">
        <w:trPr>
          <w:trHeight w:val="288"/>
        </w:trPr>
        <w:tc>
          <w:tcPr>
            <w:tcW w:w="3600" w:type="dxa"/>
            <w:noWrap/>
            <w:hideMark/>
          </w:tcPr>
          <w:p w14:paraId="4A8C50DB"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Benalla Health</w:t>
            </w:r>
          </w:p>
        </w:tc>
        <w:tc>
          <w:tcPr>
            <w:tcW w:w="2491" w:type="dxa"/>
            <w:noWrap/>
            <w:hideMark/>
          </w:tcPr>
          <w:p w14:paraId="0406CC43"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1.5</w:t>
            </w:r>
          </w:p>
        </w:tc>
      </w:tr>
      <w:tr w:rsidR="0071731C" w:rsidRPr="0071731C" w14:paraId="2256A0FF" w14:textId="77777777" w:rsidTr="005826E3">
        <w:trPr>
          <w:trHeight w:val="288"/>
        </w:trPr>
        <w:tc>
          <w:tcPr>
            <w:tcW w:w="3600" w:type="dxa"/>
            <w:noWrap/>
            <w:hideMark/>
          </w:tcPr>
          <w:p w14:paraId="32750F5C"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Central Gippsland Health Service</w:t>
            </w:r>
          </w:p>
        </w:tc>
        <w:tc>
          <w:tcPr>
            <w:tcW w:w="2491" w:type="dxa"/>
            <w:noWrap/>
            <w:hideMark/>
          </w:tcPr>
          <w:p w14:paraId="4FDB1237"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10.4</w:t>
            </w:r>
          </w:p>
        </w:tc>
      </w:tr>
      <w:tr w:rsidR="0071731C" w:rsidRPr="0071731C" w14:paraId="4419029F" w14:textId="77777777" w:rsidTr="005826E3">
        <w:trPr>
          <w:trHeight w:val="288"/>
        </w:trPr>
        <w:tc>
          <w:tcPr>
            <w:tcW w:w="3600" w:type="dxa"/>
            <w:noWrap/>
            <w:hideMark/>
          </w:tcPr>
          <w:p w14:paraId="706B2861"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Colac Area Health</w:t>
            </w:r>
          </w:p>
        </w:tc>
        <w:tc>
          <w:tcPr>
            <w:tcW w:w="2491" w:type="dxa"/>
            <w:noWrap/>
            <w:hideMark/>
          </w:tcPr>
          <w:p w14:paraId="59F917F5"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1.9</w:t>
            </w:r>
          </w:p>
        </w:tc>
      </w:tr>
      <w:tr w:rsidR="0071731C" w:rsidRPr="0071731C" w14:paraId="1091D477" w14:textId="77777777" w:rsidTr="005826E3">
        <w:trPr>
          <w:trHeight w:val="288"/>
        </w:trPr>
        <w:tc>
          <w:tcPr>
            <w:tcW w:w="3600" w:type="dxa"/>
            <w:noWrap/>
            <w:hideMark/>
          </w:tcPr>
          <w:p w14:paraId="0E8667D4"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East Grampians Health Serv</w:t>
            </w:r>
          </w:p>
        </w:tc>
        <w:tc>
          <w:tcPr>
            <w:tcW w:w="2491" w:type="dxa"/>
            <w:noWrap/>
            <w:hideMark/>
          </w:tcPr>
          <w:p w14:paraId="5549F03A"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2.5</w:t>
            </w:r>
          </w:p>
        </w:tc>
      </w:tr>
      <w:tr w:rsidR="0071731C" w:rsidRPr="0071731C" w14:paraId="61BDBF4B" w14:textId="77777777" w:rsidTr="005826E3">
        <w:trPr>
          <w:trHeight w:val="288"/>
        </w:trPr>
        <w:tc>
          <w:tcPr>
            <w:tcW w:w="3600" w:type="dxa"/>
            <w:noWrap/>
            <w:hideMark/>
          </w:tcPr>
          <w:p w14:paraId="45908237"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Maryborough District Health Service</w:t>
            </w:r>
          </w:p>
        </w:tc>
        <w:tc>
          <w:tcPr>
            <w:tcW w:w="2491" w:type="dxa"/>
            <w:noWrap/>
            <w:hideMark/>
          </w:tcPr>
          <w:p w14:paraId="53E05F88"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0.8</w:t>
            </w:r>
          </w:p>
        </w:tc>
      </w:tr>
      <w:tr w:rsidR="0071731C" w:rsidRPr="0071731C" w14:paraId="6B9C8DAB" w14:textId="77777777" w:rsidTr="005826E3">
        <w:trPr>
          <w:trHeight w:val="288"/>
        </w:trPr>
        <w:tc>
          <w:tcPr>
            <w:tcW w:w="3600" w:type="dxa"/>
            <w:noWrap/>
            <w:hideMark/>
          </w:tcPr>
          <w:p w14:paraId="476086BF"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Mildura Base Public Hospital</w:t>
            </w:r>
          </w:p>
        </w:tc>
        <w:tc>
          <w:tcPr>
            <w:tcW w:w="2491" w:type="dxa"/>
            <w:noWrap/>
            <w:hideMark/>
          </w:tcPr>
          <w:p w14:paraId="5D1E39CE"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13.6</w:t>
            </w:r>
          </w:p>
        </w:tc>
      </w:tr>
      <w:tr w:rsidR="0071731C" w:rsidRPr="0071731C" w14:paraId="27CE2E82" w14:textId="77777777" w:rsidTr="005826E3">
        <w:trPr>
          <w:trHeight w:val="288"/>
        </w:trPr>
        <w:tc>
          <w:tcPr>
            <w:tcW w:w="3600" w:type="dxa"/>
            <w:noWrap/>
            <w:hideMark/>
          </w:tcPr>
          <w:p w14:paraId="6FF3C04B"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Northeast Health Wangaratta</w:t>
            </w:r>
          </w:p>
        </w:tc>
        <w:tc>
          <w:tcPr>
            <w:tcW w:w="2491" w:type="dxa"/>
            <w:noWrap/>
            <w:hideMark/>
          </w:tcPr>
          <w:p w14:paraId="75250217"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5.7</w:t>
            </w:r>
          </w:p>
        </w:tc>
      </w:tr>
      <w:tr w:rsidR="0071731C" w:rsidRPr="0071731C" w14:paraId="61E7618E" w14:textId="77777777" w:rsidTr="005826E3">
        <w:trPr>
          <w:trHeight w:val="288"/>
        </w:trPr>
        <w:tc>
          <w:tcPr>
            <w:tcW w:w="3600" w:type="dxa"/>
            <w:noWrap/>
            <w:hideMark/>
          </w:tcPr>
          <w:p w14:paraId="2BDAF856"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Portland District Health</w:t>
            </w:r>
          </w:p>
        </w:tc>
        <w:tc>
          <w:tcPr>
            <w:tcW w:w="2491" w:type="dxa"/>
            <w:noWrap/>
            <w:hideMark/>
          </w:tcPr>
          <w:p w14:paraId="0A75BD2F"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0.8</w:t>
            </w:r>
          </w:p>
        </w:tc>
      </w:tr>
      <w:tr w:rsidR="0071731C" w:rsidRPr="0071731C" w14:paraId="75F65921" w14:textId="77777777" w:rsidTr="005826E3">
        <w:trPr>
          <w:trHeight w:val="288"/>
        </w:trPr>
        <w:tc>
          <w:tcPr>
            <w:tcW w:w="3600" w:type="dxa"/>
            <w:noWrap/>
            <w:hideMark/>
          </w:tcPr>
          <w:p w14:paraId="0496683F"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South West Healthcare</w:t>
            </w:r>
          </w:p>
        </w:tc>
        <w:tc>
          <w:tcPr>
            <w:tcW w:w="2491" w:type="dxa"/>
            <w:noWrap/>
            <w:hideMark/>
          </w:tcPr>
          <w:p w14:paraId="1929DC55"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14.3</w:t>
            </w:r>
          </w:p>
        </w:tc>
      </w:tr>
      <w:tr w:rsidR="0071731C" w:rsidRPr="0071731C" w14:paraId="71568887" w14:textId="77777777" w:rsidTr="005826E3">
        <w:trPr>
          <w:trHeight w:val="288"/>
        </w:trPr>
        <w:tc>
          <w:tcPr>
            <w:tcW w:w="3600" w:type="dxa"/>
            <w:noWrap/>
            <w:hideMark/>
          </w:tcPr>
          <w:p w14:paraId="06C6464C"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Swan Hill District Health</w:t>
            </w:r>
          </w:p>
        </w:tc>
        <w:tc>
          <w:tcPr>
            <w:tcW w:w="2491" w:type="dxa"/>
            <w:noWrap/>
            <w:hideMark/>
          </w:tcPr>
          <w:p w14:paraId="7F837619"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2.6</w:t>
            </w:r>
          </w:p>
        </w:tc>
      </w:tr>
      <w:tr w:rsidR="0071731C" w:rsidRPr="0071731C" w14:paraId="11E74184" w14:textId="77777777" w:rsidTr="005826E3">
        <w:trPr>
          <w:trHeight w:val="288"/>
        </w:trPr>
        <w:tc>
          <w:tcPr>
            <w:tcW w:w="3600" w:type="dxa"/>
            <w:noWrap/>
            <w:hideMark/>
          </w:tcPr>
          <w:p w14:paraId="1FC08F2B" w14:textId="77777777" w:rsidR="0071731C" w:rsidRPr="0071731C" w:rsidRDefault="0071731C" w:rsidP="0071731C">
            <w:pPr>
              <w:spacing w:after="0" w:line="240" w:lineRule="auto"/>
              <w:rPr>
                <w:rFonts w:cs="Arial"/>
                <w:color w:val="000000"/>
                <w:sz w:val="16"/>
                <w:szCs w:val="16"/>
                <w:lang w:eastAsia="en-AU"/>
              </w:rPr>
            </w:pPr>
            <w:r w:rsidRPr="0071731C">
              <w:rPr>
                <w:rFonts w:cs="Arial"/>
                <w:color w:val="000000"/>
                <w:sz w:val="16"/>
                <w:szCs w:val="16"/>
                <w:lang w:eastAsia="en-AU"/>
              </w:rPr>
              <w:t>West Gippsland Healthcare Group</w:t>
            </w:r>
          </w:p>
        </w:tc>
        <w:tc>
          <w:tcPr>
            <w:tcW w:w="2491" w:type="dxa"/>
            <w:noWrap/>
            <w:hideMark/>
          </w:tcPr>
          <w:p w14:paraId="39411C4B"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6.0</w:t>
            </w:r>
          </w:p>
        </w:tc>
      </w:tr>
      <w:tr w:rsidR="00227C2E" w:rsidRPr="00227C2E" w14:paraId="0D7377FB" w14:textId="77777777" w:rsidTr="005826E3">
        <w:trPr>
          <w:trHeight w:val="288"/>
        </w:trPr>
        <w:tc>
          <w:tcPr>
            <w:tcW w:w="3600" w:type="dxa"/>
            <w:shd w:val="clear" w:color="auto" w:fill="201547"/>
            <w:noWrap/>
            <w:hideMark/>
          </w:tcPr>
          <w:p w14:paraId="680B2413" w14:textId="77777777" w:rsidR="00227C2E" w:rsidRPr="00227C2E" w:rsidRDefault="00227C2E" w:rsidP="00227C2E">
            <w:pPr>
              <w:spacing w:after="0" w:line="240" w:lineRule="auto"/>
              <w:rPr>
                <w:rFonts w:cs="Arial"/>
                <w:b/>
                <w:bCs/>
                <w:color w:val="FFFFFF" w:themeColor="background1"/>
                <w:sz w:val="16"/>
                <w:szCs w:val="16"/>
                <w:lang w:eastAsia="en-AU"/>
              </w:rPr>
            </w:pPr>
            <w:r w:rsidRPr="00227C2E">
              <w:rPr>
                <w:rFonts w:cs="Arial"/>
                <w:b/>
                <w:bCs/>
                <w:color w:val="FFFFFF" w:themeColor="background1"/>
                <w:sz w:val="16"/>
                <w:szCs w:val="16"/>
                <w:lang w:eastAsia="en-AU"/>
              </w:rPr>
              <w:t>Total</w:t>
            </w:r>
          </w:p>
        </w:tc>
        <w:tc>
          <w:tcPr>
            <w:tcW w:w="2491" w:type="dxa"/>
            <w:shd w:val="clear" w:color="auto" w:fill="201547"/>
            <w:noWrap/>
            <w:hideMark/>
          </w:tcPr>
          <w:p w14:paraId="0E73D9B4" w14:textId="77777777" w:rsidR="00227C2E" w:rsidRPr="00227C2E" w:rsidRDefault="00227C2E" w:rsidP="00227C2E">
            <w:pPr>
              <w:spacing w:after="0" w:line="240" w:lineRule="auto"/>
              <w:jc w:val="right"/>
              <w:rPr>
                <w:rFonts w:cs="Arial"/>
                <w:b/>
                <w:bCs/>
                <w:color w:val="FFFFFF" w:themeColor="background1"/>
                <w:sz w:val="16"/>
                <w:szCs w:val="16"/>
                <w:lang w:eastAsia="en-AU"/>
              </w:rPr>
            </w:pPr>
            <w:r w:rsidRPr="00227C2E">
              <w:rPr>
                <w:rFonts w:cs="Arial"/>
                <w:b/>
                <w:bCs/>
                <w:color w:val="FFFFFF" w:themeColor="background1"/>
                <w:sz w:val="16"/>
                <w:szCs w:val="16"/>
                <w:lang w:eastAsia="en-AU"/>
              </w:rPr>
              <w:t>69.14</w:t>
            </w:r>
          </w:p>
        </w:tc>
      </w:tr>
    </w:tbl>
    <w:p w14:paraId="52374258" w14:textId="77777777" w:rsidR="0062473C" w:rsidRDefault="0062473C" w:rsidP="0062473C">
      <w:pPr>
        <w:pStyle w:val="Body"/>
      </w:pPr>
    </w:p>
    <w:p w14:paraId="6C161FB3" w14:textId="77777777" w:rsidR="0062473C" w:rsidRPr="0062473C" w:rsidRDefault="0062473C" w:rsidP="0062473C">
      <w:pPr>
        <w:pStyle w:val="Body"/>
      </w:pPr>
    </w:p>
    <w:p w14:paraId="256D795C" w14:textId="6B6769CE" w:rsidR="00744D4C" w:rsidRDefault="00744D4C" w:rsidP="00E03611">
      <w:pPr>
        <w:pStyle w:val="Bodyaftertablefigure"/>
      </w:pPr>
      <w:r>
        <w:t>Combined total</w:t>
      </w:r>
    </w:p>
    <w:tbl>
      <w:tblPr>
        <w:tblW w:w="6091" w:type="dxa"/>
        <w:tblLook w:val="04A0" w:firstRow="1" w:lastRow="0" w:firstColumn="1" w:lastColumn="0" w:noHBand="0" w:noVBand="1"/>
      </w:tblPr>
      <w:tblGrid>
        <w:gridCol w:w="3600"/>
        <w:gridCol w:w="2491"/>
      </w:tblGrid>
      <w:tr w:rsidR="0071731C" w:rsidRPr="0071731C" w14:paraId="2AA11C13" w14:textId="77777777" w:rsidTr="0071731C">
        <w:trPr>
          <w:trHeight w:val="288"/>
        </w:trPr>
        <w:tc>
          <w:tcPr>
            <w:tcW w:w="3600" w:type="dxa"/>
            <w:tcBorders>
              <w:top w:val="single" w:sz="4" w:space="0" w:color="auto"/>
              <w:left w:val="single" w:sz="4" w:space="0" w:color="auto"/>
              <w:bottom w:val="single" w:sz="4" w:space="0" w:color="auto"/>
              <w:right w:val="single" w:sz="4" w:space="0" w:color="auto"/>
            </w:tcBorders>
            <w:shd w:val="clear" w:color="000000" w:fill="201547"/>
            <w:noWrap/>
            <w:vAlign w:val="bottom"/>
            <w:hideMark/>
          </w:tcPr>
          <w:p w14:paraId="2F7CAA77" w14:textId="77777777" w:rsidR="0071731C" w:rsidRPr="0071731C" w:rsidRDefault="0071731C" w:rsidP="0071731C">
            <w:pPr>
              <w:spacing w:after="0" w:line="240" w:lineRule="auto"/>
              <w:rPr>
                <w:rFonts w:cs="Arial"/>
                <w:b/>
                <w:bCs/>
                <w:color w:val="FFFFFF"/>
                <w:sz w:val="16"/>
                <w:szCs w:val="16"/>
                <w:lang w:eastAsia="en-AU"/>
              </w:rPr>
            </w:pPr>
            <w:r w:rsidRPr="0071731C">
              <w:rPr>
                <w:rFonts w:cs="Arial"/>
                <w:b/>
                <w:bCs/>
                <w:color w:val="FFFFFF"/>
                <w:sz w:val="16"/>
                <w:szCs w:val="16"/>
                <w:lang w:eastAsia="en-AU"/>
              </w:rPr>
              <w:t> </w:t>
            </w:r>
          </w:p>
        </w:tc>
        <w:tc>
          <w:tcPr>
            <w:tcW w:w="2491" w:type="dxa"/>
            <w:tcBorders>
              <w:top w:val="single" w:sz="4" w:space="0" w:color="auto"/>
              <w:left w:val="nil"/>
              <w:bottom w:val="single" w:sz="4" w:space="0" w:color="auto"/>
              <w:right w:val="single" w:sz="4" w:space="0" w:color="auto"/>
            </w:tcBorders>
            <w:shd w:val="clear" w:color="000000" w:fill="201547"/>
            <w:noWrap/>
            <w:vAlign w:val="bottom"/>
            <w:hideMark/>
          </w:tcPr>
          <w:p w14:paraId="5CA46AC6" w14:textId="77777777" w:rsidR="0071731C" w:rsidRPr="0071731C" w:rsidRDefault="0071731C" w:rsidP="0071731C">
            <w:pPr>
              <w:spacing w:after="0" w:line="240" w:lineRule="auto"/>
              <w:jc w:val="right"/>
              <w:rPr>
                <w:rFonts w:cs="Arial"/>
                <w:b/>
                <w:bCs/>
                <w:color w:val="FFFFFF"/>
                <w:sz w:val="16"/>
                <w:szCs w:val="16"/>
                <w:lang w:eastAsia="en-AU"/>
              </w:rPr>
            </w:pPr>
            <w:r w:rsidRPr="0071731C">
              <w:rPr>
                <w:rFonts w:cs="Arial"/>
                <w:b/>
                <w:bCs/>
                <w:color w:val="FFFFFF"/>
                <w:sz w:val="16"/>
                <w:szCs w:val="16"/>
                <w:lang w:eastAsia="en-AU"/>
              </w:rPr>
              <w:t>Service event target</w:t>
            </w:r>
          </w:p>
        </w:tc>
      </w:tr>
      <w:tr w:rsidR="0071731C" w:rsidRPr="0071731C" w14:paraId="1A8C3167" w14:textId="77777777" w:rsidTr="0071731C">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1BEDF32" w14:textId="77777777" w:rsidR="0071731C" w:rsidRPr="0071731C" w:rsidRDefault="0071731C" w:rsidP="0071731C">
            <w:pPr>
              <w:spacing w:after="0" w:line="240" w:lineRule="auto"/>
              <w:rPr>
                <w:rFonts w:cs="Arial"/>
                <w:b/>
                <w:bCs/>
                <w:color w:val="000000"/>
                <w:sz w:val="16"/>
                <w:szCs w:val="16"/>
                <w:lang w:eastAsia="en-AU"/>
              </w:rPr>
            </w:pPr>
            <w:r w:rsidRPr="0071731C">
              <w:rPr>
                <w:rFonts w:cs="Arial"/>
                <w:b/>
                <w:bCs/>
                <w:color w:val="000000"/>
                <w:sz w:val="16"/>
                <w:szCs w:val="16"/>
                <w:lang w:eastAsia="en-AU"/>
              </w:rPr>
              <w:t>Total</w:t>
            </w:r>
          </w:p>
        </w:tc>
        <w:tc>
          <w:tcPr>
            <w:tcW w:w="2491" w:type="dxa"/>
            <w:tcBorders>
              <w:top w:val="nil"/>
              <w:left w:val="nil"/>
              <w:bottom w:val="single" w:sz="4" w:space="0" w:color="auto"/>
              <w:right w:val="single" w:sz="4" w:space="0" w:color="auto"/>
            </w:tcBorders>
            <w:shd w:val="clear" w:color="auto" w:fill="auto"/>
            <w:noWrap/>
            <w:vAlign w:val="bottom"/>
            <w:hideMark/>
          </w:tcPr>
          <w:p w14:paraId="12852FEC" w14:textId="77777777" w:rsidR="0071731C" w:rsidRPr="0071731C" w:rsidRDefault="0071731C" w:rsidP="0071731C">
            <w:pPr>
              <w:spacing w:after="0" w:line="240" w:lineRule="auto"/>
              <w:jc w:val="right"/>
              <w:rPr>
                <w:rFonts w:cs="Arial"/>
                <w:color w:val="000000"/>
                <w:sz w:val="16"/>
                <w:szCs w:val="16"/>
                <w:lang w:eastAsia="en-AU"/>
              </w:rPr>
            </w:pPr>
            <w:r w:rsidRPr="0071731C">
              <w:rPr>
                <w:rFonts w:cs="Arial"/>
                <w:color w:val="000000"/>
                <w:sz w:val="16"/>
                <w:szCs w:val="16"/>
                <w:lang w:eastAsia="en-AU"/>
              </w:rPr>
              <w:t>1,940.2</w:t>
            </w:r>
          </w:p>
        </w:tc>
      </w:tr>
    </w:tbl>
    <w:p w14:paraId="72B180FE" w14:textId="77777777" w:rsidR="00744D4C" w:rsidRDefault="00744D4C" w:rsidP="00744D4C">
      <w:pPr>
        <w:pStyle w:val="Body"/>
      </w:pPr>
    </w:p>
    <w:p w14:paraId="673DF3FD" w14:textId="138B0FBB" w:rsidR="000B27B9" w:rsidRPr="004A5B73" w:rsidRDefault="000B27B9" w:rsidP="009375E0">
      <w:pPr>
        <w:pStyle w:val="Heading3"/>
        <w:spacing w:before="240"/>
      </w:pPr>
      <w:bookmarkStart w:id="1341" w:name="_Toc127192030"/>
      <w:r>
        <w:t xml:space="preserve">Home </w:t>
      </w:r>
      <w:r w:rsidR="00331D5D">
        <w:t>R</w:t>
      </w:r>
      <w:r>
        <w:t xml:space="preserve">enal </w:t>
      </w:r>
      <w:r w:rsidR="00331D5D">
        <w:t>D</w:t>
      </w:r>
      <w:r>
        <w:t xml:space="preserve">ialysis </w:t>
      </w:r>
      <w:r w:rsidR="00331D5D" w:rsidRPr="004A5B73">
        <w:t>T</w:t>
      </w:r>
      <w:r w:rsidRPr="004A5B73">
        <w:t xml:space="preserve">argets </w:t>
      </w:r>
      <w:bookmarkEnd w:id="1335"/>
      <w:bookmarkEnd w:id="1336"/>
      <w:bookmarkEnd w:id="1337"/>
      <w:bookmarkEnd w:id="1338"/>
      <w:r w:rsidR="005D1FCB" w:rsidRPr="004A5B73">
        <w:t>2022</w:t>
      </w:r>
      <w:r w:rsidR="00740CE9" w:rsidRPr="004A5B73">
        <w:t>–</w:t>
      </w:r>
      <w:r w:rsidR="005D1FCB" w:rsidRPr="004A5B73">
        <w:t>23</w:t>
      </w:r>
      <w:bookmarkEnd w:id="1339"/>
      <w:bookmarkEnd w:id="1341"/>
    </w:p>
    <w:p w14:paraId="65257768" w14:textId="77777777" w:rsidR="00BD575E" w:rsidRPr="004A5B73" w:rsidRDefault="00BD575E" w:rsidP="00BD575E">
      <w:pPr>
        <w:pStyle w:val="Tablefigurenote9pt"/>
      </w:pPr>
      <w:bookmarkStart w:id="1342" w:name="_Toc12780579"/>
      <w:bookmarkStart w:id="1343" w:name="_Toc14194835"/>
      <w:bookmarkStart w:id="1344" w:name="_Toc33704016"/>
      <w:r w:rsidRPr="004A5B73">
        <w:t>Notes:</w:t>
      </w:r>
    </w:p>
    <w:p w14:paraId="16A315B7" w14:textId="1E7F0D7F" w:rsidR="008A3D5B" w:rsidRPr="004A5B73" w:rsidRDefault="008A3D5B" w:rsidP="003C01AD">
      <w:pPr>
        <w:pStyle w:val="Tablenoteroman"/>
        <w:numPr>
          <w:ilvl w:val="0"/>
          <w:numId w:val="28"/>
        </w:numPr>
        <w:rPr>
          <w:lang w:eastAsia="en-AU"/>
        </w:rPr>
      </w:pPr>
      <w:r w:rsidRPr="004A5B73">
        <w:rPr>
          <w:lang w:eastAsia="en-AU"/>
        </w:rPr>
        <w:t>Targets include adjustments made in the statement of priorities, including changes relating</w:t>
      </w:r>
      <w:r w:rsidR="00601236">
        <w:rPr>
          <w:lang w:eastAsia="en-AU"/>
        </w:rPr>
        <w:t xml:space="preserve"> to</w:t>
      </w:r>
      <w:r w:rsidRPr="004A5B73">
        <w:rPr>
          <w:lang w:eastAsia="en-AU"/>
        </w:rPr>
        <w:t xml:space="preserve"> National Funding Model implementation.  </w:t>
      </w:r>
    </w:p>
    <w:p w14:paraId="4EC62007" w14:textId="1C5E60A1" w:rsidR="000B27B9" w:rsidRPr="007A725F" w:rsidRDefault="000B27B9" w:rsidP="000E08EF">
      <w:pPr>
        <w:pStyle w:val="Tablecaption"/>
      </w:pPr>
      <w:bookmarkStart w:id="1345" w:name="_Toc109894144"/>
      <w:bookmarkStart w:id="1346" w:name="_Toc119500925"/>
      <w:r w:rsidRPr="004A5B73">
        <w:t xml:space="preserve">Table </w:t>
      </w:r>
      <w:r>
        <w:fldChar w:fldCharType="begin"/>
      </w:r>
      <w:r>
        <w:instrText>STYLEREF 1 \s</w:instrText>
      </w:r>
      <w:r>
        <w:fldChar w:fldCharType="separate"/>
      </w:r>
      <w:r w:rsidR="006D0756" w:rsidRPr="004A5B73">
        <w:rPr>
          <w:noProof/>
        </w:rPr>
        <w:t>2</w:t>
      </w:r>
      <w:r>
        <w:fldChar w:fldCharType="end"/>
      </w:r>
      <w:r w:rsidR="00EC6300" w:rsidRPr="004A5B73">
        <w:t>.</w:t>
      </w:r>
      <w:r>
        <w:fldChar w:fldCharType="begin"/>
      </w:r>
      <w:r>
        <w:instrText>SEQ Table \* ARABIC \s 1</w:instrText>
      </w:r>
      <w:r>
        <w:fldChar w:fldCharType="separate"/>
      </w:r>
      <w:r w:rsidR="006D0756" w:rsidRPr="004A5B73">
        <w:rPr>
          <w:noProof/>
        </w:rPr>
        <w:t>18</w:t>
      </w:r>
      <w:r>
        <w:fldChar w:fldCharType="end"/>
      </w:r>
      <w:r w:rsidRPr="004A5B73">
        <w:t xml:space="preserve"> Home renal dialysis targets </w:t>
      </w:r>
      <w:bookmarkEnd w:id="1342"/>
      <w:bookmarkEnd w:id="1343"/>
      <w:bookmarkEnd w:id="1344"/>
      <w:r w:rsidR="005D1FCB" w:rsidRPr="004A5B73">
        <w:t>2022</w:t>
      </w:r>
      <w:r w:rsidR="00740CE9" w:rsidRPr="004A5B73">
        <w:t>–</w:t>
      </w:r>
      <w:r w:rsidR="005D1FCB" w:rsidRPr="004A5B73">
        <w:t>23</w:t>
      </w:r>
      <w:bookmarkEnd w:id="1345"/>
      <w:bookmarkEnd w:id="1346"/>
    </w:p>
    <w:tbl>
      <w:tblPr>
        <w:tblStyle w:val="TableGrid1"/>
        <w:tblW w:w="6091" w:type="dxa"/>
        <w:tblLook w:val="04A0" w:firstRow="1" w:lastRow="0" w:firstColumn="1" w:lastColumn="0" w:noHBand="0" w:noVBand="1"/>
      </w:tblPr>
      <w:tblGrid>
        <w:gridCol w:w="3964"/>
        <w:gridCol w:w="2127"/>
      </w:tblGrid>
      <w:tr w:rsidR="00293098" w:rsidRPr="00293098" w14:paraId="537322F6" w14:textId="77777777" w:rsidTr="005826E3">
        <w:trPr>
          <w:cnfStyle w:val="100000000000" w:firstRow="1" w:lastRow="0" w:firstColumn="0" w:lastColumn="0" w:oddVBand="0" w:evenVBand="0" w:oddHBand="0" w:evenHBand="0" w:firstRowFirstColumn="0" w:firstRowLastColumn="0" w:lastRowFirstColumn="0" w:lastRowLastColumn="0"/>
          <w:trHeight w:val="384"/>
        </w:trPr>
        <w:tc>
          <w:tcPr>
            <w:tcW w:w="3964" w:type="dxa"/>
            <w:noWrap/>
            <w:hideMark/>
          </w:tcPr>
          <w:p w14:paraId="037095F6" w14:textId="77777777" w:rsidR="00293098" w:rsidRPr="00293098" w:rsidRDefault="00293098" w:rsidP="00293098">
            <w:pPr>
              <w:spacing w:after="0" w:line="240" w:lineRule="auto"/>
              <w:rPr>
                <w:rFonts w:cs="Arial"/>
                <w:b/>
                <w:bCs/>
                <w:color w:val="FFFFFF"/>
                <w:sz w:val="16"/>
                <w:szCs w:val="16"/>
                <w:lang w:eastAsia="en-AU"/>
              </w:rPr>
            </w:pPr>
            <w:r w:rsidRPr="00293098">
              <w:rPr>
                <w:rFonts w:cs="Arial"/>
                <w:b/>
                <w:bCs/>
                <w:color w:val="FFFFFF"/>
                <w:sz w:val="16"/>
                <w:szCs w:val="16"/>
                <w:lang w:eastAsia="en-AU"/>
              </w:rPr>
              <w:t>Health Service</w:t>
            </w:r>
          </w:p>
        </w:tc>
        <w:tc>
          <w:tcPr>
            <w:tcW w:w="2127" w:type="dxa"/>
            <w:noWrap/>
            <w:hideMark/>
          </w:tcPr>
          <w:p w14:paraId="1135AE79" w14:textId="77777777" w:rsidR="00293098" w:rsidRPr="00293098" w:rsidRDefault="00293098" w:rsidP="00293098">
            <w:pPr>
              <w:spacing w:after="0" w:line="240" w:lineRule="auto"/>
              <w:jc w:val="right"/>
              <w:rPr>
                <w:rFonts w:cs="Arial"/>
                <w:b/>
                <w:bCs/>
                <w:color w:val="FFFFFF"/>
                <w:sz w:val="16"/>
                <w:szCs w:val="16"/>
                <w:lang w:eastAsia="en-AU"/>
              </w:rPr>
            </w:pPr>
            <w:r w:rsidRPr="00293098">
              <w:rPr>
                <w:rFonts w:cs="Arial"/>
                <w:b/>
                <w:bCs/>
                <w:color w:val="FFFFFF"/>
                <w:sz w:val="16"/>
                <w:szCs w:val="16"/>
                <w:lang w:eastAsia="en-AU"/>
              </w:rPr>
              <w:t>Annual target</w:t>
            </w:r>
          </w:p>
        </w:tc>
      </w:tr>
      <w:tr w:rsidR="00293098" w:rsidRPr="00293098" w14:paraId="04728C71" w14:textId="77777777" w:rsidTr="005826E3">
        <w:trPr>
          <w:trHeight w:val="288"/>
        </w:trPr>
        <w:tc>
          <w:tcPr>
            <w:tcW w:w="3964" w:type="dxa"/>
            <w:noWrap/>
            <w:hideMark/>
          </w:tcPr>
          <w:p w14:paraId="03110A64"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Alfred Health</w:t>
            </w:r>
          </w:p>
        </w:tc>
        <w:tc>
          <w:tcPr>
            <w:tcW w:w="2127" w:type="dxa"/>
            <w:noWrap/>
            <w:hideMark/>
          </w:tcPr>
          <w:p w14:paraId="3FC85BB2"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938.38</w:t>
            </w:r>
          </w:p>
        </w:tc>
      </w:tr>
      <w:tr w:rsidR="00293098" w:rsidRPr="00293098" w14:paraId="65E90304" w14:textId="77777777" w:rsidTr="005826E3">
        <w:trPr>
          <w:trHeight w:val="288"/>
        </w:trPr>
        <w:tc>
          <w:tcPr>
            <w:tcW w:w="3964" w:type="dxa"/>
            <w:noWrap/>
            <w:hideMark/>
          </w:tcPr>
          <w:p w14:paraId="39828E30"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Austin Health</w:t>
            </w:r>
          </w:p>
        </w:tc>
        <w:tc>
          <w:tcPr>
            <w:tcW w:w="2127" w:type="dxa"/>
            <w:noWrap/>
            <w:hideMark/>
          </w:tcPr>
          <w:p w14:paraId="609597AF"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647.65</w:t>
            </w:r>
          </w:p>
        </w:tc>
      </w:tr>
      <w:tr w:rsidR="00293098" w:rsidRPr="00293098" w14:paraId="5254DB6E" w14:textId="77777777" w:rsidTr="005826E3">
        <w:trPr>
          <w:trHeight w:val="288"/>
        </w:trPr>
        <w:tc>
          <w:tcPr>
            <w:tcW w:w="3964" w:type="dxa"/>
            <w:noWrap/>
            <w:hideMark/>
          </w:tcPr>
          <w:p w14:paraId="3725A69E"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Barwon Health</w:t>
            </w:r>
          </w:p>
        </w:tc>
        <w:tc>
          <w:tcPr>
            <w:tcW w:w="2127" w:type="dxa"/>
            <w:noWrap/>
            <w:hideMark/>
          </w:tcPr>
          <w:p w14:paraId="3A75C009"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607.81</w:t>
            </w:r>
          </w:p>
        </w:tc>
      </w:tr>
      <w:tr w:rsidR="00293098" w:rsidRPr="00293098" w14:paraId="6DA4DB12" w14:textId="77777777" w:rsidTr="005826E3">
        <w:trPr>
          <w:trHeight w:val="288"/>
        </w:trPr>
        <w:tc>
          <w:tcPr>
            <w:tcW w:w="3964" w:type="dxa"/>
            <w:noWrap/>
            <w:hideMark/>
          </w:tcPr>
          <w:p w14:paraId="1C72F3B7"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Bendigo Health</w:t>
            </w:r>
          </w:p>
        </w:tc>
        <w:tc>
          <w:tcPr>
            <w:tcW w:w="2127" w:type="dxa"/>
            <w:noWrap/>
            <w:hideMark/>
          </w:tcPr>
          <w:p w14:paraId="00FC646A"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500.42</w:t>
            </w:r>
          </w:p>
        </w:tc>
      </w:tr>
      <w:tr w:rsidR="00293098" w:rsidRPr="00293098" w14:paraId="6D51E120" w14:textId="77777777" w:rsidTr="005826E3">
        <w:trPr>
          <w:trHeight w:val="288"/>
        </w:trPr>
        <w:tc>
          <w:tcPr>
            <w:tcW w:w="3964" w:type="dxa"/>
            <w:noWrap/>
            <w:hideMark/>
          </w:tcPr>
          <w:p w14:paraId="687533F4"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Eastern Health</w:t>
            </w:r>
          </w:p>
        </w:tc>
        <w:tc>
          <w:tcPr>
            <w:tcW w:w="2127" w:type="dxa"/>
            <w:noWrap/>
            <w:hideMark/>
          </w:tcPr>
          <w:p w14:paraId="73570B1A"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690.52</w:t>
            </w:r>
          </w:p>
        </w:tc>
      </w:tr>
      <w:tr w:rsidR="00293098" w:rsidRPr="00293098" w14:paraId="153A8943" w14:textId="77777777" w:rsidTr="005826E3">
        <w:trPr>
          <w:trHeight w:val="288"/>
        </w:trPr>
        <w:tc>
          <w:tcPr>
            <w:tcW w:w="3964" w:type="dxa"/>
            <w:noWrap/>
            <w:hideMark/>
          </w:tcPr>
          <w:p w14:paraId="79366C0D"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Melbourne Health</w:t>
            </w:r>
          </w:p>
        </w:tc>
        <w:tc>
          <w:tcPr>
            <w:tcW w:w="2127" w:type="dxa"/>
            <w:noWrap/>
            <w:hideMark/>
          </w:tcPr>
          <w:p w14:paraId="37DC306D"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1,454.45</w:t>
            </w:r>
          </w:p>
        </w:tc>
      </w:tr>
      <w:tr w:rsidR="00293098" w:rsidRPr="00293098" w14:paraId="65F51CC5" w14:textId="77777777" w:rsidTr="005826E3">
        <w:trPr>
          <w:trHeight w:val="288"/>
        </w:trPr>
        <w:tc>
          <w:tcPr>
            <w:tcW w:w="3964" w:type="dxa"/>
            <w:noWrap/>
            <w:hideMark/>
          </w:tcPr>
          <w:p w14:paraId="01B083A5"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Monash Health</w:t>
            </w:r>
          </w:p>
        </w:tc>
        <w:tc>
          <w:tcPr>
            <w:tcW w:w="2127" w:type="dxa"/>
            <w:noWrap/>
            <w:hideMark/>
          </w:tcPr>
          <w:p w14:paraId="6BB6FC2C"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1,986.42</w:t>
            </w:r>
          </w:p>
        </w:tc>
      </w:tr>
      <w:tr w:rsidR="00293098" w:rsidRPr="00293098" w14:paraId="5200D2CA" w14:textId="77777777" w:rsidTr="005826E3">
        <w:trPr>
          <w:trHeight w:val="288"/>
        </w:trPr>
        <w:tc>
          <w:tcPr>
            <w:tcW w:w="3964" w:type="dxa"/>
            <w:noWrap/>
            <w:hideMark/>
          </w:tcPr>
          <w:p w14:paraId="075D9AFF"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Northern Health</w:t>
            </w:r>
          </w:p>
        </w:tc>
        <w:tc>
          <w:tcPr>
            <w:tcW w:w="2127" w:type="dxa"/>
            <w:noWrap/>
            <w:hideMark/>
          </w:tcPr>
          <w:p w14:paraId="2D0FCB8E"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404.99</w:t>
            </w:r>
          </w:p>
        </w:tc>
      </w:tr>
      <w:tr w:rsidR="00293098" w:rsidRPr="00293098" w14:paraId="5D1CC0D3" w14:textId="77777777" w:rsidTr="005826E3">
        <w:trPr>
          <w:trHeight w:val="288"/>
        </w:trPr>
        <w:tc>
          <w:tcPr>
            <w:tcW w:w="3964" w:type="dxa"/>
            <w:noWrap/>
            <w:hideMark/>
          </w:tcPr>
          <w:p w14:paraId="04A35ED0" w14:textId="528620ED"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St Vincent</w:t>
            </w:r>
            <w:r>
              <w:rPr>
                <w:rFonts w:cs="Arial"/>
                <w:color w:val="000000"/>
                <w:sz w:val="16"/>
                <w:szCs w:val="16"/>
                <w:lang w:eastAsia="en-AU"/>
              </w:rPr>
              <w:t>'</w:t>
            </w:r>
            <w:r w:rsidRPr="00293098">
              <w:rPr>
                <w:rFonts w:cs="Arial"/>
                <w:color w:val="000000"/>
                <w:sz w:val="16"/>
                <w:szCs w:val="16"/>
                <w:lang w:eastAsia="en-AU"/>
              </w:rPr>
              <w:t>s Hospital Melbourne Limited</w:t>
            </w:r>
          </w:p>
        </w:tc>
        <w:tc>
          <w:tcPr>
            <w:tcW w:w="2127" w:type="dxa"/>
            <w:noWrap/>
            <w:hideMark/>
          </w:tcPr>
          <w:p w14:paraId="0A78F35C"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906.21</w:t>
            </w:r>
          </w:p>
        </w:tc>
      </w:tr>
      <w:tr w:rsidR="00293098" w:rsidRPr="00293098" w14:paraId="5821E6C7" w14:textId="77777777" w:rsidTr="005826E3">
        <w:trPr>
          <w:trHeight w:val="288"/>
        </w:trPr>
        <w:tc>
          <w:tcPr>
            <w:tcW w:w="3964" w:type="dxa"/>
            <w:noWrap/>
            <w:hideMark/>
          </w:tcPr>
          <w:p w14:paraId="331E4588" w14:textId="73C7C965"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The Royal Children</w:t>
            </w:r>
            <w:r>
              <w:rPr>
                <w:rFonts w:cs="Arial"/>
                <w:color w:val="000000"/>
                <w:sz w:val="16"/>
                <w:szCs w:val="16"/>
                <w:lang w:eastAsia="en-AU"/>
              </w:rPr>
              <w:t>’</w:t>
            </w:r>
            <w:r w:rsidRPr="00293098">
              <w:rPr>
                <w:rFonts w:cs="Arial"/>
                <w:color w:val="000000"/>
                <w:sz w:val="16"/>
                <w:szCs w:val="16"/>
                <w:lang w:eastAsia="en-AU"/>
              </w:rPr>
              <w:t>s Hospital</w:t>
            </w:r>
          </w:p>
        </w:tc>
        <w:tc>
          <w:tcPr>
            <w:tcW w:w="2127" w:type="dxa"/>
            <w:noWrap/>
            <w:hideMark/>
          </w:tcPr>
          <w:p w14:paraId="2B5E34F2"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89.54</w:t>
            </w:r>
          </w:p>
        </w:tc>
      </w:tr>
      <w:tr w:rsidR="00293098" w:rsidRPr="00293098" w14:paraId="7AF8435F" w14:textId="77777777" w:rsidTr="005826E3">
        <w:trPr>
          <w:trHeight w:val="288"/>
        </w:trPr>
        <w:tc>
          <w:tcPr>
            <w:tcW w:w="3964" w:type="dxa"/>
            <w:noWrap/>
            <w:hideMark/>
          </w:tcPr>
          <w:p w14:paraId="279F4958" w14:textId="77777777" w:rsidR="00293098" w:rsidRPr="00293098" w:rsidRDefault="00293098" w:rsidP="00293098">
            <w:pPr>
              <w:spacing w:after="0" w:line="240" w:lineRule="auto"/>
              <w:rPr>
                <w:rFonts w:cs="Arial"/>
                <w:color w:val="000000"/>
                <w:sz w:val="16"/>
                <w:szCs w:val="16"/>
                <w:lang w:eastAsia="en-AU"/>
              </w:rPr>
            </w:pPr>
            <w:r w:rsidRPr="00293098">
              <w:rPr>
                <w:rFonts w:cs="Arial"/>
                <w:color w:val="000000"/>
                <w:sz w:val="16"/>
                <w:szCs w:val="16"/>
                <w:lang w:eastAsia="en-AU"/>
              </w:rPr>
              <w:t>Western Health</w:t>
            </w:r>
          </w:p>
        </w:tc>
        <w:tc>
          <w:tcPr>
            <w:tcW w:w="2127" w:type="dxa"/>
            <w:noWrap/>
            <w:hideMark/>
          </w:tcPr>
          <w:p w14:paraId="24CD81C6" w14:textId="77777777" w:rsidR="00293098" w:rsidRPr="00293098" w:rsidRDefault="00293098" w:rsidP="00293098">
            <w:pPr>
              <w:spacing w:after="0" w:line="240" w:lineRule="auto"/>
              <w:jc w:val="right"/>
              <w:rPr>
                <w:rFonts w:cs="Arial"/>
                <w:color w:val="000000"/>
                <w:sz w:val="16"/>
                <w:szCs w:val="16"/>
                <w:lang w:eastAsia="en-AU"/>
              </w:rPr>
            </w:pPr>
            <w:r w:rsidRPr="00293098">
              <w:rPr>
                <w:rFonts w:cs="Arial"/>
                <w:color w:val="000000"/>
                <w:sz w:val="16"/>
                <w:szCs w:val="16"/>
                <w:lang w:eastAsia="en-AU"/>
              </w:rPr>
              <w:t>1,026.13</w:t>
            </w:r>
          </w:p>
        </w:tc>
      </w:tr>
      <w:tr w:rsidR="00293098" w:rsidRPr="00293098" w14:paraId="08ABAC5D" w14:textId="77777777" w:rsidTr="005826E3">
        <w:trPr>
          <w:trHeight w:val="288"/>
        </w:trPr>
        <w:tc>
          <w:tcPr>
            <w:tcW w:w="3964" w:type="dxa"/>
            <w:shd w:val="clear" w:color="auto" w:fill="201547"/>
            <w:noWrap/>
            <w:hideMark/>
          </w:tcPr>
          <w:p w14:paraId="213D876E" w14:textId="77777777" w:rsidR="00293098" w:rsidRPr="00293098" w:rsidRDefault="00293098" w:rsidP="00293098">
            <w:pPr>
              <w:spacing w:after="0" w:line="240" w:lineRule="auto"/>
              <w:rPr>
                <w:rFonts w:cs="Arial"/>
                <w:b/>
                <w:bCs/>
                <w:color w:val="FFFFFF"/>
                <w:sz w:val="16"/>
                <w:szCs w:val="16"/>
                <w:lang w:eastAsia="en-AU"/>
              </w:rPr>
            </w:pPr>
            <w:r w:rsidRPr="00293098">
              <w:rPr>
                <w:rFonts w:cs="Arial"/>
                <w:b/>
                <w:bCs/>
                <w:color w:val="FFFFFF"/>
                <w:sz w:val="16"/>
                <w:szCs w:val="16"/>
                <w:lang w:eastAsia="en-AU"/>
              </w:rPr>
              <w:t>Total</w:t>
            </w:r>
          </w:p>
        </w:tc>
        <w:tc>
          <w:tcPr>
            <w:tcW w:w="2127" w:type="dxa"/>
            <w:shd w:val="clear" w:color="auto" w:fill="201547"/>
            <w:noWrap/>
            <w:hideMark/>
          </w:tcPr>
          <w:p w14:paraId="50813A70" w14:textId="77777777" w:rsidR="00293098" w:rsidRPr="00293098" w:rsidRDefault="00293098" w:rsidP="00293098">
            <w:pPr>
              <w:spacing w:after="0" w:line="240" w:lineRule="auto"/>
              <w:jc w:val="right"/>
              <w:rPr>
                <w:rFonts w:cs="Arial"/>
                <w:b/>
                <w:bCs/>
                <w:color w:val="FFFFFF"/>
                <w:sz w:val="16"/>
                <w:szCs w:val="16"/>
                <w:lang w:eastAsia="en-AU"/>
              </w:rPr>
            </w:pPr>
            <w:r w:rsidRPr="00293098">
              <w:rPr>
                <w:rFonts w:cs="Arial"/>
                <w:b/>
                <w:bCs/>
                <w:color w:val="FFFFFF"/>
                <w:sz w:val="16"/>
                <w:szCs w:val="16"/>
                <w:lang w:eastAsia="en-AU"/>
              </w:rPr>
              <w:t>9,252.52</w:t>
            </w:r>
          </w:p>
        </w:tc>
      </w:tr>
    </w:tbl>
    <w:p w14:paraId="2B9B1E4E" w14:textId="77777777" w:rsidR="00EF68BF" w:rsidRDefault="00EF68BF" w:rsidP="00B92CD4">
      <w:pPr>
        <w:pStyle w:val="Body"/>
      </w:pPr>
    </w:p>
    <w:p w14:paraId="357CFDC3" w14:textId="57E2801D" w:rsidR="006B731F" w:rsidRDefault="006B731F" w:rsidP="003C01AD">
      <w:pPr>
        <w:pStyle w:val="Heading3"/>
        <w:spacing w:before="240"/>
        <w:rPr>
          <w:rFonts w:eastAsia="Times New Roman"/>
        </w:rPr>
      </w:pPr>
      <w:bookmarkStart w:id="1347" w:name="_Toc127192031"/>
      <w:bookmarkStart w:id="1348" w:name="_Toc12780676"/>
      <w:bookmarkStart w:id="1349" w:name="_Toc14172317"/>
      <w:bookmarkStart w:id="1350" w:name="_Toc33703991"/>
      <w:bookmarkStart w:id="1351" w:name="_Toc55381179"/>
      <w:bookmarkStart w:id="1352" w:name="_Toc100263383"/>
      <w:r>
        <w:rPr>
          <w:rFonts w:eastAsia="Times New Roman"/>
        </w:rPr>
        <w:t>Non-Admitted Episode Targets – Community Palliative Care</w:t>
      </w:r>
      <w:bookmarkEnd w:id="1347"/>
    </w:p>
    <w:p w14:paraId="0C954BB4" w14:textId="77777777" w:rsidR="006B731F" w:rsidRDefault="006B731F" w:rsidP="006B731F">
      <w:pPr>
        <w:pStyle w:val="Tablenoteroman"/>
        <w:numPr>
          <w:ilvl w:val="0"/>
          <w:numId w:val="0"/>
        </w:numPr>
        <w:tabs>
          <w:tab w:val="left" w:pos="720"/>
        </w:tabs>
        <w:ind w:left="397" w:hanging="397"/>
        <w:rPr>
          <w:lang w:eastAsia="en-AU"/>
        </w:rPr>
      </w:pPr>
      <w:r>
        <w:rPr>
          <w:lang w:eastAsia="en-AU"/>
        </w:rPr>
        <w:t>Notes:</w:t>
      </w:r>
    </w:p>
    <w:p w14:paraId="5685ED84" w14:textId="77777777" w:rsidR="006B731F" w:rsidRDefault="006B731F" w:rsidP="00871D84">
      <w:pPr>
        <w:pStyle w:val="Tablenoteroman"/>
        <w:numPr>
          <w:ilvl w:val="0"/>
          <w:numId w:val="54"/>
        </w:numPr>
        <w:tabs>
          <w:tab w:val="clear" w:pos="720"/>
        </w:tabs>
        <w:rPr>
          <w:lang w:eastAsia="en-AU"/>
        </w:rPr>
      </w:pPr>
      <w:r>
        <w:rPr>
          <w:lang w:eastAsia="en-AU"/>
        </w:rPr>
        <w:t>In 2022-23, community palliative care will move from targets based on contacts to episodes of care.</w:t>
      </w:r>
    </w:p>
    <w:p w14:paraId="6AF5B279" w14:textId="77777777" w:rsidR="006B731F" w:rsidRDefault="006B731F" w:rsidP="006B731F">
      <w:pPr>
        <w:pStyle w:val="Tablecaption"/>
      </w:pPr>
      <w:bookmarkStart w:id="1353" w:name="_Toc111454852"/>
      <w:r>
        <w:t>Table 2.19 Community Palliative Care - New episodes for distinct clients 2022–23</w:t>
      </w:r>
      <w:bookmarkEnd w:id="1353"/>
    </w:p>
    <w:tbl>
      <w:tblPr>
        <w:tblW w:w="6516" w:type="dxa"/>
        <w:tblCellMar>
          <w:left w:w="0" w:type="dxa"/>
          <w:right w:w="0" w:type="dxa"/>
        </w:tblCellMar>
        <w:tblLook w:val="04A0" w:firstRow="1" w:lastRow="0" w:firstColumn="1" w:lastColumn="0" w:noHBand="0" w:noVBand="1"/>
      </w:tblPr>
      <w:tblGrid>
        <w:gridCol w:w="3964"/>
        <w:gridCol w:w="2552"/>
      </w:tblGrid>
      <w:tr w:rsidR="006B731F" w14:paraId="72259300" w14:textId="77777777" w:rsidTr="005F3704">
        <w:trPr>
          <w:tblHeader/>
        </w:trPr>
        <w:tc>
          <w:tcPr>
            <w:tcW w:w="3964" w:type="dxa"/>
            <w:tcBorders>
              <w:top w:val="single" w:sz="8" w:space="0" w:color="auto"/>
              <w:left w:val="single" w:sz="8" w:space="0" w:color="auto"/>
              <w:bottom w:val="single" w:sz="8" w:space="0" w:color="auto"/>
              <w:right w:val="single" w:sz="8" w:space="0" w:color="auto"/>
            </w:tcBorders>
            <w:shd w:val="clear" w:color="auto" w:fill="201547"/>
            <w:tcMar>
              <w:top w:w="0" w:type="dxa"/>
              <w:left w:w="57" w:type="dxa"/>
              <w:bottom w:w="0" w:type="dxa"/>
              <w:right w:w="57" w:type="dxa"/>
            </w:tcMar>
            <w:hideMark/>
          </w:tcPr>
          <w:p w14:paraId="6ECCBDC5" w14:textId="77777777" w:rsidR="006B731F" w:rsidRDefault="006B731F">
            <w:pPr>
              <w:pStyle w:val="Tablecolhead8pt"/>
            </w:pPr>
            <w:r>
              <w:t>Health service/Organisation</w:t>
            </w:r>
          </w:p>
        </w:tc>
        <w:tc>
          <w:tcPr>
            <w:tcW w:w="2552" w:type="dxa"/>
            <w:tcBorders>
              <w:top w:val="single" w:sz="8" w:space="0" w:color="auto"/>
              <w:left w:val="nil"/>
              <w:bottom w:val="single" w:sz="8" w:space="0" w:color="auto"/>
              <w:right w:val="single" w:sz="8" w:space="0" w:color="auto"/>
            </w:tcBorders>
            <w:shd w:val="clear" w:color="auto" w:fill="201547"/>
            <w:tcMar>
              <w:top w:w="0" w:type="dxa"/>
              <w:left w:w="57" w:type="dxa"/>
              <w:bottom w:w="0" w:type="dxa"/>
              <w:right w:w="57" w:type="dxa"/>
            </w:tcMar>
            <w:hideMark/>
          </w:tcPr>
          <w:p w14:paraId="3F992B79" w14:textId="77777777" w:rsidR="006B731F" w:rsidRDefault="006B731F">
            <w:pPr>
              <w:pStyle w:val="Tablecolhead8pt"/>
              <w:jc w:val="right"/>
            </w:pPr>
            <w:r>
              <w:t xml:space="preserve">Annual target </w:t>
            </w:r>
          </w:p>
        </w:tc>
      </w:tr>
    </w:tbl>
    <w:p w14:paraId="2685633C" w14:textId="77777777" w:rsidR="006B731F" w:rsidRDefault="006B731F" w:rsidP="006B731F">
      <w:pPr>
        <w:rPr>
          <w:rFonts w:ascii="Calibri" w:eastAsiaTheme="minorHAnsi" w:hAnsi="Calibri" w:cs="Calibri"/>
          <w:vanish/>
          <w:sz w:val="22"/>
          <w:szCs w:val="22"/>
          <w:lang w:eastAsia="en-AU"/>
        </w:rPr>
      </w:pPr>
    </w:p>
    <w:tbl>
      <w:tblPr>
        <w:tblW w:w="6516" w:type="dxa"/>
        <w:tblCellMar>
          <w:left w:w="0" w:type="dxa"/>
          <w:right w:w="0" w:type="dxa"/>
        </w:tblCellMar>
        <w:tblLook w:val="04A0" w:firstRow="1" w:lastRow="0" w:firstColumn="1" w:lastColumn="0" w:noHBand="0" w:noVBand="1"/>
      </w:tblPr>
      <w:tblGrid>
        <w:gridCol w:w="3964"/>
        <w:gridCol w:w="21"/>
        <w:gridCol w:w="2531"/>
      </w:tblGrid>
      <w:tr w:rsidR="006B731F" w14:paraId="7D0518A6" w14:textId="77777777" w:rsidTr="006B731F">
        <w:trPr>
          <w:trHeight w:hRule="exact" w:val="312"/>
        </w:trPr>
        <w:tc>
          <w:tcPr>
            <w:tcW w:w="398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AE91" w14:textId="77777777" w:rsidR="006B731F" w:rsidRDefault="006B731F">
            <w:pPr>
              <w:pStyle w:val="Tabletext8pt"/>
            </w:pPr>
            <w:r>
              <w:t>Albury Wodonga Health</w:t>
            </w:r>
          </w:p>
        </w:tc>
        <w:tc>
          <w:tcPr>
            <w:tcW w:w="253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01CC3D" w14:textId="77777777" w:rsidR="006B731F" w:rsidRDefault="006B731F">
            <w:pPr>
              <w:pStyle w:val="Tabletext8pt"/>
              <w:jc w:val="right"/>
            </w:pPr>
            <w:r>
              <w:rPr>
                <w:color w:val="000000"/>
              </w:rPr>
              <w:t>222</w:t>
            </w:r>
          </w:p>
        </w:tc>
      </w:tr>
      <w:tr w:rsidR="006B731F" w14:paraId="763919F3"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8F8600" w14:textId="77777777" w:rsidR="006B731F" w:rsidRDefault="006B731F">
            <w:pPr>
              <w:pStyle w:val="Tabletext8pt"/>
            </w:pPr>
            <w:r>
              <w:t>Bairnsdale Regional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1484D7" w14:textId="77777777" w:rsidR="006B731F" w:rsidRDefault="006B731F">
            <w:pPr>
              <w:pStyle w:val="Tabletext8pt"/>
              <w:jc w:val="right"/>
            </w:pPr>
            <w:r>
              <w:rPr>
                <w:color w:val="000000"/>
              </w:rPr>
              <w:t>73</w:t>
            </w:r>
          </w:p>
        </w:tc>
      </w:tr>
      <w:tr w:rsidR="006B731F" w14:paraId="60FFEF56"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A5640F" w14:textId="77777777" w:rsidR="006B731F" w:rsidRDefault="006B731F">
            <w:pPr>
              <w:pStyle w:val="Tabletext8pt"/>
            </w:pPr>
            <w:r>
              <w:t>Ballarat Hospice Care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FC52C3" w14:textId="77777777" w:rsidR="006B731F" w:rsidRDefault="006B731F">
            <w:pPr>
              <w:pStyle w:val="Tabletext8pt"/>
              <w:jc w:val="right"/>
            </w:pPr>
            <w:r>
              <w:rPr>
                <w:color w:val="000000"/>
              </w:rPr>
              <w:t>381</w:t>
            </w:r>
          </w:p>
        </w:tc>
      </w:tr>
      <w:tr w:rsidR="006B731F" w14:paraId="60387D7C"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8D90AE" w14:textId="77777777" w:rsidR="006B731F" w:rsidRDefault="006B731F">
            <w:pPr>
              <w:pStyle w:val="Tabletext8pt"/>
            </w:pPr>
            <w:r>
              <w:t>Banksia Palliative Care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F44644" w14:textId="77777777" w:rsidR="006B731F" w:rsidRDefault="006B731F">
            <w:pPr>
              <w:pStyle w:val="Tabletext8pt"/>
              <w:jc w:val="right"/>
            </w:pPr>
            <w:r>
              <w:rPr>
                <w:color w:val="000000"/>
              </w:rPr>
              <w:t>951</w:t>
            </w:r>
          </w:p>
        </w:tc>
      </w:tr>
      <w:tr w:rsidR="006B731F" w14:paraId="0DB1DBC7"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32F5A1" w14:textId="77777777" w:rsidR="006B731F" w:rsidRDefault="006B731F">
            <w:pPr>
              <w:pStyle w:val="Tabletext8pt"/>
            </w:pPr>
            <w:r>
              <w:t>Barwon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061DCC" w14:textId="77777777" w:rsidR="006B731F" w:rsidRDefault="006B731F">
            <w:pPr>
              <w:pStyle w:val="Tabletext8pt"/>
              <w:jc w:val="right"/>
            </w:pPr>
            <w:r>
              <w:rPr>
                <w:color w:val="000000"/>
              </w:rPr>
              <w:t>578</w:t>
            </w:r>
          </w:p>
        </w:tc>
      </w:tr>
      <w:tr w:rsidR="006B731F" w14:paraId="1624984B"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490B66" w14:textId="77777777" w:rsidR="006B731F" w:rsidRDefault="006B731F">
            <w:pPr>
              <w:pStyle w:val="Tabletext8pt"/>
            </w:pPr>
            <w:r>
              <w:t>Bass Coast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474B68" w14:textId="77777777" w:rsidR="006B731F" w:rsidRDefault="006B731F">
            <w:pPr>
              <w:pStyle w:val="Tabletext8pt"/>
              <w:jc w:val="right"/>
            </w:pPr>
            <w:r>
              <w:rPr>
                <w:color w:val="000000"/>
              </w:rPr>
              <w:t>83</w:t>
            </w:r>
          </w:p>
        </w:tc>
      </w:tr>
      <w:tr w:rsidR="006B731F" w14:paraId="77888047"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F341FA" w14:textId="77777777" w:rsidR="006B731F" w:rsidRDefault="006B731F">
            <w:pPr>
              <w:pStyle w:val="Tabletext8pt"/>
            </w:pPr>
            <w:r>
              <w:t>Bellarine Community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36C74C" w14:textId="77777777" w:rsidR="006B731F" w:rsidRDefault="006B731F">
            <w:pPr>
              <w:pStyle w:val="Tabletext8pt"/>
              <w:jc w:val="right"/>
            </w:pPr>
            <w:r>
              <w:rPr>
                <w:color w:val="000000"/>
              </w:rPr>
              <w:t>153</w:t>
            </w:r>
          </w:p>
        </w:tc>
      </w:tr>
      <w:tr w:rsidR="006B731F" w14:paraId="49BF779D"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AE238C" w14:textId="77777777" w:rsidR="006B731F" w:rsidRDefault="006B731F">
            <w:pPr>
              <w:pStyle w:val="Tabletext8pt"/>
            </w:pPr>
            <w:r>
              <w:t>Benalla and District Memorial Hospital</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96802A" w14:textId="77777777" w:rsidR="006B731F" w:rsidRDefault="006B731F">
            <w:pPr>
              <w:pStyle w:val="Tabletext8pt"/>
              <w:jc w:val="right"/>
            </w:pPr>
            <w:r>
              <w:rPr>
                <w:color w:val="000000"/>
              </w:rPr>
              <w:t>131</w:t>
            </w:r>
          </w:p>
        </w:tc>
      </w:tr>
      <w:tr w:rsidR="006B731F" w14:paraId="6D8FD202"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5CB041" w14:textId="77777777" w:rsidR="006B731F" w:rsidRDefault="006B731F">
            <w:pPr>
              <w:pStyle w:val="Tabletext8pt"/>
            </w:pPr>
            <w:r>
              <w:t>Bendigo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E28EDE" w14:textId="77777777" w:rsidR="006B731F" w:rsidRDefault="006B731F">
            <w:pPr>
              <w:pStyle w:val="Tabletext8pt"/>
              <w:jc w:val="right"/>
            </w:pPr>
            <w:r>
              <w:rPr>
                <w:color w:val="000000"/>
              </w:rPr>
              <w:t>339</w:t>
            </w:r>
          </w:p>
        </w:tc>
      </w:tr>
      <w:tr w:rsidR="006B731F" w14:paraId="5FC123B1"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787E34" w14:textId="77777777" w:rsidR="006B731F" w:rsidRDefault="006B731F">
            <w:pPr>
              <w:pStyle w:val="Tabletext8pt"/>
            </w:pPr>
            <w:r>
              <w:t>Calvary Health Care Bethlehem</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8E64E3" w14:textId="77777777" w:rsidR="006B731F" w:rsidRDefault="006B731F">
            <w:pPr>
              <w:pStyle w:val="Tabletext8pt"/>
              <w:jc w:val="right"/>
            </w:pPr>
            <w:r>
              <w:rPr>
                <w:color w:val="000000"/>
              </w:rPr>
              <w:t>1188</w:t>
            </w:r>
          </w:p>
        </w:tc>
      </w:tr>
      <w:tr w:rsidR="006B731F" w14:paraId="3F690F96"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83253B" w14:textId="77777777" w:rsidR="006B731F" w:rsidRDefault="006B731F">
            <w:pPr>
              <w:pStyle w:val="Tabletext8pt"/>
            </w:pPr>
            <w:r>
              <w:t>Castlemaine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37F970" w14:textId="77777777" w:rsidR="006B731F" w:rsidRDefault="006B731F">
            <w:pPr>
              <w:pStyle w:val="Tabletext8pt"/>
              <w:jc w:val="right"/>
            </w:pPr>
            <w:r>
              <w:rPr>
                <w:color w:val="000000"/>
              </w:rPr>
              <w:t>55</w:t>
            </w:r>
          </w:p>
        </w:tc>
      </w:tr>
      <w:tr w:rsidR="006B731F" w14:paraId="0847F3BF"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87B56D" w14:textId="77777777" w:rsidR="006B731F" w:rsidRDefault="006B731F">
            <w:pPr>
              <w:pStyle w:val="Tabletext8pt"/>
            </w:pPr>
            <w:r>
              <w:t>Central Gippsland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47D876" w14:textId="77777777" w:rsidR="006B731F" w:rsidRDefault="006B731F">
            <w:pPr>
              <w:pStyle w:val="Tabletext8pt"/>
              <w:jc w:val="right"/>
            </w:pPr>
            <w:r>
              <w:rPr>
                <w:color w:val="000000"/>
              </w:rPr>
              <w:t>133</w:t>
            </w:r>
          </w:p>
        </w:tc>
      </w:tr>
      <w:tr w:rsidR="006B731F" w14:paraId="16BF740F"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5EA7CC" w14:textId="77777777" w:rsidR="006B731F" w:rsidRDefault="006B731F">
            <w:pPr>
              <w:pStyle w:val="Tabletext8pt"/>
            </w:pPr>
            <w:r>
              <w:t>Colac Area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582CE8" w14:textId="77777777" w:rsidR="006B731F" w:rsidRDefault="006B731F">
            <w:pPr>
              <w:pStyle w:val="Tabletext8pt"/>
              <w:jc w:val="right"/>
            </w:pPr>
            <w:r>
              <w:rPr>
                <w:color w:val="000000"/>
              </w:rPr>
              <w:t>77</w:t>
            </w:r>
          </w:p>
        </w:tc>
      </w:tr>
      <w:tr w:rsidR="005F3704" w14:paraId="26830ED3" w14:textId="77777777" w:rsidTr="00B3492A">
        <w:trPr>
          <w:tblHeader/>
        </w:trPr>
        <w:tc>
          <w:tcPr>
            <w:tcW w:w="3964" w:type="dxa"/>
            <w:tcBorders>
              <w:top w:val="single" w:sz="8" w:space="0" w:color="auto"/>
              <w:left w:val="single" w:sz="8" w:space="0" w:color="auto"/>
              <w:bottom w:val="single" w:sz="8" w:space="0" w:color="auto"/>
              <w:right w:val="single" w:sz="8" w:space="0" w:color="auto"/>
            </w:tcBorders>
            <w:shd w:val="clear" w:color="auto" w:fill="201547"/>
            <w:tcMar>
              <w:top w:w="0" w:type="dxa"/>
              <w:left w:w="57" w:type="dxa"/>
              <w:bottom w:w="0" w:type="dxa"/>
              <w:right w:w="57" w:type="dxa"/>
            </w:tcMar>
            <w:hideMark/>
          </w:tcPr>
          <w:p w14:paraId="63CA8309" w14:textId="77777777" w:rsidR="005F3704" w:rsidRDefault="005F3704" w:rsidP="00B3492A">
            <w:pPr>
              <w:pStyle w:val="Tablecolhead8pt"/>
            </w:pPr>
            <w:r>
              <w:t>Health service/Organisation</w:t>
            </w:r>
          </w:p>
        </w:tc>
        <w:tc>
          <w:tcPr>
            <w:tcW w:w="2552" w:type="dxa"/>
            <w:gridSpan w:val="2"/>
            <w:tcBorders>
              <w:top w:val="single" w:sz="8" w:space="0" w:color="auto"/>
              <w:left w:val="nil"/>
              <w:bottom w:val="single" w:sz="8" w:space="0" w:color="auto"/>
              <w:right w:val="single" w:sz="8" w:space="0" w:color="auto"/>
            </w:tcBorders>
            <w:shd w:val="clear" w:color="auto" w:fill="201547"/>
            <w:tcMar>
              <w:top w:w="0" w:type="dxa"/>
              <w:left w:w="57" w:type="dxa"/>
              <w:bottom w:w="0" w:type="dxa"/>
              <w:right w:w="57" w:type="dxa"/>
            </w:tcMar>
            <w:hideMark/>
          </w:tcPr>
          <w:p w14:paraId="6B11D772" w14:textId="77777777" w:rsidR="005F3704" w:rsidRDefault="005F3704" w:rsidP="00B3492A">
            <w:pPr>
              <w:pStyle w:val="Tablecolhead8pt"/>
              <w:jc w:val="right"/>
            </w:pPr>
            <w:r>
              <w:t xml:space="preserve">Annual target </w:t>
            </w:r>
          </w:p>
        </w:tc>
      </w:tr>
      <w:tr w:rsidR="006B731F" w14:paraId="68714F33"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D42AA1" w14:textId="77777777" w:rsidR="006B731F" w:rsidRDefault="006B731F">
            <w:pPr>
              <w:pStyle w:val="Tabletext8pt"/>
            </w:pPr>
            <w:r>
              <w:t>East Grampians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7451C1" w14:textId="77777777" w:rsidR="006B731F" w:rsidRDefault="006B731F">
            <w:pPr>
              <w:pStyle w:val="Tabletext8pt"/>
              <w:jc w:val="right"/>
            </w:pPr>
            <w:r>
              <w:rPr>
                <w:color w:val="000000"/>
              </w:rPr>
              <w:t>109</w:t>
            </w:r>
          </w:p>
        </w:tc>
      </w:tr>
      <w:tr w:rsidR="006B731F" w14:paraId="1AAFF6D0"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83B8E" w14:textId="77777777" w:rsidR="006B731F" w:rsidRDefault="006B731F">
            <w:pPr>
              <w:pStyle w:val="Tabletext8pt"/>
            </w:pPr>
            <w:r>
              <w:t xml:space="preserve">Eastern Palliative Care </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11A33C" w14:textId="77777777" w:rsidR="006B731F" w:rsidRDefault="006B731F">
            <w:pPr>
              <w:pStyle w:val="Tabletext8pt"/>
              <w:jc w:val="right"/>
            </w:pPr>
            <w:r>
              <w:rPr>
                <w:color w:val="000000"/>
              </w:rPr>
              <w:t>2536</w:t>
            </w:r>
          </w:p>
        </w:tc>
      </w:tr>
      <w:tr w:rsidR="006B731F" w14:paraId="029A3C62"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9C3E03" w14:textId="77777777" w:rsidR="006B731F" w:rsidRDefault="006B731F">
            <w:pPr>
              <w:pStyle w:val="Tabletext8pt"/>
            </w:pPr>
            <w:r>
              <w:t>Echuca Regional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03D89F" w14:textId="77777777" w:rsidR="006B731F" w:rsidRDefault="006B731F">
            <w:pPr>
              <w:pStyle w:val="Tabletext8pt"/>
              <w:jc w:val="right"/>
            </w:pPr>
            <w:r>
              <w:rPr>
                <w:color w:val="000000"/>
              </w:rPr>
              <w:t>144</w:t>
            </w:r>
          </w:p>
        </w:tc>
      </w:tr>
      <w:tr w:rsidR="006B731F" w14:paraId="711D9C40"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0B2F4D" w14:textId="77777777" w:rsidR="006B731F" w:rsidRDefault="006B731F">
            <w:pPr>
              <w:pStyle w:val="Tabletext8pt"/>
            </w:pPr>
            <w:r>
              <w:t>Gippsland Lakes Community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22838E" w14:textId="0F3A1DD1" w:rsidR="006B731F" w:rsidRDefault="00AC6AAD">
            <w:pPr>
              <w:pStyle w:val="Tabletext8pt"/>
              <w:jc w:val="right"/>
            </w:pPr>
            <w:r>
              <w:rPr>
                <w:color w:val="000000"/>
              </w:rPr>
              <w:t>170</w:t>
            </w:r>
          </w:p>
        </w:tc>
      </w:tr>
      <w:tr w:rsidR="006B731F" w14:paraId="099DF13C"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002FE6" w14:textId="77777777" w:rsidR="006B731F" w:rsidRDefault="006B731F">
            <w:pPr>
              <w:pStyle w:val="Tabletext8pt"/>
            </w:pPr>
            <w:r>
              <w:t>Gippsland Southern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3A4CB7" w14:textId="77777777" w:rsidR="006B731F" w:rsidRDefault="006B731F">
            <w:pPr>
              <w:pStyle w:val="Tabletext8pt"/>
              <w:jc w:val="right"/>
            </w:pPr>
            <w:r>
              <w:rPr>
                <w:color w:val="000000"/>
              </w:rPr>
              <w:t>81</w:t>
            </w:r>
          </w:p>
        </w:tc>
      </w:tr>
      <w:tr w:rsidR="006B731F" w14:paraId="50FB0F8D"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3C3BBB" w14:textId="77777777" w:rsidR="006B731F" w:rsidRDefault="006B731F">
            <w:pPr>
              <w:pStyle w:val="Tabletext8pt"/>
            </w:pPr>
            <w:r>
              <w:t>Goulburn Valley Hospice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CC1980" w14:textId="77777777" w:rsidR="006B731F" w:rsidRDefault="006B731F">
            <w:pPr>
              <w:pStyle w:val="Tabletext8pt"/>
              <w:jc w:val="right"/>
            </w:pPr>
            <w:r>
              <w:rPr>
                <w:color w:val="000000"/>
              </w:rPr>
              <w:t>230</w:t>
            </w:r>
          </w:p>
        </w:tc>
      </w:tr>
      <w:tr w:rsidR="006B731F" w14:paraId="7DDC20FD"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907C13" w14:textId="77777777" w:rsidR="006B731F" w:rsidRDefault="006B731F">
            <w:pPr>
              <w:pStyle w:val="Tabletext8pt"/>
            </w:pPr>
            <w:r>
              <w:t>Grampians Health (Wimmera Health Care Group)</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F4B54D" w14:textId="77777777" w:rsidR="006B731F" w:rsidRDefault="006B731F">
            <w:pPr>
              <w:pStyle w:val="Tabletext8pt"/>
              <w:jc w:val="right"/>
            </w:pPr>
            <w:r>
              <w:rPr>
                <w:color w:val="000000"/>
              </w:rPr>
              <w:t>149</w:t>
            </w:r>
          </w:p>
        </w:tc>
      </w:tr>
      <w:tr w:rsidR="006B731F" w14:paraId="377B5932"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EA77D6" w14:textId="77777777" w:rsidR="006B731F" w:rsidRDefault="006B731F">
            <w:pPr>
              <w:pStyle w:val="Tabletext8pt"/>
            </w:pPr>
            <w:r>
              <w:t>Kyneton District Health (Central Highlands)</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03EBD6" w14:textId="77777777" w:rsidR="006B731F" w:rsidRDefault="006B731F">
            <w:pPr>
              <w:pStyle w:val="Tabletext8pt"/>
              <w:jc w:val="right"/>
            </w:pPr>
            <w:r>
              <w:rPr>
                <w:color w:val="000000"/>
              </w:rPr>
              <w:t>131</w:t>
            </w:r>
          </w:p>
        </w:tc>
      </w:tr>
      <w:tr w:rsidR="006B731F" w14:paraId="1DDF7953"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199A0D" w14:textId="77777777" w:rsidR="006B731F" w:rsidRDefault="006B731F">
            <w:pPr>
              <w:pStyle w:val="Tabletext8pt"/>
            </w:pPr>
            <w:r>
              <w:t>Latrobe Community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3791C0" w14:textId="77777777" w:rsidR="006B731F" w:rsidRDefault="006B731F">
            <w:pPr>
              <w:pStyle w:val="Tabletext8pt"/>
              <w:jc w:val="right"/>
            </w:pPr>
            <w:r>
              <w:rPr>
                <w:color w:val="000000"/>
              </w:rPr>
              <w:t>190</w:t>
            </w:r>
          </w:p>
        </w:tc>
      </w:tr>
      <w:tr w:rsidR="006B731F" w14:paraId="44CBBB9A"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3E2152" w14:textId="77777777" w:rsidR="006B731F" w:rsidRDefault="006B731F">
            <w:pPr>
              <w:pStyle w:val="Tabletext8pt"/>
            </w:pPr>
            <w:r>
              <w:t>Maryborough District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911B28" w14:textId="77777777" w:rsidR="006B731F" w:rsidRDefault="006B731F">
            <w:pPr>
              <w:pStyle w:val="Tabletext8pt"/>
              <w:jc w:val="right"/>
            </w:pPr>
            <w:r>
              <w:rPr>
                <w:color w:val="000000"/>
              </w:rPr>
              <w:t>39</w:t>
            </w:r>
          </w:p>
        </w:tc>
      </w:tr>
      <w:tr w:rsidR="006B731F" w14:paraId="2AB34F34"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8D644" w14:textId="77777777" w:rsidR="006B731F" w:rsidRDefault="006B731F">
            <w:pPr>
              <w:pStyle w:val="Tabletext8pt"/>
            </w:pPr>
            <w:r>
              <w:t>Melbourne City Mission</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70C7F1" w14:textId="77777777" w:rsidR="006B731F" w:rsidRDefault="006B731F">
            <w:pPr>
              <w:pStyle w:val="Tabletext8pt"/>
              <w:jc w:val="right"/>
            </w:pPr>
            <w:r>
              <w:rPr>
                <w:color w:val="000000"/>
              </w:rPr>
              <w:t>1418</w:t>
            </w:r>
          </w:p>
        </w:tc>
      </w:tr>
      <w:tr w:rsidR="006B731F" w14:paraId="53F13A3A"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F251E3" w14:textId="77777777" w:rsidR="006B731F" w:rsidRDefault="006B731F">
            <w:pPr>
              <w:pStyle w:val="Tabletext8pt"/>
            </w:pPr>
            <w:r>
              <w:t>Mercy Palliative Care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3C3CB1" w14:textId="77777777" w:rsidR="006B731F" w:rsidRDefault="006B731F">
            <w:pPr>
              <w:pStyle w:val="Tabletext8pt"/>
              <w:jc w:val="right"/>
            </w:pPr>
            <w:r>
              <w:rPr>
                <w:color w:val="000000"/>
              </w:rPr>
              <w:t>2222</w:t>
            </w:r>
          </w:p>
        </w:tc>
      </w:tr>
      <w:tr w:rsidR="006B731F" w14:paraId="62161E6C"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539A6F" w14:textId="77777777" w:rsidR="006B731F" w:rsidRDefault="006B731F">
            <w:pPr>
              <w:pStyle w:val="Tabletext8pt"/>
            </w:pPr>
            <w:r>
              <w:t>North East Health Wangaratta</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588C95" w14:textId="77777777" w:rsidR="006B731F" w:rsidRDefault="006B731F">
            <w:pPr>
              <w:pStyle w:val="Tabletext8pt"/>
              <w:jc w:val="right"/>
            </w:pPr>
            <w:r>
              <w:rPr>
                <w:color w:val="000000"/>
              </w:rPr>
              <w:t>211</w:t>
            </w:r>
          </w:p>
        </w:tc>
      </w:tr>
      <w:tr w:rsidR="006B731F" w14:paraId="542EB4CC"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99FD77" w14:textId="77777777" w:rsidR="006B731F" w:rsidRDefault="006B731F">
            <w:pPr>
              <w:pStyle w:val="Tabletext8pt"/>
            </w:pPr>
            <w:r>
              <w:t>NCN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9D64BD" w14:textId="77777777" w:rsidR="006B731F" w:rsidRDefault="006B731F">
            <w:pPr>
              <w:pStyle w:val="Tabletext8pt"/>
              <w:jc w:val="right"/>
            </w:pPr>
            <w:r>
              <w:rPr>
                <w:color w:val="000000"/>
              </w:rPr>
              <w:t>111</w:t>
            </w:r>
          </w:p>
        </w:tc>
      </w:tr>
      <w:tr w:rsidR="006B731F" w14:paraId="2552D586"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DAE5FB" w14:textId="77777777" w:rsidR="006B731F" w:rsidRDefault="006B731F">
            <w:pPr>
              <w:pStyle w:val="Tabletext8pt"/>
            </w:pPr>
            <w:r>
              <w:t>Peninsula Home Hospice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B588ED" w14:textId="77777777" w:rsidR="006B731F" w:rsidRDefault="006B731F">
            <w:pPr>
              <w:pStyle w:val="Tabletext8pt"/>
              <w:jc w:val="right"/>
            </w:pPr>
            <w:r>
              <w:rPr>
                <w:color w:val="000000"/>
              </w:rPr>
              <w:t>805</w:t>
            </w:r>
          </w:p>
        </w:tc>
      </w:tr>
      <w:tr w:rsidR="006B731F" w14:paraId="4E3FC38A"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63EF5" w14:textId="77777777" w:rsidR="006B731F" w:rsidRDefault="006B731F">
            <w:pPr>
              <w:pStyle w:val="Tabletext8pt"/>
            </w:pPr>
            <w:r>
              <w:t>Portland and District Hospital</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3A2F92" w14:textId="77777777" w:rsidR="006B731F" w:rsidRDefault="006B731F">
            <w:pPr>
              <w:pStyle w:val="Tabletext8pt"/>
              <w:jc w:val="right"/>
            </w:pPr>
            <w:r>
              <w:rPr>
                <w:color w:val="000000"/>
              </w:rPr>
              <w:t>52</w:t>
            </w:r>
          </w:p>
        </w:tc>
      </w:tr>
      <w:tr w:rsidR="006B731F" w14:paraId="2B93CD17"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3D5441" w14:textId="77777777" w:rsidR="006B731F" w:rsidRDefault="006B731F">
            <w:pPr>
              <w:pStyle w:val="Tabletext8pt"/>
            </w:pPr>
            <w:r>
              <w:t>Seymour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D63A9F" w14:textId="77777777" w:rsidR="006B731F" w:rsidRDefault="006B731F">
            <w:pPr>
              <w:pStyle w:val="Tabletext8pt"/>
              <w:jc w:val="right"/>
            </w:pPr>
            <w:r>
              <w:rPr>
                <w:color w:val="000000"/>
              </w:rPr>
              <w:t>165</w:t>
            </w:r>
          </w:p>
        </w:tc>
      </w:tr>
      <w:tr w:rsidR="006B731F" w14:paraId="019D1800"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2FB169" w14:textId="77777777" w:rsidR="006B731F" w:rsidRDefault="006B731F">
            <w:pPr>
              <w:pStyle w:val="Tabletext8pt"/>
            </w:pPr>
            <w:r>
              <w:t>Palliative Care South East</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B602FB" w14:textId="77777777" w:rsidR="006B731F" w:rsidRDefault="006B731F">
            <w:pPr>
              <w:pStyle w:val="Tabletext8pt"/>
              <w:jc w:val="right"/>
            </w:pPr>
            <w:r>
              <w:rPr>
                <w:color w:val="000000"/>
              </w:rPr>
              <w:t>1093</w:t>
            </w:r>
          </w:p>
        </w:tc>
      </w:tr>
      <w:tr w:rsidR="006B731F" w14:paraId="0EED487F"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AE700D" w14:textId="77777777" w:rsidR="006B731F" w:rsidRDefault="006B731F">
            <w:pPr>
              <w:pStyle w:val="Tabletext8pt"/>
            </w:pPr>
            <w:r>
              <w:t>Southwest Healthcare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0D511A" w14:textId="77777777" w:rsidR="006B731F" w:rsidRDefault="006B731F">
            <w:pPr>
              <w:pStyle w:val="Tabletext8pt"/>
              <w:jc w:val="right"/>
            </w:pPr>
            <w:r>
              <w:rPr>
                <w:color w:val="000000"/>
              </w:rPr>
              <w:t>251</w:t>
            </w:r>
          </w:p>
        </w:tc>
      </w:tr>
      <w:tr w:rsidR="006B731F" w14:paraId="5847B7C5"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02E69C" w14:textId="77777777" w:rsidR="006B731F" w:rsidRDefault="006B731F">
            <w:pPr>
              <w:pStyle w:val="Tabletext8pt"/>
            </w:pPr>
            <w:r>
              <w:t>Sunraysia Community Health Services</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55CA89" w14:textId="77777777" w:rsidR="006B731F" w:rsidRDefault="006B731F">
            <w:pPr>
              <w:pStyle w:val="Tabletext8pt"/>
              <w:jc w:val="right"/>
            </w:pPr>
            <w:r>
              <w:rPr>
                <w:color w:val="000000"/>
              </w:rPr>
              <w:t>202</w:t>
            </w:r>
          </w:p>
        </w:tc>
      </w:tr>
      <w:tr w:rsidR="006B731F" w14:paraId="20E06D9D"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61DDC7" w14:textId="77777777" w:rsidR="006B731F" w:rsidRDefault="006B731F">
            <w:pPr>
              <w:pStyle w:val="Tabletext8pt"/>
            </w:pPr>
            <w:r>
              <w:t>Swan Hill District Health</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85F3A3" w14:textId="77777777" w:rsidR="006B731F" w:rsidRDefault="006B731F">
            <w:pPr>
              <w:pStyle w:val="Tabletext8pt"/>
              <w:jc w:val="right"/>
            </w:pPr>
            <w:r>
              <w:rPr>
                <w:color w:val="000000"/>
              </w:rPr>
              <w:t>99</w:t>
            </w:r>
          </w:p>
        </w:tc>
      </w:tr>
      <w:tr w:rsidR="006B731F" w14:paraId="13014A14"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D9D8C1" w14:textId="77777777" w:rsidR="006B731F" w:rsidRDefault="006B731F">
            <w:pPr>
              <w:pStyle w:val="Tabletext8pt"/>
            </w:pPr>
            <w:r>
              <w:t xml:space="preserve">West Gippsland Healthcare Group </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5D5136" w14:textId="77777777" w:rsidR="006B731F" w:rsidRDefault="006B731F">
            <w:pPr>
              <w:pStyle w:val="Tabletext8pt"/>
              <w:jc w:val="right"/>
            </w:pPr>
            <w:r>
              <w:rPr>
                <w:color w:val="000000"/>
              </w:rPr>
              <w:t>129</w:t>
            </w:r>
          </w:p>
        </w:tc>
      </w:tr>
      <w:tr w:rsidR="006B731F" w14:paraId="1C5944BC"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83A35A" w14:textId="77777777" w:rsidR="006B731F" w:rsidRDefault="006B731F">
            <w:pPr>
              <w:pStyle w:val="Tabletext8pt"/>
            </w:pPr>
            <w:r>
              <w:t>Western District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1E957A" w14:textId="77777777" w:rsidR="006B731F" w:rsidRDefault="006B731F">
            <w:pPr>
              <w:pStyle w:val="Tabletext8pt"/>
              <w:jc w:val="right"/>
            </w:pPr>
            <w:r>
              <w:rPr>
                <w:color w:val="000000"/>
              </w:rPr>
              <w:t>67</w:t>
            </w:r>
          </w:p>
        </w:tc>
      </w:tr>
      <w:tr w:rsidR="006B731F" w14:paraId="2C7127A9"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AEAADA" w14:textId="77777777" w:rsidR="006B731F" w:rsidRDefault="006B731F">
            <w:pPr>
              <w:pStyle w:val="Tabletext8pt"/>
            </w:pPr>
            <w:r>
              <w:t>Western Health (Djerriwarrh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DD3CC4" w14:textId="77777777" w:rsidR="006B731F" w:rsidRDefault="006B731F">
            <w:pPr>
              <w:pStyle w:val="Tabletext8pt"/>
              <w:jc w:val="right"/>
            </w:pPr>
            <w:r>
              <w:rPr>
                <w:color w:val="000000"/>
              </w:rPr>
              <w:t>77</w:t>
            </w:r>
          </w:p>
        </w:tc>
      </w:tr>
      <w:tr w:rsidR="006B731F" w14:paraId="0E631463"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0B4CFF" w14:textId="77777777" w:rsidR="006B731F" w:rsidRDefault="006B731F">
            <w:pPr>
              <w:pStyle w:val="Tabletext8pt"/>
            </w:pPr>
            <w:r>
              <w:t>Yarram and District Health Service</w:t>
            </w:r>
          </w:p>
        </w:tc>
        <w:tc>
          <w:tcPr>
            <w:tcW w:w="2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959ADF" w14:textId="77777777" w:rsidR="006B731F" w:rsidRDefault="006B731F">
            <w:pPr>
              <w:pStyle w:val="Tabletext8pt"/>
              <w:jc w:val="right"/>
            </w:pPr>
            <w:r>
              <w:rPr>
                <w:color w:val="000000"/>
              </w:rPr>
              <w:t>17</w:t>
            </w:r>
          </w:p>
        </w:tc>
      </w:tr>
      <w:tr w:rsidR="006B731F" w14:paraId="21858096" w14:textId="77777777" w:rsidTr="006B731F">
        <w:trPr>
          <w:trHeight w:hRule="exact" w:val="312"/>
        </w:trPr>
        <w:tc>
          <w:tcPr>
            <w:tcW w:w="3985" w:type="dxa"/>
            <w:gridSpan w:val="2"/>
            <w:tcBorders>
              <w:top w:val="nil"/>
              <w:left w:val="single" w:sz="8" w:space="0" w:color="auto"/>
              <w:bottom w:val="single" w:sz="8" w:space="0" w:color="auto"/>
              <w:right w:val="single" w:sz="8" w:space="0" w:color="auto"/>
            </w:tcBorders>
            <w:shd w:val="clear" w:color="auto" w:fill="222A35"/>
            <w:noWrap/>
            <w:tcMar>
              <w:top w:w="0" w:type="dxa"/>
              <w:left w:w="108" w:type="dxa"/>
              <w:bottom w:w="0" w:type="dxa"/>
              <w:right w:w="108" w:type="dxa"/>
            </w:tcMar>
            <w:vAlign w:val="bottom"/>
            <w:hideMark/>
          </w:tcPr>
          <w:p w14:paraId="0A11D65C" w14:textId="77777777" w:rsidR="006B731F" w:rsidRDefault="006B731F">
            <w:pPr>
              <w:pStyle w:val="Tablecolhead8pt"/>
            </w:pPr>
            <w:r>
              <w:t>Total statewide</w:t>
            </w:r>
          </w:p>
        </w:tc>
        <w:tc>
          <w:tcPr>
            <w:tcW w:w="2531" w:type="dxa"/>
            <w:tcBorders>
              <w:top w:val="nil"/>
              <w:left w:val="nil"/>
              <w:bottom w:val="single" w:sz="8" w:space="0" w:color="auto"/>
              <w:right w:val="single" w:sz="8" w:space="0" w:color="auto"/>
            </w:tcBorders>
            <w:shd w:val="clear" w:color="auto" w:fill="222A35"/>
            <w:noWrap/>
            <w:tcMar>
              <w:top w:w="0" w:type="dxa"/>
              <w:left w:w="108" w:type="dxa"/>
              <w:bottom w:w="0" w:type="dxa"/>
              <w:right w:w="108" w:type="dxa"/>
            </w:tcMar>
            <w:vAlign w:val="bottom"/>
            <w:hideMark/>
          </w:tcPr>
          <w:p w14:paraId="69594A55" w14:textId="670B1055" w:rsidR="006B731F" w:rsidRDefault="006B731F">
            <w:pPr>
              <w:pStyle w:val="Tablecolhead8pt"/>
              <w:jc w:val="right"/>
            </w:pPr>
            <w:r>
              <w:t>                                   15,0</w:t>
            </w:r>
            <w:r w:rsidR="00AC6AAD">
              <w:t>62</w:t>
            </w:r>
            <w:r>
              <w:t xml:space="preserve"> </w:t>
            </w:r>
          </w:p>
        </w:tc>
      </w:tr>
    </w:tbl>
    <w:p w14:paraId="0B05E84A" w14:textId="77777777" w:rsidR="006B731F" w:rsidRPr="006B731F" w:rsidRDefault="006B731F" w:rsidP="006B731F">
      <w:pPr>
        <w:pStyle w:val="Body"/>
      </w:pPr>
    </w:p>
    <w:p w14:paraId="60FB2D14" w14:textId="43913A79" w:rsidR="000B27B9" w:rsidRDefault="000B27B9" w:rsidP="003C01AD">
      <w:pPr>
        <w:pStyle w:val="Heading3"/>
        <w:spacing w:before="240"/>
      </w:pPr>
      <w:bookmarkStart w:id="1354" w:name="_Toc127192032"/>
      <w:r w:rsidRPr="007B1500">
        <w:t xml:space="preserve">Nationally Funded Centres </w:t>
      </w:r>
      <w:r>
        <w:t>P</w:t>
      </w:r>
      <w:r w:rsidRPr="007B1500">
        <w:t xml:space="preserve">rogram </w:t>
      </w:r>
      <w:bookmarkEnd w:id="1348"/>
      <w:bookmarkEnd w:id="1349"/>
      <w:bookmarkEnd w:id="1350"/>
      <w:bookmarkEnd w:id="1351"/>
      <w:r w:rsidR="005D1FCB" w:rsidRPr="008350F1">
        <w:t>2022</w:t>
      </w:r>
      <w:r w:rsidR="00F2096A" w:rsidRPr="008350F1">
        <w:t>–</w:t>
      </w:r>
      <w:r w:rsidR="005D1FCB" w:rsidRPr="008350F1">
        <w:t>23</w:t>
      </w:r>
      <w:bookmarkEnd w:id="1352"/>
      <w:bookmarkEnd w:id="1354"/>
    </w:p>
    <w:p w14:paraId="1EFD54B9" w14:textId="77777777" w:rsidR="000B27B9" w:rsidRDefault="000B27B9" w:rsidP="0064265C">
      <w:pPr>
        <w:pStyle w:val="Tablefigurenote9pt"/>
      </w:pPr>
      <w:r>
        <w:t>Notes:</w:t>
      </w:r>
    </w:p>
    <w:p w14:paraId="77A80BBB" w14:textId="31077500" w:rsidR="000B27B9" w:rsidRPr="00F6003A" w:rsidRDefault="000B27B9" w:rsidP="003C01AD">
      <w:pPr>
        <w:pStyle w:val="Tablenoteroman"/>
        <w:numPr>
          <w:ilvl w:val="0"/>
          <w:numId w:val="11"/>
        </w:numPr>
      </w:pPr>
      <w:r>
        <w:t>Targets are s</w:t>
      </w:r>
      <w:r w:rsidRPr="00F6003A">
        <w:t xml:space="preserve">ubject to approval by the </w:t>
      </w:r>
      <w:r w:rsidR="00F13D7C">
        <w:t>Health Chief Executives Forum</w:t>
      </w:r>
      <w:r w:rsidRPr="00F6003A">
        <w:t>.</w:t>
      </w:r>
    </w:p>
    <w:p w14:paraId="04D6EC90" w14:textId="74272405" w:rsidR="000B27B9" w:rsidRPr="00F6003A" w:rsidRDefault="000B27B9" w:rsidP="003C01AD">
      <w:pPr>
        <w:pStyle w:val="Tablenoteroman"/>
        <w:numPr>
          <w:ilvl w:val="0"/>
          <w:numId w:val="11"/>
        </w:numPr>
      </w:pPr>
      <w:r w:rsidRPr="00F6003A">
        <w:t xml:space="preserve">Prices are subject to approval by the </w:t>
      </w:r>
      <w:r w:rsidR="00F13D7C">
        <w:t>Health Chief Executives Forum</w:t>
      </w:r>
      <w:r w:rsidRPr="00F6003A">
        <w:t>.</w:t>
      </w:r>
    </w:p>
    <w:p w14:paraId="443E0BE1" w14:textId="3CE1C9B1" w:rsidR="000B27B9" w:rsidRDefault="000B27B9" w:rsidP="003C01AD">
      <w:pPr>
        <w:pStyle w:val="Tablenoteroman"/>
        <w:numPr>
          <w:ilvl w:val="0"/>
          <w:numId w:val="11"/>
        </w:numPr>
      </w:pPr>
      <w:r>
        <w:t>Paediatric liver transplantation – 55</w:t>
      </w:r>
      <w:r w:rsidR="00887E93">
        <w:t>%</w:t>
      </w:r>
      <w:r>
        <w:t xml:space="preserve"> for The Royal Children’s Hospital and 45</w:t>
      </w:r>
      <w:r w:rsidR="00887E93">
        <w:t>%</w:t>
      </w:r>
      <w:r>
        <w:t xml:space="preserve"> for Austin Health.</w:t>
      </w:r>
    </w:p>
    <w:p w14:paraId="1B5AA017" w14:textId="7BA4298A" w:rsidR="000B27B9" w:rsidRDefault="000B27B9" w:rsidP="003C01AD">
      <w:pPr>
        <w:pStyle w:val="Tablenoteroman"/>
        <w:numPr>
          <w:ilvl w:val="0"/>
          <w:numId w:val="11"/>
        </w:numPr>
      </w:pPr>
      <w:r>
        <w:t>Paediatric lung/heart-lung transplantation – 97</w:t>
      </w:r>
      <w:r w:rsidR="00887E93">
        <w:t>%</w:t>
      </w:r>
      <w:r w:rsidRPr="00306589">
        <w:t xml:space="preserve"> for Alfred Health and </w:t>
      </w:r>
      <w:r>
        <w:t>3</w:t>
      </w:r>
      <w:r w:rsidR="00887E93">
        <w:t>%</w:t>
      </w:r>
      <w:r>
        <w:t xml:space="preserve"> for The Royal Children’s Hospital.</w:t>
      </w:r>
    </w:p>
    <w:p w14:paraId="7EBC54AA" w14:textId="2055119D" w:rsidR="000B27B9" w:rsidRPr="007A725F" w:rsidRDefault="000B27B9" w:rsidP="000E08EF">
      <w:pPr>
        <w:pStyle w:val="Tablecaption"/>
      </w:pPr>
      <w:bookmarkStart w:id="1355" w:name="_Toc12780580"/>
      <w:bookmarkStart w:id="1356" w:name="_Toc14194836"/>
      <w:bookmarkStart w:id="1357" w:name="_Toc33704017"/>
      <w:bookmarkStart w:id="1358" w:name="_Toc109894145"/>
      <w:bookmarkStart w:id="1359" w:name="_Toc119500926"/>
      <w:r>
        <w:t xml:space="preserve">Table </w:t>
      </w:r>
      <w:r>
        <w:fldChar w:fldCharType="begin"/>
      </w:r>
      <w:r>
        <w:instrText>STYLEREF 1 \s</w:instrText>
      </w:r>
      <w:r>
        <w:fldChar w:fldCharType="separate"/>
      </w:r>
      <w:r w:rsidR="006D0756">
        <w:rPr>
          <w:noProof/>
        </w:rPr>
        <w:t>2</w:t>
      </w:r>
      <w:r>
        <w:fldChar w:fldCharType="end"/>
      </w:r>
      <w:r w:rsidR="00EC6300">
        <w:t>.</w:t>
      </w:r>
      <w:r>
        <w:fldChar w:fldCharType="begin"/>
      </w:r>
      <w:r>
        <w:instrText>SEQ Table \* ARABIC \s 1</w:instrText>
      </w:r>
      <w:r>
        <w:fldChar w:fldCharType="separate"/>
      </w:r>
      <w:r w:rsidR="002A4F62">
        <w:rPr>
          <w:noProof/>
        </w:rPr>
        <w:t>19</w:t>
      </w:r>
      <w:r>
        <w:fldChar w:fldCharType="end"/>
      </w:r>
      <w:r w:rsidRPr="00271AC6">
        <w:t xml:space="preserve">: Nationally Funded Centres </w:t>
      </w:r>
      <w:r w:rsidR="00F13D7C">
        <w:t>P</w:t>
      </w:r>
      <w:r w:rsidRPr="00271AC6">
        <w:t xml:space="preserve">rogram </w:t>
      </w:r>
      <w:r w:rsidRPr="00A65006">
        <w:t xml:space="preserve">targets </w:t>
      </w:r>
      <w:bookmarkEnd w:id="1355"/>
      <w:bookmarkEnd w:id="1356"/>
      <w:bookmarkEnd w:id="1357"/>
      <w:r w:rsidR="005D1FCB" w:rsidRPr="00A65006">
        <w:t>2022</w:t>
      </w:r>
      <w:r w:rsidR="00F2096A" w:rsidRPr="00A65006">
        <w:t>–</w:t>
      </w:r>
      <w:r w:rsidR="005D1FCB" w:rsidRPr="00A65006">
        <w:t>23</w:t>
      </w:r>
      <w:bookmarkEnd w:id="1358"/>
      <w:bookmarkEnd w:id="1359"/>
    </w:p>
    <w:tbl>
      <w:tblPr>
        <w:tblStyle w:val="TableGrid1"/>
        <w:tblW w:w="9067" w:type="dxa"/>
        <w:tblLayout w:type="fixed"/>
        <w:tblLook w:val="04A0" w:firstRow="1" w:lastRow="0" w:firstColumn="1" w:lastColumn="0" w:noHBand="0" w:noVBand="1"/>
      </w:tblPr>
      <w:tblGrid>
        <w:gridCol w:w="3022"/>
        <w:gridCol w:w="3352"/>
        <w:gridCol w:w="2693"/>
      </w:tblGrid>
      <w:tr w:rsidR="00FA4F58" w:rsidRPr="00FA4F58" w14:paraId="2C0F569C" w14:textId="77777777" w:rsidTr="005826E3">
        <w:trPr>
          <w:cnfStyle w:val="100000000000" w:firstRow="1" w:lastRow="0" w:firstColumn="0" w:lastColumn="0" w:oddVBand="0" w:evenVBand="0" w:oddHBand="0" w:evenHBand="0" w:firstRowFirstColumn="0" w:firstRowLastColumn="0" w:lastRowFirstColumn="0" w:lastRowLastColumn="0"/>
          <w:trHeight w:val="288"/>
        </w:trPr>
        <w:tc>
          <w:tcPr>
            <w:tcW w:w="3022" w:type="dxa"/>
            <w:noWrap/>
            <w:hideMark/>
          </w:tcPr>
          <w:p w14:paraId="32997820" w14:textId="77777777" w:rsidR="00FA4F58" w:rsidRPr="00FA4F58" w:rsidRDefault="00FA4F58" w:rsidP="00FA4F58">
            <w:pPr>
              <w:spacing w:after="0" w:line="240" w:lineRule="auto"/>
              <w:rPr>
                <w:rFonts w:cs="Arial"/>
                <w:b/>
                <w:bCs/>
                <w:color w:val="FFFFFF"/>
                <w:sz w:val="16"/>
                <w:szCs w:val="16"/>
                <w:lang w:eastAsia="en-AU"/>
              </w:rPr>
            </w:pPr>
            <w:r w:rsidRPr="00FA4F58">
              <w:rPr>
                <w:rFonts w:cs="Arial"/>
                <w:b/>
                <w:bCs/>
                <w:color w:val="FFFFFF"/>
                <w:sz w:val="16"/>
                <w:szCs w:val="16"/>
                <w:lang w:eastAsia="en-AU"/>
              </w:rPr>
              <w:t>Price Name</w:t>
            </w:r>
          </w:p>
        </w:tc>
        <w:tc>
          <w:tcPr>
            <w:tcW w:w="3352" w:type="dxa"/>
            <w:noWrap/>
            <w:hideMark/>
          </w:tcPr>
          <w:p w14:paraId="44A22496" w14:textId="77777777" w:rsidR="00FA4F58" w:rsidRPr="00FA4F58" w:rsidRDefault="00FA4F58" w:rsidP="00FA4F58">
            <w:pPr>
              <w:spacing w:after="0" w:line="240" w:lineRule="auto"/>
              <w:rPr>
                <w:rFonts w:cs="Arial"/>
                <w:b/>
                <w:bCs/>
                <w:color w:val="FFFFFF"/>
                <w:sz w:val="16"/>
                <w:szCs w:val="16"/>
                <w:lang w:eastAsia="en-AU"/>
              </w:rPr>
            </w:pPr>
            <w:r w:rsidRPr="00FA4F58">
              <w:rPr>
                <w:rFonts w:cs="Arial"/>
                <w:b/>
                <w:bCs/>
                <w:color w:val="FFFFFF"/>
                <w:sz w:val="16"/>
                <w:szCs w:val="16"/>
                <w:lang w:eastAsia="en-AU"/>
              </w:rPr>
              <w:t>Health Service</w:t>
            </w:r>
          </w:p>
        </w:tc>
        <w:tc>
          <w:tcPr>
            <w:tcW w:w="2693" w:type="dxa"/>
            <w:noWrap/>
            <w:hideMark/>
          </w:tcPr>
          <w:p w14:paraId="1B627AD7" w14:textId="080A3CD6" w:rsidR="00FA4F58" w:rsidRPr="00FA4F58" w:rsidRDefault="00147CDF" w:rsidP="00FA4F58">
            <w:pPr>
              <w:spacing w:after="0" w:line="240" w:lineRule="auto"/>
              <w:jc w:val="right"/>
              <w:rPr>
                <w:rFonts w:cs="Arial"/>
                <w:b/>
                <w:bCs/>
                <w:color w:val="FFFFFF"/>
                <w:sz w:val="16"/>
                <w:szCs w:val="16"/>
                <w:lang w:eastAsia="en-AU"/>
              </w:rPr>
            </w:pPr>
            <w:r>
              <w:rPr>
                <w:rFonts w:cs="Arial"/>
                <w:b/>
                <w:bCs/>
                <w:color w:val="FFFFFF"/>
                <w:sz w:val="16"/>
                <w:szCs w:val="16"/>
                <w:lang w:eastAsia="en-AU"/>
              </w:rPr>
              <w:t>Annual target</w:t>
            </w:r>
          </w:p>
        </w:tc>
      </w:tr>
      <w:tr w:rsidR="00FA4F58" w:rsidRPr="00FA4F58" w14:paraId="55858596" w14:textId="77777777" w:rsidTr="005826E3">
        <w:trPr>
          <w:trHeight w:val="288"/>
        </w:trPr>
        <w:tc>
          <w:tcPr>
            <w:tcW w:w="3022" w:type="dxa"/>
            <w:noWrap/>
            <w:hideMark/>
          </w:tcPr>
          <w:p w14:paraId="637A639B" w14:textId="77777777"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NFC islet cell transplantation</w:t>
            </w:r>
          </w:p>
        </w:tc>
        <w:tc>
          <w:tcPr>
            <w:tcW w:w="3352" w:type="dxa"/>
            <w:noWrap/>
            <w:hideMark/>
          </w:tcPr>
          <w:p w14:paraId="694C0F57" w14:textId="250C6EC5"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St Vincent</w:t>
            </w:r>
            <w:r>
              <w:rPr>
                <w:rFonts w:cs="Arial"/>
                <w:color w:val="000000"/>
                <w:sz w:val="16"/>
                <w:szCs w:val="16"/>
                <w:lang w:eastAsia="en-AU"/>
              </w:rPr>
              <w:t>’</w:t>
            </w:r>
            <w:r w:rsidRPr="00FA4F58">
              <w:rPr>
                <w:rFonts w:cs="Arial"/>
                <w:color w:val="000000"/>
                <w:sz w:val="16"/>
                <w:szCs w:val="16"/>
                <w:lang w:eastAsia="en-AU"/>
              </w:rPr>
              <w:t>s Hospital Melbourne Limited</w:t>
            </w:r>
          </w:p>
        </w:tc>
        <w:tc>
          <w:tcPr>
            <w:tcW w:w="2693" w:type="dxa"/>
            <w:noWrap/>
            <w:hideMark/>
          </w:tcPr>
          <w:p w14:paraId="25F57B3C" w14:textId="77777777" w:rsidR="00FA4F58" w:rsidRPr="00FA4F58" w:rsidRDefault="00FA4F58" w:rsidP="00FA4F58">
            <w:pPr>
              <w:spacing w:after="0" w:line="240" w:lineRule="auto"/>
              <w:jc w:val="right"/>
              <w:rPr>
                <w:rFonts w:cs="Arial"/>
                <w:color w:val="000000"/>
                <w:sz w:val="16"/>
                <w:szCs w:val="16"/>
                <w:lang w:eastAsia="en-AU"/>
              </w:rPr>
            </w:pPr>
            <w:r w:rsidRPr="00FA4F58">
              <w:rPr>
                <w:rFonts w:cs="Arial"/>
                <w:color w:val="000000"/>
                <w:sz w:val="16"/>
                <w:szCs w:val="16"/>
                <w:lang w:eastAsia="en-AU"/>
              </w:rPr>
              <w:t>6</w:t>
            </w:r>
          </w:p>
        </w:tc>
      </w:tr>
      <w:tr w:rsidR="00FA4F58" w:rsidRPr="00FA4F58" w14:paraId="3C99E77A" w14:textId="77777777" w:rsidTr="005826E3">
        <w:trPr>
          <w:trHeight w:val="288"/>
        </w:trPr>
        <w:tc>
          <w:tcPr>
            <w:tcW w:w="3022" w:type="dxa"/>
            <w:noWrap/>
            <w:hideMark/>
          </w:tcPr>
          <w:p w14:paraId="7E62AEB2" w14:textId="77777777"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NFC paediatric heart no VAD</w:t>
            </w:r>
          </w:p>
        </w:tc>
        <w:tc>
          <w:tcPr>
            <w:tcW w:w="3352" w:type="dxa"/>
            <w:noWrap/>
            <w:hideMark/>
          </w:tcPr>
          <w:p w14:paraId="2AD4CF63" w14:textId="34FF2715"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The Royal Children</w:t>
            </w:r>
            <w:r>
              <w:rPr>
                <w:rFonts w:cs="Arial"/>
                <w:color w:val="000000"/>
                <w:sz w:val="16"/>
                <w:szCs w:val="16"/>
                <w:lang w:eastAsia="en-AU"/>
              </w:rPr>
              <w:t>’</w:t>
            </w:r>
            <w:r w:rsidRPr="00FA4F58">
              <w:rPr>
                <w:rFonts w:cs="Arial"/>
                <w:color w:val="000000"/>
                <w:sz w:val="16"/>
                <w:szCs w:val="16"/>
                <w:lang w:eastAsia="en-AU"/>
              </w:rPr>
              <w:t>s Hospital</w:t>
            </w:r>
          </w:p>
        </w:tc>
        <w:tc>
          <w:tcPr>
            <w:tcW w:w="2693" w:type="dxa"/>
            <w:noWrap/>
            <w:hideMark/>
          </w:tcPr>
          <w:p w14:paraId="4124D205" w14:textId="77777777" w:rsidR="00FA4F58" w:rsidRPr="00FA4F58" w:rsidRDefault="00FA4F58" w:rsidP="00FA4F58">
            <w:pPr>
              <w:spacing w:after="0" w:line="240" w:lineRule="auto"/>
              <w:jc w:val="right"/>
              <w:rPr>
                <w:rFonts w:cs="Arial"/>
                <w:color w:val="000000"/>
                <w:sz w:val="16"/>
                <w:szCs w:val="16"/>
                <w:lang w:eastAsia="en-AU"/>
              </w:rPr>
            </w:pPr>
            <w:r w:rsidRPr="00FA4F58">
              <w:rPr>
                <w:rFonts w:cs="Arial"/>
                <w:color w:val="000000"/>
                <w:sz w:val="16"/>
                <w:szCs w:val="16"/>
                <w:lang w:eastAsia="en-AU"/>
              </w:rPr>
              <w:t>5</w:t>
            </w:r>
          </w:p>
        </w:tc>
      </w:tr>
      <w:tr w:rsidR="00FA4F58" w:rsidRPr="00FA4F58" w14:paraId="5F9AAAAC" w14:textId="77777777" w:rsidTr="005826E3">
        <w:trPr>
          <w:trHeight w:val="288"/>
        </w:trPr>
        <w:tc>
          <w:tcPr>
            <w:tcW w:w="3022" w:type="dxa"/>
            <w:noWrap/>
            <w:hideMark/>
          </w:tcPr>
          <w:p w14:paraId="77520F1B" w14:textId="77777777"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NFC paediatric heart VAD</w:t>
            </w:r>
          </w:p>
        </w:tc>
        <w:tc>
          <w:tcPr>
            <w:tcW w:w="3352" w:type="dxa"/>
            <w:noWrap/>
            <w:hideMark/>
          </w:tcPr>
          <w:p w14:paraId="221A6C35" w14:textId="7B4389DC"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The Royal Children</w:t>
            </w:r>
            <w:r>
              <w:rPr>
                <w:rFonts w:cs="Arial"/>
                <w:color w:val="000000"/>
                <w:sz w:val="16"/>
                <w:szCs w:val="16"/>
                <w:lang w:eastAsia="en-AU"/>
              </w:rPr>
              <w:t>’</w:t>
            </w:r>
            <w:r w:rsidRPr="00FA4F58">
              <w:rPr>
                <w:rFonts w:cs="Arial"/>
                <w:color w:val="000000"/>
                <w:sz w:val="16"/>
                <w:szCs w:val="16"/>
                <w:lang w:eastAsia="en-AU"/>
              </w:rPr>
              <w:t>s Hospital</w:t>
            </w:r>
          </w:p>
        </w:tc>
        <w:tc>
          <w:tcPr>
            <w:tcW w:w="2693" w:type="dxa"/>
            <w:noWrap/>
            <w:hideMark/>
          </w:tcPr>
          <w:p w14:paraId="6AB5E838" w14:textId="77777777" w:rsidR="00FA4F58" w:rsidRPr="00FA4F58" w:rsidRDefault="00FA4F58" w:rsidP="00FA4F58">
            <w:pPr>
              <w:spacing w:after="0" w:line="240" w:lineRule="auto"/>
              <w:jc w:val="right"/>
              <w:rPr>
                <w:rFonts w:cs="Arial"/>
                <w:color w:val="000000"/>
                <w:sz w:val="16"/>
                <w:szCs w:val="16"/>
                <w:lang w:eastAsia="en-AU"/>
              </w:rPr>
            </w:pPr>
            <w:r w:rsidRPr="00FA4F58">
              <w:rPr>
                <w:rFonts w:cs="Arial"/>
                <w:color w:val="000000"/>
                <w:sz w:val="16"/>
                <w:szCs w:val="16"/>
                <w:lang w:eastAsia="en-AU"/>
              </w:rPr>
              <w:t>9</w:t>
            </w:r>
          </w:p>
        </w:tc>
      </w:tr>
      <w:tr w:rsidR="00FA4F58" w:rsidRPr="00FA4F58" w14:paraId="3AD278C5" w14:textId="77777777" w:rsidTr="005826E3">
        <w:trPr>
          <w:trHeight w:val="288"/>
        </w:trPr>
        <w:tc>
          <w:tcPr>
            <w:tcW w:w="3022" w:type="dxa"/>
            <w:noWrap/>
            <w:hideMark/>
          </w:tcPr>
          <w:p w14:paraId="4B926BC4" w14:textId="77777777"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NFC paediatric lung transplantation</w:t>
            </w:r>
          </w:p>
        </w:tc>
        <w:tc>
          <w:tcPr>
            <w:tcW w:w="3352" w:type="dxa"/>
            <w:noWrap/>
            <w:hideMark/>
          </w:tcPr>
          <w:p w14:paraId="4B3D0B87" w14:textId="77777777" w:rsidR="00FA4F58" w:rsidRPr="00FA4F58" w:rsidRDefault="00FA4F58" w:rsidP="00FA4F58">
            <w:pPr>
              <w:spacing w:after="0" w:line="240" w:lineRule="auto"/>
              <w:rPr>
                <w:rFonts w:cs="Arial"/>
                <w:color w:val="000000"/>
                <w:sz w:val="16"/>
                <w:szCs w:val="16"/>
                <w:lang w:eastAsia="en-AU"/>
              </w:rPr>
            </w:pPr>
            <w:r w:rsidRPr="00FA4F58">
              <w:rPr>
                <w:rFonts w:cs="Arial"/>
                <w:color w:val="000000"/>
                <w:sz w:val="16"/>
                <w:szCs w:val="16"/>
                <w:lang w:eastAsia="en-AU"/>
              </w:rPr>
              <w:t>Alfred Health</w:t>
            </w:r>
          </w:p>
        </w:tc>
        <w:tc>
          <w:tcPr>
            <w:tcW w:w="2693" w:type="dxa"/>
            <w:noWrap/>
            <w:hideMark/>
          </w:tcPr>
          <w:p w14:paraId="7FF02543" w14:textId="0AA67C20" w:rsidR="00FA4F58" w:rsidRPr="00FA4F58" w:rsidRDefault="002F306D" w:rsidP="00FA4F58">
            <w:pPr>
              <w:spacing w:after="0" w:line="240" w:lineRule="auto"/>
              <w:jc w:val="right"/>
              <w:rPr>
                <w:rFonts w:cs="Arial"/>
                <w:color w:val="000000"/>
                <w:sz w:val="16"/>
                <w:szCs w:val="16"/>
                <w:lang w:eastAsia="en-AU"/>
              </w:rPr>
            </w:pPr>
            <w:r>
              <w:rPr>
                <w:rFonts w:cs="Arial"/>
                <w:color w:val="000000"/>
                <w:sz w:val="16"/>
                <w:szCs w:val="16"/>
                <w:lang w:eastAsia="en-AU"/>
              </w:rPr>
              <w:t>3.88</w:t>
            </w:r>
          </w:p>
        </w:tc>
      </w:tr>
      <w:tr w:rsidR="009A6A2D" w:rsidRPr="00FA4F58" w14:paraId="261997EF" w14:textId="77777777" w:rsidTr="005826E3">
        <w:trPr>
          <w:trHeight w:val="288"/>
        </w:trPr>
        <w:tc>
          <w:tcPr>
            <w:tcW w:w="3022" w:type="dxa"/>
            <w:noWrap/>
            <w:hideMark/>
          </w:tcPr>
          <w:p w14:paraId="376FFA1B" w14:textId="44957F9A"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NFC paediatric lung transplantation</w:t>
            </w:r>
          </w:p>
        </w:tc>
        <w:tc>
          <w:tcPr>
            <w:tcW w:w="3352" w:type="dxa"/>
            <w:noWrap/>
            <w:hideMark/>
          </w:tcPr>
          <w:p w14:paraId="5DDA9DCC" w14:textId="3E4AE5A6"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The Royal Children</w:t>
            </w:r>
            <w:r>
              <w:rPr>
                <w:rFonts w:cs="Arial"/>
                <w:color w:val="000000"/>
                <w:sz w:val="16"/>
                <w:szCs w:val="16"/>
                <w:lang w:eastAsia="en-AU"/>
              </w:rPr>
              <w:t>’</w:t>
            </w:r>
            <w:r w:rsidRPr="00FA4F58">
              <w:rPr>
                <w:rFonts w:cs="Arial"/>
                <w:color w:val="000000"/>
                <w:sz w:val="16"/>
                <w:szCs w:val="16"/>
                <w:lang w:eastAsia="en-AU"/>
              </w:rPr>
              <w:t>s Hospital</w:t>
            </w:r>
          </w:p>
        </w:tc>
        <w:tc>
          <w:tcPr>
            <w:tcW w:w="2693" w:type="dxa"/>
            <w:noWrap/>
            <w:hideMark/>
          </w:tcPr>
          <w:p w14:paraId="26E47999" w14:textId="02C9214C" w:rsidR="009A6A2D" w:rsidRPr="00FA4F58" w:rsidRDefault="009A6A2D" w:rsidP="009A6A2D">
            <w:pPr>
              <w:spacing w:after="0" w:line="240" w:lineRule="auto"/>
              <w:jc w:val="right"/>
              <w:rPr>
                <w:rFonts w:cs="Arial"/>
                <w:color w:val="000000"/>
                <w:sz w:val="16"/>
                <w:szCs w:val="16"/>
                <w:lang w:eastAsia="en-AU"/>
              </w:rPr>
            </w:pPr>
            <w:r w:rsidRPr="00FA4F58">
              <w:rPr>
                <w:rFonts w:cs="Arial"/>
                <w:color w:val="000000"/>
                <w:sz w:val="16"/>
                <w:szCs w:val="16"/>
                <w:lang w:eastAsia="en-AU"/>
              </w:rPr>
              <w:t>0</w:t>
            </w:r>
            <w:r>
              <w:rPr>
                <w:rFonts w:cs="Arial"/>
                <w:color w:val="000000"/>
                <w:sz w:val="16"/>
                <w:szCs w:val="16"/>
                <w:lang w:eastAsia="en-AU"/>
              </w:rPr>
              <w:t>.12</w:t>
            </w:r>
          </w:p>
        </w:tc>
      </w:tr>
      <w:tr w:rsidR="009A6A2D" w:rsidRPr="00FA4F58" w14:paraId="5DACE22B" w14:textId="77777777" w:rsidTr="005826E3">
        <w:trPr>
          <w:trHeight w:val="288"/>
        </w:trPr>
        <w:tc>
          <w:tcPr>
            <w:tcW w:w="3022" w:type="dxa"/>
            <w:noWrap/>
            <w:hideMark/>
          </w:tcPr>
          <w:p w14:paraId="3EE66BE3" w14:textId="77777777"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NFC pancreas transplants</w:t>
            </w:r>
          </w:p>
        </w:tc>
        <w:tc>
          <w:tcPr>
            <w:tcW w:w="3352" w:type="dxa"/>
            <w:noWrap/>
            <w:hideMark/>
          </w:tcPr>
          <w:p w14:paraId="28C5C8EB" w14:textId="77777777"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Monash Health</w:t>
            </w:r>
          </w:p>
        </w:tc>
        <w:tc>
          <w:tcPr>
            <w:tcW w:w="2693" w:type="dxa"/>
            <w:noWrap/>
            <w:hideMark/>
          </w:tcPr>
          <w:p w14:paraId="46B9B6F6" w14:textId="77777777" w:rsidR="009A6A2D" w:rsidRPr="00FA4F58" w:rsidRDefault="009A6A2D" w:rsidP="009A6A2D">
            <w:pPr>
              <w:spacing w:after="0" w:line="240" w:lineRule="auto"/>
              <w:jc w:val="right"/>
              <w:rPr>
                <w:rFonts w:cs="Arial"/>
                <w:color w:val="000000"/>
                <w:sz w:val="16"/>
                <w:szCs w:val="16"/>
                <w:lang w:eastAsia="en-AU"/>
              </w:rPr>
            </w:pPr>
            <w:r w:rsidRPr="00FA4F58">
              <w:rPr>
                <w:rFonts w:cs="Arial"/>
                <w:color w:val="000000"/>
                <w:sz w:val="16"/>
                <w:szCs w:val="16"/>
                <w:lang w:eastAsia="en-AU"/>
              </w:rPr>
              <w:t>15</w:t>
            </w:r>
          </w:p>
        </w:tc>
      </w:tr>
      <w:tr w:rsidR="009A6A2D" w:rsidRPr="00FA4F58" w14:paraId="58083CCD" w14:textId="77777777" w:rsidTr="005826E3">
        <w:trPr>
          <w:trHeight w:val="288"/>
        </w:trPr>
        <w:tc>
          <w:tcPr>
            <w:tcW w:w="3022" w:type="dxa"/>
            <w:noWrap/>
            <w:hideMark/>
          </w:tcPr>
          <w:p w14:paraId="4C6D6D8D" w14:textId="77777777"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NFC transplants paediatric liver</w:t>
            </w:r>
          </w:p>
        </w:tc>
        <w:tc>
          <w:tcPr>
            <w:tcW w:w="3352" w:type="dxa"/>
            <w:noWrap/>
            <w:hideMark/>
          </w:tcPr>
          <w:p w14:paraId="1D10A393" w14:textId="77777777"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Austin Health</w:t>
            </w:r>
          </w:p>
        </w:tc>
        <w:tc>
          <w:tcPr>
            <w:tcW w:w="2693" w:type="dxa"/>
            <w:noWrap/>
            <w:hideMark/>
          </w:tcPr>
          <w:p w14:paraId="226000B7" w14:textId="519C6C03" w:rsidR="009A6A2D" w:rsidRPr="00FA4F58" w:rsidRDefault="009A6A2D" w:rsidP="009A6A2D">
            <w:pPr>
              <w:spacing w:after="0" w:line="240" w:lineRule="auto"/>
              <w:jc w:val="right"/>
              <w:rPr>
                <w:rFonts w:cs="Arial"/>
                <w:color w:val="000000"/>
                <w:sz w:val="16"/>
                <w:szCs w:val="16"/>
                <w:lang w:eastAsia="en-AU"/>
              </w:rPr>
            </w:pPr>
            <w:r>
              <w:rPr>
                <w:rFonts w:cs="Arial"/>
                <w:color w:val="000000"/>
                <w:sz w:val="16"/>
                <w:szCs w:val="16"/>
                <w:lang w:eastAsia="en-AU"/>
              </w:rPr>
              <w:t>4.</w:t>
            </w:r>
            <w:r w:rsidRPr="00FA4F58">
              <w:rPr>
                <w:rFonts w:cs="Arial"/>
                <w:color w:val="000000"/>
                <w:sz w:val="16"/>
                <w:szCs w:val="16"/>
                <w:lang w:eastAsia="en-AU"/>
              </w:rPr>
              <w:t>5</w:t>
            </w:r>
          </w:p>
        </w:tc>
      </w:tr>
      <w:tr w:rsidR="009A6A2D" w:rsidRPr="00FA4F58" w14:paraId="2CD5DDDB" w14:textId="77777777" w:rsidTr="005826E3">
        <w:trPr>
          <w:trHeight w:val="288"/>
        </w:trPr>
        <w:tc>
          <w:tcPr>
            <w:tcW w:w="3022" w:type="dxa"/>
            <w:noWrap/>
            <w:hideMark/>
          </w:tcPr>
          <w:p w14:paraId="4F1179E2" w14:textId="0B0D4E52"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NFC transplants paediatric liver</w:t>
            </w:r>
          </w:p>
        </w:tc>
        <w:tc>
          <w:tcPr>
            <w:tcW w:w="3352" w:type="dxa"/>
            <w:noWrap/>
            <w:hideMark/>
          </w:tcPr>
          <w:p w14:paraId="6C7DC524" w14:textId="22A72ECD" w:rsidR="009A6A2D" w:rsidRPr="00FA4F58" w:rsidRDefault="009A6A2D" w:rsidP="009A6A2D">
            <w:pPr>
              <w:spacing w:after="0" w:line="240" w:lineRule="auto"/>
              <w:rPr>
                <w:rFonts w:cs="Arial"/>
                <w:color w:val="000000"/>
                <w:sz w:val="16"/>
                <w:szCs w:val="16"/>
                <w:lang w:eastAsia="en-AU"/>
              </w:rPr>
            </w:pPr>
            <w:r w:rsidRPr="00FA4F58">
              <w:rPr>
                <w:rFonts w:cs="Arial"/>
                <w:color w:val="000000"/>
                <w:sz w:val="16"/>
                <w:szCs w:val="16"/>
                <w:lang w:eastAsia="en-AU"/>
              </w:rPr>
              <w:t>The Royal Children</w:t>
            </w:r>
            <w:r>
              <w:rPr>
                <w:rFonts w:cs="Arial"/>
                <w:color w:val="000000"/>
                <w:sz w:val="16"/>
                <w:szCs w:val="16"/>
                <w:lang w:eastAsia="en-AU"/>
              </w:rPr>
              <w:t>’</w:t>
            </w:r>
            <w:r w:rsidRPr="00FA4F58">
              <w:rPr>
                <w:rFonts w:cs="Arial"/>
                <w:color w:val="000000"/>
                <w:sz w:val="16"/>
                <w:szCs w:val="16"/>
                <w:lang w:eastAsia="en-AU"/>
              </w:rPr>
              <w:t>s Hospital</w:t>
            </w:r>
          </w:p>
        </w:tc>
        <w:tc>
          <w:tcPr>
            <w:tcW w:w="2693" w:type="dxa"/>
            <w:noWrap/>
            <w:hideMark/>
          </w:tcPr>
          <w:p w14:paraId="3000E174" w14:textId="17E14B50" w:rsidR="009A6A2D" w:rsidRPr="00FA4F58" w:rsidRDefault="009A6A2D" w:rsidP="009A6A2D">
            <w:pPr>
              <w:spacing w:after="0" w:line="240" w:lineRule="auto"/>
              <w:jc w:val="right"/>
              <w:rPr>
                <w:rFonts w:cs="Arial"/>
                <w:color w:val="000000"/>
                <w:sz w:val="16"/>
                <w:szCs w:val="16"/>
                <w:lang w:eastAsia="en-AU"/>
              </w:rPr>
            </w:pPr>
            <w:r>
              <w:rPr>
                <w:rFonts w:cs="Arial"/>
                <w:color w:val="000000"/>
                <w:sz w:val="16"/>
                <w:szCs w:val="16"/>
                <w:lang w:eastAsia="en-AU"/>
              </w:rPr>
              <w:t>5.5</w:t>
            </w:r>
          </w:p>
        </w:tc>
      </w:tr>
    </w:tbl>
    <w:p w14:paraId="6369CB40" w14:textId="77777777" w:rsidR="000B27B9" w:rsidRDefault="000B27B9" w:rsidP="0064265C">
      <w:pPr>
        <w:pStyle w:val="Tablefigurenote9pt"/>
      </w:pPr>
    </w:p>
    <w:p w14:paraId="4C7B7D27" w14:textId="77777777" w:rsidR="002C3F39" w:rsidRDefault="002C3F39" w:rsidP="009375E0">
      <w:pPr>
        <w:pStyle w:val="Heading3"/>
        <w:spacing w:before="240"/>
        <w:sectPr w:rsidR="002C3F39" w:rsidSect="00AE5B04">
          <w:headerReference w:type="even" r:id="rId96"/>
          <w:footerReference w:type="even" r:id="rId97"/>
          <w:footerReference w:type="default" r:id="rId98"/>
          <w:pgSz w:w="11906" w:h="16838" w:code="9"/>
          <w:pgMar w:top="1134" w:right="1304" w:bottom="964" w:left="1304" w:header="624" w:footer="567" w:gutter="0"/>
          <w:cols w:space="340"/>
          <w:docGrid w:linePitch="360"/>
        </w:sectPr>
      </w:pPr>
      <w:bookmarkStart w:id="1360" w:name="_Toc12780677"/>
      <w:bookmarkStart w:id="1361" w:name="_Toc14172318"/>
      <w:bookmarkStart w:id="1362" w:name="_Toc33703992"/>
      <w:bookmarkStart w:id="1363" w:name="_Toc55381180"/>
    </w:p>
    <w:p w14:paraId="6CA73BDA" w14:textId="577A8DA4" w:rsidR="000B27B9" w:rsidRDefault="000B27B9" w:rsidP="00042954">
      <w:pPr>
        <w:pStyle w:val="Heading3"/>
        <w:spacing w:before="0"/>
      </w:pPr>
      <w:bookmarkStart w:id="1364" w:name="_Toc100263384"/>
      <w:bookmarkStart w:id="1365" w:name="_Toc127192033"/>
      <w:r>
        <w:t xml:space="preserve">Mental </w:t>
      </w:r>
      <w:r w:rsidR="00331D5D">
        <w:t>H</w:t>
      </w:r>
      <w:r>
        <w:t xml:space="preserve">ealth </w:t>
      </w:r>
      <w:r w:rsidR="00331D5D">
        <w:t>A</w:t>
      </w:r>
      <w:r>
        <w:t xml:space="preserve">cute, </w:t>
      </w:r>
      <w:r w:rsidR="00331D5D">
        <w:t>N</w:t>
      </w:r>
      <w:r>
        <w:t>on-</w:t>
      </w:r>
      <w:r w:rsidR="00331D5D">
        <w:t>A</w:t>
      </w:r>
      <w:r>
        <w:t xml:space="preserve">cute, </w:t>
      </w:r>
      <w:r w:rsidR="00331D5D">
        <w:t>S</w:t>
      </w:r>
      <w:r w:rsidR="00A06D65">
        <w:t>ubacute,</w:t>
      </w:r>
      <w:r>
        <w:t xml:space="preserve"> and </w:t>
      </w:r>
      <w:r w:rsidR="00331D5D">
        <w:t>R</w:t>
      </w:r>
      <w:r>
        <w:t xml:space="preserve">esidential </w:t>
      </w:r>
      <w:r w:rsidR="00331D5D">
        <w:t>A</w:t>
      </w:r>
      <w:r>
        <w:t xml:space="preserve">vailable </w:t>
      </w:r>
      <w:r w:rsidR="00331D5D">
        <w:t>B</w:t>
      </w:r>
      <w:r>
        <w:t xml:space="preserve">eds </w:t>
      </w:r>
      <w:bookmarkEnd w:id="1360"/>
      <w:bookmarkEnd w:id="1361"/>
      <w:bookmarkEnd w:id="1362"/>
      <w:bookmarkEnd w:id="1363"/>
      <w:r w:rsidR="005D1FCB" w:rsidRPr="00697369">
        <w:t>2022</w:t>
      </w:r>
      <w:r w:rsidR="00F2096A">
        <w:t>–</w:t>
      </w:r>
      <w:r w:rsidR="005D1FCB" w:rsidRPr="00697369">
        <w:t>23</w:t>
      </w:r>
      <w:bookmarkEnd w:id="1364"/>
      <w:bookmarkEnd w:id="1365"/>
    </w:p>
    <w:p w14:paraId="66AFFFB9" w14:textId="77777777" w:rsidR="000B27B9" w:rsidRDefault="000B27B9" w:rsidP="0064265C">
      <w:pPr>
        <w:pStyle w:val="Tablefigurenote9pt"/>
      </w:pPr>
      <w:r w:rsidRPr="00A62258">
        <w:t>Note</w:t>
      </w:r>
      <w:r>
        <w:t xml:space="preserve"> for the following three tables:</w:t>
      </w:r>
    </w:p>
    <w:p w14:paraId="08F23AD8" w14:textId="1DE807A6" w:rsidR="000B27B9" w:rsidRDefault="00F2096A" w:rsidP="003C01AD">
      <w:pPr>
        <w:pStyle w:val="Tablenoteroman"/>
        <w:numPr>
          <w:ilvl w:val="0"/>
          <w:numId w:val="12"/>
        </w:numPr>
      </w:pPr>
      <w:r>
        <w:t>m</w:t>
      </w:r>
      <w:r w:rsidRPr="0034319C">
        <w:t xml:space="preserve">ental </w:t>
      </w:r>
      <w:r w:rsidR="000B27B9" w:rsidRPr="0034319C">
        <w:t xml:space="preserve">health funded bed days </w:t>
      </w:r>
    </w:p>
    <w:p w14:paraId="4E76514C" w14:textId="4B37A972" w:rsidR="000B27B9" w:rsidRDefault="0081359E" w:rsidP="003C01AD">
      <w:pPr>
        <w:pStyle w:val="Tablenoteroman"/>
        <w:numPr>
          <w:ilvl w:val="0"/>
          <w:numId w:val="12"/>
        </w:numPr>
      </w:pPr>
      <w:r w:rsidRPr="0081359E">
        <w:t>Increased capacity through the purchase of public beds from private hospitals and Hospital in the Home is not included in the table</w:t>
      </w:r>
    </w:p>
    <w:p w14:paraId="316C4964" w14:textId="0E773B79" w:rsidR="0081359E" w:rsidRPr="0034319C" w:rsidRDefault="0081359E" w:rsidP="003C01AD">
      <w:pPr>
        <w:pStyle w:val="Tablenoteroman"/>
        <w:numPr>
          <w:ilvl w:val="0"/>
          <w:numId w:val="12"/>
        </w:numPr>
      </w:pPr>
      <w:r w:rsidRPr="0081359E">
        <w:t>Northern Health became a designated mental health service from 1 July 2022. Realignment of funding and targets from Melbourne Health to Northern Health are currently under review.</w:t>
      </w:r>
    </w:p>
    <w:p w14:paraId="2C19B6D0" w14:textId="141C55A9" w:rsidR="000B27B9" w:rsidRDefault="000B27B9" w:rsidP="000E08EF">
      <w:pPr>
        <w:pStyle w:val="Tablecaption"/>
      </w:pPr>
      <w:bookmarkStart w:id="1366" w:name="_Toc12780581"/>
      <w:bookmarkStart w:id="1367" w:name="_Toc14194837"/>
      <w:bookmarkStart w:id="1368" w:name="_Toc33704018"/>
      <w:bookmarkStart w:id="1369" w:name="_Toc109894146"/>
      <w:bookmarkStart w:id="1370" w:name="_Toc119500927"/>
      <w:r>
        <w:t xml:space="preserve">Table </w:t>
      </w:r>
      <w:r>
        <w:fldChar w:fldCharType="begin"/>
      </w:r>
      <w:r>
        <w:instrText>STYLEREF 1 \s</w:instrText>
      </w:r>
      <w:r>
        <w:fldChar w:fldCharType="separate"/>
      </w:r>
      <w:r w:rsidR="006D0756">
        <w:rPr>
          <w:noProof/>
        </w:rPr>
        <w:t>2</w:t>
      </w:r>
      <w:r>
        <w:fldChar w:fldCharType="end"/>
      </w:r>
      <w:r w:rsidR="00EC6300">
        <w:t>.</w:t>
      </w:r>
      <w:r>
        <w:fldChar w:fldCharType="begin"/>
      </w:r>
      <w:r>
        <w:instrText>SEQ Table \* ARABIC \s 1</w:instrText>
      </w:r>
      <w:r>
        <w:fldChar w:fldCharType="separate"/>
      </w:r>
      <w:r w:rsidR="002A4F62">
        <w:rPr>
          <w:noProof/>
        </w:rPr>
        <w:t>20</w:t>
      </w:r>
      <w:r>
        <w:fldChar w:fldCharType="end"/>
      </w:r>
      <w:r w:rsidRPr="00271AC6">
        <w:t xml:space="preserve">: Mental health acute available beds </w:t>
      </w:r>
      <w:bookmarkEnd w:id="1366"/>
      <w:bookmarkEnd w:id="1367"/>
      <w:bookmarkEnd w:id="1368"/>
      <w:r w:rsidR="005D1FCB" w:rsidRPr="00697369">
        <w:t>2022</w:t>
      </w:r>
      <w:r w:rsidR="00F2096A">
        <w:t>–</w:t>
      </w:r>
      <w:r w:rsidR="005D1FCB" w:rsidRPr="00697369">
        <w:t>23</w:t>
      </w:r>
      <w:bookmarkEnd w:id="1369"/>
      <w:bookmarkEnd w:id="1370"/>
    </w:p>
    <w:p w14:paraId="7BA02C05" w14:textId="02995611" w:rsidR="00811339" w:rsidRDefault="001C5C09" w:rsidP="00811339">
      <w:pPr>
        <w:pStyle w:val="Body"/>
      </w:pPr>
      <w:r>
        <w:t>Metropolitan and regional</w:t>
      </w:r>
    </w:p>
    <w:tbl>
      <w:tblPr>
        <w:tblStyle w:val="TableGrid1"/>
        <w:tblW w:w="14307" w:type="dxa"/>
        <w:tblLook w:val="06A0" w:firstRow="1" w:lastRow="0" w:firstColumn="1" w:lastColumn="0" w:noHBand="1" w:noVBand="1"/>
      </w:tblPr>
      <w:tblGrid>
        <w:gridCol w:w="3400"/>
        <w:gridCol w:w="1817"/>
        <w:gridCol w:w="1818"/>
        <w:gridCol w:w="1818"/>
        <w:gridCol w:w="1818"/>
        <w:gridCol w:w="1818"/>
        <w:gridCol w:w="1818"/>
      </w:tblGrid>
      <w:tr w:rsidR="00E85FA1" w:rsidRPr="00EB3F8E" w14:paraId="0669CB22" w14:textId="77777777" w:rsidTr="005826E3">
        <w:trPr>
          <w:cnfStyle w:val="100000000000" w:firstRow="1" w:lastRow="0" w:firstColumn="0" w:lastColumn="0" w:oddVBand="0" w:evenVBand="0" w:oddHBand="0" w:evenHBand="0" w:firstRowFirstColumn="0" w:firstRowLastColumn="0" w:lastRowFirstColumn="0" w:lastRowLastColumn="0"/>
          <w:trHeight w:val="650"/>
        </w:trPr>
        <w:tc>
          <w:tcPr>
            <w:tcW w:w="3400" w:type="dxa"/>
            <w:hideMark/>
          </w:tcPr>
          <w:p w14:paraId="7F675752" w14:textId="77777777" w:rsidR="00E85FA1" w:rsidRDefault="00E85FA1" w:rsidP="00EB3F8E">
            <w:pPr>
              <w:spacing w:after="0" w:line="240" w:lineRule="auto"/>
              <w:rPr>
                <w:rFonts w:cs="Arial"/>
                <w:b/>
                <w:bCs/>
                <w:color w:val="FFFFFF"/>
                <w:sz w:val="16"/>
                <w:szCs w:val="16"/>
                <w:lang w:eastAsia="en-AU"/>
              </w:rPr>
            </w:pPr>
          </w:p>
          <w:p w14:paraId="468509C8" w14:textId="77777777" w:rsidR="00E85FA1" w:rsidRDefault="00E85FA1" w:rsidP="00EB3F8E">
            <w:pPr>
              <w:spacing w:after="0" w:line="240" w:lineRule="auto"/>
              <w:rPr>
                <w:rFonts w:cs="Arial"/>
                <w:b/>
                <w:bCs/>
                <w:color w:val="FFFFFF"/>
                <w:sz w:val="16"/>
                <w:szCs w:val="16"/>
                <w:lang w:eastAsia="en-AU"/>
              </w:rPr>
            </w:pPr>
          </w:p>
          <w:p w14:paraId="1A96EAC3" w14:textId="57BB464E" w:rsidR="00E85FA1" w:rsidRPr="00EB3F8E" w:rsidRDefault="00E85FA1" w:rsidP="00EB3F8E">
            <w:pPr>
              <w:spacing w:after="0" w:line="240" w:lineRule="auto"/>
              <w:rPr>
                <w:rFonts w:cs="Arial"/>
                <w:b/>
                <w:bCs/>
                <w:color w:val="FFFFFF"/>
                <w:sz w:val="16"/>
                <w:szCs w:val="16"/>
                <w:lang w:eastAsia="en-AU"/>
              </w:rPr>
            </w:pPr>
            <w:r w:rsidRPr="00EB3F8E">
              <w:rPr>
                <w:rFonts w:cs="Arial"/>
                <w:b/>
                <w:bCs/>
                <w:color w:val="FFFFFF"/>
                <w:sz w:val="16"/>
                <w:szCs w:val="16"/>
                <w:lang w:eastAsia="en-AU"/>
              </w:rPr>
              <w:t>Health service</w:t>
            </w:r>
          </w:p>
        </w:tc>
        <w:tc>
          <w:tcPr>
            <w:tcW w:w="1817" w:type="dxa"/>
            <w:hideMark/>
          </w:tcPr>
          <w:p w14:paraId="2AB8EFBE" w14:textId="77777777"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Mental health funded bed – acute specialist</w:t>
            </w:r>
          </w:p>
        </w:tc>
        <w:tc>
          <w:tcPr>
            <w:tcW w:w="1818" w:type="dxa"/>
            <w:hideMark/>
          </w:tcPr>
          <w:p w14:paraId="13D208A5" w14:textId="77777777"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Mental health funded bed – acute adult</w:t>
            </w:r>
          </w:p>
        </w:tc>
        <w:tc>
          <w:tcPr>
            <w:tcW w:w="1818" w:type="dxa"/>
            <w:hideMark/>
          </w:tcPr>
          <w:p w14:paraId="7BA25364" w14:textId="77777777"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Mental health funded bed – acute aged</w:t>
            </w:r>
          </w:p>
        </w:tc>
        <w:tc>
          <w:tcPr>
            <w:tcW w:w="1818" w:type="dxa"/>
            <w:hideMark/>
          </w:tcPr>
          <w:p w14:paraId="1D661F0A" w14:textId="77777777"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Mental health funded bed – acute child and adolescent</w:t>
            </w:r>
          </w:p>
        </w:tc>
        <w:tc>
          <w:tcPr>
            <w:tcW w:w="1818" w:type="dxa"/>
            <w:hideMark/>
          </w:tcPr>
          <w:p w14:paraId="2DFC6150" w14:textId="77777777"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Total</w:t>
            </w:r>
          </w:p>
          <w:p w14:paraId="71C171E9" w14:textId="462E0750"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 xml:space="preserve">Mental health funded acute bed </w:t>
            </w:r>
          </w:p>
        </w:tc>
        <w:tc>
          <w:tcPr>
            <w:tcW w:w="1818" w:type="dxa"/>
            <w:hideMark/>
          </w:tcPr>
          <w:p w14:paraId="5C7A481C" w14:textId="77777777"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Total</w:t>
            </w:r>
          </w:p>
          <w:p w14:paraId="253BE917" w14:textId="5A2D435F" w:rsidR="00E85FA1" w:rsidRPr="00EB3F8E" w:rsidRDefault="00E85FA1" w:rsidP="00EB3F8E">
            <w:pPr>
              <w:spacing w:after="0" w:line="240" w:lineRule="auto"/>
              <w:jc w:val="right"/>
              <w:rPr>
                <w:rFonts w:cs="Arial"/>
                <w:b/>
                <w:bCs/>
                <w:color w:val="FFFFFF"/>
                <w:sz w:val="16"/>
                <w:szCs w:val="16"/>
                <w:lang w:eastAsia="en-AU"/>
              </w:rPr>
            </w:pPr>
            <w:r w:rsidRPr="00EB3F8E">
              <w:rPr>
                <w:rFonts w:cs="Arial"/>
                <w:b/>
                <w:bCs/>
                <w:color w:val="FFFFFF"/>
                <w:sz w:val="16"/>
                <w:szCs w:val="16"/>
                <w:lang w:eastAsia="en-AU"/>
              </w:rPr>
              <w:t>Mental health funded acute bed days</w:t>
            </w:r>
          </w:p>
        </w:tc>
      </w:tr>
      <w:tr w:rsidR="00EB3F8E" w:rsidRPr="00EB3F8E" w14:paraId="3CB4CC5C" w14:textId="77777777" w:rsidTr="005826E3">
        <w:trPr>
          <w:trHeight w:val="300"/>
        </w:trPr>
        <w:tc>
          <w:tcPr>
            <w:tcW w:w="3400" w:type="dxa"/>
            <w:hideMark/>
          </w:tcPr>
          <w:p w14:paraId="738B0894"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Albury Wodonga Health</w:t>
            </w:r>
          </w:p>
        </w:tc>
        <w:tc>
          <w:tcPr>
            <w:tcW w:w="1817" w:type="dxa"/>
            <w:hideMark/>
          </w:tcPr>
          <w:p w14:paraId="37D50F3A"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03B5E87C"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15</w:t>
            </w:r>
          </w:p>
        </w:tc>
        <w:tc>
          <w:tcPr>
            <w:tcW w:w="1818" w:type="dxa"/>
            <w:hideMark/>
          </w:tcPr>
          <w:p w14:paraId="74A48A4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w:t>
            </w:r>
          </w:p>
        </w:tc>
        <w:tc>
          <w:tcPr>
            <w:tcW w:w="1818" w:type="dxa"/>
            <w:hideMark/>
          </w:tcPr>
          <w:p w14:paraId="675AA115"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1AE29F3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20</w:t>
            </w:r>
          </w:p>
        </w:tc>
        <w:tc>
          <w:tcPr>
            <w:tcW w:w="1818" w:type="dxa"/>
            <w:hideMark/>
          </w:tcPr>
          <w:p w14:paraId="03039D4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7,305</w:t>
            </w:r>
          </w:p>
        </w:tc>
      </w:tr>
      <w:tr w:rsidR="00EB3F8E" w:rsidRPr="00EB3F8E" w14:paraId="34F4F207" w14:textId="77777777" w:rsidTr="005826E3">
        <w:trPr>
          <w:trHeight w:val="300"/>
        </w:trPr>
        <w:tc>
          <w:tcPr>
            <w:tcW w:w="3400" w:type="dxa"/>
            <w:hideMark/>
          </w:tcPr>
          <w:p w14:paraId="7F10C807"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Alfred Health</w:t>
            </w:r>
          </w:p>
        </w:tc>
        <w:tc>
          <w:tcPr>
            <w:tcW w:w="1817" w:type="dxa"/>
            <w:hideMark/>
          </w:tcPr>
          <w:p w14:paraId="41D6A6E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33</w:t>
            </w:r>
          </w:p>
        </w:tc>
        <w:tc>
          <w:tcPr>
            <w:tcW w:w="1818" w:type="dxa"/>
            <w:hideMark/>
          </w:tcPr>
          <w:p w14:paraId="62CD0D2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54</w:t>
            </w:r>
          </w:p>
        </w:tc>
        <w:tc>
          <w:tcPr>
            <w:tcW w:w="1818" w:type="dxa"/>
            <w:hideMark/>
          </w:tcPr>
          <w:p w14:paraId="6F7DB3CE"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15</w:t>
            </w:r>
          </w:p>
        </w:tc>
        <w:tc>
          <w:tcPr>
            <w:tcW w:w="1818" w:type="dxa"/>
            <w:hideMark/>
          </w:tcPr>
          <w:p w14:paraId="4467D99A"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5F13B4D9"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102</w:t>
            </w:r>
          </w:p>
        </w:tc>
        <w:tc>
          <w:tcPr>
            <w:tcW w:w="1818" w:type="dxa"/>
            <w:hideMark/>
          </w:tcPr>
          <w:p w14:paraId="120DC2C0"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32,089</w:t>
            </w:r>
          </w:p>
        </w:tc>
      </w:tr>
      <w:tr w:rsidR="00EB3F8E" w:rsidRPr="00EB3F8E" w14:paraId="553922EA" w14:textId="77777777" w:rsidTr="005826E3">
        <w:trPr>
          <w:trHeight w:val="300"/>
        </w:trPr>
        <w:tc>
          <w:tcPr>
            <w:tcW w:w="3400" w:type="dxa"/>
            <w:hideMark/>
          </w:tcPr>
          <w:p w14:paraId="33F5CBD0"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Austin Health</w:t>
            </w:r>
          </w:p>
        </w:tc>
        <w:tc>
          <w:tcPr>
            <w:tcW w:w="1817" w:type="dxa"/>
            <w:hideMark/>
          </w:tcPr>
          <w:p w14:paraId="7798B929"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23</w:t>
            </w:r>
          </w:p>
        </w:tc>
        <w:tc>
          <w:tcPr>
            <w:tcW w:w="1818" w:type="dxa"/>
            <w:hideMark/>
          </w:tcPr>
          <w:p w14:paraId="3904487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53</w:t>
            </w:r>
          </w:p>
        </w:tc>
        <w:tc>
          <w:tcPr>
            <w:tcW w:w="1818" w:type="dxa"/>
            <w:hideMark/>
          </w:tcPr>
          <w:p w14:paraId="745DC125"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4BC78B3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23</w:t>
            </w:r>
          </w:p>
        </w:tc>
        <w:tc>
          <w:tcPr>
            <w:tcW w:w="1818" w:type="dxa"/>
            <w:hideMark/>
          </w:tcPr>
          <w:p w14:paraId="4133E69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99</w:t>
            </w:r>
          </w:p>
        </w:tc>
        <w:tc>
          <w:tcPr>
            <w:tcW w:w="1818" w:type="dxa"/>
            <w:hideMark/>
          </w:tcPr>
          <w:p w14:paraId="7F21F82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34,189</w:t>
            </w:r>
          </w:p>
        </w:tc>
      </w:tr>
      <w:tr w:rsidR="00EB3F8E" w:rsidRPr="00EB3F8E" w14:paraId="5AF50BDA" w14:textId="77777777" w:rsidTr="005826E3">
        <w:trPr>
          <w:trHeight w:val="300"/>
        </w:trPr>
        <w:tc>
          <w:tcPr>
            <w:tcW w:w="3400" w:type="dxa"/>
            <w:hideMark/>
          </w:tcPr>
          <w:p w14:paraId="0BFD60E0"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Grampians Health</w:t>
            </w:r>
          </w:p>
        </w:tc>
        <w:tc>
          <w:tcPr>
            <w:tcW w:w="1817" w:type="dxa"/>
            <w:hideMark/>
          </w:tcPr>
          <w:p w14:paraId="127A1A24"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w:t>
            </w:r>
          </w:p>
        </w:tc>
        <w:tc>
          <w:tcPr>
            <w:tcW w:w="1818" w:type="dxa"/>
            <w:hideMark/>
          </w:tcPr>
          <w:p w14:paraId="7149835C"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23</w:t>
            </w:r>
          </w:p>
        </w:tc>
        <w:tc>
          <w:tcPr>
            <w:tcW w:w="1818" w:type="dxa"/>
            <w:hideMark/>
          </w:tcPr>
          <w:p w14:paraId="2C4147A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10</w:t>
            </w:r>
          </w:p>
        </w:tc>
        <w:tc>
          <w:tcPr>
            <w:tcW w:w="1818" w:type="dxa"/>
            <w:hideMark/>
          </w:tcPr>
          <w:p w14:paraId="5F67770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w:t>
            </w:r>
          </w:p>
        </w:tc>
        <w:tc>
          <w:tcPr>
            <w:tcW w:w="1818" w:type="dxa"/>
            <w:hideMark/>
          </w:tcPr>
          <w:p w14:paraId="1F4D8CA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40</w:t>
            </w:r>
          </w:p>
        </w:tc>
        <w:tc>
          <w:tcPr>
            <w:tcW w:w="1818" w:type="dxa"/>
            <w:hideMark/>
          </w:tcPr>
          <w:p w14:paraId="7D199EFB"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14,610</w:t>
            </w:r>
          </w:p>
        </w:tc>
      </w:tr>
      <w:tr w:rsidR="00EB3F8E" w:rsidRPr="00EB3F8E" w14:paraId="4869DCD7" w14:textId="77777777" w:rsidTr="005826E3">
        <w:trPr>
          <w:trHeight w:val="300"/>
        </w:trPr>
        <w:tc>
          <w:tcPr>
            <w:tcW w:w="3400" w:type="dxa"/>
            <w:hideMark/>
          </w:tcPr>
          <w:p w14:paraId="05D49007"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Barwon Health</w:t>
            </w:r>
          </w:p>
        </w:tc>
        <w:tc>
          <w:tcPr>
            <w:tcW w:w="1817" w:type="dxa"/>
            <w:hideMark/>
          </w:tcPr>
          <w:p w14:paraId="46A60A40"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6AE40B7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44</w:t>
            </w:r>
          </w:p>
        </w:tc>
        <w:tc>
          <w:tcPr>
            <w:tcW w:w="1818" w:type="dxa"/>
            <w:hideMark/>
          </w:tcPr>
          <w:p w14:paraId="4997F838"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6</w:t>
            </w:r>
          </w:p>
        </w:tc>
        <w:tc>
          <w:tcPr>
            <w:tcW w:w="1818" w:type="dxa"/>
            <w:hideMark/>
          </w:tcPr>
          <w:p w14:paraId="661A5415"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1B189E5F"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50</w:t>
            </w:r>
          </w:p>
        </w:tc>
        <w:tc>
          <w:tcPr>
            <w:tcW w:w="1818" w:type="dxa"/>
            <w:hideMark/>
          </w:tcPr>
          <w:p w14:paraId="1A8055D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17,267</w:t>
            </w:r>
          </w:p>
        </w:tc>
      </w:tr>
      <w:tr w:rsidR="00EB3F8E" w:rsidRPr="00EB3F8E" w14:paraId="0EBDF043" w14:textId="77777777" w:rsidTr="005826E3">
        <w:trPr>
          <w:trHeight w:val="300"/>
        </w:trPr>
        <w:tc>
          <w:tcPr>
            <w:tcW w:w="3400" w:type="dxa"/>
            <w:hideMark/>
          </w:tcPr>
          <w:p w14:paraId="204A05BD"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Bendigo Health Care Group</w:t>
            </w:r>
          </w:p>
        </w:tc>
        <w:tc>
          <w:tcPr>
            <w:tcW w:w="1817" w:type="dxa"/>
            <w:hideMark/>
          </w:tcPr>
          <w:p w14:paraId="52CAF12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w:t>
            </w:r>
          </w:p>
        </w:tc>
        <w:tc>
          <w:tcPr>
            <w:tcW w:w="1818" w:type="dxa"/>
            <w:hideMark/>
          </w:tcPr>
          <w:p w14:paraId="4E919E8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35</w:t>
            </w:r>
          </w:p>
        </w:tc>
        <w:tc>
          <w:tcPr>
            <w:tcW w:w="1818" w:type="dxa"/>
            <w:hideMark/>
          </w:tcPr>
          <w:p w14:paraId="437AD66A"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20</w:t>
            </w:r>
          </w:p>
        </w:tc>
        <w:tc>
          <w:tcPr>
            <w:tcW w:w="1818" w:type="dxa"/>
            <w:hideMark/>
          </w:tcPr>
          <w:p w14:paraId="5A807DA4"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0E60F451"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60</w:t>
            </w:r>
          </w:p>
        </w:tc>
        <w:tc>
          <w:tcPr>
            <w:tcW w:w="1818" w:type="dxa"/>
            <w:hideMark/>
          </w:tcPr>
          <w:p w14:paraId="388984F1"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21,915</w:t>
            </w:r>
          </w:p>
        </w:tc>
      </w:tr>
      <w:tr w:rsidR="00EB3F8E" w:rsidRPr="00EB3F8E" w14:paraId="1372872D" w14:textId="77777777" w:rsidTr="005826E3">
        <w:trPr>
          <w:trHeight w:val="300"/>
        </w:trPr>
        <w:tc>
          <w:tcPr>
            <w:tcW w:w="3400" w:type="dxa"/>
            <w:hideMark/>
          </w:tcPr>
          <w:p w14:paraId="27B70498"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Eastern Health</w:t>
            </w:r>
          </w:p>
        </w:tc>
        <w:tc>
          <w:tcPr>
            <w:tcW w:w="1817" w:type="dxa"/>
            <w:hideMark/>
          </w:tcPr>
          <w:p w14:paraId="33381549"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099551B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88</w:t>
            </w:r>
          </w:p>
        </w:tc>
        <w:tc>
          <w:tcPr>
            <w:tcW w:w="1818" w:type="dxa"/>
            <w:hideMark/>
          </w:tcPr>
          <w:p w14:paraId="406D665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30</w:t>
            </w:r>
          </w:p>
        </w:tc>
        <w:tc>
          <w:tcPr>
            <w:tcW w:w="1818" w:type="dxa"/>
            <w:hideMark/>
          </w:tcPr>
          <w:p w14:paraId="3FFB4D80"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12</w:t>
            </w:r>
          </w:p>
        </w:tc>
        <w:tc>
          <w:tcPr>
            <w:tcW w:w="1818" w:type="dxa"/>
            <w:hideMark/>
          </w:tcPr>
          <w:p w14:paraId="26D90F0E"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130</w:t>
            </w:r>
          </w:p>
        </w:tc>
        <w:tc>
          <w:tcPr>
            <w:tcW w:w="1818" w:type="dxa"/>
            <w:hideMark/>
          </w:tcPr>
          <w:p w14:paraId="7023409C"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47,483</w:t>
            </w:r>
          </w:p>
        </w:tc>
      </w:tr>
      <w:tr w:rsidR="00EB3F8E" w:rsidRPr="00EB3F8E" w14:paraId="4A470CA5" w14:textId="77777777" w:rsidTr="005826E3">
        <w:trPr>
          <w:trHeight w:val="300"/>
        </w:trPr>
        <w:tc>
          <w:tcPr>
            <w:tcW w:w="3400" w:type="dxa"/>
            <w:hideMark/>
          </w:tcPr>
          <w:p w14:paraId="2BB88F68"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Goulburn Valley Health</w:t>
            </w:r>
          </w:p>
        </w:tc>
        <w:tc>
          <w:tcPr>
            <w:tcW w:w="1817" w:type="dxa"/>
            <w:hideMark/>
          </w:tcPr>
          <w:p w14:paraId="62625C40"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7279EA6C"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15</w:t>
            </w:r>
          </w:p>
        </w:tc>
        <w:tc>
          <w:tcPr>
            <w:tcW w:w="1818" w:type="dxa"/>
            <w:hideMark/>
          </w:tcPr>
          <w:p w14:paraId="4A23360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w:t>
            </w:r>
          </w:p>
        </w:tc>
        <w:tc>
          <w:tcPr>
            <w:tcW w:w="1818" w:type="dxa"/>
            <w:hideMark/>
          </w:tcPr>
          <w:p w14:paraId="43DBBF78"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604D4924"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20</w:t>
            </w:r>
          </w:p>
        </w:tc>
        <w:tc>
          <w:tcPr>
            <w:tcW w:w="1818" w:type="dxa"/>
            <w:hideMark/>
          </w:tcPr>
          <w:p w14:paraId="0FFBCF29"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7,305</w:t>
            </w:r>
          </w:p>
        </w:tc>
      </w:tr>
      <w:tr w:rsidR="00EB3F8E" w:rsidRPr="00EB3F8E" w14:paraId="2989158D" w14:textId="77777777" w:rsidTr="005826E3">
        <w:trPr>
          <w:trHeight w:val="300"/>
        </w:trPr>
        <w:tc>
          <w:tcPr>
            <w:tcW w:w="3400" w:type="dxa"/>
            <w:hideMark/>
          </w:tcPr>
          <w:p w14:paraId="22BCEAFD"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Latrobe Regional</w:t>
            </w:r>
          </w:p>
        </w:tc>
        <w:tc>
          <w:tcPr>
            <w:tcW w:w="1817" w:type="dxa"/>
            <w:hideMark/>
          </w:tcPr>
          <w:p w14:paraId="448FA59B"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w:t>
            </w:r>
          </w:p>
        </w:tc>
        <w:tc>
          <w:tcPr>
            <w:tcW w:w="1818" w:type="dxa"/>
            <w:hideMark/>
          </w:tcPr>
          <w:p w14:paraId="55D0FFE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29</w:t>
            </w:r>
          </w:p>
        </w:tc>
        <w:tc>
          <w:tcPr>
            <w:tcW w:w="1818" w:type="dxa"/>
            <w:hideMark/>
          </w:tcPr>
          <w:p w14:paraId="4DF61D8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10</w:t>
            </w:r>
          </w:p>
        </w:tc>
        <w:tc>
          <w:tcPr>
            <w:tcW w:w="1818" w:type="dxa"/>
            <w:hideMark/>
          </w:tcPr>
          <w:p w14:paraId="75D7B15C"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w:t>
            </w:r>
          </w:p>
        </w:tc>
        <w:tc>
          <w:tcPr>
            <w:tcW w:w="1818" w:type="dxa"/>
            <w:hideMark/>
          </w:tcPr>
          <w:p w14:paraId="6EBC1725"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46</w:t>
            </w:r>
          </w:p>
        </w:tc>
        <w:tc>
          <w:tcPr>
            <w:tcW w:w="1818" w:type="dxa"/>
            <w:hideMark/>
          </w:tcPr>
          <w:p w14:paraId="40D0E90B"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16,802</w:t>
            </w:r>
          </w:p>
        </w:tc>
      </w:tr>
      <w:tr w:rsidR="00EB3F8E" w:rsidRPr="00EB3F8E" w14:paraId="12BE6042" w14:textId="77777777" w:rsidTr="005826E3">
        <w:trPr>
          <w:trHeight w:val="300"/>
        </w:trPr>
        <w:tc>
          <w:tcPr>
            <w:tcW w:w="3400" w:type="dxa"/>
            <w:hideMark/>
          </w:tcPr>
          <w:p w14:paraId="0B0C91CD"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Melbourne Health</w:t>
            </w:r>
          </w:p>
        </w:tc>
        <w:tc>
          <w:tcPr>
            <w:tcW w:w="1817" w:type="dxa"/>
            <w:hideMark/>
          </w:tcPr>
          <w:p w14:paraId="7C42153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16</w:t>
            </w:r>
          </w:p>
        </w:tc>
        <w:tc>
          <w:tcPr>
            <w:tcW w:w="1818" w:type="dxa"/>
            <w:hideMark/>
          </w:tcPr>
          <w:p w14:paraId="0E343A6B"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187</w:t>
            </w:r>
          </w:p>
        </w:tc>
        <w:tc>
          <w:tcPr>
            <w:tcW w:w="1818" w:type="dxa"/>
            <w:hideMark/>
          </w:tcPr>
          <w:p w14:paraId="04B1DC2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54</w:t>
            </w:r>
          </w:p>
        </w:tc>
        <w:tc>
          <w:tcPr>
            <w:tcW w:w="1818" w:type="dxa"/>
            <w:hideMark/>
          </w:tcPr>
          <w:p w14:paraId="3656E635"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3ECA61A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257</w:t>
            </w:r>
          </w:p>
        </w:tc>
        <w:tc>
          <w:tcPr>
            <w:tcW w:w="1818" w:type="dxa"/>
            <w:hideMark/>
          </w:tcPr>
          <w:p w14:paraId="751070A5"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86,085</w:t>
            </w:r>
          </w:p>
        </w:tc>
      </w:tr>
      <w:tr w:rsidR="00EB3F8E" w:rsidRPr="00EB3F8E" w14:paraId="6CA75731" w14:textId="77777777" w:rsidTr="005826E3">
        <w:trPr>
          <w:trHeight w:val="300"/>
        </w:trPr>
        <w:tc>
          <w:tcPr>
            <w:tcW w:w="3400" w:type="dxa"/>
            <w:hideMark/>
          </w:tcPr>
          <w:p w14:paraId="2C7F7043"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Mercy Health</w:t>
            </w:r>
          </w:p>
        </w:tc>
        <w:tc>
          <w:tcPr>
            <w:tcW w:w="1817" w:type="dxa"/>
            <w:hideMark/>
          </w:tcPr>
          <w:p w14:paraId="30027B3B"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6</w:t>
            </w:r>
          </w:p>
        </w:tc>
        <w:tc>
          <w:tcPr>
            <w:tcW w:w="1818" w:type="dxa"/>
            <w:hideMark/>
          </w:tcPr>
          <w:p w14:paraId="6A3E457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70</w:t>
            </w:r>
          </w:p>
        </w:tc>
        <w:tc>
          <w:tcPr>
            <w:tcW w:w="1818" w:type="dxa"/>
            <w:hideMark/>
          </w:tcPr>
          <w:p w14:paraId="71FB1D66"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49A3BCFA"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2995A474"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76</w:t>
            </w:r>
          </w:p>
        </w:tc>
        <w:tc>
          <w:tcPr>
            <w:tcW w:w="1818" w:type="dxa"/>
            <w:hideMark/>
          </w:tcPr>
          <w:p w14:paraId="6CD2C39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27,759</w:t>
            </w:r>
          </w:p>
        </w:tc>
      </w:tr>
      <w:tr w:rsidR="00EB3F8E" w:rsidRPr="00EB3F8E" w14:paraId="3D73CFDA" w14:textId="77777777" w:rsidTr="005826E3">
        <w:trPr>
          <w:trHeight w:val="300"/>
        </w:trPr>
        <w:tc>
          <w:tcPr>
            <w:tcW w:w="3400" w:type="dxa"/>
            <w:hideMark/>
          </w:tcPr>
          <w:p w14:paraId="6AC8E810"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Monash Health</w:t>
            </w:r>
          </w:p>
        </w:tc>
        <w:tc>
          <w:tcPr>
            <w:tcW w:w="1817" w:type="dxa"/>
            <w:hideMark/>
          </w:tcPr>
          <w:p w14:paraId="387B91FE"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8</w:t>
            </w:r>
          </w:p>
        </w:tc>
        <w:tc>
          <w:tcPr>
            <w:tcW w:w="1818" w:type="dxa"/>
            <w:hideMark/>
          </w:tcPr>
          <w:p w14:paraId="779C9191"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111</w:t>
            </w:r>
          </w:p>
        </w:tc>
        <w:tc>
          <w:tcPr>
            <w:tcW w:w="1818" w:type="dxa"/>
            <w:hideMark/>
          </w:tcPr>
          <w:p w14:paraId="4C894EC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40</w:t>
            </w:r>
          </w:p>
        </w:tc>
        <w:tc>
          <w:tcPr>
            <w:tcW w:w="1818" w:type="dxa"/>
            <w:hideMark/>
          </w:tcPr>
          <w:p w14:paraId="4A9FFFBC"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23</w:t>
            </w:r>
          </w:p>
        </w:tc>
        <w:tc>
          <w:tcPr>
            <w:tcW w:w="1818" w:type="dxa"/>
            <w:hideMark/>
          </w:tcPr>
          <w:p w14:paraId="7722A829"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182</w:t>
            </w:r>
          </w:p>
        </w:tc>
        <w:tc>
          <w:tcPr>
            <w:tcW w:w="1818" w:type="dxa"/>
            <w:hideMark/>
          </w:tcPr>
          <w:p w14:paraId="079A171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66,476</w:t>
            </w:r>
          </w:p>
        </w:tc>
      </w:tr>
      <w:tr w:rsidR="00EB3F8E" w:rsidRPr="00EB3F8E" w14:paraId="3BEF7E9A" w14:textId="77777777" w:rsidTr="005826E3">
        <w:trPr>
          <w:trHeight w:val="300"/>
        </w:trPr>
        <w:tc>
          <w:tcPr>
            <w:tcW w:w="3400" w:type="dxa"/>
            <w:hideMark/>
          </w:tcPr>
          <w:p w14:paraId="1EF9AE85"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Northern Health</w:t>
            </w:r>
          </w:p>
        </w:tc>
        <w:tc>
          <w:tcPr>
            <w:tcW w:w="1817" w:type="dxa"/>
            <w:hideMark/>
          </w:tcPr>
          <w:p w14:paraId="6BA8F35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4B8D28D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16</w:t>
            </w:r>
          </w:p>
        </w:tc>
        <w:tc>
          <w:tcPr>
            <w:tcW w:w="1818" w:type="dxa"/>
            <w:hideMark/>
          </w:tcPr>
          <w:p w14:paraId="0164122E"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771A14EC"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3EA19400"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16</w:t>
            </w:r>
          </w:p>
        </w:tc>
        <w:tc>
          <w:tcPr>
            <w:tcW w:w="1818" w:type="dxa"/>
            <w:hideMark/>
          </w:tcPr>
          <w:p w14:paraId="57B7A98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2,190</w:t>
            </w:r>
          </w:p>
        </w:tc>
      </w:tr>
      <w:tr w:rsidR="00EB3F8E" w:rsidRPr="00EB3F8E" w14:paraId="71844939" w14:textId="77777777" w:rsidTr="005826E3">
        <w:trPr>
          <w:trHeight w:val="300"/>
        </w:trPr>
        <w:tc>
          <w:tcPr>
            <w:tcW w:w="3400" w:type="dxa"/>
            <w:hideMark/>
          </w:tcPr>
          <w:p w14:paraId="6DD8BCA0"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Peninsula Health</w:t>
            </w:r>
          </w:p>
        </w:tc>
        <w:tc>
          <w:tcPr>
            <w:tcW w:w="1817" w:type="dxa"/>
            <w:hideMark/>
          </w:tcPr>
          <w:p w14:paraId="2EC9286F"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7620E9C9"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35</w:t>
            </w:r>
          </w:p>
        </w:tc>
        <w:tc>
          <w:tcPr>
            <w:tcW w:w="1818" w:type="dxa"/>
            <w:hideMark/>
          </w:tcPr>
          <w:p w14:paraId="67B5BE7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15</w:t>
            </w:r>
          </w:p>
        </w:tc>
        <w:tc>
          <w:tcPr>
            <w:tcW w:w="1818" w:type="dxa"/>
            <w:hideMark/>
          </w:tcPr>
          <w:p w14:paraId="42583A7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4DC898CA"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50</w:t>
            </w:r>
          </w:p>
        </w:tc>
        <w:tc>
          <w:tcPr>
            <w:tcW w:w="1818" w:type="dxa"/>
            <w:hideMark/>
          </w:tcPr>
          <w:p w14:paraId="239A4CE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18,263</w:t>
            </w:r>
          </w:p>
        </w:tc>
      </w:tr>
      <w:tr w:rsidR="00EB3F8E" w:rsidRPr="00EB3F8E" w14:paraId="7E768CF5" w14:textId="77777777" w:rsidTr="005826E3">
        <w:trPr>
          <w:trHeight w:val="300"/>
        </w:trPr>
        <w:tc>
          <w:tcPr>
            <w:tcW w:w="3400" w:type="dxa"/>
            <w:hideMark/>
          </w:tcPr>
          <w:p w14:paraId="7AFA08B7"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St Vincent’s Hospital</w:t>
            </w:r>
          </w:p>
        </w:tc>
        <w:tc>
          <w:tcPr>
            <w:tcW w:w="1817" w:type="dxa"/>
            <w:hideMark/>
          </w:tcPr>
          <w:p w14:paraId="652D3BCE"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135C3A4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44</w:t>
            </w:r>
          </w:p>
        </w:tc>
        <w:tc>
          <w:tcPr>
            <w:tcW w:w="1818" w:type="dxa"/>
            <w:hideMark/>
          </w:tcPr>
          <w:p w14:paraId="5433C97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20</w:t>
            </w:r>
          </w:p>
        </w:tc>
        <w:tc>
          <w:tcPr>
            <w:tcW w:w="1818" w:type="dxa"/>
            <w:hideMark/>
          </w:tcPr>
          <w:p w14:paraId="61C4019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377DDC44"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64</w:t>
            </w:r>
          </w:p>
        </w:tc>
        <w:tc>
          <w:tcPr>
            <w:tcW w:w="1818" w:type="dxa"/>
            <w:hideMark/>
          </w:tcPr>
          <w:p w14:paraId="7277F17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23,376</w:t>
            </w:r>
          </w:p>
        </w:tc>
      </w:tr>
      <w:tr w:rsidR="00EB3F8E" w:rsidRPr="00EB3F8E" w14:paraId="4B1F085F" w14:textId="77777777" w:rsidTr="005826E3">
        <w:trPr>
          <w:trHeight w:val="300"/>
        </w:trPr>
        <w:tc>
          <w:tcPr>
            <w:tcW w:w="3400" w:type="dxa"/>
            <w:hideMark/>
          </w:tcPr>
          <w:p w14:paraId="250A9E99"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The Royal Children’s Hospital</w:t>
            </w:r>
          </w:p>
        </w:tc>
        <w:tc>
          <w:tcPr>
            <w:tcW w:w="1817" w:type="dxa"/>
            <w:hideMark/>
          </w:tcPr>
          <w:p w14:paraId="23731658"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112D01BE"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06A88C5A"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0B1D0043"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17</w:t>
            </w:r>
          </w:p>
        </w:tc>
        <w:tc>
          <w:tcPr>
            <w:tcW w:w="1818" w:type="dxa"/>
            <w:hideMark/>
          </w:tcPr>
          <w:p w14:paraId="729FBA37"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17</w:t>
            </w:r>
          </w:p>
        </w:tc>
        <w:tc>
          <w:tcPr>
            <w:tcW w:w="1818" w:type="dxa"/>
            <w:hideMark/>
          </w:tcPr>
          <w:p w14:paraId="74B7D2CD"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6,209</w:t>
            </w:r>
          </w:p>
        </w:tc>
      </w:tr>
      <w:tr w:rsidR="00EB3F8E" w:rsidRPr="00EB3F8E" w14:paraId="34B9E81C" w14:textId="77777777" w:rsidTr="005826E3">
        <w:trPr>
          <w:trHeight w:val="300"/>
        </w:trPr>
        <w:tc>
          <w:tcPr>
            <w:tcW w:w="3400" w:type="dxa"/>
            <w:hideMark/>
          </w:tcPr>
          <w:p w14:paraId="0090EEC5" w14:textId="77777777" w:rsidR="00EB3F8E" w:rsidRPr="00EB3F8E" w:rsidRDefault="00EB3F8E" w:rsidP="00EB3F8E">
            <w:pPr>
              <w:spacing w:after="0" w:line="240" w:lineRule="auto"/>
              <w:rPr>
                <w:rFonts w:cs="Arial"/>
                <w:color w:val="000000"/>
                <w:sz w:val="16"/>
                <w:szCs w:val="16"/>
                <w:lang w:eastAsia="en-AU"/>
              </w:rPr>
            </w:pPr>
            <w:r w:rsidRPr="00EB3F8E">
              <w:rPr>
                <w:rFonts w:cs="Arial"/>
                <w:color w:val="000000"/>
                <w:sz w:val="16"/>
                <w:szCs w:val="16"/>
                <w:lang w:eastAsia="en-AU"/>
              </w:rPr>
              <w:t>Victorian Institute of Forensic Mental Health</w:t>
            </w:r>
          </w:p>
        </w:tc>
        <w:tc>
          <w:tcPr>
            <w:tcW w:w="1817" w:type="dxa"/>
            <w:hideMark/>
          </w:tcPr>
          <w:p w14:paraId="5324AF44"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54</w:t>
            </w:r>
          </w:p>
        </w:tc>
        <w:tc>
          <w:tcPr>
            <w:tcW w:w="1818" w:type="dxa"/>
            <w:hideMark/>
          </w:tcPr>
          <w:p w14:paraId="4164AA48"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4DE564A5"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7452FBA2"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 </w:t>
            </w:r>
          </w:p>
        </w:tc>
        <w:tc>
          <w:tcPr>
            <w:tcW w:w="1818" w:type="dxa"/>
            <w:hideMark/>
          </w:tcPr>
          <w:p w14:paraId="2E8C730F" w14:textId="77777777" w:rsidR="00EB3F8E" w:rsidRPr="00EB3F8E" w:rsidRDefault="00EB3F8E" w:rsidP="00EB3F8E">
            <w:pPr>
              <w:spacing w:after="0" w:line="240" w:lineRule="auto"/>
              <w:jc w:val="right"/>
              <w:rPr>
                <w:rFonts w:cs="Arial"/>
                <w:color w:val="000000"/>
                <w:sz w:val="16"/>
                <w:szCs w:val="16"/>
                <w:lang w:eastAsia="en-AU"/>
              </w:rPr>
            </w:pPr>
            <w:r w:rsidRPr="00EB3F8E">
              <w:rPr>
                <w:rFonts w:cs="Arial"/>
                <w:color w:val="000000"/>
                <w:sz w:val="16"/>
                <w:szCs w:val="16"/>
                <w:lang w:eastAsia="en-AU"/>
              </w:rPr>
              <w:t>54</w:t>
            </w:r>
          </w:p>
        </w:tc>
        <w:tc>
          <w:tcPr>
            <w:tcW w:w="1818" w:type="dxa"/>
            <w:hideMark/>
          </w:tcPr>
          <w:p w14:paraId="5D26CE01" w14:textId="77777777" w:rsidR="00EB3F8E" w:rsidRPr="00EB3F8E" w:rsidRDefault="00EB3F8E" w:rsidP="00EB3F8E">
            <w:pPr>
              <w:spacing w:after="0" w:line="240" w:lineRule="auto"/>
              <w:jc w:val="right"/>
              <w:rPr>
                <w:rFonts w:cs="Arial"/>
                <w:b/>
                <w:bCs/>
                <w:color w:val="000000"/>
                <w:sz w:val="16"/>
                <w:szCs w:val="16"/>
                <w:lang w:eastAsia="en-AU"/>
              </w:rPr>
            </w:pPr>
            <w:r w:rsidRPr="00EB3F8E">
              <w:rPr>
                <w:rFonts w:cs="Arial"/>
                <w:b/>
                <w:bCs/>
                <w:color w:val="000000"/>
                <w:sz w:val="16"/>
                <w:szCs w:val="16"/>
                <w:lang w:eastAsia="en-AU"/>
              </w:rPr>
              <w:t> </w:t>
            </w:r>
          </w:p>
        </w:tc>
      </w:tr>
    </w:tbl>
    <w:p w14:paraId="04F60745" w14:textId="5BA54077" w:rsidR="00B30304" w:rsidRDefault="00B30304" w:rsidP="00811339">
      <w:pPr>
        <w:pStyle w:val="Body"/>
      </w:pPr>
    </w:p>
    <w:p w14:paraId="6DA6EBB2" w14:textId="77777777" w:rsidR="00EB3F8E" w:rsidRPr="00811339" w:rsidRDefault="00EB3F8E" w:rsidP="00811339">
      <w:pPr>
        <w:pStyle w:val="Body"/>
      </w:pPr>
    </w:p>
    <w:p w14:paraId="5EE86B8F" w14:textId="17AB6E1C" w:rsidR="001C5C09" w:rsidRDefault="001C5C09" w:rsidP="000E08EF">
      <w:pPr>
        <w:pStyle w:val="Tablecaption"/>
        <w:rPr>
          <w:rFonts w:eastAsia="Times"/>
          <w:b w:val="0"/>
        </w:rPr>
      </w:pPr>
      <w:bookmarkStart w:id="1371" w:name="_Toc109894147"/>
      <w:bookmarkStart w:id="1372" w:name="_Toc119500928"/>
      <w:bookmarkStart w:id="1373" w:name="_Toc12780582"/>
      <w:bookmarkStart w:id="1374" w:name="_Toc14194838"/>
      <w:bookmarkStart w:id="1375" w:name="_Toc33704019"/>
      <w:r w:rsidRPr="001C5C09">
        <w:rPr>
          <w:rFonts w:eastAsia="Times"/>
          <w:b w:val="0"/>
        </w:rPr>
        <w:t>Subregional and rural</w:t>
      </w:r>
      <w:bookmarkEnd w:id="1371"/>
      <w:bookmarkEnd w:id="1372"/>
    </w:p>
    <w:tbl>
      <w:tblPr>
        <w:tblW w:w="14307" w:type="dxa"/>
        <w:tblLook w:val="04A0" w:firstRow="1" w:lastRow="0" w:firstColumn="1" w:lastColumn="0" w:noHBand="0" w:noVBand="1"/>
      </w:tblPr>
      <w:tblGrid>
        <w:gridCol w:w="3400"/>
        <w:gridCol w:w="1817"/>
        <w:gridCol w:w="1818"/>
        <w:gridCol w:w="1818"/>
        <w:gridCol w:w="1818"/>
        <w:gridCol w:w="1818"/>
        <w:gridCol w:w="1818"/>
      </w:tblGrid>
      <w:tr w:rsidR="00EE0968" w:rsidRPr="00EE0968" w14:paraId="6EE1BE94" w14:textId="77777777" w:rsidTr="00EE0968">
        <w:trPr>
          <w:trHeight w:val="288"/>
        </w:trPr>
        <w:tc>
          <w:tcPr>
            <w:tcW w:w="3400"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1B42EFD9" w14:textId="77777777" w:rsidR="00E85FA1" w:rsidRDefault="00E85FA1" w:rsidP="00EE0968">
            <w:pPr>
              <w:spacing w:after="0" w:line="240" w:lineRule="auto"/>
              <w:rPr>
                <w:rFonts w:cs="Arial"/>
                <w:b/>
                <w:bCs/>
                <w:color w:val="FFFFFF"/>
                <w:sz w:val="16"/>
                <w:szCs w:val="16"/>
                <w:lang w:eastAsia="en-AU"/>
              </w:rPr>
            </w:pPr>
          </w:p>
          <w:p w14:paraId="3E49B091" w14:textId="77777777" w:rsidR="00E85FA1" w:rsidRDefault="00E85FA1" w:rsidP="00EE0968">
            <w:pPr>
              <w:spacing w:after="0" w:line="240" w:lineRule="auto"/>
              <w:rPr>
                <w:rFonts w:cs="Arial"/>
                <w:b/>
                <w:bCs/>
                <w:color w:val="FFFFFF"/>
                <w:sz w:val="16"/>
                <w:szCs w:val="16"/>
                <w:lang w:eastAsia="en-AU"/>
              </w:rPr>
            </w:pPr>
          </w:p>
          <w:p w14:paraId="6735AE47" w14:textId="0D923D63" w:rsidR="00EE0968" w:rsidRPr="00EE0968" w:rsidRDefault="00EE0968" w:rsidP="00EE0968">
            <w:pPr>
              <w:spacing w:after="0" w:line="240" w:lineRule="auto"/>
              <w:rPr>
                <w:rFonts w:cs="Arial"/>
                <w:b/>
                <w:bCs/>
                <w:color w:val="FFFFFF"/>
                <w:sz w:val="16"/>
                <w:szCs w:val="16"/>
                <w:lang w:eastAsia="en-AU"/>
              </w:rPr>
            </w:pPr>
            <w:r w:rsidRPr="00EE0968">
              <w:rPr>
                <w:rFonts w:cs="Arial"/>
                <w:b/>
                <w:bCs/>
                <w:color w:val="FFFFFF"/>
                <w:sz w:val="16"/>
                <w:szCs w:val="16"/>
                <w:lang w:eastAsia="en-AU"/>
              </w:rPr>
              <w:t>Health service</w:t>
            </w:r>
          </w:p>
        </w:tc>
        <w:tc>
          <w:tcPr>
            <w:tcW w:w="1817"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116BD068"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Mental health funded bed – acute specialist</w:t>
            </w:r>
          </w:p>
        </w:tc>
        <w:tc>
          <w:tcPr>
            <w:tcW w:w="1818"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7026EDDC"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Mental health funded bed – acute adult</w:t>
            </w:r>
          </w:p>
        </w:tc>
        <w:tc>
          <w:tcPr>
            <w:tcW w:w="1818"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20800716"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Mental health funded bed – acute aged</w:t>
            </w:r>
          </w:p>
        </w:tc>
        <w:tc>
          <w:tcPr>
            <w:tcW w:w="1818"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6A9C9BB3"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Mental health funded bed – acute child and adolescent</w:t>
            </w:r>
          </w:p>
        </w:tc>
        <w:tc>
          <w:tcPr>
            <w:tcW w:w="1818" w:type="dxa"/>
            <w:tcBorders>
              <w:top w:val="single" w:sz="8" w:space="0" w:color="auto"/>
              <w:left w:val="nil"/>
              <w:bottom w:val="nil"/>
              <w:right w:val="single" w:sz="8" w:space="0" w:color="auto"/>
            </w:tcBorders>
            <w:shd w:val="clear" w:color="000000" w:fill="201547"/>
            <w:vAlign w:val="center"/>
            <w:hideMark/>
          </w:tcPr>
          <w:p w14:paraId="150E1186"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Total</w:t>
            </w:r>
          </w:p>
        </w:tc>
        <w:tc>
          <w:tcPr>
            <w:tcW w:w="1818" w:type="dxa"/>
            <w:tcBorders>
              <w:top w:val="single" w:sz="8" w:space="0" w:color="auto"/>
              <w:left w:val="nil"/>
              <w:bottom w:val="nil"/>
              <w:right w:val="single" w:sz="8" w:space="0" w:color="auto"/>
            </w:tcBorders>
            <w:shd w:val="clear" w:color="000000" w:fill="201547"/>
            <w:vAlign w:val="center"/>
            <w:hideMark/>
          </w:tcPr>
          <w:p w14:paraId="57C2FFF2"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Total</w:t>
            </w:r>
          </w:p>
        </w:tc>
      </w:tr>
      <w:tr w:rsidR="00EE0968" w:rsidRPr="00EE0968" w14:paraId="3F4F8DD2" w14:textId="77777777" w:rsidTr="00E85FA1">
        <w:trPr>
          <w:trHeight w:val="476"/>
        </w:trPr>
        <w:tc>
          <w:tcPr>
            <w:tcW w:w="3400" w:type="dxa"/>
            <w:vMerge/>
            <w:tcBorders>
              <w:top w:val="single" w:sz="8" w:space="0" w:color="auto"/>
              <w:left w:val="single" w:sz="8" w:space="0" w:color="auto"/>
              <w:bottom w:val="single" w:sz="8" w:space="0" w:color="000000"/>
              <w:right w:val="single" w:sz="8" w:space="0" w:color="auto"/>
            </w:tcBorders>
            <w:vAlign w:val="center"/>
            <w:hideMark/>
          </w:tcPr>
          <w:p w14:paraId="65592189" w14:textId="77777777" w:rsidR="00EE0968" w:rsidRPr="00EE0968" w:rsidRDefault="00EE0968" w:rsidP="00EE0968">
            <w:pPr>
              <w:spacing w:after="0" w:line="240" w:lineRule="auto"/>
              <w:rPr>
                <w:rFonts w:cs="Arial"/>
                <w:b/>
                <w:bCs/>
                <w:color w:val="FFFFFF"/>
                <w:sz w:val="16"/>
                <w:szCs w:val="16"/>
                <w:lang w:eastAsia="en-A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14:paraId="276862A8" w14:textId="77777777" w:rsidR="00EE0968" w:rsidRPr="00EE0968" w:rsidRDefault="00EE0968" w:rsidP="00EE0968">
            <w:pPr>
              <w:spacing w:after="0" w:line="240" w:lineRule="auto"/>
              <w:rPr>
                <w:rFonts w:cs="Arial"/>
                <w:b/>
                <w:bCs/>
                <w:color w:val="FFFFFF"/>
                <w:sz w:val="16"/>
                <w:szCs w:val="16"/>
                <w:lang w:eastAsia="en-AU"/>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6A9D915C" w14:textId="77777777" w:rsidR="00EE0968" w:rsidRPr="00EE0968" w:rsidRDefault="00EE0968" w:rsidP="00EE0968">
            <w:pPr>
              <w:spacing w:after="0" w:line="240" w:lineRule="auto"/>
              <w:rPr>
                <w:rFonts w:cs="Arial"/>
                <w:b/>
                <w:bCs/>
                <w:color w:val="FFFFFF"/>
                <w:sz w:val="16"/>
                <w:szCs w:val="16"/>
                <w:lang w:eastAsia="en-AU"/>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39DE5774" w14:textId="77777777" w:rsidR="00EE0968" w:rsidRPr="00EE0968" w:rsidRDefault="00EE0968" w:rsidP="00EE0968">
            <w:pPr>
              <w:spacing w:after="0" w:line="240" w:lineRule="auto"/>
              <w:rPr>
                <w:rFonts w:cs="Arial"/>
                <w:b/>
                <w:bCs/>
                <w:color w:val="FFFFFF"/>
                <w:sz w:val="16"/>
                <w:szCs w:val="16"/>
                <w:lang w:eastAsia="en-AU"/>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21CDDF99" w14:textId="77777777" w:rsidR="00EE0968" w:rsidRPr="00EE0968" w:rsidRDefault="00EE0968" w:rsidP="00EE0968">
            <w:pPr>
              <w:spacing w:after="0" w:line="240" w:lineRule="auto"/>
              <w:rPr>
                <w:rFonts w:cs="Arial"/>
                <w:b/>
                <w:bCs/>
                <w:color w:val="FFFFFF"/>
                <w:sz w:val="16"/>
                <w:szCs w:val="16"/>
                <w:lang w:eastAsia="en-AU"/>
              </w:rPr>
            </w:pPr>
          </w:p>
        </w:tc>
        <w:tc>
          <w:tcPr>
            <w:tcW w:w="1818" w:type="dxa"/>
            <w:tcBorders>
              <w:top w:val="nil"/>
              <w:left w:val="nil"/>
              <w:bottom w:val="single" w:sz="8" w:space="0" w:color="auto"/>
              <w:right w:val="single" w:sz="8" w:space="0" w:color="auto"/>
            </w:tcBorders>
            <w:shd w:val="clear" w:color="000000" w:fill="201547"/>
            <w:vAlign w:val="center"/>
            <w:hideMark/>
          </w:tcPr>
          <w:p w14:paraId="7207BDFB"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 xml:space="preserve">Mental health funded acute bed </w:t>
            </w:r>
          </w:p>
        </w:tc>
        <w:tc>
          <w:tcPr>
            <w:tcW w:w="1818" w:type="dxa"/>
            <w:tcBorders>
              <w:top w:val="nil"/>
              <w:left w:val="nil"/>
              <w:bottom w:val="single" w:sz="8" w:space="0" w:color="auto"/>
              <w:right w:val="single" w:sz="8" w:space="0" w:color="auto"/>
            </w:tcBorders>
            <w:shd w:val="clear" w:color="000000" w:fill="201547"/>
            <w:vAlign w:val="center"/>
            <w:hideMark/>
          </w:tcPr>
          <w:p w14:paraId="2E103860" w14:textId="77777777" w:rsidR="00EE0968" w:rsidRPr="00EE0968" w:rsidRDefault="00EE0968" w:rsidP="00EE0968">
            <w:pPr>
              <w:spacing w:after="0" w:line="240" w:lineRule="auto"/>
              <w:jc w:val="right"/>
              <w:rPr>
                <w:rFonts w:cs="Arial"/>
                <w:b/>
                <w:bCs/>
                <w:color w:val="FFFFFF"/>
                <w:sz w:val="16"/>
                <w:szCs w:val="16"/>
                <w:lang w:eastAsia="en-AU"/>
              </w:rPr>
            </w:pPr>
            <w:r w:rsidRPr="00EE0968">
              <w:rPr>
                <w:rFonts w:cs="Arial"/>
                <w:b/>
                <w:bCs/>
                <w:color w:val="FFFFFF"/>
                <w:sz w:val="16"/>
                <w:szCs w:val="16"/>
                <w:lang w:eastAsia="en-AU"/>
              </w:rPr>
              <w:t>Mental health funded acute bed days</w:t>
            </w:r>
          </w:p>
        </w:tc>
      </w:tr>
      <w:tr w:rsidR="00EE0968" w:rsidRPr="00EE0968" w14:paraId="7FD0FDFB" w14:textId="77777777" w:rsidTr="00EE0968">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A008E0C" w14:textId="77777777" w:rsidR="00EE0968" w:rsidRPr="00EE0968" w:rsidRDefault="00EE0968" w:rsidP="00EE0968">
            <w:pPr>
              <w:spacing w:after="0" w:line="240" w:lineRule="auto"/>
              <w:rPr>
                <w:rFonts w:cs="Arial"/>
                <w:color w:val="000000"/>
                <w:sz w:val="16"/>
                <w:szCs w:val="16"/>
                <w:lang w:eastAsia="en-AU"/>
              </w:rPr>
            </w:pPr>
            <w:r w:rsidRPr="00EE0968">
              <w:rPr>
                <w:rFonts w:cs="Arial"/>
                <w:color w:val="000000"/>
                <w:sz w:val="16"/>
                <w:szCs w:val="16"/>
                <w:lang w:eastAsia="en-AU"/>
              </w:rPr>
              <w:t>Mildura Base Hospital</w:t>
            </w:r>
          </w:p>
        </w:tc>
        <w:tc>
          <w:tcPr>
            <w:tcW w:w="1817" w:type="dxa"/>
            <w:tcBorders>
              <w:top w:val="nil"/>
              <w:left w:val="nil"/>
              <w:bottom w:val="single" w:sz="8" w:space="0" w:color="auto"/>
              <w:right w:val="single" w:sz="8" w:space="0" w:color="auto"/>
            </w:tcBorders>
            <w:shd w:val="clear" w:color="auto" w:fill="auto"/>
            <w:vAlign w:val="center"/>
            <w:hideMark/>
          </w:tcPr>
          <w:p w14:paraId="32565D9E"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36524885"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10</w:t>
            </w:r>
          </w:p>
        </w:tc>
        <w:tc>
          <w:tcPr>
            <w:tcW w:w="1818" w:type="dxa"/>
            <w:tcBorders>
              <w:top w:val="nil"/>
              <w:left w:val="nil"/>
              <w:bottom w:val="single" w:sz="8" w:space="0" w:color="auto"/>
              <w:right w:val="single" w:sz="8" w:space="0" w:color="auto"/>
            </w:tcBorders>
            <w:shd w:val="clear" w:color="auto" w:fill="auto"/>
            <w:vAlign w:val="center"/>
            <w:hideMark/>
          </w:tcPr>
          <w:p w14:paraId="0DB4F328"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2</w:t>
            </w:r>
          </w:p>
        </w:tc>
        <w:tc>
          <w:tcPr>
            <w:tcW w:w="1818" w:type="dxa"/>
            <w:tcBorders>
              <w:top w:val="nil"/>
              <w:left w:val="nil"/>
              <w:bottom w:val="single" w:sz="8" w:space="0" w:color="auto"/>
              <w:right w:val="single" w:sz="8" w:space="0" w:color="auto"/>
            </w:tcBorders>
            <w:shd w:val="clear" w:color="auto" w:fill="auto"/>
            <w:vAlign w:val="center"/>
            <w:hideMark/>
          </w:tcPr>
          <w:p w14:paraId="71E0FB07"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2</w:t>
            </w:r>
          </w:p>
        </w:tc>
        <w:tc>
          <w:tcPr>
            <w:tcW w:w="1818" w:type="dxa"/>
            <w:tcBorders>
              <w:top w:val="nil"/>
              <w:left w:val="nil"/>
              <w:bottom w:val="single" w:sz="8" w:space="0" w:color="auto"/>
              <w:right w:val="single" w:sz="8" w:space="0" w:color="auto"/>
            </w:tcBorders>
            <w:shd w:val="clear" w:color="auto" w:fill="auto"/>
            <w:vAlign w:val="center"/>
            <w:hideMark/>
          </w:tcPr>
          <w:p w14:paraId="5F0B2FE8"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14</w:t>
            </w:r>
          </w:p>
        </w:tc>
        <w:tc>
          <w:tcPr>
            <w:tcW w:w="1818" w:type="dxa"/>
            <w:tcBorders>
              <w:top w:val="nil"/>
              <w:left w:val="nil"/>
              <w:bottom w:val="single" w:sz="8" w:space="0" w:color="auto"/>
              <w:right w:val="single" w:sz="8" w:space="0" w:color="auto"/>
            </w:tcBorders>
            <w:shd w:val="clear" w:color="auto" w:fill="auto"/>
            <w:vAlign w:val="center"/>
            <w:hideMark/>
          </w:tcPr>
          <w:p w14:paraId="4B39B491"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5,114</w:t>
            </w:r>
          </w:p>
        </w:tc>
      </w:tr>
      <w:tr w:rsidR="00EE0968" w:rsidRPr="00EE0968" w14:paraId="719CB6D5" w14:textId="77777777" w:rsidTr="00EE0968">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FAC8830" w14:textId="77777777" w:rsidR="00EE0968" w:rsidRPr="00EE0968" w:rsidRDefault="00EE0968" w:rsidP="00EE0968">
            <w:pPr>
              <w:spacing w:after="0" w:line="240" w:lineRule="auto"/>
              <w:rPr>
                <w:rFonts w:cs="Arial"/>
                <w:color w:val="000000"/>
                <w:sz w:val="16"/>
                <w:szCs w:val="16"/>
                <w:lang w:eastAsia="en-AU"/>
              </w:rPr>
            </w:pPr>
            <w:r w:rsidRPr="00EE0968">
              <w:rPr>
                <w:rFonts w:cs="Arial"/>
                <w:color w:val="000000"/>
                <w:sz w:val="16"/>
                <w:szCs w:val="16"/>
                <w:lang w:eastAsia="en-AU"/>
              </w:rPr>
              <w:t>South West Healthcare</w:t>
            </w:r>
          </w:p>
        </w:tc>
        <w:tc>
          <w:tcPr>
            <w:tcW w:w="1817" w:type="dxa"/>
            <w:tcBorders>
              <w:top w:val="nil"/>
              <w:left w:val="nil"/>
              <w:bottom w:val="single" w:sz="8" w:space="0" w:color="auto"/>
              <w:right w:val="single" w:sz="8" w:space="0" w:color="auto"/>
            </w:tcBorders>
            <w:shd w:val="clear" w:color="auto" w:fill="auto"/>
            <w:vAlign w:val="center"/>
            <w:hideMark/>
          </w:tcPr>
          <w:p w14:paraId="68F1529B"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0CFAF4DB"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15</w:t>
            </w:r>
          </w:p>
        </w:tc>
        <w:tc>
          <w:tcPr>
            <w:tcW w:w="1818" w:type="dxa"/>
            <w:tcBorders>
              <w:top w:val="nil"/>
              <w:left w:val="nil"/>
              <w:bottom w:val="single" w:sz="8" w:space="0" w:color="auto"/>
              <w:right w:val="single" w:sz="8" w:space="0" w:color="auto"/>
            </w:tcBorders>
            <w:shd w:val="clear" w:color="auto" w:fill="auto"/>
            <w:vAlign w:val="center"/>
            <w:hideMark/>
          </w:tcPr>
          <w:p w14:paraId="1290224B"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5</w:t>
            </w:r>
          </w:p>
        </w:tc>
        <w:tc>
          <w:tcPr>
            <w:tcW w:w="1818" w:type="dxa"/>
            <w:tcBorders>
              <w:top w:val="nil"/>
              <w:left w:val="nil"/>
              <w:bottom w:val="single" w:sz="8" w:space="0" w:color="auto"/>
              <w:right w:val="single" w:sz="8" w:space="0" w:color="auto"/>
            </w:tcBorders>
            <w:shd w:val="clear" w:color="auto" w:fill="auto"/>
            <w:vAlign w:val="center"/>
            <w:hideMark/>
          </w:tcPr>
          <w:p w14:paraId="3E805B95"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5D462FC7"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20</w:t>
            </w:r>
          </w:p>
        </w:tc>
        <w:tc>
          <w:tcPr>
            <w:tcW w:w="1818" w:type="dxa"/>
            <w:tcBorders>
              <w:top w:val="nil"/>
              <w:left w:val="nil"/>
              <w:bottom w:val="single" w:sz="8" w:space="0" w:color="auto"/>
              <w:right w:val="single" w:sz="8" w:space="0" w:color="auto"/>
            </w:tcBorders>
            <w:shd w:val="clear" w:color="auto" w:fill="auto"/>
            <w:vAlign w:val="center"/>
            <w:hideMark/>
          </w:tcPr>
          <w:p w14:paraId="68A3DE86" w14:textId="77777777" w:rsidR="00EE0968" w:rsidRPr="00EE0968" w:rsidRDefault="00EE0968" w:rsidP="00EE0968">
            <w:pPr>
              <w:spacing w:after="0" w:line="240" w:lineRule="auto"/>
              <w:jc w:val="right"/>
              <w:rPr>
                <w:rFonts w:cs="Arial"/>
                <w:color w:val="000000"/>
                <w:sz w:val="16"/>
                <w:szCs w:val="16"/>
                <w:lang w:eastAsia="en-AU"/>
              </w:rPr>
            </w:pPr>
            <w:r w:rsidRPr="00EE0968">
              <w:rPr>
                <w:rFonts w:cs="Arial"/>
                <w:color w:val="000000"/>
                <w:sz w:val="16"/>
                <w:szCs w:val="16"/>
                <w:lang w:eastAsia="en-AU"/>
              </w:rPr>
              <w:t>7,305</w:t>
            </w:r>
          </w:p>
        </w:tc>
      </w:tr>
    </w:tbl>
    <w:p w14:paraId="26ABEC95" w14:textId="2C9FE3C0" w:rsidR="00EE0968" w:rsidRDefault="00EE0968" w:rsidP="00EE0968">
      <w:pPr>
        <w:pStyle w:val="Body"/>
      </w:pPr>
    </w:p>
    <w:p w14:paraId="020487D6" w14:textId="38FB4CEF" w:rsidR="001C5C09" w:rsidRDefault="001C5C09">
      <w:pPr>
        <w:pStyle w:val="Bodyaftertablefigure"/>
      </w:pPr>
      <w:r>
        <w:t>Combined total</w:t>
      </w:r>
    </w:p>
    <w:tbl>
      <w:tblPr>
        <w:tblW w:w="14307" w:type="dxa"/>
        <w:tblLook w:val="04A0" w:firstRow="1" w:lastRow="0" w:firstColumn="1" w:lastColumn="0" w:noHBand="0" w:noVBand="1"/>
      </w:tblPr>
      <w:tblGrid>
        <w:gridCol w:w="3400"/>
        <w:gridCol w:w="1817"/>
        <w:gridCol w:w="1818"/>
        <w:gridCol w:w="1818"/>
        <w:gridCol w:w="1818"/>
        <w:gridCol w:w="1818"/>
        <w:gridCol w:w="1818"/>
      </w:tblGrid>
      <w:tr w:rsidR="00E4405F" w:rsidRPr="00E4405F" w14:paraId="71F4574A" w14:textId="77777777" w:rsidTr="00E4405F">
        <w:trPr>
          <w:trHeight w:val="288"/>
        </w:trPr>
        <w:tc>
          <w:tcPr>
            <w:tcW w:w="3400" w:type="dxa"/>
            <w:vMerge w:val="restart"/>
            <w:tcBorders>
              <w:top w:val="single" w:sz="8" w:space="0" w:color="auto"/>
              <w:left w:val="single" w:sz="8" w:space="0" w:color="auto"/>
              <w:bottom w:val="single" w:sz="8" w:space="0" w:color="000000"/>
              <w:right w:val="single" w:sz="8" w:space="0" w:color="auto"/>
            </w:tcBorders>
            <w:shd w:val="clear" w:color="000000" w:fill="201547"/>
            <w:hideMark/>
          </w:tcPr>
          <w:p w14:paraId="118D0D46" w14:textId="77777777" w:rsidR="00E4405F" w:rsidRPr="00E4405F" w:rsidRDefault="00E4405F" w:rsidP="00E4405F">
            <w:pPr>
              <w:spacing w:after="0" w:line="240" w:lineRule="auto"/>
              <w:rPr>
                <w:rFonts w:ascii="Calibri" w:hAnsi="Calibri" w:cs="Calibri"/>
                <w:color w:val="000000"/>
                <w:sz w:val="22"/>
                <w:szCs w:val="22"/>
                <w:lang w:eastAsia="en-AU"/>
              </w:rPr>
            </w:pPr>
            <w:r w:rsidRPr="00E4405F">
              <w:rPr>
                <w:rFonts w:ascii="Calibri" w:hAnsi="Calibri" w:cs="Calibri"/>
                <w:color w:val="000000"/>
                <w:sz w:val="22"/>
                <w:szCs w:val="22"/>
                <w:lang w:eastAsia="en-AU"/>
              </w:rPr>
              <w:t> </w:t>
            </w:r>
          </w:p>
        </w:tc>
        <w:tc>
          <w:tcPr>
            <w:tcW w:w="1817"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6B42E99A"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Mental health funded bed – acute specialist</w:t>
            </w:r>
          </w:p>
        </w:tc>
        <w:tc>
          <w:tcPr>
            <w:tcW w:w="1818"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0108BB79"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Mental health funded bed – acute adult</w:t>
            </w:r>
          </w:p>
        </w:tc>
        <w:tc>
          <w:tcPr>
            <w:tcW w:w="1818"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470CD49E"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Mental health funded bed – acute aged</w:t>
            </w:r>
          </w:p>
        </w:tc>
        <w:tc>
          <w:tcPr>
            <w:tcW w:w="1818" w:type="dxa"/>
            <w:vMerge w:val="restart"/>
            <w:tcBorders>
              <w:top w:val="single" w:sz="8" w:space="0" w:color="auto"/>
              <w:left w:val="single" w:sz="8" w:space="0" w:color="auto"/>
              <w:bottom w:val="single" w:sz="8" w:space="0" w:color="000000"/>
              <w:right w:val="single" w:sz="8" w:space="0" w:color="auto"/>
            </w:tcBorders>
            <w:shd w:val="clear" w:color="000000" w:fill="201547"/>
            <w:vAlign w:val="center"/>
            <w:hideMark/>
          </w:tcPr>
          <w:p w14:paraId="52458C10"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Mental health funded bed – acute child and adolescent</w:t>
            </w:r>
          </w:p>
        </w:tc>
        <w:tc>
          <w:tcPr>
            <w:tcW w:w="1818" w:type="dxa"/>
            <w:tcBorders>
              <w:top w:val="single" w:sz="8" w:space="0" w:color="auto"/>
              <w:left w:val="nil"/>
              <w:bottom w:val="nil"/>
              <w:right w:val="single" w:sz="8" w:space="0" w:color="auto"/>
            </w:tcBorders>
            <w:shd w:val="clear" w:color="000000" w:fill="201547"/>
            <w:vAlign w:val="center"/>
            <w:hideMark/>
          </w:tcPr>
          <w:p w14:paraId="511B1EDF"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Total</w:t>
            </w:r>
          </w:p>
        </w:tc>
        <w:tc>
          <w:tcPr>
            <w:tcW w:w="1818" w:type="dxa"/>
            <w:tcBorders>
              <w:top w:val="single" w:sz="8" w:space="0" w:color="auto"/>
              <w:left w:val="nil"/>
              <w:bottom w:val="nil"/>
              <w:right w:val="single" w:sz="8" w:space="0" w:color="auto"/>
            </w:tcBorders>
            <w:shd w:val="clear" w:color="000000" w:fill="201547"/>
            <w:vAlign w:val="center"/>
            <w:hideMark/>
          </w:tcPr>
          <w:p w14:paraId="187C41C8"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Total</w:t>
            </w:r>
          </w:p>
        </w:tc>
      </w:tr>
      <w:tr w:rsidR="00E4405F" w:rsidRPr="00E4405F" w14:paraId="38DDDAC0" w14:textId="77777777" w:rsidTr="00E85FA1">
        <w:trPr>
          <w:trHeight w:val="509"/>
        </w:trPr>
        <w:tc>
          <w:tcPr>
            <w:tcW w:w="3400" w:type="dxa"/>
            <w:vMerge/>
            <w:tcBorders>
              <w:top w:val="single" w:sz="8" w:space="0" w:color="auto"/>
              <w:left w:val="single" w:sz="8" w:space="0" w:color="auto"/>
              <w:bottom w:val="single" w:sz="8" w:space="0" w:color="000000"/>
              <w:right w:val="single" w:sz="8" w:space="0" w:color="auto"/>
            </w:tcBorders>
            <w:vAlign w:val="center"/>
            <w:hideMark/>
          </w:tcPr>
          <w:p w14:paraId="45C5B695" w14:textId="77777777" w:rsidR="00E4405F" w:rsidRPr="00E4405F" w:rsidRDefault="00E4405F" w:rsidP="00E4405F">
            <w:pPr>
              <w:spacing w:after="0" w:line="240" w:lineRule="auto"/>
              <w:rPr>
                <w:rFonts w:ascii="Calibri" w:hAnsi="Calibri" w:cs="Calibri"/>
                <w:color w:val="000000"/>
                <w:sz w:val="22"/>
                <w:szCs w:val="22"/>
                <w:lang w:eastAsia="en-A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14:paraId="4CFA3FFB" w14:textId="77777777" w:rsidR="00E4405F" w:rsidRPr="00E4405F" w:rsidRDefault="00E4405F" w:rsidP="00E4405F">
            <w:pPr>
              <w:spacing w:after="0" w:line="240" w:lineRule="auto"/>
              <w:rPr>
                <w:rFonts w:cs="Arial"/>
                <w:b/>
                <w:bCs/>
                <w:color w:val="FFFFFF"/>
                <w:sz w:val="16"/>
                <w:szCs w:val="16"/>
                <w:lang w:eastAsia="en-AU"/>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37754F75" w14:textId="77777777" w:rsidR="00E4405F" w:rsidRPr="00E4405F" w:rsidRDefault="00E4405F" w:rsidP="00E4405F">
            <w:pPr>
              <w:spacing w:after="0" w:line="240" w:lineRule="auto"/>
              <w:rPr>
                <w:rFonts w:cs="Arial"/>
                <w:b/>
                <w:bCs/>
                <w:color w:val="FFFFFF"/>
                <w:sz w:val="16"/>
                <w:szCs w:val="16"/>
                <w:lang w:eastAsia="en-AU"/>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2A761C17" w14:textId="77777777" w:rsidR="00E4405F" w:rsidRPr="00E4405F" w:rsidRDefault="00E4405F" w:rsidP="00E4405F">
            <w:pPr>
              <w:spacing w:after="0" w:line="240" w:lineRule="auto"/>
              <w:rPr>
                <w:rFonts w:cs="Arial"/>
                <w:b/>
                <w:bCs/>
                <w:color w:val="FFFFFF"/>
                <w:sz w:val="16"/>
                <w:szCs w:val="16"/>
                <w:lang w:eastAsia="en-AU"/>
              </w:rPr>
            </w:pPr>
          </w:p>
        </w:tc>
        <w:tc>
          <w:tcPr>
            <w:tcW w:w="1818" w:type="dxa"/>
            <w:vMerge/>
            <w:tcBorders>
              <w:top w:val="single" w:sz="8" w:space="0" w:color="auto"/>
              <w:left w:val="single" w:sz="8" w:space="0" w:color="auto"/>
              <w:bottom w:val="single" w:sz="8" w:space="0" w:color="000000"/>
              <w:right w:val="single" w:sz="8" w:space="0" w:color="auto"/>
            </w:tcBorders>
            <w:vAlign w:val="center"/>
            <w:hideMark/>
          </w:tcPr>
          <w:p w14:paraId="10205701" w14:textId="77777777" w:rsidR="00E4405F" w:rsidRPr="00E4405F" w:rsidRDefault="00E4405F" w:rsidP="00E4405F">
            <w:pPr>
              <w:spacing w:after="0" w:line="240" w:lineRule="auto"/>
              <w:rPr>
                <w:rFonts w:cs="Arial"/>
                <w:b/>
                <w:bCs/>
                <w:color w:val="FFFFFF"/>
                <w:sz w:val="16"/>
                <w:szCs w:val="16"/>
                <w:lang w:eastAsia="en-AU"/>
              </w:rPr>
            </w:pPr>
          </w:p>
        </w:tc>
        <w:tc>
          <w:tcPr>
            <w:tcW w:w="1818" w:type="dxa"/>
            <w:tcBorders>
              <w:top w:val="nil"/>
              <w:left w:val="nil"/>
              <w:bottom w:val="single" w:sz="8" w:space="0" w:color="auto"/>
              <w:right w:val="single" w:sz="8" w:space="0" w:color="auto"/>
            </w:tcBorders>
            <w:shd w:val="clear" w:color="000000" w:fill="201547"/>
            <w:vAlign w:val="center"/>
            <w:hideMark/>
          </w:tcPr>
          <w:p w14:paraId="43B68121"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 xml:space="preserve">Mental health funded acute bed </w:t>
            </w:r>
          </w:p>
        </w:tc>
        <w:tc>
          <w:tcPr>
            <w:tcW w:w="1818" w:type="dxa"/>
            <w:tcBorders>
              <w:top w:val="nil"/>
              <w:left w:val="nil"/>
              <w:bottom w:val="single" w:sz="8" w:space="0" w:color="auto"/>
              <w:right w:val="single" w:sz="8" w:space="0" w:color="auto"/>
            </w:tcBorders>
            <w:shd w:val="clear" w:color="000000" w:fill="201547"/>
            <w:vAlign w:val="center"/>
            <w:hideMark/>
          </w:tcPr>
          <w:p w14:paraId="4B849891" w14:textId="77777777" w:rsidR="00E4405F" w:rsidRPr="00E4405F" w:rsidRDefault="00E4405F" w:rsidP="00E4405F">
            <w:pPr>
              <w:spacing w:after="0" w:line="240" w:lineRule="auto"/>
              <w:jc w:val="right"/>
              <w:rPr>
                <w:rFonts w:cs="Arial"/>
                <w:b/>
                <w:bCs/>
                <w:color w:val="FFFFFF"/>
                <w:sz w:val="16"/>
                <w:szCs w:val="16"/>
                <w:lang w:eastAsia="en-AU"/>
              </w:rPr>
            </w:pPr>
            <w:r w:rsidRPr="00E4405F">
              <w:rPr>
                <w:rFonts w:cs="Arial"/>
                <w:b/>
                <w:bCs/>
                <w:color w:val="FFFFFF"/>
                <w:sz w:val="16"/>
                <w:szCs w:val="16"/>
                <w:lang w:eastAsia="en-AU"/>
              </w:rPr>
              <w:t>Mental health funded acute bed days</w:t>
            </w:r>
          </w:p>
        </w:tc>
      </w:tr>
      <w:tr w:rsidR="00E4405F" w:rsidRPr="00E4405F" w14:paraId="043AA13C" w14:textId="77777777" w:rsidTr="00E4405F">
        <w:trPr>
          <w:trHeight w:val="300"/>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321DDD0E" w14:textId="77777777" w:rsidR="00E4405F" w:rsidRPr="00E4405F" w:rsidRDefault="00E4405F" w:rsidP="00E4405F">
            <w:pPr>
              <w:spacing w:after="0" w:line="240" w:lineRule="auto"/>
              <w:rPr>
                <w:rFonts w:cs="Arial"/>
                <w:b/>
                <w:bCs/>
                <w:color w:val="000000"/>
                <w:sz w:val="16"/>
                <w:szCs w:val="16"/>
                <w:lang w:eastAsia="en-AU"/>
              </w:rPr>
            </w:pPr>
            <w:r w:rsidRPr="00E4405F">
              <w:rPr>
                <w:rFonts w:cs="Arial"/>
                <w:b/>
                <w:bCs/>
                <w:color w:val="000000"/>
                <w:sz w:val="16"/>
                <w:szCs w:val="16"/>
                <w:lang w:eastAsia="en-AU"/>
              </w:rPr>
              <w:t>Total</w:t>
            </w:r>
          </w:p>
        </w:tc>
        <w:tc>
          <w:tcPr>
            <w:tcW w:w="1817" w:type="dxa"/>
            <w:tcBorders>
              <w:top w:val="nil"/>
              <w:left w:val="nil"/>
              <w:bottom w:val="single" w:sz="8" w:space="0" w:color="auto"/>
              <w:right w:val="single" w:sz="8" w:space="0" w:color="auto"/>
            </w:tcBorders>
            <w:shd w:val="clear" w:color="000000" w:fill="FFFFFF"/>
            <w:vAlign w:val="center"/>
            <w:hideMark/>
          </w:tcPr>
          <w:p w14:paraId="3EB62BBE" w14:textId="77777777" w:rsidR="00E4405F" w:rsidRPr="00E4405F" w:rsidRDefault="00E4405F" w:rsidP="00E4405F">
            <w:pPr>
              <w:spacing w:after="0" w:line="240" w:lineRule="auto"/>
              <w:jc w:val="right"/>
              <w:rPr>
                <w:rFonts w:cs="Arial"/>
                <w:b/>
                <w:bCs/>
                <w:color w:val="000000"/>
                <w:sz w:val="16"/>
                <w:szCs w:val="16"/>
                <w:lang w:eastAsia="en-AU"/>
              </w:rPr>
            </w:pPr>
            <w:r w:rsidRPr="00E4405F">
              <w:rPr>
                <w:rFonts w:cs="Arial"/>
                <w:b/>
                <w:bCs/>
                <w:color w:val="000000"/>
                <w:sz w:val="16"/>
                <w:szCs w:val="16"/>
                <w:lang w:eastAsia="en-AU"/>
              </w:rPr>
              <w:t>155</w:t>
            </w:r>
          </w:p>
        </w:tc>
        <w:tc>
          <w:tcPr>
            <w:tcW w:w="1818" w:type="dxa"/>
            <w:tcBorders>
              <w:top w:val="nil"/>
              <w:left w:val="nil"/>
              <w:bottom w:val="single" w:sz="8" w:space="0" w:color="auto"/>
              <w:right w:val="single" w:sz="8" w:space="0" w:color="auto"/>
            </w:tcBorders>
            <w:shd w:val="clear" w:color="000000" w:fill="FFFFFF"/>
            <w:vAlign w:val="center"/>
            <w:hideMark/>
          </w:tcPr>
          <w:p w14:paraId="6DB8E0B4" w14:textId="77777777" w:rsidR="00E4405F" w:rsidRPr="00E4405F" w:rsidRDefault="00E4405F" w:rsidP="00E4405F">
            <w:pPr>
              <w:spacing w:after="0" w:line="240" w:lineRule="auto"/>
              <w:jc w:val="right"/>
              <w:rPr>
                <w:rFonts w:cs="Arial"/>
                <w:b/>
                <w:bCs/>
                <w:color w:val="000000"/>
                <w:sz w:val="16"/>
                <w:szCs w:val="16"/>
                <w:lang w:eastAsia="en-AU"/>
              </w:rPr>
            </w:pPr>
            <w:r w:rsidRPr="00E4405F">
              <w:rPr>
                <w:rFonts w:cs="Arial"/>
                <w:b/>
                <w:bCs/>
                <w:color w:val="000000"/>
                <w:sz w:val="16"/>
                <w:szCs w:val="16"/>
                <w:lang w:eastAsia="en-AU"/>
              </w:rPr>
              <w:t>844</w:t>
            </w:r>
          </w:p>
        </w:tc>
        <w:tc>
          <w:tcPr>
            <w:tcW w:w="1818" w:type="dxa"/>
            <w:tcBorders>
              <w:top w:val="nil"/>
              <w:left w:val="nil"/>
              <w:bottom w:val="single" w:sz="8" w:space="0" w:color="auto"/>
              <w:right w:val="single" w:sz="8" w:space="0" w:color="auto"/>
            </w:tcBorders>
            <w:shd w:val="clear" w:color="000000" w:fill="FFFFFF"/>
            <w:vAlign w:val="center"/>
            <w:hideMark/>
          </w:tcPr>
          <w:p w14:paraId="68913A92" w14:textId="77777777" w:rsidR="00E4405F" w:rsidRPr="00E4405F" w:rsidRDefault="00E4405F" w:rsidP="00E4405F">
            <w:pPr>
              <w:spacing w:after="0" w:line="240" w:lineRule="auto"/>
              <w:jc w:val="right"/>
              <w:rPr>
                <w:rFonts w:cs="Arial"/>
                <w:b/>
                <w:bCs/>
                <w:color w:val="000000"/>
                <w:sz w:val="16"/>
                <w:szCs w:val="16"/>
                <w:lang w:eastAsia="en-AU"/>
              </w:rPr>
            </w:pPr>
            <w:r w:rsidRPr="00E4405F">
              <w:rPr>
                <w:rFonts w:cs="Arial"/>
                <w:b/>
                <w:bCs/>
                <w:color w:val="000000"/>
                <w:sz w:val="16"/>
                <w:szCs w:val="16"/>
                <w:lang w:eastAsia="en-AU"/>
              </w:rPr>
              <w:t>237</w:t>
            </w:r>
          </w:p>
        </w:tc>
        <w:tc>
          <w:tcPr>
            <w:tcW w:w="1818" w:type="dxa"/>
            <w:tcBorders>
              <w:top w:val="nil"/>
              <w:left w:val="nil"/>
              <w:bottom w:val="single" w:sz="8" w:space="0" w:color="auto"/>
              <w:right w:val="single" w:sz="8" w:space="0" w:color="auto"/>
            </w:tcBorders>
            <w:shd w:val="clear" w:color="000000" w:fill="FFFFFF"/>
            <w:vAlign w:val="center"/>
            <w:hideMark/>
          </w:tcPr>
          <w:p w14:paraId="2680E382" w14:textId="77777777" w:rsidR="00E4405F" w:rsidRPr="00E4405F" w:rsidRDefault="00E4405F" w:rsidP="00E4405F">
            <w:pPr>
              <w:spacing w:after="0" w:line="240" w:lineRule="auto"/>
              <w:jc w:val="right"/>
              <w:rPr>
                <w:rFonts w:cs="Arial"/>
                <w:b/>
                <w:bCs/>
                <w:color w:val="000000"/>
                <w:sz w:val="16"/>
                <w:szCs w:val="16"/>
                <w:lang w:eastAsia="en-AU"/>
              </w:rPr>
            </w:pPr>
            <w:r w:rsidRPr="00E4405F">
              <w:rPr>
                <w:rFonts w:cs="Arial"/>
                <w:b/>
                <w:bCs/>
                <w:color w:val="000000"/>
                <w:sz w:val="16"/>
                <w:szCs w:val="16"/>
                <w:lang w:eastAsia="en-AU"/>
              </w:rPr>
              <w:t>81</w:t>
            </w:r>
          </w:p>
        </w:tc>
        <w:tc>
          <w:tcPr>
            <w:tcW w:w="1818" w:type="dxa"/>
            <w:tcBorders>
              <w:top w:val="nil"/>
              <w:left w:val="nil"/>
              <w:bottom w:val="single" w:sz="8" w:space="0" w:color="auto"/>
              <w:right w:val="single" w:sz="8" w:space="0" w:color="auto"/>
            </w:tcBorders>
            <w:shd w:val="clear" w:color="000000" w:fill="FFFFFF"/>
            <w:vAlign w:val="center"/>
            <w:hideMark/>
          </w:tcPr>
          <w:p w14:paraId="39A4BE5B" w14:textId="77777777" w:rsidR="00E4405F" w:rsidRPr="00E4405F" w:rsidRDefault="00E4405F" w:rsidP="00E4405F">
            <w:pPr>
              <w:spacing w:after="0" w:line="240" w:lineRule="auto"/>
              <w:jc w:val="right"/>
              <w:rPr>
                <w:rFonts w:cs="Arial"/>
                <w:b/>
                <w:bCs/>
                <w:color w:val="000000"/>
                <w:sz w:val="16"/>
                <w:szCs w:val="16"/>
                <w:lang w:eastAsia="en-AU"/>
              </w:rPr>
            </w:pPr>
            <w:r w:rsidRPr="00E4405F">
              <w:rPr>
                <w:rFonts w:cs="Arial"/>
                <w:b/>
                <w:bCs/>
                <w:color w:val="000000"/>
                <w:sz w:val="16"/>
                <w:szCs w:val="16"/>
                <w:lang w:eastAsia="en-AU"/>
              </w:rPr>
              <w:t>1,317</w:t>
            </w:r>
          </w:p>
        </w:tc>
        <w:tc>
          <w:tcPr>
            <w:tcW w:w="1818" w:type="dxa"/>
            <w:tcBorders>
              <w:top w:val="nil"/>
              <w:left w:val="nil"/>
              <w:bottom w:val="single" w:sz="8" w:space="0" w:color="auto"/>
              <w:right w:val="single" w:sz="8" w:space="0" w:color="auto"/>
            </w:tcBorders>
            <w:shd w:val="clear" w:color="000000" w:fill="FFFFFF"/>
            <w:vAlign w:val="center"/>
            <w:hideMark/>
          </w:tcPr>
          <w:p w14:paraId="00277185" w14:textId="77777777" w:rsidR="00E4405F" w:rsidRPr="00E4405F" w:rsidRDefault="00E4405F" w:rsidP="00E4405F">
            <w:pPr>
              <w:spacing w:after="0" w:line="240" w:lineRule="auto"/>
              <w:jc w:val="right"/>
              <w:rPr>
                <w:rFonts w:cs="Arial"/>
                <w:b/>
                <w:bCs/>
                <w:color w:val="000000"/>
                <w:sz w:val="16"/>
                <w:szCs w:val="16"/>
                <w:lang w:eastAsia="en-AU"/>
              </w:rPr>
            </w:pPr>
            <w:r w:rsidRPr="00E4405F">
              <w:rPr>
                <w:rFonts w:cs="Arial"/>
                <w:b/>
                <w:bCs/>
                <w:color w:val="000000"/>
                <w:sz w:val="16"/>
                <w:szCs w:val="16"/>
                <w:lang w:eastAsia="en-AU"/>
              </w:rPr>
              <w:t>441,742</w:t>
            </w:r>
          </w:p>
        </w:tc>
      </w:tr>
    </w:tbl>
    <w:p w14:paraId="1BC3344F" w14:textId="2ABA791E" w:rsidR="00E4405F" w:rsidRDefault="00E4405F" w:rsidP="00E4405F">
      <w:pPr>
        <w:pStyle w:val="Body"/>
      </w:pPr>
    </w:p>
    <w:p w14:paraId="42034C56" w14:textId="6320CF31" w:rsidR="000B27B9" w:rsidRDefault="000B27B9" w:rsidP="000E08EF">
      <w:pPr>
        <w:pStyle w:val="Tablecaption"/>
      </w:pPr>
      <w:bookmarkStart w:id="1376" w:name="_Toc109894148"/>
      <w:bookmarkStart w:id="1377" w:name="_Toc119500929"/>
      <w:r>
        <w:t xml:space="preserve">Table </w:t>
      </w:r>
      <w:r>
        <w:fldChar w:fldCharType="begin"/>
      </w:r>
      <w:r>
        <w:instrText>STYLEREF 1 \s</w:instrText>
      </w:r>
      <w:r>
        <w:fldChar w:fldCharType="separate"/>
      </w:r>
      <w:r w:rsidR="006D0756">
        <w:rPr>
          <w:noProof/>
        </w:rPr>
        <w:t>2</w:t>
      </w:r>
      <w:r>
        <w:fldChar w:fldCharType="end"/>
      </w:r>
      <w:r w:rsidR="00EC6300">
        <w:t>.</w:t>
      </w:r>
      <w:r>
        <w:fldChar w:fldCharType="begin"/>
      </w:r>
      <w:r>
        <w:instrText>SEQ Table \* ARABIC \s 1</w:instrText>
      </w:r>
      <w:r>
        <w:fldChar w:fldCharType="separate"/>
      </w:r>
      <w:r w:rsidR="002A4F62">
        <w:rPr>
          <w:noProof/>
        </w:rPr>
        <w:t>21</w:t>
      </w:r>
      <w:r>
        <w:fldChar w:fldCharType="end"/>
      </w:r>
      <w:r w:rsidRPr="00271AC6">
        <w:t xml:space="preserve">: Mental health non-acute, subacute and residential available beds </w:t>
      </w:r>
      <w:bookmarkEnd w:id="1373"/>
      <w:bookmarkEnd w:id="1374"/>
      <w:bookmarkEnd w:id="1375"/>
      <w:r w:rsidR="005D1FCB" w:rsidRPr="00697369">
        <w:t>2022</w:t>
      </w:r>
      <w:r w:rsidR="00F2096A">
        <w:t>–</w:t>
      </w:r>
      <w:r w:rsidR="005D1FCB" w:rsidRPr="00697369">
        <w:t>23</w:t>
      </w:r>
      <w:bookmarkEnd w:id="1376"/>
      <w:bookmarkEnd w:id="1377"/>
    </w:p>
    <w:p w14:paraId="273B8475" w14:textId="33CE73AE" w:rsidR="001A192A" w:rsidRDefault="001A192A" w:rsidP="001A192A">
      <w:pPr>
        <w:pStyle w:val="Body"/>
      </w:pPr>
      <w:r>
        <w:t>Metropolitan and regional</w:t>
      </w:r>
    </w:p>
    <w:tbl>
      <w:tblPr>
        <w:tblStyle w:val="TableGrid1"/>
        <w:tblW w:w="14307" w:type="dxa"/>
        <w:tblLook w:val="04A0" w:firstRow="1" w:lastRow="0" w:firstColumn="1" w:lastColumn="0" w:noHBand="0" w:noVBand="1"/>
      </w:tblPr>
      <w:tblGrid>
        <w:gridCol w:w="3400"/>
        <w:gridCol w:w="1817"/>
        <w:gridCol w:w="1818"/>
        <w:gridCol w:w="1818"/>
        <w:gridCol w:w="1818"/>
        <w:gridCol w:w="1818"/>
        <w:gridCol w:w="1818"/>
      </w:tblGrid>
      <w:tr w:rsidR="00610094" w:rsidRPr="00610094" w14:paraId="4987D5B9" w14:textId="77777777" w:rsidTr="00B67DAB">
        <w:trPr>
          <w:cnfStyle w:val="100000000000" w:firstRow="1" w:lastRow="0" w:firstColumn="0" w:lastColumn="0" w:oddVBand="0" w:evenVBand="0" w:oddHBand="0" w:evenHBand="0" w:firstRowFirstColumn="0" w:firstRowLastColumn="0" w:lastRowFirstColumn="0" w:lastRowLastColumn="0"/>
          <w:trHeight w:val="288"/>
          <w:tblHeader/>
        </w:trPr>
        <w:tc>
          <w:tcPr>
            <w:tcW w:w="3400" w:type="dxa"/>
            <w:vMerge w:val="restart"/>
            <w:hideMark/>
          </w:tcPr>
          <w:p w14:paraId="00B72DE2" w14:textId="023195F8" w:rsidR="00610094" w:rsidRPr="00610094" w:rsidRDefault="00610094" w:rsidP="00610094">
            <w:pPr>
              <w:spacing w:after="0" w:line="240" w:lineRule="auto"/>
              <w:rPr>
                <w:rFonts w:cs="Arial"/>
                <w:b/>
                <w:bCs/>
                <w:color w:val="FFFFFF"/>
                <w:sz w:val="16"/>
                <w:szCs w:val="16"/>
                <w:lang w:eastAsia="en-AU"/>
              </w:rPr>
            </w:pPr>
            <w:r w:rsidRPr="00610094">
              <w:rPr>
                <w:rFonts w:cs="Arial"/>
                <w:b/>
                <w:bCs/>
                <w:color w:val="FFFFFF"/>
                <w:sz w:val="16"/>
                <w:szCs w:val="16"/>
                <w:lang w:eastAsia="en-AU"/>
              </w:rPr>
              <w:t>Health service</w:t>
            </w:r>
          </w:p>
        </w:tc>
        <w:tc>
          <w:tcPr>
            <w:tcW w:w="1817" w:type="dxa"/>
            <w:vMerge w:val="restart"/>
            <w:hideMark/>
          </w:tcPr>
          <w:p w14:paraId="0E67EF73"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Mental health funded bed – non-acute</w:t>
            </w:r>
          </w:p>
        </w:tc>
        <w:tc>
          <w:tcPr>
            <w:tcW w:w="1818" w:type="dxa"/>
            <w:vMerge w:val="restart"/>
            <w:hideMark/>
          </w:tcPr>
          <w:p w14:paraId="4459D908"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Mental health funded bed – subacute CCU</w:t>
            </w:r>
          </w:p>
        </w:tc>
        <w:tc>
          <w:tcPr>
            <w:tcW w:w="1818" w:type="dxa"/>
            <w:vMerge w:val="restart"/>
            <w:hideMark/>
          </w:tcPr>
          <w:p w14:paraId="45E7ED79"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Mental health funded bed – subacute PARC</w:t>
            </w:r>
          </w:p>
        </w:tc>
        <w:tc>
          <w:tcPr>
            <w:tcW w:w="1818" w:type="dxa"/>
            <w:vMerge w:val="restart"/>
            <w:hideMark/>
          </w:tcPr>
          <w:p w14:paraId="6D8E09C7"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Mental health funded bed – residential</w:t>
            </w:r>
          </w:p>
        </w:tc>
        <w:tc>
          <w:tcPr>
            <w:tcW w:w="1818" w:type="dxa"/>
            <w:hideMark/>
          </w:tcPr>
          <w:p w14:paraId="7D1A1ACA"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Total</w:t>
            </w:r>
          </w:p>
        </w:tc>
        <w:tc>
          <w:tcPr>
            <w:tcW w:w="1818" w:type="dxa"/>
            <w:hideMark/>
          </w:tcPr>
          <w:p w14:paraId="6D82AF31"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Total</w:t>
            </w:r>
          </w:p>
        </w:tc>
      </w:tr>
      <w:tr w:rsidR="00610094" w:rsidRPr="00610094" w14:paraId="7A283DAA" w14:textId="77777777" w:rsidTr="00DB4B11">
        <w:trPr>
          <w:trHeight w:val="621"/>
        </w:trPr>
        <w:tc>
          <w:tcPr>
            <w:tcW w:w="3400" w:type="dxa"/>
            <w:vMerge/>
            <w:hideMark/>
          </w:tcPr>
          <w:p w14:paraId="7B1EFBD6" w14:textId="77777777" w:rsidR="00610094" w:rsidRPr="00610094" w:rsidRDefault="00610094" w:rsidP="00610094">
            <w:pPr>
              <w:spacing w:after="0" w:line="240" w:lineRule="auto"/>
              <w:rPr>
                <w:rFonts w:cs="Arial"/>
                <w:b/>
                <w:bCs/>
                <w:color w:val="FFFFFF"/>
                <w:sz w:val="16"/>
                <w:szCs w:val="16"/>
                <w:lang w:eastAsia="en-AU"/>
              </w:rPr>
            </w:pPr>
          </w:p>
        </w:tc>
        <w:tc>
          <w:tcPr>
            <w:tcW w:w="1817" w:type="dxa"/>
            <w:vMerge/>
            <w:hideMark/>
          </w:tcPr>
          <w:p w14:paraId="6EB03494" w14:textId="77777777" w:rsidR="00610094" w:rsidRPr="00610094" w:rsidRDefault="00610094" w:rsidP="00610094">
            <w:pPr>
              <w:spacing w:after="0" w:line="240" w:lineRule="auto"/>
              <w:rPr>
                <w:rFonts w:cs="Arial"/>
                <w:b/>
                <w:bCs/>
                <w:color w:val="FFFFFF"/>
                <w:sz w:val="16"/>
                <w:szCs w:val="16"/>
                <w:lang w:eastAsia="en-AU"/>
              </w:rPr>
            </w:pPr>
          </w:p>
        </w:tc>
        <w:tc>
          <w:tcPr>
            <w:tcW w:w="1818" w:type="dxa"/>
            <w:vMerge/>
            <w:hideMark/>
          </w:tcPr>
          <w:p w14:paraId="78DE0B12" w14:textId="77777777" w:rsidR="00610094" w:rsidRPr="00610094" w:rsidRDefault="00610094" w:rsidP="00610094">
            <w:pPr>
              <w:spacing w:after="0" w:line="240" w:lineRule="auto"/>
              <w:rPr>
                <w:rFonts w:cs="Arial"/>
                <w:b/>
                <w:bCs/>
                <w:color w:val="FFFFFF"/>
                <w:sz w:val="16"/>
                <w:szCs w:val="16"/>
                <w:lang w:eastAsia="en-AU"/>
              </w:rPr>
            </w:pPr>
          </w:p>
        </w:tc>
        <w:tc>
          <w:tcPr>
            <w:tcW w:w="1818" w:type="dxa"/>
            <w:vMerge/>
            <w:hideMark/>
          </w:tcPr>
          <w:p w14:paraId="795BB4BC" w14:textId="77777777" w:rsidR="00610094" w:rsidRPr="00610094" w:rsidRDefault="00610094" w:rsidP="00610094">
            <w:pPr>
              <w:spacing w:after="0" w:line="240" w:lineRule="auto"/>
              <w:rPr>
                <w:rFonts w:cs="Arial"/>
                <w:b/>
                <w:bCs/>
                <w:color w:val="FFFFFF"/>
                <w:sz w:val="16"/>
                <w:szCs w:val="16"/>
                <w:lang w:eastAsia="en-AU"/>
              </w:rPr>
            </w:pPr>
          </w:p>
        </w:tc>
        <w:tc>
          <w:tcPr>
            <w:tcW w:w="1818" w:type="dxa"/>
            <w:vMerge/>
            <w:hideMark/>
          </w:tcPr>
          <w:p w14:paraId="4E319299" w14:textId="77777777" w:rsidR="00610094" w:rsidRPr="00610094" w:rsidRDefault="00610094" w:rsidP="00610094">
            <w:pPr>
              <w:spacing w:after="0" w:line="240" w:lineRule="auto"/>
              <w:rPr>
                <w:rFonts w:cs="Arial"/>
                <w:b/>
                <w:bCs/>
                <w:color w:val="FFFFFF"/>
                <w:sz w:val="16"/>
                <w:szCs w:val="16"/>
                <w:lang w:eastAsia="en-AU"/>
              </w:rPr>
            </w:pPr>
          </w:p>
        </w:tc>
        <w:tc>
          <w:tcPr>
            <w:tcW w:w="1818" w:type="dxa"/>
            <w:shd w:val="clear" w:color="auto" w:fill="201547"/>
            <w:hideMark/>
          </w:tcPr>
          <w:p w14:paraId="5ED1CCA0"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 xml:space="preserve">Mental health funded subacute and residential bed </w:t>
            </w:r>
          </w:p>
        </w:tc>
        <w:tc>
          <w:tcPr>
            <w:tcW w:w="1818" w:type="dxa"/>
            <w:shd w:val="clear" w:color="auto" w:fill="201547"/>
            <w:hideMark/>
          </w:tcPr>
          <w:p w14:paraId="31A3F62F" w14:textId="77777777" w:rsidR="00610094" w:rsidRPr="00610094" w:rsidRDefault="00610094" w:rsidP="00610094">
            <w:pPr>
              <w:spacing w:after="0" w:line="240" w:lineRule="auto"/>
              <w:jc w:val="right"/>
              <w:rPr>
                <w:rFonts w:cs="Arial"/>
                <w:b/>
                <w:bCs/>
                <w:color w:val="FFFFFF"/>
                <w:sz w:val="16"/>
                <w:szCs w:val="16"/>
                <w:lang w:eastAsia="en-AU"/>
              </w:rPr>
            </w:pPr>
            <w:r w:rsidRPr="00610094">
              <w:rPr>
                <w:rFonts w:cs="Arial"/>
                <w:b/>
                <w:bCs/>
                <w:color w:val="FFFFFF"/>
                <w:sz w:val="16"/>
                <w:szCs w:val="16"/>
                <w:lang w:eastAsia="en-AU"/>
              </w:rPr>
              <w:t xml:space="preserve">Mental health funded subacute and residential bed days </w:t>
            </w:r>
          </w:p>
        </w:tc>
      </w:tr>
      <w:tr w:rsidR="00610094" w:rsidRPr="00610094" w14:paraId="745341CD" w14:textId="77777777" w:rsidTr="005826E3">
        <w:trPr>
          <w:trHeight w:val="300"/>
        </w:trPr>
        <w:tc>
          <w:tcPr>
            <w:tcW w:w="3400" w:type="dxa"/>
            <w:hideMark/>
          </w:tcPr>
          <w:p w14:paraId="74D2A5BB"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Albury Wodonga Health</w:t>
            </w:r>
          </w:p>
        </w:tc>
        <w:tc>
          <w:tcPr>
            <w:tcW w:w="1817" w:type="dxa"/>
            <w:hideMark/>
          </w:tcPr>
          <w:p w14:paraId="502CE441"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653D6C0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26</w:t>
            </w:r>
          </w:p>
        </w:tc>
        <w:tc>
          <w:tcPr>
            <w:tcW w:w="1818" w:type="dxa"/>
            <w:hideMark/>
          </w:tcPr>
          <w:p w14:paraId="006711C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0D21DE15"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15</w:t>
            </w:r>
          </w:p>
        </w:tc>
        <w:tc>
          <w:tcPr>
            <w:tcW w:w="1818" w:type="dxa"/>
            <w:hideMark/>
          </w:tcPr>
          <w:p w14:paraId="6751767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51</w:t>
            </w:r>
          </w:p>
        </w:tc>
        <w:tc>
          <w:tcPr>
            <w:tcW w:w="1818" w:type="dxa"/>
            <w:hideMark/>
          </w:tcPr>
          <w:p w14:paraId="3B3B7DB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18,628</w:t>
            </w:r>
          </w:p>
        </w:tc>
      </w:tr>
      <w:tr w:rsidR="00610094" w:rsidRPr="00610094" w14:paraId="43FDDDE7" w14:textId="77777777" w:rsidTr="005826E3">
        <w:trPr>
          <w:trHeight w:val="300"/>
        </w:trPr>
        <w:tc>
          <w:tcPr>
            <w:tcW w:w="3400" w:type="dxa"/>
            <w:hideMark/>
          </w:tcPr>
          <w:p w14:paraId="391051A1"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Alfred Health</w:t>
            </w:r>
          </w:p>
        </w:tc>
        <w:tc>
          <w:tcPr>
            <w:tcW w:w="1817" w:type="dxa"/>
            <w:hideMark/>
          </w:tcPr>
          <w:p w14:paraId="42186694"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3D24147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2C328EEC"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2AA1BE3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1A0B0C9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30</w:t>
            </w:r>
          </w:p>
        </w:tc>
        <w:tc>
          <w:tcPr>
            <w:tcW w:w="1818" w:type="dxa"/>
            <w:hideMark/>
          </w:tcPr>
          <w:p w14:paraId="34EEB0B5"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10,958</w:t>
            </w:r>
          </w:p>
        </w:tc>
      </w:tr>
      <w:tr w:rsidR="00610094" w:rsidRPr="00610094" w14:paraId="7D2FD38B" w14:textId="77777777" w:rsidTr="005826E3">
        <w:trPr>
          <w:trHeight w:val="300"/>
        </w:trPr>
        <w:tc>
          <w:tcPr>
            <w:tcW w:w="3400" w:type="dxa"/>
            <w:hideMark/>
          </w:tcPr>
          <w:p w14:paraId="7D36D210"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Austin Health</w:t>
            </w:r>
          </w:p>
        </w:tc>
        <w:tc>
          <w:tcPr>
            <w:tcW w:w="1817" w:type="dxa"/>
            <w:hideMark/>
          </w:tcPr>
          <w:p w14:paraId="3B25A646"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38</w:t>
            </w:r>
          </w:p>
        </w:tc>
        <w:tc>
          <w:tcPr>
            <w:tcW w:w="1818" w:type="dxa"/>
            <w:hideMark/>
          </w:tcPr>
          <w:p w14:paraId="2E68AC03"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22</w:t>
            </w:r>
          </w:p>
        </w:tc>
        <w:tc>
          <w:tcPr>
            <w:tcW w:w="1818" w:type="dxa"/>
            <w:hideMark/>
          </w:tcPr>
          <w:p w14:paraId="009BCE1A"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743E7B35"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1C099033"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90</w:t>
            </w:r>
          </w:p>
        </w:tc>
        <w:tc>
          <w:tcPr>
            <w:tcW w:w="1818" w:type="dxa"/>
            <w:hideMark/>
          </w:tcPr>
          <w:p w14:paraId="35EDC1C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32,873</w:t>
            </w:r>
          </w:p>
        </w:tc>
      </w:tr>
      <w:tr w:rsidR="00610094" w:rsidRPr="00610094" w14:paraId="1DEF1101" w14:textId="77777777" w:rsidTr="005826E3">
        <w:trPr>
          <w:trHeight w:val="300"/>
        </w:trPr>
        <w:tc>
          <w:tcPr>
            <w:tcW w:w="3400" w:type="dxa"/>
            <w:hideMark/>
          </w:tcPr>
          <w:p w14:paraId="2ED37D0C"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Grampians Health</w:t>
            </w:r>
          </w:p>
        </w:tc>
        <w:tc>
          <w:tcPr>
            <w:tcW w:w="1817" w:type="dxa"/>
            <w:hideMark/>
          </w:tcPr>
          <w:p w14:paraId="02711173"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12</w:t>
            </w:r>
          </w:p>
        </w:tc>
        <w:tc>
          <w:tcPr>
            <w:tcW w:w="1818" w:type="dxa"/>
            <w:hideMark/>
          </w:tcPr>
          <w:p w14:paraId="46B72552"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7B1F8BA3"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12</w:t>
            </w:r>
          </w:p>
        </w:tc>
        <w:tc>
          <w:tcPr>
            <w:tcW w:w="1818" w:type="dxa"/>
            <w:hideMark/>
          </w:tcPr>
          <w:p w14:paraId="043CDCB0"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32</w:t>
            </w:r>
          </w:p>
        </w:tc>
        <w:tc>
          <w:tcPr>
            <w:tcW w:w="1818" w:type="dxa"/>
            <w:hideMark/>
          </w:tcPr>
          <w:p w14:paraId="2DEAF1C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56</w:t>
            </w:r>
          </w:p>
        </w:tc>
        <w:tc>
          <w:tcPr>
            <w:tcW w:w="1818" w:type="dxa"/>
            <w:hideMark/>
          </w:tcPr>
          <w:p w14:paraId="294A2EB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20,454</w:t>
            </w:r>
          </w:p>
        </w:tc>
      </w:tr>
      <w:tr w:rsidR="00610094" w:rsidRPr="00610094" w14:paraId="194CA71B" w14:textId="77777777" w:rsidTr="005826E3">
        <w:trPr>
          <w:trHeight w:val="300"/>
        </w:trPr>
        <w:tc>
          <w:tcPr>
            <w:tcW w:w="3400" w:type="dxa"/>
            <w:hideMark/>
          </w:tcPr>
          <w:p w14:paraId="776C03C4"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Barwon Health</w:t>
            </w:r>
          </w:p>
        </w:tc>
        <w:tc>
          <w:tcPr>
            <w:tcW w:w="1817" w:type="dxa"/>
            <w:hideMark/>
          </w:tcPr>
          <w:p w14:paraId="05D95D15"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w:t>
            </w:r>
          </w:p>
        </w:tc>
        <w:tc>
          <w:tcPr>
            <w:tcW w:w="1818" w:type="dxa"/>
            <w:hideMark/>
          </w:tcPr>
          <w:p w14:paraId="7ED4B13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12</w:t>
            </w:r>
          </w:p>
        </w:tc>
        <w:tc>
          <w:tcPr>
            <w:tcW w:w="1818" w:type="dxa"/>
            <w:hideMark/>
          </w:tcPr>
          <w:p w14:paraId="40A05D5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12</w:t>
            </w:r>
          </w:p>
        </w:tc>
        <w:tc>
          <w:tcPr>
            <w:tcW w:w="1818" w:type="dxa"/>
            <w:hideMark/>
          </w:tcPr>
          <w:p w14:paraId="632A50FC"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45</w:t>
            </w:r>
          </w:p>
        </w:tc>
        <w:tc>
          <w:tcPr>
            <w:tcW w:w="1818" w:type="dxa"/>
            <w:hideMark/>
          </w:tcPr>
          <w:p w14:paraId="6971C716"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72</w:t>
            </w:r>
          </w:p>
        </w:tc>
        <w:tc>
          <w:tcPr>
            <w:tcW w:w="1818" w:type="dxa"/>
            <w:hideMark/>
          </w:tcPr>
          <w:p w14:paraId="4CEF744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26,298</w:t>
            </w:r>
          </w:p>
        </w:tc>
      </w:tr>
      <w:tr w:rsidR="00610094" w:rsidRPr="00610094" w14:paraId="4B59CA1F" w14:textId="77777777" w:rsidTr="005826E3">
        <w:trPr>
          <w:trHeight w:val="300"/>
        </w:trPr>
        <w:tc>
          <w:tcPr>
            <w:tcW w:w="3400" w:type="dxa"/>
            <w:hideMark/>
          </w:tcPr>
          <w:p w14:paraId="2CB36C16"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Bendigo Health Care Group</w:t>
            </w:r>
          </w:p>
        </w:tc>
        <w:tc>
          <w:tcPr>
            <w:tcW w:w="1817" w:type="dxa"/>
            <w:hideMark/>
          </w:tcPr>
          <w:p w14:paraId="7A464116"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743BD290"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12</w:t>
            </w:r>
          </w:p>
        </w:tc>
        <w:tc>
          <w:tcPr>
            <w:tcW w:w="1818" w:type="dxa"/>
            <w:hideMark/>
          </w:tcPr>
          <w:p w14:paraId="3609DBF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33488419"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30</w:t>
            </w:r>
          </w:p>
        </w:tc>
        <w:tc>
          <w:tcPr>
            <w:tcW w:w="1818" w:type="dxa"/>
            <w:hideMark/>
          </w:tcPr>
          <w:p w14:paraId="0000861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82</w:t>
            </w:r>
          </w:p>
        </w:tc>
        <w:tc>
          <w:tcPr>
            <w:tcW w:w="1818" w:type="dxa"/>
            <w:hideMark/>
          </w:tcPr>
          <w:p w14:paraId="2F25772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29,951</w:t>
            </w:r>
          </w:p>
        </w:tc>
      </w:tr>
      <w:tr w:rsidR="00610094" w:rsidRPr="00610094" w14:paraId="4864EC88" w14:textId="77777777" w:rsidTr="005826E3">
        <w:trPr>
          <w:trHeight w:val="300"/>
        </w:trPr>
        <w:tc>
          <w:tcPr>
            <w:tcW w:w="3400" w:type="dxa"/>
            <w:hideMark/>
          </w:tcPr>
          <w:p w14:paraId="4EABE78B"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Eastern Health</w:t>
            </w:r>
          </w:p>
        </w:tc>
        <w:tc>
          <w:tcPr>
            <w:tcW w:w="1817" w:type="dxa"/>
            <w:hideMark/>
          </w:tcPr>
          <w:p w14:paraId="33DEA8FF"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00060EE4"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40</w:t>
            </w:r>
          </w:p>
        </w:tc>
        <w:tc>
          <w:tcPr>
            <w:tcW w:w="1818" w:type="dxa"/>
            <w:hideMark/>
          </w:tcPr>
          <w:p w14:paraId="0375E28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5C80E4A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60</w:t>
            </w:r>
          </w:p>
        </w:tc>
        <w:tc>
          <w:tcPr>
            <w:tcW w:w="1818" w:type="dxa"/>
            <w:hideMark/>
          </w:tcPr>
          <w:p w14:paraId="57D0F9AF"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120</w:t>
            </w:r>
          </w:p>
        </w:tc>
        <w:tc>
          <w:tcPr>
            <w:tcW w:w="1818" w:type="dxa"/>
            <w:hideMark/>
          </w:tcPr>
          <w:p w14:paraId="0707917C"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43,830</w:t>
            </w:r>
          </w:p>
        </w:tc>
      </w:tr>
      <w:tr w:rsidR="00610094" w:rsidRPr="00610094" w14:paraId="4EBF65D4" w14:textId="77777777" w:rsidTr="005826E3">
        <w:trPr>
          <w:trHeight w:val="300"/>
        </w:trPr>
        <w:tc>
          <w:tcPr>
            <w:tcW w:w="3400" w:type="dxa"/>
            <w:hideMark/>
          </w:tcPr>
          <w:p w14:paraId="62D2F6DE"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Goulburn Valley Health</w:t>
            </w:r>
          </w:p>
        </w:tc>
        <w:tc>
          <w:tcPr>
            <w:tcW w:w="1817" w:type="dxa"/>
            <w:hideMark/>
          </w:tcPr>
          <w:p w14:paraId="52559E34"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39A31EE3"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41E4B6D1"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7E464D4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6A0FCFC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40</w:t>
            </w:r>
          </w:p>
        </w:tc>
        <w:tc>
          <w:tcPr>
            <w:tcW w:w="1818" w:type="dxa"/>
            <w:hideMark/>
          </w:tcPr>
          <w:p w14:paraId="7BA39CB2"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14,610</w:t>
            </w:r>
          </w:p>
        </w:tc>
      </w:tr>
      <w:tr w:rsidR="00610094" w:rsidRPr="00610094" w14:paraId="255802CF" w14:textId="77777777" w:rsidTr="005826E3">
        <w:trPr>
          <w:trHeight w:val="300"/>
        </w:trPr>
        <w:tc>
          <w:tcPr>
            <w:tcW w:w="3400" w:type="dxa"/>
            <w:hideMark/>
          </w:tcPr>
          <w:p w14:paraId="1FB257F3"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Latrobe Regional</w:t>
            </w:r>
          </w:p>
        </w:tc>
        <w:tc>
          <w:tcPr>
            <w:tcW w:w="1817" w:type="dxa"/>
            <w:hideMark/>
          </w:tcPr>
          <w:p w14:paraId="17E4C844"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6</w:t>
            </w:r>
          </w:p>
        </w:tc>
        <w:tc>
          <w:tcPr>
            <w:tcW w:w="1818" w:type="dxa"/>
            <w:hideMark/>
          </w:tcPr>
          <w:p w14:paraId="3EE39B04"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14</w:t>
            </w:r>
          </w:p>
        </w:tc>
        <w:tc>
          <w:tcPr>
            <w:tcW w:w="1818" w:type="dxa"/>
            <w:hideMark/>
          </w:tcPr>
          <w:p w14:paraId="3CBEB8C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7BC3795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1512F0A6"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40</w:t>
            </w:r>
          </w:p>
        </w:tc>
        <w:tc>
          <w:tcPr>
            <w:tcW w:w="1818" w:type="dxa"/>
            <w:hideMark/>
          </w:tcPr>
          <w:p w14:paraId="12A6D57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14,610</w:t>
            </w:r>
          </w:p>
        </w:tc>
      </w:tr>
      <w:tr w:rsidR="00610094" w:rsidRPr="00610094" w14:paraId="24032D9B" w14:textId="77777777" w:rsidTr="005826E3">
        <w:trPr>
          <w:trHeight w:val="300"/>
        </w:trPr>
        <w:tc>
          <w:tcPr>
            <w:tcW w:w="3400" w:type="dxa"/>
            <w:hideMark/>
          </w:tcPr>
          <w:p w14:paraId="3C708B1A"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Melbourne Health</w:t>
            </w:r>
          </w:p>
        </w:tc>
        <w:tc>
          <w:tcPr>
            <w:tcW w:w="1817" w:type="dxa"/>
            <w:hideMark/>
          </w:tcPr>
          <w:p w14:paraId="44953E5C"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26</w:t>
            </w:r>
          </w:p>
        </w:tc>
        <w:tc>
          <w:tcPr>
            <w:tcW w:w="1818" w:type="dxa"/>
            <w:hideMark/>
          </w:tcPr>
          <w:p w14:paraId="2C862810"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80</w:t>
            </w:r>
          </w:p>
        </w:tc>
        <w:tc>
          <w:tcPr>
            <w:tcW w:w="1818" w:type="dxa"/>
            <w:hideMark/>
          </w:tcPr>
          <w:p w14:paraId="31BBC315"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52</w:t>
            </w:r>
          </w:p>
        </w:tc>
        <w:tc>
          <w:tcPr>
            <w:tcW w:w="1818" w:type="dxa"/>
            <w:hideMark/>
          </w:tcPr>
          <w:p w14:paraId="0B37CB3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62</w:t>
            </w:r>
          </w:p>
        </w:tc>
        <w:tc>
          <w:tcPr>
            <w:tcW w:w="1818" w:type="dxa"/>
            <w:hideMark/>
          </w:tcPr>
          <w:p w14:paraId="767C5EA9"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220</w:t>
            </w:r>
          </w:p>
        </w:tc>
        <w:tc>
          <w:tcPr>
            <w:tcW w:w="1818" w:type="dxa"/>
            <w:hideMark/>
          </w:tcPr>
          <w:p w14:paraId="1C487D7F"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79,980</w:t>
            </w:r>
          </w:p>
        </w:tc>
      </w:tr>
      <w:tr w:rsidR="00610094" w:rsidRPr="00610094" w14:paraId="2073F933" w14:textId="77777777" w:rsidTr="005826E3">
        <w:trPr>
          <w:trHeight w:val="300"/>
        </w:trPr>
        <w:tc>
          <w:tcPr>
            <w:tcW w:w="3400" w:type="dxa"/>
            <w:hideMark/>
          </w:tcPr>
          <w:p w14:paraId="28F95D31"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Mercy Health</w:t>
            </w:r>
          </w:p>
        </w:tc>
        <w:tc>
          <w:tcPr>
            <w:tcW w:w="1817" w:type="dxa"/>
            <w:hideMark/>
          </w:tcPr>
          <w:p w14:paraId="0178D80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14043300"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00255229"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32CD8EA1"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12E57A44"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30</w:t>
            </w:r>
          </w:p>
        </w:tc>
        <w:tc>
          <w:tcPr>
            <w:tcW w:w="1818" w:type="dxa"/>
            <w:hideMark/>
          </w:tcPr>
          <w:p w14:paraId="08903CAA"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10,958</w:t>
            </w:r>
          </w:p>
        </w:tc>
      </w:tr>
      <w:tr w:rsidR="00610094" w:rsidRPr="00610094" w14:paraId="0BA24494" w14:textId="77777777" w:rsidTr="005826E3">
        <w:trPr>
          <w:trHeight w:val="300"/>
        </w:trPr>
        <w:tc>
          <w:tcPr>
            <w:tcW w:w="3400" w:type="dxa"/>
            <w:hideMark/>
          </w:tcPr>
          <w:p w14:paraId="1C2BD489"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Monash Health</w:t>
            </w:r>
          </w:p>
        </w:tc>
        <w:tc>
          <w:tcPr>
            <w:tcW w:w="1817" w:type="dxa"/>
            <w:hideMark/>
          </w:tcPr>
          <w:p w14:paraId="58855409"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60</w:t>
            </w:r>
          </w:p>
        </w:tc>
        <w:tc>
          <w:tcPr>
            <w:tcW w:w="1818" w:type="dxa"/>
            <w:hideMark/>
          </w:tcPr>
          <w:p w14:paraId="0DF5D1A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40</w:t>
            </w:r>
          </w:p>
        </w:tc>
        <w:tc>
          <w:tcPr>
            <w:tcW w:w="1818" w:type="dxa"/>
            <w:hideMark/>
          </w:tcPr>
          <w:p w14:paraId="2A7980F6"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50</w:t>
            </w:r>
          </w:p>
        </w:tc>
        <w:tc>
          <w:tcPr>
            <w:tcW w:w="1818" w:type="dxa"/>
            <w:hideMark/>
          </w:tcPr>
          <w:p w14:paraId="1255302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94</w:t>
            </w:r>
          </w:p>
        </w:tc>
        <w:tc>
          <w:tcPr>
            <w:tcW w:w="1818" w:type="dxa"/>
            <w:hideMark/>
          </w:tcPr>
          <w:p w14:paraId="69258A15"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244</w:t>
            </w:r>
          </w:p>
        </w:tc>
        <w:tc>
          <w:tcPr>
            <w:tcW w:w="1818" w:type="dxa"/>
            <w:hideMark/>
          </w:tcPr>
          <w:p w14:paraId="602F24C3"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89,121</w:t>
            </w:r>
          </w:p>
        </w:tc>
      </w:tr>
      <w:tr w:rsidR="00610094" w:rsidRPr="00610094" w14:paraId="1388B199" w14:textId="77777777" w:rsidTr="005826E3">
        <w:trPr>
          <w:trHeight w:val="300"/>
        </w:trPr>
        <w:tc>
          <w:tcPr>
            <w:tcW w:w="3400" w:type="dxa"/>
            <w:hideMark/>
          </w:tcPr>
          <w:p w14:paraId="6B2D9F48"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Peninsula Health</w:t>
            </w:r>
          </w:p>
        </w:tc>
        <w:tc>
          <w:tcPr>
            <w:tcW w:w="1817" w:type="dxa"/>
            <w:hideMark/>
          </w:tcPr>
          <w:p w14:paraId="50446BD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6BEAEDE6"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2EB590FC"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0687D3EA"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30</w:t>
            </w:r>
          </w:p>
        </w:tc>
        <w:tc>
          <w:tcPr>
            <w:tcW w:w="1818" w:type="dxa"/>
            <w:hideMark/>
          </w:tcPr>
          <w:p w14:paraId="23D96C9C"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70</w:t>
            </w:r>
          </w:p>
        </w:tc>
        <w:tc>
          <w:tcPr>
            <w:tcW w:w="1818" w:type="dxa"/>
            <w:hideMark/>
          </w:tcPr>
          <w:p w14:paraId="672863C7"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25,568</w:t>
            </w:r>
          </w:p>
        </w:tc>
      </w:tr>
      <w:tr w:rsidR="00610094" w:rsidRPr="00610094" w14:paraId="637CDFE1" w14:textId="77777777" w:rsidTr="005826E3">
        <w:trPr>
          <w:trHeight w:val="300"/>
        </w:trPr>
        <w:tc>
          <w:tcPr>
            <w:tcW w:w="3400" w:type="dxa"/>
            <w:hideMark/>
          </w:tcPr>
          <w:p w14:paraId="7E11E80F"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St Vincent’s Hospital</w:t>
            </w:r>
          </w:p>
        </w:tc>
        <w:tc>
          <w:tcPr>
            <w:tcW w:w="1817" w:type="dxa"/>
            <w:hideMark/>
          </w:tcPr>
          <w:p w14:paraId="1000917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00D9728D"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20</w:t>
            </w:r>
          </w:p>
        </w:tc>
        <w:tc>
          <w:tcPr>
            <w:tcW w:w="1818" w:type="dxa"/>
            <w:hideMark/>
          </w:tcPr>
          <w:p w14:paraId="310C496A"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10</w:t>
            </w:r>
          </w:p>
        </w:tc>
        <w:tc>
          <w:tcPr>
            <w:tcW w:w="1818" w:type="dxa"/>
            <w:hideMark/>
          </w:tcPr>
          <w:p w14:paraId="3F693835"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60</w:t>
            </w:r>
          </w:p>
        </w:tc>
        <w:tc>
          <w:tcPr>
            <w:tcW w:w="1818" w:type="dxa"/>
            <w:hideMark/>
          </w:tcPr>
          <w:p w14:paraId="429E2049"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90</w:t>
            </w:r>
          </w:p>
        </w:tc>
        <w:tc>
          <w:tcPr>
            <w:tcW w:w="1818" w:type="dxa"/>
            <w:hideMark/>
          </w:tcPr>
          <w:p w14:paraId="47495634"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32,873</w:t>
            </w:r>
          </w:p>
        </w:tc>
      </w:tr>
      <w:tr w:rsidR="00610094" w:rsidRPr="00610094" w14:paraId="3C6857EA" w14:textId="77777777" w:rsidTr="005826E3">
        <w:trPr>
          <w:trHeight w:val="300"/>
        </w:trPr>
        <w:tc>
          <w:tcPr>
            <w:tcW w:w="3400" w:type="dxa"/>
            <w:hideMark/>
          </w:tcPr>
          <w:p w14:paraId="48A5B685" w14:textId="77777777" w:rsidR="00610094" w:rsidRPr="00610094" w:rsidRDefault="00610094" w:rsidP="00610094">
            <w:pPr>
              <w:spacing w:after="0" w:line="240" w:lineRule="auto"/>
              <w:rPr>
                <w:rFonts w:cs="Arial"/>
                <w:color w:val="000000"/>
                <w:sz w:val="16"/>
                <w:szCs w:val="16"/>
                <w:lang w:eastAsia="en-AU"/>
              </w:rPr>
            </w:pPr>
            <w:r w:rsidRPr="00610094">
              <w:rPr>
                <w:rFonts w:cs="Arial"/>
                <w:color w:val="000000"/>
                <w:sz w:val="16"/>
                <w:szCs w:val="16"/>
                <w:lang w:eastAsia="en-AU"/>
              </w:rPr>
              <w:t>Victorian Institute of Forensic Mental Health</w:t>
            </w:r>
          </w:p>
        </w:tc>
        <w:tc>
          <w:tcPr>
            <w:tcW w:w="1817" w:type="dxa"/>
            <w:hideMark/>
          </w:tcPr>
          <w:p w14:paraId="1857E8D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82</w:t>
            </w:r>
          </w:p>
        </w:tc>
        <w:tc>
          <w:tcPr>
            <w:tcW w:w="1818" w:type="dxa"/>
            <w:hideMark/>
          </w:tcPr>
          <w:p w14:paraId="7F8CD98B"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5982AE58"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056741C3"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c>
          <w:tcPr>
            <w:tcW w:w="1818" w:type="dxa"/>
            <w:hideMark/>
          </w:tcPr>
          <w:p w14:paraId="65527682"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82</w:t>
            </w:r>
          </w:p>
        </w:tc>
        <w:tc>
          <w:tcPr>
            <w:tcW w:w="1818" w:type="dxa"/>
            <w:hideMark/>
          </w:tcPr>
          <w:p w14:paraId="27993A8F" w14:textId="77777777" w:rsidR="00610094" w:rsidRPr="00610094" w:rsidRDefault="00610094" w:rsidP="00610094">
            <w:pPr>
              <w:spacing w:after="0" w:line="240" w:lineRule="auto"/>
              <w:jc w:val="right"/>
              <w:rPr>
                <w:rFonts w:cs="Arial"/>
                <w:color w:val="000000"/>
                <w:sz w:val="16"/>
                <w:szCs w:val="16"/>
                <w:lang w:eastAsia="en-AU"/>
              </w:rPr>
            </w:pPr>
            <w:r w:rsidRPr="00610094">
              <w:rPr>
                <w:rFonts w:cs="Arial"/>
                <w:color w:val="000000"/>
                <w:sz w:val="16"/>
                <w:szCs w:val="16"/>
                <w:lang w:eastAsia="en-AU"/>
              </w:rPr>
              <w:t> </w:t>
            </w:r>
          </w:p>
        </w:tc>
      </w:tr>
    </w:tbl>
    <w:p w14:paraId="5F4B82D9" w14:textId="7242ECD8" w:rsidR="001A192A" w:rsidRPr="00F2096A" w:rsidRDefault="001A192A" w:rsidP="00042954">
      <w:pPr>
        <w:pStyle w:val="Bodyaftertablefigure"/>
      </w:pPr>
      <w:bookmarkStart w:id="1378" w:name="_Toc12780583"/>
      <w:bookmarkStart w:id="1379" w:name="_Toc14194839"/>
      <w:bookmarkStart w:id="1380" w:name="_Toc33704020"/>
      <w:r>
        <w:t>Subregional and local</w:t>
      </w:r>
    </w:p>
    <w:tbl>
      <w:tblPr>
        <w:tblStyle w:val="TableGrid1"/>
        <w:tblW w:w="14307" w:type="dxa"/>
        <w:tblLook w:val="04A0" w:firstRow="1" w:lastRow="0" w:firstColumn="1" w:lastColumn="0" w:noHBand="0" w:noVBand="1"/>
      </w:tblPr>
      <w:tblGrid>
        <w:gridCol w:w="3400"/>
        <w:gridCol w:w="1817"/>
        <w:gridCol w:w="1818"/>
        <w:gridCol w:w="1818"/>
        <w:gridCol w:w="1818"/>
        <w:gridCol w:w="1818"/>
        <w:gridCol w:w="1818"/>
      </w:tblGrid>
      <w:tr w:rsidR="00260F93" w:rsidRPr="00260F93" w14:paraId="3FF479D5" w14:textId="77777777" w:rsidTr="005826E3">
        <w:trPr>
          <w:cnfStyle w:val="100000000000" w:firstRow="1" w:lastRow="0" w:firstColumn="0" w:lastColumn="0" w:oddVBand="0" w:evenVBand="0" w:oddHBand="0" w:evenHBand="0" w:firstRowFirstColumn="0" w:firstRowLastColumn="0" w:lastRowFirstColumn="0" w:lastRowLastColumn="0"/>
          <w:trHeight w:val="288"/>
        </w:trPr>
        <w:tc>
          <w:tcPr>
            <w:tcW w:w="3400" w:type="dxa"/>
            <w:vMerge w:val="restart"/>
            <w:hideMark/>
          </w:tcPr>
          <w:p w14:paraId="63F42368" w14:textId="77777777" w:rsidR="00E85FA1" w:rsidRDefault="00E85FA1" w:rsidP="00260F93">
            <w:pPr>
              <w:spacing w:after="0" w:line="240" w:lineRule="auto"/>
              <w:rPr>
                <w:rFonts w:cs="Arial"/>
                <w:b/>
                <w:bCs/>
                <w:color w:val="FFFFFF"/>
                <w:sz w:val="16"/>
                <w:szCs w:val="16"/>
                <w:lang w:eastAsia="en-AU"/>
              </w:rPr>
            </w:pPr>
          </w:p>
          <w:p w14:paraId="04763C8C" w14:textId="77777777" w:rsidR="00E85FA1" w:rsidRDefault="00E85FA1" w:rsidP="00260F93">
            <w:pPr>
              <w:spacing w:after="0" w:line="240" w:lineRule="auto"/>
              <w:rPr>
                <w:rFonts w:cs="Arial"/>
                <w:b/>
                <w:bCs/>
                <w:color w:val="FFFFFF"/>
                <w:sz w:val="16"/>
                <w:szCs w:val="16"/>
                <w:lang w:eastAsia="en-AU"/>
              </w:rPr>
            </w:pPr>
          </w:p>
          <w:p w14:paraId="0525A899" w14:textId="77777777" w:rsidR="00E85FA1" w:rsidRDefault="00E85FA1" w:rsidP="00260F93">
            <w:pPr>
              <w:spacing w:after="0" w:line="240" w:lineRule="auto"/>
              <w:rPr>
                <w:rFonts w:cs="Arial"/>
                <w:b/>
                <w:bCs/>
                <w:color w:val="FFFFFF"/>
                <w:sz w:val="16"/>
                <w:szCs w:val="16"/>
                <w:lang w:eastAsia="en-AU"/>
              </w:rPr>
            </w:pPr>
          </w:p>
          <w:p w14:paraId="0FEEB0BE" w14:textId="46FD795C" w:rsidR="00260F93" w:rsidRPr="00260F93" w:rsidRDefault="00260F93" w:rsidP="00260F93">
            <w:pPr>
              <w:spacing w:after="0" w:line="240" w:lineRule="auto"/>
              <w:rPr>
                <w:rFonts w:cs="Arial"/>
                <w:b/>
                <w:bCs/>
                <w:color w:val="FFFFFF"/>
                <w:sz w:val="16"/>
                <w:szCs w:val="16"/>
                <w:lang w:eastAsia="en-AU"/>
              </w:rPr>
            </w:pPr>
            <w:r w:rsidRPr="00260F93">
              <w:rPr>
                <w:rFonts w:cs="Arial"/>
                <w:b/>
                <w:bCs/>
                <w:color w:val="FFFFFF"/>
                <w:sz w:val="16"/>
                <w:szCs w:val="16"/>
                <w:lang w:eastAsia="en-AU"/>
              </w:rPr>
              <w:t>Health service</w:t>
            </w:r>
          </w:p>
        </w:tc>
        <w:tc>
          <w:tcPr>
            <w:tcW w:w="1817" w:type="dxa"/>
            <w:vMerge w:val="restart"/>
            <w:hideMark/>
          </w:tcPr>
          <w:p w14:paraId="52FF306E"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Mental health funded bed – non-acute</w:t>
            </w:r>
          </w:p>
        </w:tc>
        <w:tc>
          <w:tcPr>
            <w:tcW w:w="1818" w:type="dxa"/>
            <w:vMerge w:val="restart"/>
            <w:hideMark/>
          </w:tcPr>
          <w:p w14:paraId="22F1C9C6"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Mental health funded bed – subacute CCU</w:t>
            </w:r>
          </w:p>
        </w:tc>
        <w:tc>
          <w:tcPr>
            <w:tcW w:w="1818" w:type="dxa"/>
            <w:vMerge w:val="restart"/>
            <w:hideMark/>
          </w:tcPr>
          <w:p w14:paraId="30D6744B"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Mental health funded bed – subacute PARC</w:t>
            </w:r>
          </w:p>
        </w:tc>
        <w:tc>
          <w:tcPr>
            <w:tcW w:w="1818" w:type="dxa"/>
            <w:vMerge w:val="restart"/>
            <w:hideMark/>
          </w:tcPr>
          <w:p w14:paraId="2E38200A"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Mental health funded bed – residential</w:t>
            </w:r>
          </w:p>
        </w:tc>
        <w:tc>
          <w:tcPr>
            <w:tcW w:w="1818" w:type="dxa"/>
            <w:hideMark/>
          </w:tcPr>
          <w:p w14:paraId="3A31DB5A"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Total</w:t>
            </w:r>
          </w:p>
        </w:tc>
        <w:tc>
          <w:tcPr>
            <w:tcW w:w="1818" w:type="dxa"/>
            <w:hideMark/>
          </w:tcPr>
          <w:p w14:paraId="25B8DC9F"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Total</w:t>
            </w:r>
          </w:p>
        </w:tc>
      </w:tr>
      <w:tr w:rsidR="00260F93" w:rsidRPr="00260F93" w14:paraId="3B26B3FF" w14:textId="77777777" w:rsidTr="005826E3">
        <w:trPr>
          <w:trHeight w:val="828"/>
        </w:trPr>
        <w:tc>
          <w:tcPr>
            <w:tcW w:w="3400" w:type="dxa"/>
            <w:vMerge/>
            <w:hideMark/>
          </w:tcPr>
          <w:p w14:paraId="20F2B174" w14:textId="77777777" w:rsidR="00260F93" w:rsidRPr="00260F93" w:rsidRDefault="00260F93" w:rsidP="00260F93">
            <w:pPr>
              <w:spacing w:after="0" w:line="240" w:lineRule="auto"/>
              <w:rPr>
                <w:rFonts w:cs="Arial"/>
                <w:b/>
                <w:bCs/>
                <w:color w:val="FFFFFF"/>
                <w:sz w:val="16"/>
                <w:szCs w:val="16"/>
                <w:lang w:eastAsia="en-AU"/>
              </w:rPr>
            </w:pPr>
          </w:p>
        </w:tc>
        <w:tc>
          <w:tcPr>
            <w:tcW w:w="1817" w:type="dxa"/>
            <w:vMerge/>
            <w:hideMark/>
          </w:tcPr>
          <w:p w14:paraId="198E7726" w14:textId="77777777" w:rsidR="00260F93" w:rsidRPr="00260F93" w:rsidRDefault="00260F93" w:rsidP="00260F93">
            <w:pPr>
              <w:spacing w:after="0" w:line="240" w:lineRule="auto"/>
              <w:rPr>
                <w:rFonts w:cs="Arial"/>
                <w:b/>
                <w:bCs/>
                <w:color w:val="FFFFFF"/>
                <w:sz w:val="16"/>
                <w:szCs w:val="16"/>
                <w:lang w:eastAsia="en-AU"/>
              </w:rPr>
            </w:pPr>
          </w:p>
        </w:tc>
        <w:tc>
          <w:tcPr>
            <w:tcW w:w="1818" w:type="dxa"/>
            <w:vMerge/>
            <w:hideMark/>
          </w:tcPr>
          <w:p w14:paraId="097DB5A3" w14:textId="77777777" w:rsidR="00260F93" w:rsidRPr="00260F93" w:rsidRDefault="00260F93" w:rsidP="00260F93">
            <w:pPr>
              <w:spacing w:after="0" w:line="240" w:lineRule="auto"/>
              <w:rPr>
                <w:rFonts w:cs="Arial"/>
                <w:b/>
                <w:bCs/>
                <w:color w:val="FFFFFF"/>
                <w:sz w:val="16"/>
                <w:szCs w:val="16"/>
                <w:lang w:eastAsia="en-AU"/>
              </w:rPr>
            </w:pPr>
          </w:p>
        </w:tc>
        <w:tc>
          <w:tcPr>
            <w:tcW w:w="1818" w:type="dxa"/>
            <w:vMerge/>
            <w:hideMark/>
          </w:tcPr>
          <w:p w14:paraId="36ADF6F9" w14:textId="77777777" w:rsidR="00260F93" w:rsidRPr="00260F93" w:rsidRDefault="00260F93" w:rsidP="00260F93">
            <w:pPr>
              <w:spacing w:after="0" w:line="240" w:lineRule="auto"/>
              <w:rPr>
                <w:rFonts w:cs="Arial"/>
                <w:b/>
                <w:bCs/>
                <w:color w:val="FFFFFF"/>
                <w:sz w:val="16"/>
                <w:szCs w:val="16"/>
                <w:lang w:eastAsia="en-AU"/>
              </w:rPr>
            </w:pPr>
          </w:p>
        </w:tc>
        <w:tc>
          <w:tcPr>
            <w:tcW w:w="1818" w:type="dxa"/>
            <w:vMerge/>
            <w:hideMark/>
          </w:tcPr>
          <w:p w14:paraId="4AE8703E" w14:textId="77777777" w:rsidR="00260F93" w:rsidRPr="00260F93" w:rsidRDefault="00260F93" w:rsidP="00260F93">
            <w:pPr>
              <w:spacing w:after="0" w:line="240" w:lineRule="auto"/>
              <w:rPr>
                <w:rFonts w:cs="Arial"/>
                <w:b/>
                <w:bCs/>
                <w:color w:val="FFFFFF"/>
                <w:sz w:val="16"/>
                <w:szCs w:val="16"/>
                <w:lang w:eastAsia="en-AU"/>
              </w:rPr>
            </w:pPr>
          </w:p>
        </w:tc>
        <w:tc>
          <w:tcPr>
            <w:tcW w:w="1818" w:type="dxa"/>
            <w:shd w:val="clear" w:color="auto" w:fill="201547"/>
            <w:hideMark/>
          </w:tcPr>
          <w:p w14:paraId="5226E6CB"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 xml:space="preserve">Mental health funded subacute and residential bed </w:t>
            </w:r>
          </w:p>
        </w:tc>
        <w:tc>
          <w:tcPr>
            <w:tcW w:w="1818" w:type="dxa"/>
            <w:shd w:val="clear" w:color="auto" w:fill="201547"/>
            <w:hideMark/>
          </w:tcPr>
          <w:p w14:paraId="3970E5A5" w14:textId="77777777" w:rsidR="00260F93" w:rsidRPr="00260F93" w:rsidRDefault="00260F93" w:rsidP="00260F93">
            <w:pPr>
              <w:spacing w:after="0" w:line="240" w:lineRule="auto"/>
              <w:jc w:val="right"/>
              <w:rPr>
                <w:rFonts w:cs="Arial"/>
                <w:b/>
                <w:bCs/>
                <w:color w:val="FFFFFF"/>
                <w:sz w:val="16"/>
                <w:szCs w:val="16"/>
                <w:lang w:eastAsia="en-AU"/>
              </w:rPr>
            </w:pPr>
            <w:r w:rsidRPr="00260F93">
              <w:rPr>
                <w:rFonts w:cs="Arial"/>
                <w:b/>
                <w:bCs/>
                <w:color w:val="FFFFFF"/>
                <w:sz w:val="16"/>
                <w:szCs w:val="16"/>
                <w:lang w:eastAsia="en-AU"/>
              </w:rPr>
              <w:t xml:space="preserve">Mental health funded subacute and residential bed days </w:t>
            </w:r>
          </w:p>
        </w:tc>
      </w:tr>
      <w:tr w:rsidR="00260F93" w:rsidRPr="00260F93" w14:paraId="1946ED97" w14:textId="77777777" w:rsidTr="005826E3">
        <w:trPr>
          <w:trHeight w:val="300"/>
        </w:trPr>
        <w:tc>
          <w:tcPr>
            <w:tcW w:w="3400" w:type="dxa"/>
            <w:hideMark/>
          </w:tcPr>
          <w:p w14:paraId="56D41B4C" w14:textId="77777777" w:rsidR="00260F93" w:rsidRPr="00260F93" w:rsidRDefault="00260F93" w:rsidP="00260F93">
            <w:pPr>
              <w:spacing w:after="0" w:line="240" w:lineRule="auto"/>
              <w:rPr>
                <w:rFonts w:cs="Arial"/>
                <w:color w:val="000000"/>
                <w:sz w:val="16"/>
                <w:szCs w:val="16"/>
                <w:lang w:eastAsia="en-AU"/>
              </w:rPr>
            </w:pPr>
            <w:r w:rsidRPr="00260F93">
              <w:rPr>
                <w:rFonts w:cs="Arial"/>
                <w:color w:val="000000"/>
                <w:sz w:val="16"/>
                <w:szCs w:val="16"/>
                <w:lang w:eastAsia="en-AU"/>
              </w:rPr>
              <w:t>Mildura Base Hospital</w:t>
            </w:r>
          </w:p>
        </w:tc>
        <w:tc>
          <w:tcPr>
            <w:tcW w:w="1817" w:type="dxa"/>
            <w:hideMark/>
          </w:tcPr>
          <w:p w14:paraId="22280E66"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 </w:t>
            </w:r>
          </w:p>
        </w:tc>
        <w:tc>
          <w:tcPr>
            <w:tcW w:w="1818" w:type="dxa"/>
            <w:hideMark/>
          </w:tcPr>
          <w:p w14:paraId="75BD2615"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 </w:t>
            </w:r>
          </w:p>
        </w:tc>
        <w:tc>
          <w:tcPr>
            <w:tcW w:w="1818" w:type="dxa"/>
            <w:hideMark/>
          </w:tcPr>
          <w:p w14:paraId="746AFB52"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10</w:t>
            </w:r>
          </w:p>
        </w:tc>
        <w:tc>
          <w:tcPr>
            <w:tcW w:w="1818" w:type="dxa"/>
            <w:hideMark/>
          </w:tcPr>
          <w:p w14:paraId="47387731"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 </w:t>
            </w:r>
          </w:p>
        </w:tc>
        <w:tc>
          <w:tcPr>
            <w:tcW w:w="1818" w:type="dxa"/>
            <w:hideMark/>
          </w:tcPr>
          <w:p w14:paraId="5C417D1F"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10</w:t>
            </w:r>
          </w:p>
        </w:tc>
        <w:tc>
          <w:tcPr>
            <w:tcW w:w="1818" w:type="dxa"/>
            <w:hideMark/>
          </w:tcPr>
          <w:p w14:paraId="576A04CC"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3,653</w:t>
            </w:r>
          </w:p>
        </w:tc>
      </w:tr>
      <w:tr w:rsidR="00260F93" w:rsidRPr="00260F93" w14:paraId="3B190374" w14:textId="77777777" w:rsidTr="005826E3">
        <w:trPr>
          <w:trHeight w:val="300"/>
        </w:trPr>
        <w:tc>
          <w:tcPr>
            <w:tcW w:w="3400" w:type="dxa"/>
            <w:hideMark/>
          </w:tcPr>
          <w:p w14:paraId="51156769" w14:textId="77777777" w:rsidR="00260F93" w:rsidRPr="00260F93" w:rsidRDefault="00260F93" w:rsidP="00260F93">
            <w:pPr>
              <w:spacing w:after="0" w:line="240" w:lineRule="auto"/>
              <w:rPr>
                <w:rFonts w:cs="Arial"/>
                <w:color w:val="000000"/>
                <w:sz w:val="16"/>
                <w:szCs w:val="16"/>
                <w:lang w:eastAsia="en-AU"/>
              </w:rPr>
            </w:pPr>
            <w:r w:rsidRPr="00260F93">
              <w:rPr>
                <w:rFonts w:cs="Arial"/>
                <w:color w:val="000000"/>
                <w:sz w:val="16"/>
                <w:szCs w:val="16"/>
                <w:lang w:eastAsia="en-AU"/>
              </w:rPr>
              <w:t>South West Health</w:t>
            </w:r>
          </w:p>
        </w:tc>
        <w:tc>
          <w:tcPr>
            <w:tcW w:w="1817" w:type="dxa"/>
            <w:hideMark/>
          </w:tcPr>
          <w:p w14:paraId="3D2D11C5"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0</w:t>
            </w:r>
          </w:p>
        </w:tc>
        <w:tc>
          <w:tcPr>
            <w:tcW w:w="1818" w:type="dxa"/>
            <w:hideMark/>
          </w:tcPr>
          <w:p w14:paraId="050F7841"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0</w:t>
            </w:r>
          </w:p>
        </w:tc>
        <w:tc>
          <w:tcPr>
            <w:tcW w:w="1818" w:type="dxa"/>
            <w:hideMark/>
          </w:tcPr>
          <w:p w14:paraId="3D85063E"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15</w:t>
            </w:r>
          </w:p>
        </w:tc>
        <w:tc>
          <w:tcPr>
            <w:tcW w:w="1818" w:type="dxa"/>
            <w:hideMark/>
          </w:tcPr>
          <w:p w14:paraId="334D4DF1"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13</w:t>
            </w:r>
          </w:p>
        </w:tc>
        <w:tc>
          <w:tcPr>
            <w:tcW w:w="1818" w:type="dxa"/>
            <w:hideMark/>
          </w:tcPr>
          <w:p w14:paraId="37B3F317"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28</w:t>
            </w:r>
          </w:p>
        </w:tc>
        <w:tc>
          <w:tcPr>
            <w:tcW w:w="1818" w:type="dxa"/>
            <w:hideMark/>
          </w:tcPr>
          <w:p w14:paraId="0D817959"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10,227</w:t>
            </w:r>
          </w:p>
        </w:tc>
      </w:tr>
    </w:tbl>
    <w:p w14:paraId="127407D7" w14:textId="203094A8" w:rsidR="001A192A" w:rsidRDefault="001A192A" w:rsidP="00042954">
      <w:pPr>
        <w:pStyle w:val="Bodyaftertablefigure"/>
      </w:pPr>
      <w:r w:rsidRPr="00F2096A">
        <w:t>Combined</w:t>
      </w:r>
      <w:r>
        <w:t xml:space="preserve"> total</w:t>
      </w:r>
    </w:p>
    <w:tbl>
      <w:tblPr>
        <w:tblStyle w:val="TableGrid1"/>
        <w:tblW w:w="14307" w:type="dxa"/>
        <w:tblLook w:val="04A0" w:firstRow="1" w:lastRow="0" w:firstColumn="1" w:lastColumn="0" w:noHBand="0" w:noVBand="1"/>
      </w:tblPr>
      <w:tblGrid>
        <w:gridCol w:w="3400"/>
        <w:gridCol w:w="1817"/>
        <w:gridCol w:w="1818"/>
        <w:gridCol w:w="1818"/>
        <w:gridCol w:w="1818"/>
        <w:gridCol w:w="1818"/>
        <w:gridCol w:w="1818"/>
      </w:tblGrid>
      <w:tr w:rsidR="00941A98" w:rsidRPr="00941A98" w14:paraId="04EE092B" w14:textId="77777777" w:rsidTr="005826E3">
        <w:trPr>
          <w:cnfStyle w:val="100000000000" w:firstRow="1" w:lastRow="0" w:firstColumn="0" w:lastColumn="0" w:oddVBand="0" w:evenVBand="0" w:oddHBand="0" w:evenHBand="0" w:firstRowFirstColumn="0" w:firstRowLastColumn="0" w:lastRowFirstColumn="0" w:lastRowLastColumn="0"/>
          <w:trHeight w:val="288"/>
        </w:trPr>
        <w:tc>
          <w:tcPr>
            <w:tcW w:w="3400" w:type="dxa"/>
            <w:vMerge w:val="restart"/>
            <w:hideMark/>
          </w:tcPr>
          <w:p w14:paraId="70863E11" w14:textId="77777777" w:rsidR="00941A98" w:rsidRPr="00941A98" w:rsidRDefault="00941A98" w:rsidP="00941A98">
            <w:pPr>
              <w:spacing w:after="0" w:line="240" w:lineRule="auto"/>
              <w:rPr>
                <w:rFonts w:cs="Arial"/>
                <w:b/>
                <w:bCs/>
                <w:color w:val="FFFFFF"/>
                <w:sz w:val="16"/>
                <w:szCs w:val="16"/>
                <w:lang w:eastAsia="en-AU"/>
              </w:rPr>
            </w:pPr>
            <w:r w:rsidRPr="00941A98">
              <w:rPr>
                <w:rFonts w:cs="Arial"/>
                <w:b/>
                <w:bCs/>
                <w:color w:val="FFFFFF"/>
                <w:sz w:val="16"/>
                <w:szCs w:val="16"/>
                <w:lang w:eastAsia="en-AU"/>
              </w:rPr>
              <w:t> </w:t>
            </w:r>
          </w:p>
        </w:tc>
        <w:tc>
          <w:tcPr>
            <w:tcW w:w="1817" w:type="dxa"/>
            <w:vMerge w:val="restart"/>
            <w:hideMark/>
          </w:tcPr>
          <w:p w14:paraId="69081200"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Mental health funded bed – non-acute</w:t>
            </w:r>
          </w:p>
        </w:tc>
        <w:tc>
          <w:tcPr>
            <w:tcW w:w="1818" w:type="dxa"/>
            <w:vMerge w:val="restart"/>
            <w:hideMark/>
          </w:tcPr>
          <w:p w14:paraId="75A785B4"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Mental health funded bed – subacute CCU</w:t>
            </w:r>
          </w:p>
        </w:tc>
        <w:tc>
          <w:tcPr>
            <w:tcW w:w="1818" w:type="dxa"/>
            <w:vMerge w:val="restart"/>
            <w:hideMark/>
          </w:tcPr>
          <w:p w14:paraId="36C14653"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Mental health funded bed – subacute PARC</w:t>
            </w:r>
          </w:p>
        </w:tc>
        <w:tc>
          <w:tcPr>
            <w:tcW w:w="1818" w:type="dxa"/>
            <w:vMerge w:val="restart"/>
            <w:hideMark/>
          </w:tcPr>
          <w:p w14:paraId="2FB3A26A"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Mental health funded bed – residential</w:t>
            </w:r>
          </w:p>
        </w:tc>
        <w:tc>
          <w:tcPr>
            <w:tcW w:w="1818" w:type="dxa"/>
            <w:hideMark/>
          </w:tcPr>
          <w:p w14:paraId="196A8232"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Total</w:t>
            </w:r>
          </w:p>
        </w:tc>
        <w:tc>
          <w:tcPr>
            <w:tcW w:w="1818" w:type="dxa"/>
            <w:hideMark/>
          </w:tcPr>
          <w:p w14:paraId="261168CB"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Total</w:t>
            </w:r>
          </w:p>
        </w:tc>
      </w:tr>
      <w:tr w:rsidR="00941A98" w:rsidRPr="00941A98" w14:paraId="173B5395" w14:textId="77777777" w:rsidTr="00DB4B11">
        <w:trPr>
          <w:trHeight w:val="681"/>
        </w:trPr>
        <w:tc>
          <w:tcPr>
            <w:tcW w:w="3400" w:type="dxa"/>
            <w:vMerge/>
            <w:hideMark/>
          </w:tcPr>
          <w:p w14:paraId="3AE26CCB" w14:textId="77777777" w:rsidR="00941A98" w:rsidRPr="00941A98" w:rsidRDefault="00941A98" w:rsidP="00941A98">
            <w:pPr>
              <w:spacing w:after="0" w:line="240" w:lineRule="auto"/>
              <w:rPr>
                <w:rFonts w:cs="Arial"/>
                <w:b/>
                <w:bCs/>
                <w:color w:val="FFFFFF"/>
                <w:sz w:val="16"/>
                <w:szCs w:val="16"/>
                <w:lang w:eastAsia="en-AU"/>
              </w:rPr>
            </w:pPr>
          </w:p>
        </w:tc>
        <w:tc>
          <w:tcPr>
            <w:tcW w:w="1817" w:type="dxa"/>
            <w:vMerge/>
            <w:hideMark/>
          </w:tcPr>
          <w:p w14:paraId="1B748E1A" w14:textId="77777777" w:rsidR="00941A98" w:rsidRPr="00941A98" w:rsidRDefault="00941A98" w:rsidP="00941A98">
            <w:pPr>
              <w:spacing w:after="0" w:line="240" w:lineRule="auto"/>
              <w:rPr>
                <w:rFonts w:cs="Arial"/>
                <w:b/>
                <w:bCs/>
                <w:color w:val="FFFFFF"/>
                <w:sz w:val="16"/>
                <w:szCs w:val="16"/>
                <w:lang w:eastAsia="en-AU"/>
              </w:rPr>
            </w:pPr>
          </w:p>
        </w:tc>
        <w:tc>
          <w:tcPr>
            <w:tcW w:w="1818" w:type="dxa"/>
            <w:vMerge/>
            <w:hideMark/>
          </w:tcPr>
          <w:p w14:paraId="617C3391" w14:textId="77777777" w:rsidR="00941A98" w:rsidRPr="00941A98" w:rsidRDefault="00941A98" w:rsidP="00941A98">
            <w:pPr>
              <w:spacing w:after="0" w:line="240" w:lineRule="auto"/>
              <w:rPr>
                <w:rFonts w:cs="Arial"/>
                <w:b/>
                <w:bCs/>
                <w:color w:val="FFFFFF"/>
                <w:sz w:val="16"/>
                <w:szCs w:val="16"/>
                <w:lang w:eastAsia="en-AU"/>
              </w:rPr>
            </w:pPr>
          </w:p>
        </w:tc>
        <w:tc>
          <w:tcPr>
            <w:tcW w:w="1818" w:type="dxa"/>
            <w:vMerge/>
            <w:hideMark/>
          </w:tcPr>
          <w:p w14:paraId="74D31D63" w14:textId="77777777" w:rsidR="00941A98" w:rsidRPr="00941A98" w:rsidRDefault="00941A98" w:rsidP="00941A98">
            <w:pPr>
              <w:spacing w:after="0" w:line="240" w:lineRule="auto"/>
              <w:rPr>
                <w:rFonts w:cs="Arial"/>
                <w:b/>
                <w:bCs/>
                <w:color w:val="FFFFFF"/>
                <w:sz w:val="16"/>
                <w:szCs w:val="16"/>
                <w:lang w:eastAsia="en-AU"/>
              </w:rPr>
            </w:pPr>
          </w:p>
        </w:tc>
        <w:tc>
          <w:tcPr>
            <w:tcW w:w="1818" w:type="dxa"/>
            <w:vMerge/>
            <w:hideMark/>
          </w:tcPr>
          <w:p w14:paraId="621B4564" w14:textId="77777777" w:rsidR="00941A98" w:rsidRPr="00941A98" w:rsidRDefault="00941A98" w:rsidP="00941A98">
            <w:pPr>
              <w:spacing w:after="0" w:line="240" w:lineRule="auto"/>
              <w:rPr>
                <w:rFonts w:cs="Arial"/>
                <w:b/>
                <w:bCs/>
                <w:color w:val="FFFFFF"/>
                <w:sz w:val="16"/>
                <w:szCs w:val="16"/>
                <w:lang w:eastAsia="en-AU"/>
              </w:rPr>
            </w:pPr>
          </w:p>
        </w:tc>
        <w:tc>
          <w:tcPr>
            <w:tcW w:w="1818" w:type="dxa"/>
            <w:shd w:val="clear" w:color="auto" w:fill="201547"/>
            <w:hideMark/>
          </w:tcPr>
          <w:p w14:paraId="4B41F2DB"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 xml:space="preserve">Mental health funded subacute and residential bed </w:t>
            </w:r>
          </w:p>
        </w:tc>
        <w:tc>
          <w:tcPr>
            <w:tcW w:w="1818" w:type="dxa"/>
            <w:shd w:val="clear" w:color="auto" w:fill="201547"/>
            <w:hideMark/>
          </w:tcPr>
          <w:p w14:paraId="3C0E9A1E" w14:textId="77777777" w:rsidR="00941A98" w:rsidRPr="00941A98" w:rsidRDefault="00941A98" w:rsidP="00941A98">
            <w:pPr>
              <w:spacing w:after="0" w:line="240" w:lineRule="auto"/>
              <w:jc w:val="right"/>
              <w:rPr>
                <w:rFonts w:cs="Arial"/>
                <w:b/>
                <w:bCs/>
                <w:color w:val="FFFFFF"/>
                <w:sz w:val="16"/>
                <w:szCs w:val="16"/>
                <w:lang w:eastAsia="en-AU"/>
              </w:rPr>
            </w:pPr>
            <w:r w:rsidRPr="00941A98">
              <w:rPr>
                <w:rFonts w:cs="Arial"/>
                <w:b/>
                <w:bCs/>
                <w:color w:val="FFFFFF"/>
                <w:sz w:val="16"/>
                <w:szCs w:val="16"/>
                <w:lang w:eastAsia="en-AU"/>
              </w:rPr>
              <w:t xml:space="preserve">Mental health funded subacute and residential bed days </w:t>
            </w:r>
          </w:p>
        </w:tc>
      </w:tr>
      <w:tr w:rsidR="00941A98" w:rsidRPr="00941A98" w14:paraId="2AEB296F" w14:textId="77777777" w:rsidTr="005826E3">
        <w:trPr>
          <w:trHeight w:val="300"/>
        </w:trPr>
        <w:tc>
          <w:tcPr>
            <w:tcW w:w="3400" w:type="dxa"/>
            <w:hideMark/>
          </w:tcPr>
          <w:p w14:paraId="5A023712" w14:textId="77777777" w:rsidR="00941A98" w:rsidRPr="00941A98" w:rsidRDefault="00941A98" w:rsidP="00941A98">
            <w:pPr>
              <w:spacing w:after="0" w:line="240" w:lineRule="auto"/>
              <w:rPr>
                <w:rFonts w:cs="Arial"/>
                <w:b/>
                <w:bCs/>
                <w:color w:val="000000"/>
                <w:sz w:val="16"/>
                <w:szCs w:val="16"/>
                <w:lang w:eastAsia="en-AU"/>
              </w:rPr>
            </w:pPr>
            <w:r w:rsidRPr="00941A98">
              <w:rPr>
                <w:rFonts w:cs="Arial"/>
                <w:b/>
                <w:bCs/>
                <w:color w:val="000000"/>
                <w:sz w:val="16"/>
                <w:szCs w:val="16"/>
                <w:lang w:eastAsia="en-AU"/>
              </w:rPr>
              <w:t>Total</w:t>
            </w:r>
          </w:p>
        </w:tc>
        <w:tc>
          <w:tcPr>
            <w:tcW w:w="1817" w:type="dxa"/>
            <w:hideMark/>
          </w:tcPr>
          <w:p w14:paraId="2207935E" w14:textId="77777777" w:rsidR="00941A98" w:rsidRPr="00941A98" w:rsidRDefault="00941A98" w:rsidP="00941A98">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247</w:t>
            </w:r>
          </w:p>
        </w:tc>
        <w:tc>
          <w:tcPr>
            <w:tcW w:w="1818" w:type="dxa"/>
            <w:hideMark/>
          </w:tcPr>
          <w:p w14:paraId="17AD5139" w14:textId="77777777" w:rsidR="00941A98" w:rsidRPr="00941A98" w:rsidRDefault="00941A98" w:rsidP="00941A98">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336</w:t>
            </w:r>
          </w:p>
        </w:tc>
        <w:tc>
          <w:tcPr>
            <w:tcW w:w="1818" w:type="dxa"/>
            <w:hideMark/>
          </w:tcPr>
          <w:p w14:paraId="6F11A38A" w14:textId="77777777" w:rsidR="00941A98" w:rsidRPr="00941A98" w:rsidRDefault="00941A98" w:rsidP="00941A98">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281</w:t>
            </w:r>
          </w:p>
        </w:tc>
        <w:tc>
          <w:tcPr>
            <w:tcW w:w="1818" w:type="dxa"/>
            <w:hideMark/>
          </w:tcPr>
          <w:p w14:paraId="12BBC8F1" w14:textId="77777777" w:rsidR="00941A98" w:rsidRPr="00941A98" w:rsidRDefault="00941A98" w:rsidP="00941A98">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491</w:t>
            </w:r>
          </w:p>
        </w:tc>
        <w:tc>
          <w:tcPr>
            <w:tcW w:w="1818" w:type="dxa"/>
            <w:hideMark/>
          </w:tcPr>
          <w:p w14:paraId="491876EE" w14:textId="77777777" w:rsidR="00941A98" w:rsidRPr="00941A98" w:rsidRDefault="00941A98" w:rsidP="00941A98">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1,355</w:t>
            </w:r>
          </w:p>
        </w:tc>
        <w:tc>
          <w:tcPr>
            <w:tcW w:w="1818" w:type="dxa"/>
            <w:hideMark/>
          </w:tcPr>
          <w:p w14:paraId="4A9756D6" w14:textId="77777777" w:rsidR="00941A98" w:rsidRPr="00941A98" w:rsidRDefault="00941A98" w:rsidP="00941A98">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464,592</w:t>
            </w:r>
          </w:p>
        </w:tc>
      </w:tr>
    </w:tbl>
    <w:p w14:paraId="2AF75D3E" w14:textId="0FA9D63D" w:rsidR="000B27B9" w:rsidRDefault="000B27B9" w:rsidP="00042954">
      <w:pPr>
        <w:pStyle w:val="Tablecaption"/>
        <w:spacing w:line="240" w:lineRule="auto"/>
      </w:pPr>
      <w:bookmarkStart w:id="1381" w:name="_Toc109894149"/>
      <w:bookmarkStart w:id="1382" w:name="_Toc119500930"/>
      <w:r>
        <w:t xml:space="preserve">Table </w:t>
      </w:r>
      <w:r>
        <w:fldChar w:fldCharType="begin"/>
      </w:r>
      <w:r>
        <w:instrText>STYLEREF 1 \s</w:instrText>
      </w:r>
      <w:r>
        <w:fldChar w:fldCharType="separate"/>
      </w:r>
      <w:r w:rsidR="006D0756">
        <w:rPr>
          <w:noProof/>
        </w:rPr>
        <w:t>2</w:t>
      </w:r>
      <w:r>
        <w:fldChar w:fldCharType="end"/>
      </w:r>
      <w:r w:rsidR="00EC6300">
        <w:t>.</w:t>
      </w:r>
      <w:r>
        <w:fldChar w:fldCharType="begin"/>
      </w:r>
      <w:r>
        <w:instrText>SEQ Table \* ARABIC \s 1</w:instrText>
      </w:r>
      <w:r>
        <w:fldChar w:fldCharType="separate"/>
      </w:r>
      <w:r w:rsidR="002A4F62">
        <w:rPr>
          <w:noProof/>
        </w:rPr>
        <w:t>22</w:t>
      </w:r>
      <w:r>
        <w:fldChar w:fldCharType="end"/>
      </w:r>
      <w:r w:rsidRPr="00271AC6">
        <w:t xml:space="preserve">: Mental health total acute, non-acute, subacute and residential available beds and available bed days </w:t>
      </w:r>
      <w:bookmarkEnd w:id="1378"/>
      <w:bookmarkEnd w:id="1379"/>
      <w:bookmarkEnd w:id="1380"/>
      <w:r w:rsidR="005D1FCB" w:rsidRPr="00697369">
        <w:t>2022</w:t>
      </w:r>
      <w:r w:rsidR="00F2096A">
        <w:t>–</w:t>
      </w:r>
      <w:r w:rsidR="005D1FCB" w:rsidRPr="00697369">
        <w:t>23</w:t>
      </w:r>
      <w:bookmarkEnd w:id="1381"/>
      <w:bookmarkEnd w:id="1382"/>
    </w:p>
    <w:p w14:paraId="6DA9B3CC" w14:textId="57AB5360" w:rsidR="001A192A" w:rsidRDefault="001A192A" w:rsidP="00042954">
      <w:pPr>
        <w:pStyle w:val="Body"/>
        <w:keepNext/>
        <w:keepLines/>
        <w:spacing w:line="240" w:lineRule="auto"/>
      </w:pPr>
      <w:r>
        <w:t>Metropolitan and regional</w:t>
      </w:r>
    </w:p>
    <w:tbl>
      <w:tblPr>
        <w:tblW w:w="14307" w:type="dxa"/>
        <w:tblLook w:val="04A0" w:firstRow="1" w:lastRow="0" w:firstColumn="1" w:lastColumn="0" w:noHBand="0" w:noVBand="1"/>
      </w:tblPr>
      <w:tblGrid>
        <w:gridCol w:w="3400"/>
        <w:gridCol w:w="1817"/>
        <w:gridCol w:w="1818"/>
        <w:gridCol w:w="1818"/>
        <w:gridCol w:w="1818"/>
        <w:gridCol w:w="1818"/>
        <w:gridCol w:w="1818"/>
      </w:tblGrid>
      <w:tr w:rsidR="00C35096" w:rsidRPr="00C35096" w14:paraId="21599497" w14:textId="77777777" w:rsidTr="005826E3">
        <w:trPr>
          <w:trHeight w:val="965"/>
          <w:tblHeader/>
        </w:trPr>
        <w:tc>
          <w:tcPr>
            <w:tcW w:w="3400" w:type="dxa"/>
            <w:tcBorders>
              <w:top w:val="single" w:sz="8" w:space="0" w:color="auto"/>
              <w:left w:val="single" w:sz="8" w:space="0" w:color="auto"/>
              <w:bottom w:val="single" w:sz="8" w:space="0" w:color="auto"/>
              <w:right w:val="single" w:sz="8" w:space="0" w:color="auto"/>
            </w:tcBorders>
            <w:shd w:val="clear" w:color="000000" w:fill="201547"/>
            <w:vAlign w:val="center"/>
            <w:hideMark/>
          </w:tcPr>
          <w:p w14:paraId="0A23DF09" w14:textId="4112D91D" w:rsidR="00C35096" w:rsidRPr="00C35096" w:rsidRDefault="00C35096" w:rsidP="00C35096">
            <w:pPr>
              <w:spacing w:after="0" w:line="240" w:lineRule="auto"/>
              <w:rPr>
                <w:rFonts w:cs="Arial"/>
                <w:b/>
                <w:bCs/>
                <w:color w:val="FFFFFF"/>
                <w:sz w:val="16"/>
                <w:szCs w:val="16"/>
                <w:lang w:eastAsia="en-AU"/>
              </w:rPr>
            </w:pPr>
            <w:r w:rsidRPr="00C35096">
              <w:rPr>
                <w:rFonts w:cs="Arial"/>
                <w:b/>
                <w:bCs/>
                <w:color w:val="FFFFFF"/>
                <w:sz w:val="16"/>
                <w:szCs w:val="16"/>
                <w:lang w:eastAsia="en-AU"/>
              </w:rPr>
              <w:t>Health service</w:t>
            </w:r>
          </w:p>
        </w:tc>
        <w:tc>
          <w:tcPr>
            <w:tcW w:w="1817" w:type="dxa"/>
            <w:tcBorders>
              <w:top w:val="single" w:sz="8" w:space="0" w:color="auto"/>
              <w:left w:val="nil"/>
              <w:bottom w:val="single" w:sz="8" w:space="0" w:color="auto"/>
              <w:right w:val="single" w:sz="8" w:space="0" w:color="auto"/>
            </w:tcBorders>
            <w:shd w:val="clear" w:color="000000" w:fill="201547"/>
            <w:vAlign w:val="center"/>
            <w:hideMark/>
          </w:tcPr>
          <w:p w14:paraId="1D3018D0" w14:textId="77777777" w:rsidR="00C35096" w:rsidRPr="00C35096" w:rsidRDefault="00C35096" w:rsidP="00C35096">
            <w:pPr>
              <w:spacing w:after="0" w:line="240" w:lineRule="auto"/>
              <w:jc w:val="right"/>
              <w:rPr>
                <w:rFonts w:cs="Arial"/>
                <w:b/>
                <w:bCs/>
                <w:color w:val="FFFFFF"/>
                <w:sz w:val="16"/>
                <w:szCs w:val="16"/>
                <w:lang w:eastAsia="en-AU"/>
              </w:rPr>
            </w:pPr>
            <w:r w:rsidRPr="00C35096">
              <w:rPr>
                <w:rFonts w:cs="Arial"/>
                <w:b/>
                <w:bCs/>
                <w:color w:val="FFFFFF"/>
                <w:sz w:val="16"/>
                <w:szCs w:val="16"/>
                <w:lang w:eastAsia="en-AU"/>
              </w:rPr>
              <w:t xml:space="preserve">Mental health funded acute bed </w:t>
            </w:r>
          </w:p>
        </w:tc>
        <w:tc>
          <w:tcPr>
            <w:tcW w:w="1818" w:type="dxa"/>
            <w:tcBorders>
              <w:top w:val="single" w:sz="8" w:space="0" w:color="auto"/>
              <w:left w:val="nil"/>
              <w:bottom w:val="single" w:sz="8" w:space="0" w:color="auto"/>
              <w:right w:val="single" w:sz="8" w:space="0" w:color="auto"/>
            </w:tcBorders>
            <w:shd w:val="clear" w:color="000000" w:fill="201547"/>
            <w:vAlign w:val="center"/>
            <w:hideMark/>
          </w:tcPr>
          <w:p w14:paraId="5934B469" w14:textId="77777777" w:rsidR="00C35096" w:rsidRPr="00C35096" w:rsidRDefault="00C35096" w:rsidP="00C35096">
            <w:pPr>
              <w:spacing w:after="0" w:line="240" w:lineRule="auto"/>
              <w:jc w:val="right"/>
              <w:rPr>
                <w:rFonts w:cs="Arial"/>
                <w:b/>
                <w:bCs/>
                <w:color w:val="FFFFFF"/>
                <w:sz w:val="16"/>
                <w:szCs w:val="16"/>
                <w:lang w:eastAsia="en-AU"/>
              </w:rPr>
            </w:pPr>
            <w:r w:rsidRPr="00C35096">
              <w:rPr>
                <w:rFonts w:cs="Arial"/>
                <w:b/>
                <w:bCs/>
                <w:color w:val="FFFFFF"/>
                <w:sz w:val="16"/>
                <w:szCs w:val="16"/>
                <w:lang w:eastAsia="en-AU"/>
              </w:rPr>
              <w:t>Mental health funded acute bed days</w:t>
            </w:r>
          </w:p>
        </w:tc>
        <w:tc>
          <w:tcPr>
            <w:tcW w:w="1818" w:type="dxa"/>
            <w:tcBorders>
              <w:top w:val="single" w:sz="8" w:space="0" w:color="auto"/>
              <w:left w:val="nil"/>
              <w:bottom w:val="single" w:sz="8" w:space="0" w:color="auto"/>
              <w:right w:val="single" w:sz="8" w:space="0" w:color="auto"/>
            </w:tcBorders>
            <w:shd w:val="clear" w:color="000000" w:fill="201547"/>
            <w:vAlign w:val="center"/>
            <w:hideMark/>
          </w:tcPr>
          <w:p w14:paraId="55F9F99C" w14:textId="77777777" w:rsidR="00C35096" w:rsidRPr="00C35096" w:rsidRDefault="00C35096" w:rsidP="00C35096">
            <w:pPr>
              <w:spacing w:after="0" w:line="240" w:lineRule="auto"/>
              <w:jc w:val="right"/>
              <w:rPr>
                <w:rFonts w:cs="Arial"/>
                <w:b/>
                <w:bCs/>
                <w:color w:val="FFFFFF"/>
                <w:sz w:val="16"/>
                <w:szCs w:val="16"/>
                <w:lang w:eastAsia="en-AU"/>
              </w:rPr>
            </w:pPr>
            <w:r w:rsidRPr="00C35096">
              <w:rPr>
                <w:rFonts w:cs="Arial"/>
                <w:b/>
                <w:bCs/>
                <w:color w:val="FFFFFF"/>
                <w:sz w:val="16"/>
                <w:szCs w:val="16"/>
                <w:lang w:eastAsia="en-AU"/>
              </w:rPr>
              <w:t>Mental health funded non-acute, subacute, and residential bed</w:t>
            </w:r>
          </w:p>
        </w:tc>
        <w:tc>
          <w:tcPr>
            <w:tcW w:w="1818" w:type="dxa"/>
            <w:tcBorders>
              <w:top w:val="single" w:sz="8" w:space="0" w:color="auto"/>
              <w:left w:val="nil"/>
              <w:bottom w:val="single" w:sz="8" w:space="0" w:color="auto"/>
              <w:right w:val="single" w:sz="8" w:space="0" w:color="auto"/>
            </w:tcBorders>
            <w:shd w:val="clear" w:color="000000" w:fill="201547"/>
            <w:vAlign w:val="center"/>
            <w:hideMark/>
          </w:tcPr>
          <w:p w14:paraId="71E9AADD" w14:textId="77777777" w:rsidR="00C35096" w:rsidRPr="00C35096" w:rsidRDefault="00C35096" w:rsidP="00C35096">
            <w:pPr>
              <w:spacing w:after="0" w:line="240" w:lineRule="auto"/>
              <w:jc w:val="right"/>
              <w:rPr>
                <w:rFonts w:cs="Arial"/>
                <w:b/>
                <w:bCs/>
                <w:color w:val="FFFFFF"/>
                <w:sz w:val="16"/>
                <w:szCs w:val="16"/>
                <w:lang w:eastAsia="en-AU"/>
              </w:rPr>
            </w:pPr>
            <w:r w:rsidRPr="00C35096">
              <w:rPr>
                <w:rFonts w:cs="Arial"/>
                <w:b/>
                <w:bCs/>
                <w:color w:val="FFFFFF"/>
                <w:sz w:val="16"/>
                <w:szCs w:val="16"/>
                <w:lang w:eastAsia="en-AU"/>
              </w:rPr>
              <w:t xml:space="preserve">Mental health funded non-acute, subacute, and residential bed days </w:t>
            </w:r>
          </w:p>
        </w:tc>
        <w:tc>
          <w:tcPr>
            <w:tcW w:w="1818" w:type="dxa"/>
            <w:tcBorders>
              <w:top w:val="single" w:sz="8" w:space="0" w:color="auto"/>
              <w:left w:val="nil"/>
              <w:bottom w:val="single" w:sz="8" w:space="0" w:color="auto"/>
              <w:right w:val="single" w:sz="8" w:space="0" w:color="auto"/>
            </w:tcBorders>
            <w:shd w:val="clear" w:color="000000" w:fill="201547"/>
            <w:vAlign w:val="center"/>
            <w:hideMark/>
          </w:tcPr>
          <w:p w14:paraId="2C4CCE48" w14:textId="77777777" w:rsidR="00C35096" w:rsidRPr="00C35096" w:rsidRDefault="00C35096" w:rsidP="00C35096">
            <w:pPr>
              <w:spacing w:after="0" w:line="240" w:lineRule="auto"/>
              <w:jc w:val="right"/>
              <w:rPr>
                <w:rFonts w:cs="Arial"/>
                <w:b/>
                <w:bCs/>
                <w:color w:val="FFFFFF"/>
                <w:sz w:val="16"/>
                <w:szCs w:val="16"/>
                <w:lang w:eastAsia="en-AU"/>
              </w:rPr>
            </w:pPr>
            <w:r w:rsidRPr="00C35096">
              <w:rPr>
                <w:rFonts w:cs="Arial"/>
                <w:b/>
                <w:bCs/>
                <w:color w:val="FFFFFF"/>
                <w:sz w:val="16"/>
                <w:szCs w:val="16"/>
                <w:lang w:eastAsia="en-AU"/>
              </w:rPr>
              <w:t xml:space="preserve">Mental health beds </w:t>
            </w:r>
          </w:p>
        </w:tc>
        <w:tc>
          <w:tcPr>
            <w:tcW w:w="1818" w:type="dxa"/>
            <w:tcBorders>
              <w:top w:val="single" w:sz="8" w:space="0" w:color="auto"/>
              <w:left w:val="nil"/>
              <w:bottom w:val="single" w:sz="8" w:space="0" w:color="auto"/>
              <w:right w:val="single" w:sz="8" w:space="0" w:color="auto"/>
            </w:tcBorders>
            <w:shd w:val="clear" w:color="000000" w:fill="201547"/>
            <w:vAlign w:val="center"/>
            <w:hideMark/>
          </w:tcPr>
          <w:p w14:paraId="19926C83" w14:textId="77777777" w:rsidR="00C35096" w:rsidRPr="00C35096" w:rsidRDefault="00C35096" w:rsidP="00C35096">
            <w:pPr>
              <w:spacing w:after="0" w:line="240" w:lineRule="auto"/>
              <w:jc w:val="right"/>
              <w:rPr>
                <w:rFonts w:cs="Arial"/>
                <w:b/>
                <w:bCs/>
                <w:color w:val="FFFFFF"/>
                <w:sz w:val="16"/>
                <w:szCs w:val="16"/>
                <w:lang w:eastAsia="en-AU"/>
              </w:rPr>
            </w:pPr>
            <w:r w:rsidRPr="00C35096">
              <w:rPr>
                <w:rFonts w:cs="Arial"/>
                <w:b/>
                <w:bCs/>
                <w:color w:val="FFFFFF"/>
                <w:sz w:val="16"/>
                <w:szCs w:val="16"/>
                <w:lang w:eastAsia="en-AU"/>
              </w:rPr>
              <w:t xml:space="preserve">Mental health bed days </w:t>
            </w:r>
          </w:p>
        </w:tc>
      </w:tr>
      <w:tr w:rsidR="00C35096" w:rsidRPr="00C35096" w14:paraId="7AA9B02F"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4A624C6"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Albury Wodonga Health</w:t>
            </w:r>
          </w:p>
        </w:tc>
        <w:tc>
          <w:tcPr>
            <w:tcW w:w="1817" w:type="dxa"/>
            <w:tcBorders>
              <w:top w:val="nil"/>
              <w:left w:val="nil"/>
              <w:bottom w:val="single" w:sz="8" w:space="0" w:color="auto"/>
              <w:right w:val="single" w:sz="8" w:space="0" w:color="auto"/>
            </w:tcBorders>
            <w:shd w:val="clear" w:color="auto" w:fill="auto"/>
            <w:vAlign w:val="center"/>
            <w:hideMark/>
          </w:tcPr>
          <w:p w14:paraId="74DD7114"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20</w:t>
            </w:r>
          </w:p>
        </w:tc>
        <w:tc>
          <w:tcPr>
            <w:tcW w:w="1818" w:type="dxa"/>
            <w:tcBorders>
              <w:top w:val="nil"/>
              <w:left w:val="nil"/>
              <w:bottom w:val="single" w:sz="8" w:space="0" w:color="auto"/>
              <w:right w:val="single" w:sz="8" w:space="0" w:color="auto"/>
            </w:tcBorders>
            <w:shd w:val="clear" w:color="auto" w:fill="auto"/>
            <w:vAlign w:val="center"/>
            <w:hideMark/>
          </w:tcPr>
          <w:p w14:paraId="6E48127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7,305</w:t>
            </w:r>
          </w:p>
        </w:tc>
        <w:tc>
          <w:tcPr>
            <w:tcW w:w="1818" w:type="dxa"/>
            <w:tcBorders>
              <w:top w:val="nil"/>
              <w:left w:val="nil"/>
              <w:bottom w:val="single" w:sz="8" w:space="0" w:color="auto"/>
              <w:right w:val="single" w:sz="8" w:space="0" w:color="auto"/>
            </w:tcBorders>
            <w:shd w:val="clear" w:color="auto" w:fill="auto"/>
            <w:vAlign w:val="center"/>
            <w:hideMark/>
          </w:tcPr>
          <w:p w14:paraId="5DF91EFE"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51</w:t>
            </w:r>
          </w:p>
        </w:tc>
        <w:tc>
          <w:tcPr>
            <w:tcW w:w="1818" w:type="dxa"/>
            <w:tcBorders>
              <w:top w:val="nil"/>
              <w:left w:val="nil"/>
              <w:bottom w:val="single" w:sz="8" w:space="0" w:color="auto"/>
              <w:right w:val="single" w:sz="8" w:space="0" w:color="auto"/>
            </w:tcBorders>
            <w:shd w:val="clear" w:color="auto" w:fill="auto"/>
            <w:vAlign w:val="center"/>
            <w:hideMark/>
          </w:tcPr>
          <w:p w14:paraId="3926E64B"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18,628</w:t>
            </w:r>
          </w:p>
        </w:tc>
        <w:tc>
          <w:tcPr>
            <w:tcW w:w="1818" w:type="dxa"/>
            <w:tcBorders>
              <w:top w:val="nil"/>
              <w:left w:val="nil"/>
              <w:bottom w:val="single" w:sz="8" w:space="0" w:color="auto"/>
              <w:right w:val="single" w:sz="8" w:space="0" w:color="auto"/>
            </w:tcBorders>
            <w:shd w:val="clear" w:color="auto" w:fill="auto"/>
            <w:vAlign w:val="center"/>
            <w:hideMark/>
          </w:tcPr>
          <w:p w14:paraId="245D93EE"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71</w:t>
            </w:r>
          </w:p>
        </w:tc>
        <w:tc>
          <w:tcPr>
            <w:tcW w:w="1818" w:type="dxa"/>
            <w:tcBorders>
              <w:top w:val="nil"/>
              <w:left w:val="nil"/>
              <w:bottom w:val="single" w:sz="8" w:space="0" w:color="auto"/>
              <w:right w:val="single" w:sz="8" w:space="0" w:color="auto"/>
            </w:tcBorders>
            <w:shd w:val="clear" w:color="auto" w:fill="auto"/>
            <w:vAlign w:val="center"/>
            <w:hideMark/>
          </w:tcPr>
          <w:p w14:paraId="3500CC48"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25,933</w:t>
            </w:r>
          </w:p>
        </w:tc>
      </w:tr>
      <w:tr w:rsidR="00C35096" w:rsidRPr="00C35096" w14:paraId="53F6049B"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AD8E698"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Alfred Health</w:t>
            </w:r>
          </w:p>
        </w:tc>
        <w:tc>
          <w:tcPr>
            <w:tcW w:w="1817" w:type="dxa"/>
            <w:tcBorders>
              <w:top w:val="nil"/>
              <w:left w:val="nil"/>
              <w:bottom w:val="single" w:sz="8" w:space="0" w:color="auto"/>
              <w:right w:val="single" w:sz="8" w:space="0" w:color="auto"/>
            </w:tcBorders>
            <w:shd w:val="clear" w:color="auto" w:fill="auto"/>
            <w:vAlign w:val="center"/>
            <w:hideMark/>
          </w:tcPr>
          <w:p w14:paraId="4E13483C"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102</w:t>
            </w:r>
          </w:p>
        </w:tc>
        <w:tc>
          <w:tcPr>
            <w:tcW w:w="1818" w:type="dxa"/>
            <w:tcBorders>
              <w:top w:val="nil"/>
              <w:left w:val="nil"/>
              <w:bottom w:val="single" w:sz="8" w:space="0" w:color="auto"/>
              <w:right w:val="single" w:sz="8" w:space="0" w:color="auto"/>
            </w:tcBorders>
            <w:shd w:val="clear" w:color="auto" w:fill="auto"/>
            <w:vAlign w:val="center"/>
            <w:hideMark/>
          </w:tcPr>
          <w:p w14:paraId="54C6F8AB"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32,089</w:t>
            </w:r>
          </w:p>
        </w:tc>
        <w:tc>
          <w:tcPr>
            <w:tcW w:w="1818" w:type="dxa"/>
            <w:tcBorders>
              <w:top w:val="nil"/>
              <w:left w:val="nil"/>
              <w:bottom w:val="single" w:sz="8" w:space="0" w:color="auto"/>
              <w:right w:val="single" w:sz="8" w:space="0" w:color="auto"/>
            </w:tcBorders>
            <w:shd w:val="clear" w:color="auto" w:fill="auto"/>
            <w:vAlign w:val="center"/>
            <w:hideMark/>
          </w:tcPr>
          <w:p w14:paraId="703E8DE9"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30</w:t>
            </w:r>
          </w:p>
        </w:tc>
        <w:tc>
          <w:tcPr>
            <w:tcW w:w="1818" w:type="dxa"/>
            <w:tcBorders>
              <w:top w:val="nil"/>
              <w:left w:val="nil"/>
              <w:bottom w:val="single" w:sz="8" w:space="0" w:color="auto"/>
              <w:right w:val="single" w:sz="8" w:space="0" w:color="auto"/>
            </w:tcBorders>
            <w:shd w:val="clear" w:color="auto" w:fill="auto"/>
            <w:vAlign w:val="center"/>
            <w:hideMark/>
          </w:tcPr>
          <w:p w14:paraId="2AD7230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10,958</w:t>
            </w:r>
          </w:p>
        </w:tc>
        <w:tc>
          <w:tcPr>
            <w:tcW w:w="1818" w:type="dxa"/>
            <w:tcBorders>
              <w:top w:val="nil"/>
              <w:left w:val="nil"/>
              <w:bottom w:val="single" w:sz="8" w:space="0" w:color="auto"/>
              <w:right w:val="single" w:sz="8" w:space="0" w:color="auto"/>
            </w:tcBorders>
            <w:shd w:val="clear" w:color="auto" w:fill="auto"/>
            <w:vAlign w:val="center"/>
            <w:hideMark/>
          </w:tcPr>
          <w:p w14:paraId="1A676EEE"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132</w:t>
            </w:r>
          </w:p>
        </w:tc>
        <w:tc>
          <w:tcPr>
            <w:tcW w:w="1818" w:type="dxa"/>
            <w:tcBorders>
              <w:top w:val="nil"/>
              <w:left w:val="nil"/>
              <w:bottom w:val="single" w:sz="8" w:space="0" w:color="auto"/>
              <w:right w:val="single" w:sz="8" w:space="0" w:color="auto"/>
            </w:tcBorders>
            <w:shd w:val="clear" w:color="auto" w:fill="auto"/>
            <w:vAlign w:val="center"/>
            <w:hideMark/>
          </w:tcPr>
          <w:p w14:paraId="0D175A7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43,047</w:t>
            </w:r>
          </w:p>
        </w:tc>
      </w:tr>
      <w:tr w:rsidR="00C35096" w:rsidRPr="00C35096" w14:paraId="1B5B4E3A"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01BA0CD"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Austin Health</w:t>
            </w:r>
          </w:p>
        </w:tc>
        <w:tc>
          <w:tcPr>
            <w:tcW w:w="1817" w:type="dxa"/>
            <w:tcBorders>
              <w:top w:val="nil"/>
              <w:left w:val="nil"/>
              <w:bottom w:val="single" w:sz="8" w:space="0" w:color="auto"/>
              <w:right w:val="single" w:sz="8" w:space="0" w:color="auto"/>
            </w:tcBorders>
            <w:shd w:val="clear" w:color="auto" w:fill="auto"/>
            <w:vAlign w:val="center"/>
            <w:hideMark/>
          </w:tcPr>
          <w:p w14:paraId="5EF4A0ED"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99</w:t>
            </w:r>
          </w:p>
        </w:tc>
        <w:tc>
          <w:tcPr>
            <w:tcW w:w="1818" w:type="dxa"/>
            <w:tcBorders>
              <w:top w:val="nil"/>
              <w:left w:val="nil"/>
              <w:bottom w:val="single" w:sz="8" w:space="0" w:color="auto"/>
              <w:right w:val="single" w:sz="8" w:space="0" w:color="auto"/>
            </w:tcBorders>
            <w:shd w:val="clear" w:color="auto" w:fill="auto"/>
            <w:vAlign w:val="center"/>
            <w:hideMark/>
          </w:tcPr>
          <w:p w14:paraId="69CE96BC"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34,189</w:t>
            </w:r>
          </w:p>
        </w:tc>
        <w:tc>
          <w:tcPr>
            <w:tcW w:w="1818" w:type="dxa"/>
            <w:tcBorders>
              <w:top w:val="nil"/>
              <w:left w:val="nil"/>
              <w:bottom w:val="single" w:sz="8" w:space="0" w:color="auto"/>
              <w:right w:val="single" w:sz="8" w:space="0" w:color="auto"/>
            </w:tcBorders>
            <w:shd w:val="clear" w:color="auto" w:fill="auto"/>
            <w:vAlign w:val="center"/>
            <w:hideMark/>
          </w:tcPr>
          <w:p w14:paraId="3579A70E"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90</w:t>
            </w:r>
          </w:p>
        </w:tc>
        <w:tc>
          <w:tcPr>
            <w:tcW w:w="1818" w:type="dxa"/>
            <w:tcBorders>
              <w:top w:val="nil"/>
              <w:left w:val="nil"/>
              <w:bottom w:val="single" w:sz="8" w:space="0" w:color="auto"/>
              <w:right w:val="single" w:sz="8" w:space="0" w:color="auto"/>
            </w:tcBorders>
            <w:shd w:val="clear" w:color="auto" w:fill="auto"/>
            <w:vAlign w:val="center"/>
            <w:hideMark/>
          </w:tcPr>
          <w:p w14:paraId="170A882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32,873</w:t>
            </w:r>
          </w:p>
        </w:tc>
        <w:tc>
          <w:tcPr>
            <w:tcW w:w="1818" w:type="dxa"/>
            <w:tcBorders>
              <w:top w:val="nil"/>
              <w:left w:val="nil"/>
              <w:bottom w:val="single" w:sz="8" w:space="0" w:color="auto"/>
              <w:right w:val="single" w:sz="8" w:space="0" w:color="auto"/>
            </w:tcBorders>
            <w:shd w:val="clear" w:color="auto" w:fill="auto"/>
            <w:vAlign w:val="center"/>
            <w:hideMark/>
          </w:tcPr>
          <w:p w14:paraId="0A14E468"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189</w:t>
            </w:r>
          </w:p>
        </w:tc>
        <w:tc>
          <w:tcPr>
            <w:tcW w:w="1818" w:type="dxa"/>
            <w:tcBorders>
              <w:top w:val="nil"/>
              <w:left w:val="nil"/>
              <w:bottom w:val="single" w:sz="8" w:space="0" w:color="auto"/>
              <w:right w:val="single" w:sz="8" w:space="0" w:color="auto"/>
            </w:tcBorders>
            <w:shd w:val="clear" w:color="auto" w:fill="auto"/>
            <w:vAlign w:val="center"/>
            <w:hideMark/>
          </w:tcPr>
          <w:p w14:paraId="5E8B26C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67,062</w:t>
            </w:r>
          </w:p>
        </w:tc>
      </w:tr>
      <w:tr w:rsidR="00C35096" w:rsidRPr="00C35096" w14:paraId="20CB3E6E"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8D4C7D0"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Grampians Health</w:t>
            </w:r>
          </w:p>
        </w:tc>
        <w:tc>
          <w:tcPr>
            <w:tcW w:w="1817" w:type="dxa"/>
            <w:tcBorders>
              <w:top w:val="nil"/>
              <w:left w:val="nil"/>
              <w:bottom w:val="single" w:sz="8" w:space="0" w:color="auto"/>
              <w:right w:val="single" w:sz="8" w:space="0" w:color="auto"/>
            </w:tcBorders>
            <w:shd w:val="clear" w:color="auto" w:fill="auto"/>
            <w:vAlign w:val="center"/>
            <w:hideMark/>
          </w:tcPr>
          <w:p w14:paraId="360227A4"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40</w:t>
            </w:r>
          </w:p>
        </w:tc>
        <w:tc>
          <w:tcPr>
            <w:tcW w:w="1818" w:type="dxa"/>
            <w:tcBorders>
              <w:top w:val="nil"/>
              <w:left w:val="nil"/>
              <w:bottom w:val="single" w:sz="8" w:space="0" w:color="auto"/>
              <w:right w:val="single" w:sz="8" w:space="0" w:color="auto"/>
            </w:tcBorders>
            <w:shd w:val="clear" w:color="auto" w:fill="auto"/>
            <w:vAlign w:val="center"/>
            <w:hideMark/>
          </w:tcPr>
          <w:p w14:paraId="0BB79772"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14,610</w:t>
            </w:r>
          </w:p>
        </w:tc>
        <w:tc>
          <w:tcPr>
            <w:tcW w:w="1818" w:type="dxa"/>
            <w:tcBorders>
              <w:top w:val="nil"/>
              <w:left w:val="nil"/>
              <w:bottom w:val="single" w:sz="8" w:space="0" w:color="auto"/>
              <w:right w:val="single" w:sz="8" w:space="0" w:color="auto"/>
            </w:tcBorders>
            <w:shd w:val="clear" w:color="auto" w:fill="auto"/>
            <w:vAlign w:val="center"/>
            <w:hideMark/>
          </w:tcPr>
          <w:p w14:paraId="1D39B43A"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56</w:t>
            </w:r>
          </w:p>
        </w:tc>
        <w:tc>
          <w:tcPr>
            <w:tcW w:w="1818" w:type="dxa"/>
            <w:tcBorders>
              <w:top w:val="nil"/>
              <w:left w:val="nil"/>
              <w:bottom w:val="single" w:sz="8" w:space="0" w:color="auto"/>
              <w:right w:val="single" w:sz="8" w:space="0" w:color="auto"/>
            </w:tcBorders>
            <w:shd w:val="clear" w:color="auto" w:fill="auto"/>
            <w:vAlign w:val="center"/>
            <w:hideMark/>
          </w:tcPr>
          <w:p w14:paraId="49C3D74F"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20,454</w:t>
            </w:r>
          </w:p>
        </w:tc>
        <w:tc>
          <w:tcPr>
            <w:tcW w:w="1818" w:type="dxa"/>
            <w:tcBorders>
              <w:top w:val="nil"/>
              <w:left w:val="nil"/>
              <w:bottom w:val="single" w:sz="8" w:space="0" w:color="auto"/>
              <w:right w:val="single" w:sz="8" w:space="0" w:color="auto"/>
            </w:tcBorders>
            <w:shd w:val="clear" w:color="auto" w:fill="auto"/>
            <w:vAlign w:val="center"/>
            <w:hideMark/>
          </w:tcPr>
          <w:p w14:paraId="7927BB0D"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96</w:t>
            </w:r>
          </w:p>
        </w:tc>
        <w:tc>
          <w:tcPr>
            <w:tcW w:w="1818" w:type="dxa"/>
            <w:tcBorders>
              <w:top w:val="nil"/>
              <w:left w:val="nil"/>
              <w:bottom w:val="single" w:sz="8" w:space="0" w:color="auto"/>
              <w:right w:val="single" w:sz="8" w:space="0" w:color="auto"/>
            </w:tcBorders>
            <w:shd w:val="clear" w:color="auto" w:fill="auto"/>
            <w:vAlign w:val="center"/>
            <w:hideMark/>
          </w:tcPr>
          <w:p w14:paraId="043FDB43"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35,064</w:t>
            </w:r>
          </w:p>
        </w:tc>
      </w:tr>
      <w:tr w:rsidR="00C35096" w:rsidRPr="00C35096" w14:paraId="57FF7145"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026D86E"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Barwon Health</w:t>
            </w:r>
          </w:p>
        </w:tc>
        <w:tc>
          <w:tcPr>
            <w:tcW w:w="1817" w:type="dxa"/>
            <w:tcBorders>
              <w:top w:val="nil"/>
              <w:left w:val="nil"/>
              <w:bottom w:val="single" w:sz="8" w:space="0" w:color="auto"/>
              <w:right w:val="single" w:sz="8" w:space="0" w:color="auto"/>
            </w:tcBorders>
            <w:shd w:val="clear" w:color="auto" w:fill="auto"/>
            <w:vAlign w:val="center"/>
            <w:hideMark/>
          </w:tcPr>
          <w:p w14:paraId="5D49BEF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50</w:t>
            </w:r>
          </w:p>
        </w:tc>
        <w:tc>
          <w:tcPr>
            <w:tcW w:w="1818" w:type="dxa"/>
            <w:tcBorders>
              <w:top w:val="nil"/>
              <w:left w:val="nil"/>
              <w:bottom w:val="single" w:sz="8" w:space="0" w:color="auto"/>
              <w:right w:val="single" w:sz="8" w:space="0" w:color="auto"/>
            </w:tcBorders>
            <w:shd w:val="clear" w:color="auto" w:fill="auto"/>
            <w:vAlign w:val="center"/>
            <w:hideMark/>
          </w:tcPr>
          <w:p w14:paraId="712FDCC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17,267</w:t>
            </w:r>
          </w:p>
        </w:tc>
        <w:tc>
          <w:tcPr>
            <w:tcW w:w="1818" w:type="dxa"/>
            <w:tcBorders>
              <w:top w:val="nil"/>
              <w:left w:val="nil"/>
              <w:bottom w:val="single" w:sz="8" w:space="0" w:color="auto"/>
              <w:right w:val="single" w:sz="8" w:space="0" w:color="auto"/>
            </w:tcBorders>
            <w:shd w:val="clear" w:color="auto" w:fill="auto"/>
            <w:vAlign w:val="center"/>
            <w:hideMark/>
          </w:tcPr>
          <w:p w14:paraId="5434957B"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72</w:t>
            </w:r>
          </w:p>
        </w:tc>
        <w:tc>
          <w:tcPr>
            <w:tcW w:w="1818" w:type="dxa"/>
            <w:tcBorders>
              <w:top w:val="nil"/>
              <w:left w:val="nil"/>
              <w:bottom w:val="single" w:sz="8" w:space="0" w:color="auto"/>
              <w:right w:val="single" w:sz="8" w:space="0" w:color="auto"/>
            </w:tcBorders>
            <w:shd w:val="clear" w:color="auto" w:fill="auto"/>
            <w:vAlign w:val="center"/>
            <w:hideMark/>
          </w:tcPr>
          <w:p w14:paraId="00576089"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26,298</w:t>
            </w:r>
          </w:p>
        </w:tc>
        <w:tc>
          <w:tcPr>
            <w:tcW w:w="1818" w:type="dxa"/>
            <w:tcBorders>
              <w:top w:val="nil"/>
              <w:left w:val="nil"/>
              <w:bottom w:val="single" w:sz="8" w:space="0" w:color="auto"/>
              <w:right w:val="single" w:sz="8" w:space="0" w:color="auto"/>
            </w:tcBorders>
            <w:shd w:val="clear" w:color="auto" w:fill="auto"/>
            <w:vAlign w:val="center"/>
            <w:hideMark/>
          </w:tcPr>
          <w:p w14:paraId="331F1ADF"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122</w:t>
            </w:r>
          </w:p>
        </w:tc>
        <w:tc>
          <w:tcPr>
            <w:tcW w:w="1818" w:type="dxa"/>
            <w:tcBorders>
              <w:top w:val="nil"/>
              <w:left w:val="nil"/>
              <w:bottom w:val="single" w:sz="8" w:space="0" w:color="auto"/>
              <w:right w:val="single" w:sz="8" w:space="0" w:color="auto"/>
            </w:tcBorders>
            <w:shd w:val="clear" w:color="auto" w:fill="auto"/>
            <w:vAlign w:val="center"/>
            <w:hideMark/>
          </w:tcPr>
          <w:p w14:paraId="4B56B23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43,565</w:t>
            </w:r>
          </w:p>
        </w:tc>
      </w:tr>
      <w:tr w:rsidR="00C35096" w:rsidRPr="00C35096" w14:paraId="242266A5"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DA951FC"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Bendigo Health Care Group</w:t>
            </w:r>
          </w:p>
        </w:tc>
        <w:tc>
          <w:tcPr>
            <w:tcW w:w="1817" w:type="dxa"/>
            <w:tcBorders>
              <w:top w:val="nil"/>
              <w:left w:val="nil"/>
              <w:bottom w:val="single" w:sz="8" w:space="0" w:color="auto"/>
              <w:right w:val="single" w:sz="8" w:space="0" w:color="auto"/>
            </w:tcBorders>
            <w:shd w:val="clear" w:color="auto" w:fill="auto"/>
            <w:vAlign w:val="center"/>
            <w:hideMark/>
          </w:tcPr>
          <w:p w14:paraId="63BB1C4B"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60</w:t>
            </w:r>
          </w:p>
        </w:tc>
        <w:tc>
          <w:tcPr>
            <w:tcW w:w="1818" w:type="dxa"/>
            <w:tcBorders>
              <w:top w:val="nil"/>
              <w:left w:val="nil"/>
              <w:bottom w:val="single" w:sz="8" w:space="0" w:color="auto"/>
              <w:right w:val="single" w:sz="8" w:space="0" w:color="auto"/>
            </w:tcBorders>
            <w:shd w:val="clear" w:color="auto" w:fill="auto"/>
            <w:vAlign w:val="center"/>
            <w:hideMark/>
          </w:tcPr>
          <w:p w14:paraId="1C394AE1"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21,915</w:t>
            </w:r>
          </w:p>
        </w:tc>
        <w:tc>
          <w:tcPr>
            <w:tcW w:w="1818" w:type="dxa"/>
            <w:tcBorders>
              <w:top w:val="nil"/>
              <w:left w:val="nil"/>
              <w:bottom w:val="single" w:sz="8" w:space="0" w:color="auto"/>
              <w:right w:val="single" w:sz="8" w:space="0" w:color="auto"/>
            </w:tcBorders>
            <w:shd w:val="clear" w:color="auto" w:fill="auto"/>
            <w:vAlign w:val="center"/>
            <w:hideMark/>
          </w:tcPr>
          <w:p w14:paraId="5CFA673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82</w:t>
            </w:r>
          </w:p>
        </w:tc>
        <w:tc>
          <w:tcPr>
            <w:tcW w:w="1818" w:type="dxa"/>
            <w:tcBorders>
              <w:top w:val="nil"/>
              <w:left w:val="nil"/>
              <w:bottom w:val="single" w:sz="8" w:space="0" w:color="auto"/>
              <w:right w:val="single" w:sz="8" w:space="0" w:color="auto"/>
            </w:tcBorders>
            <w:shd w:val="clear" w:color="auto" w:fill="auto"/>
            <w:vAlign w:val="center"/>
            <w:hideMark/>
          </w:tcPr>
          <w:p w14:paraId="0D567BC8"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29,951</w:t>
            </w:r>
          </w:p>
        </w:tc>
        <w:tc>
          <w:tcPr>
            <w:tcW w:w="1818" w:type="dxa"/>
            <w:tcBorders>
              <w:top w:val="nil"/>
              <w:left w:val="nil"/>
              <w:bottom w:val="single" w:sz="8" w:space="0" w:color="auto"/>
              <w:right w:val="single" w:sz="8" w:space="0" w:color="auto"/>
            </w:tcBorders>
            <w:shd w:val="clear" w:color="auto" w:fill="auto"/>
            <w:vAlign w:val="center"/>
            <w:hideMark/>
          </w:tcPr>
          <w:p w14:paraId="49D7501E"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142</w:t>
            </w:r>
          </w:p>
        </w:tc>
        <w:tc>
          <w:tcPr>
            <w:tcW w:w="1818" w:type="dxa"/>
            <w:tcBorders>
              <w:top w:val="nil"/>
              <w:left w:val="nil"/>
              <w:bottom w:val="single" w:sz="8" w:space="0" w:color="auto"/>
              <w:right w:val="single" w:sz="8" w:space="0" w:color="auto"/>
            </w:tcBorders>
            <w:shd w:val="clear" w:color="auto" w:fill="auto"/>
            <w:vAlign w:val="center"/>
            <w:hideMark/>
          </w:tcPr>
          <w:p w14:paraId="64296C08"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51,866</w:t>
            </w:r>
          </w:p>
        </w:tc>
      </w:tr>
      <w:tr w:rsidR="00C35096" w:rsidRPr="00C35096" w14:paraId="792CD5E0"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6C88575"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Eastern Health</w:t>
            </w:r>
          </w:p>
        </w:tc>
        <w:tc>
          <w:tcPr>
            <w:tcW w:w="1817" w:type="dxa"/>
            <w:tcBorders>
              <w:top w:val="nil"/>
              <w:left w:val="nil"/>
              <w:bottom w:val="single" w:sz="8" w:space="0" w:color="auto"/>
              <w:right w:val="single" w:sz="8" w:space="0" w:color="auto"/>
            </w:tcBorders>
            <w:shd w:val="clear" w:color="auto" w:fill="auto"/>
            <w:vAlign w:val="center"/>
            <w:hideMark/>
          </w:tcPr>
          <w:p w14:paraId="65B4B83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130</w:t>
            </w:r>
          </w:p>
        </w:tc>
        <w:tc>
          <w:tcPr>
            <w:tcW w:w="1818" w:type="dxa"/>
            <w:tcBorders>
              <w:top w:val="nil"/>
              <w:left w:val="nil"/>
              <w:bottom w:val="single" w:sz="8" w:space="0" w:color="auto"/>
              <w:right w:val="single" w:sz="8" w:space="0" w:color="auto"/>
            </w:tcBorders>
            <w:shd w:val="clear" w:color="auto" w:fill="auto"/>
            <w:vAlign w:val="center"/>
            <w:hideMark/>
          </w:tcPr>
          <w:p w14:paraId="610BE03C"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47,483</w:t>
            </w:r>
          </w:p>
        </w:tc>
        <w:tc>
          <w:tcPr>
            <w:tcW w:w="1818" w:type="dxa"/>
            <w:tcBorders>
              <w:top w:val="nil"/>
              <w:left w:val="nil"/>
              <w:bottom w:val="single" w:sz="8" w:space="0" w:color="auto"/>
              <w:right w:val="single" w:sz="8" w:space="0" w:color="auto"/>
            </w:tcBorders>
            <w:shd w:val="clear" w:color="auto" w:fill="auto"/>
            <w:vAlign w:val="center"/>
            <w:hideMark/>
          </w:tcPr>
          <w:p w14:paraId="1FA637DD"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120</w:t>
            </w:r>
          </w:p>
        </w:tc>
        <w:tc>
          <w:tcPr>
            <w:tcW w:w="1818" w:type="dxa"/>
            <w:tcBorders>
              <w:top w:val="nil"/>
              <w:left w:val="nil"/>
              <w:bottom w:val="single" w:sz="8" w:space="0" w:color="auto"/>
              <w:right w:val="single" w:sz="8" w:space="0" w:color="auto"/>
            </w:tcBorders>
            <w:shd w:val="clear" w:color="auto" w:fill="auto"/>
            <w:vAlign w:val="center"/>
            <w:hideMark/>
          </w:tcPr>
          <w:p w14:paraId="46B9D98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43,830</w:t>
            </w:r>
          </w:p>
        </w:tc>
        <w:tc>
          <w:tcPr>
            <w:tcW w:w="1818" w:type="dxa"/>
            <w:tcBorders>
              <w:top w:val="nil"/>
              <w:left w:val="nil"/>
              <w:bottom w:val="single" w:sz="8" w:space="0" w:color="auto"/>
              <w:right w:val="single" w:sz="8" w:space="0" w:color="auto"/>
            </w:tcBorders>
            <w:shd w:val="clear" w:color="auto" w:fill="auto"/>
            <w:vAlign w:val="center"/>
            <w:hideMark/>
          </w:tcPr>
          <w:p w14:paraId="62D9D08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250</w:t>
            </w:r>
          </w:p>
        </w:tc>
        <w:tc>
          <w:tcPr>
            <w:tcW w:w="1818" w:type="dxa"/>
            <w:tcBorders>
              <w:top w:val="nil"/>
              <w:left w:val="nil"/>
              <w:bottom w:val="single" w:sz="8" w:space="0" w:color="auto"/>
              <w:right w:val="single" w:sz="8" w:space="0" w:color="auto"/>
            </w:tcBorders>
            <w:shd w:val="clear" w:color="auto" w:fill="auto"/>
            <w:vAlign w:val="center"/>
            <w:hideMark/>
          </w:tcPr>
          <w:p w14:paraId="59219A64"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91,313</w:t>
            </w:r>
          </w:p>
        </w:tc>
      </w:tr>
      <w:tr w:rsidR="00C35096" w:rsidRPr="00C35096" w14:paraId="1D88F4A0"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815F3A0"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Goulburn Valley Health</w:t>
            </w:r>
          </w:p>
        </w:tc>
        <w:tc>
          <w:tcPr>
            <w:tcW w:w="1817" w:type="dxa"/>
            <w:tcBorders>
              <w:top w:val="nil"/>
              <w:left w:val="nil"/>
              <w:bottom w:val="single" w:sz="8" w:space="0" w:color="auto"/>
              <w:right w:val="single" w:sz="8" w:space="0" w:color="auto"/>
            </w:tcBorders>
            <w:shd w:val="clear" w:color="auto" w:fill="auto"/>
            <w:vAlign w:val="center"/>
            <w:hideMark/>
          </w:tcPr>
          <w:p w14:paraId="0D3027B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20</w:t>
            </w:r>
          </w:p>
        </w:tc>
        <w:tc>
          <w:tcPr>
            <w:tcW w:w="1818" w:type="dxa"/>
            <w:tcBorders>
              <w:top w:val="nil"/>
              <w:left w:val="nil"/>
              <w:bottom w:val="single" w:sz="8" w:space="0" w:color="auto"/>
              <w:right w:val="single" w:sz="8" w:space="0" w:color="auto"/>
            </w:tcBorders>
            <w:shd w:val="clear" w:color="auto" w:fill="auto"/>
            <w:vAlign w:val="center"/>
            <w:hideMark/>
          </w:tcPr>
          <w:p w14:paraId="0B6FF16C"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7,305</w:t>
            </w:r>
          </w:p>
        </w:tc>
        <w:tc>
          <w:tcPr>
            <w:tcW w:w="1818" w:type="dxa"/>
            <w:tcBorders>
              <w:top w:val="nil"/>
              <w:left w:val="nil"/>
              <w:bottom w:val="single" w:sz="8" w:space="0" w:color="auto"/>
              <w:right w:val="single" w:sz="8" w:space="0" w:color="auto"/>
            </w:tcBorders>
            <w:shd w:val="clear" w:color="auto" w:fill="auto"/>
            <w:vAlign w:val="center"/>
            <w:hideMark/>
          </w:tcPr>
          <w:p w14:paraId="608D6538"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40</w:t>
            </w:r>
          </w:p>
        </w:tc>
        <w:tc>
          <w:tcPr>
            <w:tcW w:w="1818" w:type="dxa"/>
            <w:tcBorders>
              <w:top w:val="nil"/>
              <w:left w:val="nil"/>
              <w:bottom w:val="single" w:sz="8" w:space="0" w:color="auto"/>
              <w:right w:val="single" w:sz="8" w:space="0" w:color="auto"/>
            </w:tcBorders>
            <w:shd w:val="clear" w:color="auto" w:fill="auto"/>
            <w:vAlign w:val="center"/>
            <w:hideMark/>
          </w:tcPr>
          <w:p w14:paraId="2B70FCE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14,610</w:t>
            </w:r>
          </w:p>
        </w:tc>
        <w:tc>
          <w:tcPr>
            <w:tcW w:w="1818" w:type="dxa"/>
            <w:tcBorders>
              <w:top w:val="nil"/>
              <w:left w:val="nil"/>
              <w:bottom w:val="single" w:sz="8" w:space="0" w:color="auto"/>
              <w:right w:val="single" w:sz="8" w:space="0" w:color="auto"/>
            </w:tcBorders>
            <w:shd w:val="clear" w:color="auto" w:fill="auto"/>
            <w:vAlign w:val="center"/>
            <w:hideMark/>
          </w:tcPr>
          <w:p w14:paraId="28A2B81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60</w:t>
            </w:r>
          </w:p>
        </w:tc>
        <w:tc>
          <w:tcPr>
            <w:tcW w:w="1818" w:type="dxa"/>
            <w:tcBorders>
              <w:top w:val="nil"/>
              <w:left w:val="nil"/>
              <w:bottom w:val="single" w:sz="8" w:space="0" w:color="auto"/>
              <w:right w:val="single" w:sz="8" w:space="0" w:color="auto"/>
            </w:tcBorders>
            <w:shd w:val="clear" w:color="auto" w:fill="auto"/>
            <w:vAlign w:val="center"/>
            <w:hideMark/>
          </w:tcPr>
          <w:p w14:paraId="057CBDC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21,915</w:t>
            </w:r>
          </w:p>
        </w:tc>
      </w:tr>
      <w:tr w:rsidR="00C35096" w:rsidRPr="00C35096" w14:paraId="04ABD335"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A1D7199"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Latrobe Regional Hospital</w:t>
            </w:r>
          </w:p>
        </w:tc>
        <w:tc>
          <w:tcPr>
            <w:tcW w:w="1817" w:type="dxa"/>
            <w:tcBorders>
              <w:top w:val="nil"/>
              <w:left w:val="nil"/>
              <w:bottom w:val="single" w:sz="8" w:space="0" w:color="auto"/>
              <w:right w:val="single" w:sz="8" w:space="0" w:color="auto"/>
            </w:tcBorders>
            <w:shd w:val="clear" w:color="auto" w:fill="auto"/>
            <w:vAlign w:val="center"/>
            <w:hideMark/>
          </w:tcPr>
          <w:p w14:paraId="469BBB6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46</w:t>
            </w:r>
          </w:p>
        </w:tc>
        <w:tc>
          <w:tcPr>
            <w:tcW w:w="1818" w:type="dxa"/>
            <w:tcBorders>
              <w:top w:val="nil"/>
              <w:left w:val="nil"/>
              <w:bottom w:val="single" w:sz="8" w:space="0" w:color="auto"/>
              <w:right w:val="single" w:sz="8" w:space="0" w:color="auto"/>
            </w:tcBorders>
            <w:shd w:val="clear" w:color="auto" w:fill="auto"/>
            <w:vAlign w:val="center"/>
            <w:hideMark/>
          </w:tcPr>
          <w:p w14:paraId="5F70F019"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16,802</w:t>
            </w:r>
          </w:p>
        </w:tc>
        <w:tc>
          <w:tcPr>
            <w:tcW w:w="1818" w:type="dxa"/>
            <w:tcBorders>
              <w:top w:val="nil"/>
              <w:left w:val="nil"/>
              <w:bottom w:val="single" w:sz="8" w:space="0" w:color="auto"/>
              <w:right w:val="single" w:sz="8" w:space="0" w:color="auto"/>
            </w:tcBorders>
            <w:shd w:val="clear" w:color="auto" w:fill="auto"/>
            <w:vAlign w:val="center"/>
            <w:hideMark/>
          </w:tcPr>
          <w:p w14:paraId="0AB7EA31"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40</w:t>
            </w:r>
          </w:p>
        </w:tc>
        <w:tc>
          <w:tcPr>
            <w:tcW w:w="1818" w:type="dxa"/>
            <w:tcBorders>
              <w:top w:val="nil"/>
              <w:left w:val="nil"/>
              <w:bottom w:val="single" w:sz="8" w:space="0" w:color="auto"/>
              <w:right w:val="single" w:sz="8" w:space="0" w:color="auto"/>
            </w:tcBorders>
            <w:shd w:val="clear" w:color="auto" w:fill="auto"/>
            <w:vAlign w:val="center"/>
            <w:hideMark/>
          </w:tcPr>
          <w:p w14:paraId="4CA01DFC"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14,610</w:t>
            </w:r>
          </w:p>
        </w:tc>
        <w:tc>
          <w:tcPr>
            <w:tcW w:w="1818" w:type="dxa"/>
            <w:tcBorders>
              <w:top w:val="nil"/>
              <w:left w:val="nil"/>
              <w:bottom w:val="single" w:sz="8" w:space="0" w:color="auto"/>
              <w:right w:val="single" w:sz="8" w:space="0" w:color="auto"/>
            </w:tcBorders>
            <w:shd w:val="clear" w:color="auto" w:fill="auto"/>
            <w:vAlign w:val="center"/>
            <w:hideMark/>
          </w:tcPr>
          <w:p w14:paraId="35AB31A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86</w:t>
            </w:r>
          </w:p>
        </w:tc>
        <w:tc>
          <w:tcPr>
            <w:tcW w:w="1818" w:type="dxa"/>
            <w:tcBorders>
              <w:top w:val="nil"/>
              <w:left w:val="nil"/>
              <w:bottom w:val="single" w:sz="8" w:space="0" w:color="auto"/>
              <w:right w:val="single" w:sz="8" w:space="0" w:color="auto"/>
            </w:tcBorders>
            <w:shd w:val="clear" w:color="auto" w:fill="auto"/>
            <w:vAlign w:val="center"/>
            <w:hideMark/>
          </w:tcPr>
          <w:p w14:paraId="039BA23E"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31,412</w:t>
            </w:r>
          </w:p>
        </w:tc>
      </w:tr>
      <w:tr w:rsidR="00C35096" w:rsidRPr="00C35096" w14:paraId="39B0FD25"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ED251F3"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Melbourne Health</w:t>
            </w:r>
          </w:p>
        </w:tc>
        <w:tc>
          <w:tcPr>
            <w:tcW w:w="1817" w:type="dxa"/>
            <w:tcBorders>
              <w:top w:val="nil"/>
              <w:left w:val="nil"/>
              <w:bottom w:val="single" w:sz="8" w:space="0" w:color="auto"/>
              <w:right w:val="single" w:sz="8" w:space="0" w:color="auto"/>
            </w:tcBorders>
            <w:shd w:val="clear" w:color="auto" w:fill="auto"/>
            <w:vAlign w:val="center"/>
            <w:hideMark/>
          </w:tcPr>
          <w:p w14:paraId="759EABDE"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257</w:t>
            </w:r>
          </w:p>
        </w:tc>
        <w:tc>
          <w:tcPr>
            <w:tcW w:w="1818" w:type="dxa"/>
            <w:tcBorders>
              <w:top w:val="nil"/>
              <w:left w:val="nil"/>
              <w:bottom w:val="single" w:sz="8" w:space="0" w:color="auto"/>
              <w:right w:val="single" w:sz="8" w:space="0" w:color="auto"/>
            </w:tcBorders>
            <w:shd w:val="clear" w:color="auto" w:fill="auto"/>
            <w:vAlign w:val="center"/>
            <w:hideMark/>
          </w:tcPr>
          <w:p w14:paraId="6334669F"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86,085</w:t>
            </w:r>
          </w:p>
        </w:tc>
        <w:tc>
          <w:tcPr>
            <w:tcW w:w="1818" w:type="dxa"/>
            <w:tcBorders>
              <w:top w:val="nil"/>
              <w:left w:val="nil"/>
              <w:bottom w:val="single" w:sz="8" w:space="0" w:color="auto"/>
              <w:right w:val="single" w:sz="8" w:space="0" w:color="auto"/>
            </w:tcBorders>
            <w:shd w:val="clear" w:color="auto" w:fill="auto"/>
            <w:vAlign w:val="center"/>
            <w:hideMark/>
          </w:tcPr>
          <w:p w14:paraId="6C51CF14"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220</w:t>
            </w:r>
          </w:p>
        </w:tc>
        <w:tc>
          <w:tcPr>
            <w:tcW w:w="1818" w:type="dxa"/>
            <w:tcBorders>
              <w:top w:val="nil"/>
              <w:left w:val="nil"/>
              <w:bottom w:val="single" w:sz="8" w:space="0" w:color="auto"/>
              <w:right w:val="single" w:sz="8" w:space="0" w:color="auto"/>
            </w:tcBorders>
            <w:shd w:val="clear" w:color="auto" w:fill="auto"/>
            <w:vAlign w:val="center"/>
            <w:hideMark/>
          </w:tcPr>
          <w:p w14:paraId="198232FF"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79,980</w:t>
            </w:r>
          </w:p>
        </w:tc>
        <w:tc>
          <w:tcPr>
            <w:tcW w:w="1818" w:type="dxa"/>
            <w:tcBorders>
              <w:top w:val="nil"/>
              <w:left w:val="nil"/>
              <w:bottom w:val="single" w:sz="8" w:space="0" w:color="auto"/>
              <w:right w:val="single" w:sz="8" w:space="0" w:color="auto"/>
            </w:tcBorders>
            <w:shd w:val="clear" w:color="auto" w:fill="auto"/>
            <w:vAlign w:val="center"/>
            <w:hideMark/>
          </w:tcPr>
          <w:p w14:paraId="32EB1683"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477</w:t>
            </w:r>
          </w:p>
        </w:tc>
        <w:tc>
          <w:tcPr>
            <w:tcW w:w="1818" w:type="dxa"/>
            <w:tcBorders>
              <w:top w:val="nil"/>
              <w:left w:val="nil"/>
              <w:bottom w:val="single" w:sz="8" w:space="0" w:color="auto"/>
              <w:right w:val="single" w:sz="8" w:space="0" w:color="auto"/>
            </w:tcBorders>
            <w:shd w:val="clear" w:color="auto" w:fill="auto"/>
            <w:vAlign w:val="center"/>
            <w:hideMark/>
          </w:tcPr>
          <w:p w14:paraId="7FCB6A11"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166,065</w:t>
            </w:r>
          </w:p>
        </w:tc>
      </w:tr>
      <w:tr w:rsidR="00C35096" w:rsidRPr="00C35096" w14:paraId="40D8DEDA"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5EC4EBB"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Mercy Health</w:t>
            </w:r>
          </w:p>
        </w:tc>
        <w:tc>
          <w:tcPr>
            <w:tcW w:w="1817" w:type="dxa"/>
            <w:tcBorders>
              <w:top w:val="nil"/>
              <w:left w:val="nil"/>
              <w:bottom w:val="single" w:sz="8" w:space="0" w:color="auto"/>
              <w:right w:val="single" w:sz="8" w:space="0" w:color="auto"/>
            </w:tcBorders>
            <w:shd w:val="clear" w:color="auto" w:fill="auto"/>
            <w:vAlign w:val="center"/>
            <w:hideMark/>
          </w:tcPr>
          <w:p w14:paraId="6595310D"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76</w:t>
            </w:r>
          </w:p>
        </w:tc>
        <w:tc>
          <w:tcPr>
            <w:tcW w:w="1818" w:type="dxa"/>
            <w:tcBorders>
              <w:top w:val="nil"/>
              <w:left w:val="nil"/>
              <w:bottom w:val="single" w:sz="8" w:space="0" w:color="auto"/>
              <w:right w:val="single" w:sz="8" w:space="0" w:color="auto"/>
            </w:tcBorders>
            <w:shd w:val="clear" w:color="auto" w:fill="auto"/>
            <w:vAlign w:val="center"/>
            <w:hideMark/>
          </w:tcPr>
          <w:p w14:paraId="2787A6C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27,759</w:t>
            </w:r>
          </w:p>
        </w:tc>
        <w:tc>
          <w:tcPr>
            <w:tcW w:w="1818" w:type="dxa"/>
            <w:tcBorders>
              <w:top w:val="nil"/>
              <w:left w:val="nil"/>
              <w:bottom w:val="single" w:sz="8" w:space="0" w:color="auto"/>
              <w:right w:val="single" w:sz="8" w:space="0" w:color="auto"/>
            </w:tcBorders>
            <w:shd w:val="clear" w:color="auto" w:fill="auto"/>
            <w:vAlign w:val="center"/>
            <w:hideMark/>
          </w:tcPr>
          <w:p w14:paraId="1A14E43A"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30</w:t>
            </w:r>
          </w:p>
        </w:tc>
        <w:tc>
          <w:tcPr>
            <w:tcW w:w="1818" w:type="dxa"/>
            <w:tcBorders>
              <w:top w:val="nil"/>
              <w:left w:val="nil"/>
              <w:bottom w:val="single" w:sz="8" w:space="0" w:color="auto"/>
              <w:right w:val="single" w:sz="8" w:space="0" w:color="auto"/>
            </w:tcBorders>
            <w:shd w:val="clear" w:color="auto" w:fill="auto"/>
            <w:vAlign w:val="center"/>
            <w:hideMark/>
          </w:tcPr>
          <w:p w14:paraId="2E843BB2"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10,958</w:t>
            </w:r>
          </w:p>
        </w:tc>
        <w:tc>
          <w:tcPr>
            <w:tcW w:w="1818" w:type="dxa"/>
            <w:tcBorders>
              <w:top w:val="nil"/>
              <w:left w:val="nil"/>
              <w:bottom w:val="single" w:sz="8" w:space="0" w:color="auto"/>
              <w:right w:val="single" w:sz="8" w:space="0" w:color="auto"/>
            </w:tcBorders>
            <w:shd w:val="clear" w:color="auto" w:fill="auto"/>
            <w:vAlign w:val="center"/>
            <w:hideMark/>
          </w:tcPr>
          <w:p w14:paraId="21F2DF1A"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106</w:t>
            </w:r>
          </w:p>
        </w:tc>
        <w:tc>
          <w:tcPr>
            <w:tcW w:w="1818" w:type="dxa"/>
            <w:tcBorders>
              <w:top w:val="nil"/>
              <w:left w:val="nil"/>
              <w:bottom w:val="single" w:sz="8" w:space="0" w:color="auto"/>
              <w:right w:val="single" w:sz="8" w:space="0" w:color="auto"/>
            </w:tcBorders>
            <w:shd w:val="clear" w:color="auto" w:fill="auto"/>
            <w:vAlign w:val="center"/>
            <w:hideMark/>
          </w:tcPr>
          <w:p w14:paraId="7D65AE33"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38,717</w:t>
            </w:r>
          </w:p>
        </w:tc>
      </w:tr>
      <w:tr w:rsidR="00C35096" w:rsidRPr="00C35096" w14:paraId="32C9A0F9"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AEA22A4"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Monash Health</w:t>
            </w:r>
          </w:p>
        </w:tc>
        <w:tc>
          <w:tcPr>
            <w:tcW w:w="1817" w:type="dxa"/>
            <w:tcBorders>
              <w:top w:val="nil"/>
              <w:left w:val="nil"/>
              <w:bottom w:val="single" w:sz="8" w:space="0" w:color="auto"/>
              <w:right w:val="single" w:sz="8" w:space="0" w:color="auto"/>
            </w:tcBorders>
            <w:shd w:val="clear" w:color="auto" w:fill="auto"/>
            <w:vAlign w:val="center"/>
            <w:hideMark/>
          </w:tcPr>
          <w:p w14:paraId="633FD86D"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182</w:t>
            </w:r>
          </w:p>
        </w:tc>
        <w:tc>
          <w:tcPr>
            <w:tcW w:w="1818" w:type="dxa"/>
            <w:tcBorders>
              <w:top w:val="nil"/>
              <w:left w:val="nil"/>
              <w:bottom w:val="single" w:sz="8" w:space="0" w:color="auto"/>
              <w:right w:val="single" w:sz="8" w:space="0" w:color="auto"/>
            </w:tcBorders>
            <w:shd w:val="clear" w:color="auto" w:fill="auto"/>
            <w:vAlign w:val="center"/>
            <w:hideMark/>
          </w:tcPr>
          <w:p w14:paraId="235EA83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66,476</w:t>
            </w:r>
          </w:p>
        </w:tc>
        <w:tc>
          <w:tcPr>
            <w:tcW w:w="1818" w:type="dxa"/>
            <w:tcBorders>
              <w:top w:val="nil"/>
              <w:left w:val="nil"/>
              <w:bottom w:val="single" w:sz="8" w:space="0" w:color="auto"/>
              <w:right w:val="single" w:sz="8" w:space="0" w:color="auto"/>
            </w:tcBorders>
            <w:shd w:val="clear" w:color="auto" w:fill="auto"/>
            <w:vAlign w:val="center"/>
            <w:hideMark/>
          </w:tcPr>
          <w:p w14:paraId="01670412"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244</w:t>
            </w:r>
          </w:p>
        </w:tc>
        <w:tc>
          <w:tcPr>
            <w:tcW w:w="1818" w:type="dxa"/>
            <w:tcBorders>
              <w:top w:val="nil"/>
              <w:left w:val="nil"/>
              <w:bottom w:val="single" w:sz="8" w:space="0" w:color="auto"/>
              <w:right w:val="single" w:sz="8" w:space="0" w:color="auto"/>
            </w:tcBorders>
            <w:shd w:val="clear" w:color="auto" w:fill="auto"/>
            <w:vAlign w:val="center"/>
            <w:hideMark/>
          </w:tcPr>
          <w:p w14:paraId="6813D6B7"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89,121</w:t>
            </w:r>
          </w:p>
        </w:tc>
        <w:tc>
          <w:tcPr>
            <w:tcW w:w="1818" w:type="dxa"/>
            <w:tcBorders>
              <w:top w:val="nil"/>
              <w:left w:val="nil"/>
              <w:bottom w:val="single" w:sz="8" w:space="0" w:color="auto"/>
              <w:right w:val="single" w:sz="8" w:space="0" w:color="auto"/>
            </w:tcBorders>
            <w:shd w:val="clear" w:color="auto" w:fill="auto"/>
            <w:vAlign w:val="center"/>
            <w:hideMark/>
          </w:tcPr>
          <w:p w14:paraId="5C2122D1"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426</w:t>
            </w:r>
          </w:p>
        </w:tc>
        <w:tc>
          <w:tcPr>
            <w:tcW w:w="1818" w:type="dxa"/>
            <w:tcBorders>
              <w:top w:val="nil"/>
              <w:left w:val="nil"/>
              <w:bottom w:val="single" w:sz="8" w:space="0" w:color="auto"/>
              <w:right w:val="single" w:sz="8" w:space="0" w:color="auto"/>
            </w:tcBorders>
            <w:shd w:val="clear" w:color="auto" w:fill="auto"/>
            <w:vAlign w:val="center"/>
            <w:hideMark/>
          </w:tcPr>
          <w:p w14:paraId="7E418649"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155,597</w:t>
            </w:r>
          </w:p>
        </w:tc>
      </w:tr>
      <w:tr w:rsidR="00C35096" w:rsidRPr="00C35096" w14:paraId="380749A1"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C312D12"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Northern Health</w:t>
            </w:r>
          </w:p>
        </w:tc>
        <w:tc>
          <w:tcPr>
            <w:tcW w:w="1817" w:type="dxa"/>
            <w:tcBorders>
              <w:top w:val="nil"/>
              <w:left w:val="nil"/>
              <w:bottom w:val="single" w:sz="8" w:space="0" w:color="auto"/>
              <w:right w:val="single" w:sz="8" w:space="0" w:color="auto"/>
            </w:tcBorders>
            <w:shd w:val="clear" w:color="auto" w:fill="auto"/>
            <w:vAlign w:val="center"/>
            <w:hideMark/>
          </w:tcPr>
          <w:p w14:paraId="059B09B9"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16</w:t>
            </w:r>
          </w:p>
        </w:tc>
        <w:tc>
          <w:tcPr>
            <w:tcW w:w="1818" w:type="dxa"/>
            <w:tcBorders>
              <w:top w:val="nil"/>
              <w:left w:val="nil"/>
              <w:bottom w:val="single" w:sz="8" w:space="0" w:color="auto"/>
              <w:right w:val="single" w:sz="8" w:space="0" w:color="auto"/>
            </w:tcBorders>
            <w:shd w:val="clear" w:color="auto" w:fill="auto"/>
            <w:vAlign w:val="center"/>
            <w:hideMark/>
          </w:tcPr>
          <w:p w14:paraId="27D0AD3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2,190</w:t>
            </w:r>
          </w:p>
        </w:tc>
        <w:tc>
          <w:tcPr>
            <w:tcW w:w="1818" w:type="dxa"/>
            <w:tcBorders>
              <w:top w:val="nil"/>
              <w:left w:val="nil"/>
              <w:bottom w:val="single" w:sz="8" w:space="0" w:color="auto"/>
              <w:right w:val="single" w:sz="8" w:space="0" w:color="auto"/>
            </w:tcBorders>
            <w:shd w:val="clear" w:color="auto" w:fill="auto"/>
            <w:vAlign w:val="center"/>
            <w:hideMark/>
          </w:tcPr>
          <w:p w14:paraId="0B90E002"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4FEE70D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096B9FDB"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00E04D6F"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2,190</w:t>
            </w:r>
          </w:p>
        </w:tc>
      </w:tr>
      <w:tr w:rsidR="00C35096" w:rsidRPr="00C35096" w14:paraId="0BC232EF"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AA08913"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Peninsula Health</w:t>
            </w:r>
          </w:p>
        </w:tc>
        <w:tc>
          <w:tcPr>
            <w:tcW w:w="1817" w:type="dxa"/>
            <w:tcBorders>
              <w:top w:val="nil"/>
              <w:left w:val="nil"/>
              <w:bottom w:val="single" w:sz="8" w:space="0" w:color="auto"/>
              <w:right w:val="single" w:sz="8" w:space="0" w:color="auto"/>
            </w:tcBorders>
            <w:shd w:val="clear" w:color="auto" w:fill="auto"/>
            <w:vAlign w:val="center"/>
            <w:hideMark/>
          </w:tcPr>
          <w:p w14:paraId="4BB745D7"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50</w:t>
            </w:r>
          </w:p>
        </w:tc>
        <w:tc>
          <w:tcPr>
            <w:tcW w:w="1818" w:type="dxa"/>
            <w:tcBorders>
              <w:top w:val="nil"/>
              <w:left w:val="nil"/>
              <w:bottom w:val="single" w:sz="8" w:space="0" w:color="auto"/>
              <w:right w:val="single" w:sz="8" w:space="0" w:color="auto"/>
            </w:tcBorders>
            <w:shd w:val="clear" w:color="auto" w:fill="auto"/>
            <w:vAlign w:val="center"/>
            <w:hideMark/>
          </w:tcPr>
          <w:p w14:paraId="50FF1BD3"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18,263</w:t>
            </w:r>
          </w:p>
        </w:tc>
        <w:tc>
          <w:tcPr>
            <w:tcW w:w="1818" w:type="dxa"/>
            <w:tcBorders>
              <w:top w:val="nil"/>
              <w:left w:val="nil"/>
              <w:bottom w:val="single" w:sz="8" w:space="0" w:color="auto"/>
              <w:right w:val="single" w:sz="8" w:space="0" w:color="auto"/>
            </w:tcBorders>
            <w:shd w:val="clear" w:color="auto" w:fill="auto"/>
            <w:vAlign w:val="center"/>
            <w:hideMark/>
          </w:tcPr>
          <w:p w14:paraId="65DB5BDF"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70</w:t>
            </w:r>
          </w:p>
        </w:tc>
        <w:tc>
          <w:tcPr>
            <w:tcW w:w="1818" w:type="dxa"/>
            <w:tcBorders>
              <w:top w:val="nil"/>
              <w:left w:val="nil"/>
              <w:bottom w:val="single" w:sz="8" w:space="0" w:color="auto"/>
              <w:right w:val="single" w:sz="8" w:space="0" w:color="auto"/>
            </w:tcBorders>
            <w:shd w:val="clear" w:color="auto" w:fill="auto"/>
            <w:vAlign w:val="center"/>
            <w:hideMark/>
          </w:tcPr>
          <w:p w14:paraId="2B605B45"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25,568</w:t>
            </w:r>
          </w:p>
        </w:tc>
        <w:tc>
          <w:tcPr>
            <w:tcW w:w="1818" w:type="dxa"/>
            <w:tcBorders>
              <w:top w:val="nil"/>
              <w:left w:val="nil"/>
              <w:bottom w:val="single" w:sz="8" w:space="0" w:color="auto"/>
              <w:right w:val="single" w:sz="8" w:space="0" w:color="auto"/>
            </w:tcBorders>
            <w:shd w:val="clear" w:color="auto" w:fill="auto"/>
            <w:vAlign w:val="center"/>
            <w:hideMark/>
          </w:tcPr>
          <w:p w14:paraId="2A9A3711"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120</w:t>
            </w:r>
          </w:p>
        </w:tc>
        <w:tc>
          <w:tcPr>
            <w:tcW w:w="1818" w:type="dxa"/>
            <w:tcBorders>
              <w:top w:val="nil"/>
              <w:left w:val="nil"/>
              <w:bottom w:val="single" w:sz="8" w:space="0" w:color="auto"/>
              <w:right w:val="single" w:sz="8" w:space="0" w:color="auto"/>
            </w:tcBorders>
            <w:shd w:val="clear" w:color="auto" w:fill="auto"/>
            <w:vAlign w:val="center"/>
            <w:hideMark/>
          </w:tcPr>
          <w:p w14:paraId="793F4836"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43,831</w:t>
            </w:r>
          </w:p>
        </w:tc>
      </w:tr>
      <w:tr w:rsidR="00C35096" w:rsidRPr="00C35096" w14:paraId="43BB1EEF"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428C348"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St Vincent’s Hospital</w:t>
            </w:r>
          </w:p>
        </w:tc>
        <w:tc>
          <w:tcPr>
            <w:tcW w:w="1817" w:type="dxa"/>
            <w:tcBorders>
              <w:top w:val="nil"/>
              <w:left w:val="nil"/>
              <w:bottom w:val="single" w:sz="8" w:space="0" w:color="auto"/>
              <w:right w:val="single" w:sz="8" w:space="0" w:color="auto"/>
            </w:tcBorders>
            <w:shd w:val="clear" w:color="auto" w:fill="auto"/>
            <w:vAlign w:val="center"/>
            <w:hideMark/>
          </w:tcPr>
          <w:p w14:paraId="1AD86D7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64</w:t>
            </w:r>
          </w:p>
        </w:tc>
        <w:tc>
          <w:tcPr>
            <w:tcW w:w="1818" w:type="dxa"/>
            <w:tcBorders>
              <w:top w:val="nil"/>
              <w:left w:val="nil"/>
              <w:bottom w:val="single" w:sz="8" w:space="0" w:color="auto"/>
              <w:right w:val="single" w:sz="8" w:space="0" w:color="auto"/>
            </w:tcBorders>
            <w:shd w:val="clear" w:color="auto" w:fill="auto"/>
            <w:vAlign w:val="center"/>
            <w:hideMark/>
          </w:tcPr>
          <w:p w14:paraId="7BEB11B7"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23,376</w:t>
            </w:r>
          </w:p>
        </w:tc>
        <w:tc>
          <w:tcPr>
            <w:tcW w:w="1818" w:type="dxa"/>
            <w:tcBorders>
              <w:top w:val="nil"/>
              <w:left w:val="nil"/>
              <w:bottom w:val="single" w:sz="8" w:space="0" w:color="auto"/>
              <w:right w:val="single" w:sz="8" w:space="0" w:color="auto"/>
            </w:tcBorders>
            <w:shd w:val="clear" w:color="auto" w:fill="auto"/>
            <w:vAlign w:val="center"/>
            <w:hideMark/>
          </w:tcPr>
          <w:p w14:paraId="041383E2"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90</w:t>
            </w:r>
          </w:p>
        </w:tc>
        <w:tc>
          <w:tcPr>
            <w:tcW w:w="1818" w:type="dxa"/>
            <w:tcBorders>
              <w:top w:val="nil"/>
              <w:left w:val="nil"/>
              <w:bottom w:val="single" w:sz="8" w:space="0" w:color="auto"/>
              <w:right w:val="single" w:sz="8" w:space="0" w:color="auto"/>
            </w:tcBorders>
            <w:shd w:val="clear" w:color="auto" w:fill="auto"/>
            <w:vAlign w:val="center"/>
            <w:hideMark/>
          </w:tcPr>
          <w:p w14:paraId="7BB725E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32,873</w:t>
            </w:r>
          </w:p>
        </w:tc>
        <w:tc>
          <w:tcPr>
            <w:tcW w:w="1818" w:type="dxa"/>
            <w:tcBorders>
              <w:top w:val="nil"/>
              <w:left w:val="nil"/>
              <w:bottom w:val="single" w:sz="8" w:space="0" w:color="auto"/>
              <w:right w:val="single" w:sz="8" w:space="0" w:color="auto"/>
            </w:tcBorders>
            <w:shd w:val="clear" w:color="auto" w:fill="auto"/>
            <w:vAlign w:val="center"/>
            <w:hideMark/>
          </w:tcPr>
          <w:p w14:paraId="3C350C18"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154</w:t>
            </w:r>
          </w:p>
        </w:tc>
        <w:tc>
          <w:tcPr>
            <w:tcW w:w="1818" w:type="dxa"/>
            <w:tcBorders>
              <w:top w:val="nil"/>
              <w:left w:val="nil"/>
              <w:bottom w:val="single" w:sz="8" w:space="0" w:color="auto"/>
              <w:right w:val="single" w:sz="8" w:space="0" w:color="auto"/>
            </w:tcBorders>
            <w:shd w:val="clear" w:color="auto" w:fill="auto"/>
            <w:vAlign w:val="center"/>
            <w:hideMark/>
          </w:tcPr>
          <w:p w14:paraId="5A1DC929"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56,249</w:t>
            </w:r>
          </w:p>
        </w:tc>
      </w:tr>
      <w:tr w:rsidR="00C35096" w:rsidRPr="00C35096" w14:paraId="6DE49645"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C9E8605"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The Royal Children’s Hospital</w:t>
            </w:r>
          </w:p>
        </w:tc>
        <w:tc>
          <w:tcPr>
            <w:tcW w:w="1817" w:type="dxa"/>
            <w:tcBorders>
              <w:top w:val="nil"/>
              <w:left w:val="nil"/>
              <w:bottom w:val="single" w:sz="8" w:space="0" w:color="auto"/>
              <w:right w:val="single" w:sz="8" w:space="0" w:color="auto"/>
            </w:tcBorders>
            <w:shd w:val="clear" w:color="auto" w:fill="auto"/>
            <w:vAlign w:val="center"/>
            <w:hideMark/>
          </w:tcPr>
          <w:p w14:paraId="68886DCB"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17</w:t>
            </w:r>
          </w:p>
        </w:tc>
        <w:tc>
          <w:tcPr>
            <w:tcW w:w="1818" w:type="dxa"/>
            <w:tcBorders>
              <w:top w:val="nil"/>
              <w:left w:val="nil"/>
              <w:bottom w:val="single" w:sz="8" w:space="0" w:color="auto"/>
              <w:right w:val="single" w:sz="8" w:space="0" w:color="auto"/>
            </w:tcBorders>
            <w:shd w:val="clear" w:color="auto" w:fill="auto"/>
            <w:vAlign w:val="center"/>
            <w:hideMark/>
          </w:tcPr>
          <w:p w14:paraId="54E8E7E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6,209</w:t>
            </w:r>
          </w:p>
        </w:tc>
        <w:tc>
          <w:tcPr>
            <w:tcW w:w="1818" w:type="dxa"/>
            <w:tcBorders>
              <w:top w:val="nil"/>
              <w:left w:val="nil"/>
              <w:bottom w:val="single" w:sz="8" w:space="0" w:color="auto"/>
              <w:right w:val="single" w:sz="8" w:space="0" w:color="auto"/>
            </w:tcBorders>
            <w:shd w:val="clear" w:color="auto" w:fill="auto"/>
            <w:vAlign w:val="center"/>
            <w:hideMark/>
          </w:tcPr>
          <w:p w14:paraId="06146222"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57055917"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03379DAD"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17</w:t>
            </w:r>
          </w:p>
        </w:tc>
        <w:tc>
          <w:tcPr>
            <w:tcW w:w="1818" w:type="dxa"/>
            <w:tcBorders>
              <w:top w:val="nil"/>
              <w:left w:val="nil"/>
              <w:bottom w:val="single" w:sz="8" w:space="0" w:color="auto"/>
              <w:right w:val="single" w:sz="8" w:space="0" w:color="auto"/>
            </w:tcBorders>
            <w:shd w:val="clear" w:color="auto" w:fill="auto"/>
            <w:vAlign w:val="center"/>
            <w:hideMark/>
          </w:tcPr>
          <w:p w14:paraId="07A8B2EB"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6,209</w:t>
            </w:r>
          </w:p>
        </w:tc>
      </w:tr>
      <w:tr w:rsidR="00C35096" w:rsidRPr="00C35096" w14:paraId="188BEBFE" w14:textId="77777777" w:rsidTr="00C35096">
        <w:trPr>
          <w:trHeight w:val="300"/>
          <w:tblHeader/>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565CF0A" w14:textId="77777777" w:rsidR="00C35096" w:rsidRPr="00C35096" w:rsidRDefault="00C35096" w:rsidP="00C35096">
            <w:pPr>
              <w:spacing w:after="0" w:line="240" w:lineRule="auto"/>
              <w:rPr>
                <w:rFonts w:cs="Arial"/>
                <w:color w:val="000000"/>
                <w:sz w:val="16"/>
                <w:szCs w:val="16"/>
                <w:lang w:eastAsia="en-AU"/>
              </w:rPr>
            </w:pPr>
            <w:r w:rsidRPr="00C35096">
              <w:rPr>
                <w:rFonts w:cs="Arial"/>
                <w:color w:val="000000"/>
                <w:sz w:val="16"/>
                <w:szCs w:val="16"/>
                <w:lang w:eastAsia="en-AU"/>
              </w:rPr>
              <w:t>Victorian Institute of Forensic Mental Health</w:t>
            </w:r>
          </w:p>
        </w:tc>
        <w:tc>
          <w:tcPr>
            <w:tcW w:w="1817" w:type="dxa"/>
            <w:tcBorders>
              <w:top w:val="nil"/>
              <w:left w:val="nil"/>
              <w:bottom w:val="single" w:sz="8" w:space="0" w:color="auto"/>
              <w:right w:val="single" w:sz="8" w:space="0" w:color="auto"/>
            </w:tcBorders>
            <w:shd w:val="clear" w:color="auto" w:fill="auto"/>
            <w:vAlign w:val="center"/>
            <w:hideMark/>
          </w:tcPr>
          <w:p w14:paraId="5DC4989C"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54</w:t>
            </w:r>
          </w:p>
        </w:tc>
        <w:tc>
          <w:tcPr>
            <w:tcW w:w="1818" w:type="dxa"/>
            <w:tcBorders>
              <w:top w:val="nil"/>
              <w:left w:val="nil"/>
              <w:bottom w:val="single" w:sz="8" w:space="0" w:color="auto"/>
              <w:right w:val="single" w:sz="8" w:space="0" w:color="auto"/>
            </w:tcBorders>
            <w:shd w:val="clear" w:color="auto" w:fill="auto"/>
            <w:vAlign w:val="center"/>
            <w:hideMark/>
          </w:tcPr>
          <w:p w14:paraId="5A1F7AC0"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04B50F0A"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82</w:t>
            </w:r>
          </w:p>
        </w:tc>
        <w:tc>
          <w:tcPr>
            <w:tcW w:w="1818" w:type="dxa"/>
            <w:tcBorders>
              <w:top w:val="nil"/>
              <w:left w:val="nil"/>
              <w:bottom w:val="single" w:sz="8" w:space="0" w:color="auto"/>
              <w:right w:val="single" w:sz="8" w:space="0" w:color="auto"/>
            </w:tcBorders>
            <w:shd w:val="clear" w:color="auto" w:fill="auto"/>
            <w:vAlign w:val="center"/>
            <w:hideMark/>
          </w:tcPr>
          <w:p w14:paraId="310EACB4"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c>
          <w:tcPr>
            <w:tcW w:w="1818" w:type="dxa"/>
            <w:tcBorders>
              <w:top w:val="nil"/>
              <w:left w:val="nil"/>
              <w:bottom w:val="single" w:sz="8" w:space="0" w:color="auto"/>
              <w:right w:val="single" w:sz="8" w:space="0" w:color="auto"/>
            </w:tcBorders>
            <w:shd w:val="clear" w:color="auto" w:fill="auto"/>
            <w:vAlign w:val="center"/>
            <w:hideMark/>
          </w:tcPr>
          <w:p w14:paraId="1B044677"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136</w:t>
            </w:r>
          </w:p>
        </w:tc>
        <w:tc>
          <w:tcPr>
            <w:tcW w:w="1818" w:type="dxa"/>
            <w:tcBorders>
              <w:top w:val="nil"/>
              <w:left w:val="nil"/>
              <w:bottom w:val="single" w:sz="8" w:space="0" w:color="auto"/>
              <w:right w:val="single" w:sz="8" w:space="0" w:color="auto"/>
            </w:tcBorders>
            <w:shd w:val="clear" w:color="auto" w:fill="auto"/>
            <w:vAlign w:val="center"/>
            <w:hideMark/>
          </w:tcPr>
          <w:p w14:paraId="0E100B3D" w14:textId="77777777" w:rsidR="00C35096" w:rsidRPr="00C35096" w:rsidRDefault="00C35096" w:rsidP="00C35096">
            <w:pPr>
              <w:spacing w:after="0" w:line="240" w:lineRule="auto"/>
              <w:jc w:val="right"/>
              <w:rPr>
                <w:rFonts w:cs="Arial"/>
                <w:color w:val="000000"/>
                <w:sz w:val="16"/>
                <w:szCs w:val="16"/>
                <w:lang w:eastAsia="en-AU"/>
              </w:rPr>
            </w:pPr>
            <w:r w:rsidRPr="00C35096">
              <w:rPr>
                <w:rFonts w:cs="Arial"/>
                <w:color w:val="000000"/>
                <w:sz w:val="16"/>
                <w:szCs w:val="16"/>
                <w:lang w:eastAsia="en-AU"/>
              </w:rPr>
              <w:t> </w:t>
            </w:r>
          </w:p>
        </w:tc>
      </w:tr>
    </w:tbl>
    <w:p w14:paraId="114D76E9" w14:textId="77777777" w:rsidR="00C35096" w:rsidRPr="001A192A" w:rsidRDefault="00C35096" w:rsidP="00042954">
      <w:pPr>
        <w:pStyle w:val="Body"/>
        <w:keepNext/>
        <w:keepLines/>
        <w:spacing w:line="240" w:lineRule="auto"/>
      </w:pPr>
    </w:p>
    <w:p w14:paraId="6E7E5908" w14:textId="77777777" w:rsidR="00C4616E" w:rsidRDefault="00C4616E" w:rsidP="00042954">
      <w:pPr>
        <w:pStyle w:val="Bodyaftertablefigure"/>
        <w:keepNext/>
      </w:pPr>
    </w:p>
    <w:p w14:paraId="6BD37F3D" w14:textId="3A2D14A9" w:rsidR="001A192A" w:rsidRDefault="002162F2" w:rsidP="00042954">
      <w:pPr>
        <w:pStyle w:val="Bodyaftertablefigure"/>
        <w:keepNext/>
      </w:pPr>
      <w:r>
        <w:t>Subregional and local</w:t>
      </w:r>
    </w:p>
    <w:tbl>
      <w:tblPr>
        <w:tblStyle w:val="TableGrid1"/>
        <w:tblW w:w="14307" w:type="dxa"/>
        <w:tblLook w:val="04A0" w:firstRow="1" w:lastRow="0" w:firstColumn="1" w:lastColumn="0" w:noHBand="0" w:noVBand="1"/>
      </w:tblPr>
      <w:tblGrid>
        <w:gridCol w:w="3400"/>
        <w:gridCol w:w="1817"/>
        <w:gridCol w:w="1818"/>
        <w:gridCol w:w="1818"/>
        <w:gridCol w:w="1818"/>
        <w:gridCol w:w="1818"/>
        <w:gridCol w:w="1818"/>
      </w:tblGrid>
      <w:tr w:rsidR="00D8098E" w:rsidRPr="00D8098E" w14:paraId="487D581B" w14:textId="77777777" w:rsidTr="005826E3">
        <w:trPr>
          <w:cnfStyle w:val="100000000000" w:firstRow="1" w:lastRow="0" w:firstColumn="0" w:lastColumn="0" w:oddVBand="0" w:evenVBand="0" w:oddHBand="0" w:evenHBand="0" w:firstRowFirstColumn="0" w:firstRowLastColumn="0" w:lastRowFirstColumn="0" w:lastRowLastColumn="0"/>
          <w:trHeight w:val="857"/>
        </w:trPr>
        <w:tc>
          <w:tcPr>
            <w:tcW w:w="3400" w:type="dxa"/>
            <w:hideMark/>
          </w:tcPr>
          <w:p w14:paraId="7050104F" w14:textId="45FB1AD8" w:rsidR="00D8098E" w:rsidRPr="00D8098E" w:rsidRDefault="00D8098E" w:rsidP="00D8098E">
            <w:pPr>
              <w:spacing w:after="0" w:line="240" w:lineRule="auto"/>
              <w:rPr>
                <w:rFonts w:cs="Arial"/>
                <w:b/>
                <w:bCs/>
                <w:color w:val="FFFFFF"/>
                <w:sz w:val="16"/>
                <w:szCs w:val="16"/>
                <w:lang w:eastAsia="en-AU"/>
              </w:rPr>
            </w:pPr>
            <w:r w:rsidRPr="00D8098E">
              <w:rPr>
                <w:rFonts w:cs="Arial"/>
                <w:b/>
                <w:bCs/>
                <w:color w:val="FFFFFF"/>
                <w:sz w:val="16"/>
                <w:szCs w:val="16"/>
                <w:lang w:eastAsia="en-AU"/>
              </w:rPr>
              <w:t>Health service</w:t>
            </w:r>
          </w:p>
        </w:tc>
        <w:tc>
          <w:tcPr>
            <w:tcW w:w="1817" w:type="dxa"/>
            <w:hideMark/>
          </w:tcPr>
          <w:p w14:paraId="4A8E8A6E" w14:textId="77777777" w:rsidR="00D8098E" w:rsidRPr="00D8098E" w:rsidRDefault="00D8098E" w:rsidP="00D8098E">
            <w:pPr>
              <w:spacing w:after="0" w:line="240" w:lineRule="auto"/>
              <w:jc w:val="right"/>
              <w:rPr>
                <w:rFonts w:cs="Arial"/>
                <w:b/>
                <w:bCs/>
                <w:color w:val="FFFFFF"/>
                <w:sz w:val="16"/>
                <w:szCs w:val="16"/>
                <w:lang w:eastAsia="en-AU"/>
              </w:rPr>
            </w:pPr>
            <w:r w:rsidRPr="00D8098E">
              <w:rPr>
                <w:rFonts w:cs="Arial"/>
                <w:b/>
                <w:bCs/>
                <w:color w:val="FFFFFF"/>
                <w:sz w:val="16"/>
                <w:szCs w:val="16"/>
                <w:lang w:eastAsia="en-AU"/>
              </w:rPr>
              <w:t xml:space="preserve">Mental health funded acute bed </w:t>
            </w:r>
          </w:p>
        </w:tc>
        <w:tc>
          <w:tcPr>
            <w:tcW w:w="1818" w:type="dxa"/>
            <w:hideMark/>
          </w:tcPr>
          <w:p w14:paraId="59617A59" w14:textId="77777777" w:rsidR="00D8098E" w:rsidRPr="00D8098E" w:rsidRDefault="00D8098E" w:rsidP="00D8098E">
            <w:pPr>
              <w:spacing w:after="0" w:line="240" w:lineRule="auto"/>
              <w:jc w:val="right"/>
              <w:rPr>
                <w:rFonts w:cs="Arial"/>
                <w:b/>
                <w:bCs/>
                <w:color w:val="FFFFFF"/>
                <w:sz w:val="16"/>
                <w:szCs w:val="16"/>
                <w:lang w:eastAsia="en-AU"/>
              </w:rPr>
            </w:pPr>
            <w:r w:rsidRPr="00D8098E">
              <w:rPr>
                <w:rFonts w:cs="Arial"/>
                <w:b/>
                <w:bCs/>
                <w:color w:val="FFFFFF"/>
                <w:sz w:val="16"/>
                <w:szCs w:val="16"/>
                <w:lang w:eastAsia="en-AU"/>
              </w:rPr>
              <w:t>Mental health funded acute bed days</w:t>
            </w:r>
          </w:p>
        </w:tc>
        <w:tc>
          <w:tcPr>
            <w:tcW w:w="1818" w:type="dxa"/>
            <w:hideMark/>
          </w:tcPr>
          <w:p w14:paraId="0B9F80C0" w14:textId="77777777" w:rsidR="00D8098E" w:rsidRPr="00D8098E" w:rsidRDefault="00D8098E" w:rsidP="00D8098E">
            <w:pPr>
              <w:spacing w:after="0" w:line="240" w:lineRule="auto"/>
              <w:jc w:val="right"/>
              <w:rPr>
                <w:rFonts w:cs="Arial"/>
                <w:b/>
                <w:bCs/>
                <w:color w:val="FFFFFF"/>
                <w:sz w:val="16"/>
                <w:szCs w:val="16"/>
                <w:lang w:eastAsia="en-AU"/>
              </w:rPr>
            </w:pPr>
            <w:r w:rsidRPr="00D8098E">
              <w:rPr>
                <w:rFonts w:cs="Arial"/>
                <w:b/>
                <w:bCs/>
                <w:color w:val="FFFFFF"/>
                <w:sz w:val="16"/>
                <w:szCs w:val="16"/>
                <w:lang w:eastAsia="en-AU"/>
              </w:rPr>
              <w:t>Mental health funded non-acute, subacute, and residential bed</w:t>
            </w:r>
          </w:p>
        </w:tc>
        <w:tc>
          <w:tcPr>
            <w:tcW w:w="1818" w:type="dxa"/>
            <w:hideMark/>
          </w:tcPr>
          <w:p w14:paraId="011B061E" w14:textId="77777777" w:rsidR="00D8098E" w:rsidRPr="00D8098E" w:rsidRDefault="00D8098E" w:rsidP="00D8098E">
            <w:pPr>
              <w:spacing w:after="0" w:line="240" w:lineRule="auto"/>
              <w:jc w:val="right"/>
              <w:rPr>
                <w:rFonts w:cs="Arial"/>
                <w:b/>
                <w:bCs/>
                <w:color w:val="FFFFFF"/>
                <w:sz w:val="16"/>
                <w:szCs w:val="16"/>
                <w:lang w:eastAsia="en-AU"/>
              </w:rPr>
            </w:pPr>
            <w:r w:rsidRPr="00D8098E">
              <w:rPr>
                <w:rFonts w:cs="Arial"/>
                <w:b/>
                <w:bCs/>
                <w:color w:val="FFFFFF"/>
                <w:sz w:val="16"/>
                <w:szCs w:val="16"/>
                <w:lang w:eastAsia="en-AU"/>
              </w:rPr>
              <w:t xml:space="preserve">Mental health funded non-acute, subacute, and residential bed days </w:t>
            </w:r>
          </w:p>
        </w:tc>
        <w:tc>
          <w:tcPr>
            <w:tcW w:w="1818" w:type="dxa"/>
            <w:hideMark/>
          </w:tcPr>
          <w:p w14:paraId="04C66181" w14:textId="77777777" w:rsidR="00D8098E" w:rsidRPr="00D8098E" w:rsidRDefault="00D8098E" w:rsidP="00D8098E">
            <w:pPr>
              <w:spacing w:after="0" w:line="240" w:lineRule="auto"/>
              <w:jc w:val="right"/>
              <w:rPr>
                <w:rFonts w:cs="Arial"/>
                <w:b/>
                <w:bCs/>
                <w:color w:val="FFFFFF"/>
                <w:sz w:val="16"/>
                <w:szCs w:val="16"/>
                <w:lang w:eastAsia="en-AU"/>
              </w:rPr>
            </w:pPr>
            <w:r w:rsidRPr="00D8098E">
              <w:rPr>
                <w:rFonts w:cs="Arial"/>
                <w:b/>
                <w:bCs/>
                <w:color w:val="FFFFFF"/>
                <w:sz w:val="16"/>
                <w:szCs w:val="16"/>
                <w:lang w:eastAsia="en-AU"/>
              </w:rPr>
              <w:t xml:space="preserve">Mental health beds </w:t>
            </w:r>
          </w:p>
        </w:tc>
        <w:tc>
          <w:tcPr>
            <w:tcW w:w="1818" w:type="dxa"/>
            <w:hideMark/>
          </w:tcPr>
          <w:p w14:paraId="4997329C" w14:textId="77777777" w:rsidR="00D8098E" w:rsidRPr="00D8098E" w:rsidRDefault="00D8098E" w:rsidP="00D8098E">
            <w:pPr>
              <w:spacing w:after="0" w:line="240" w:lineRule="auto"/>
              <w:jc w:val="right"/>
              <w:rPr>
                <w:rFonts w:cs="Arial"/>
                <w:b/>
                <w:bCs/>
                <w:color w:val="FFFFFF"/>
                <w:sz w:val="16"/>
                <w:szCs w:val="16"/>
                <w:lang w:eastAsia="en-AU"/>
              </w:rPr>
            </w:pPr>
            <w:r w:rsidRPr="00D8098E">
              <w:rPr>
                <w:rFonts w:cs="Arial"/>
                <w:b/>
                <w:bCs/>
                <w:color w:val="FFFFFF"/>
                <w:sz w:val="16"/>
                <w:szCs w:val="16"/>
                <w:lang w:eastAsia="en-AU"/>
              </w:rPr>
              <w:t xml:space="preserve">Mental health bed days </w:t>
            </w:r>
          </w:p>
        </w:tc>
      </w:tr>
      <w:tr w:rsidR="00D8098E" w:rsidRPr="00D8098E" w14:paraId="2C6A54B6" w14:textId="77777777" w:rsidTr="005826E3">
        <w:trPr>
          <w:trHeight w:val="300"/>
        </w:trPr>
        <w:tc>
          <w:tcPr>
            <w:tcW w:w="3400" w:type="dxa"/>
            <w:hideMark/>
          </w:tcPr>
          <w:p w14:paraId="0BA9DEB3" w14:textId="77777777" w:rsidR="00D8098E" w:rsidRPr="00D8098E" w:rsidRDefault="00D8098E" w:rsidP="00D8098E">
            <w:pPr>
              <w:spacing w:after="0" w:line="240" w:lineRule="auto"/>
              <w:rPr>
                <w:rFonts w:cs="Arial"/>
                <w:color w:val="000000"/>
                <w:sz w:val="16"/>
                <w:szCs w:val="16"/>
                <w:lang w:eastAsia="en-AU"/>
              </w:rPr>
            </w:pPr>
            <w:r w:rsidRPr="00D8098E">
              <w:rPr>
                <w:rFonts w:cs="Arial"/>
                <w:color w:val="000000"/>
                <w:sz w:val="16"/>
                <w:szCs w:val="16"/>
                <w:lang w:eastAsia="en-AU"/>
              </w:rPr>
              <w:t>Mildura Base Hospital</w:t>
            </w:r>
          </w:p>
        </w:tc>
        <w:tc>
          <w:tcPr>
            <w:tcW w:w="1817" w:type="dxa"/>
            <w:hideMark/>
          </w:tcPr>
          <w:p w14:paraId="0ED1392B"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14</w:t>
            </w:r>
          </w:p>
        </w:tc>
        <w:tc>
          <w:tcPr>
            <w:tcW w:w="1818" w:type="dxa"/>
            <w:hideMark/>
          </w:tcPr>
          <w:p w14:paraId="0B8AECAF"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5,114</w:t>
            </w:r>
          </w:p>
        </w:tc>
        <w:tc>
          <w:tcPr>
            <w:tcW w:w="1818" w:type="dxa"/>
            <w:hideMark/>
          </w:tcPr>
          <w:p w14:paraId="6BA6A2AE"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10</w:t>
            </w:r>
          </w:p>
        </w:tc>
        <w:tc>
          <w:tcPr>
            <w:tcW w:w="1818" w:type="dxa"/>
            <w:hideMark/>
          </w:tcPr>
          <w:p w14:paraId="72BBD462"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3,653</w:t>
            </w:r>
          </w:p>
        </w:tc>
        <w:tc>
          <w:tcPr>
            <w:tcW w:w="1818" w:type="dxa"/>
            <w:hideMark/>
          </w:tcPr>
          <w:p w14:paraId="2ACFB873"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24</w:t>
            </w:r>
          </w:p>
        </w:tc>
        <w:tc>
          <w:tcPr>
            <w:tcW w:w="1818" w:type="dxa"/>
            <w:hideMark/>
          </w:tcPr>
          <w:p w14:paraId="7DE3EF90"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8,767</w:t>
            </w:r>
          </w:p>
        </w:tc>
      </w:tr>
      <w:tr w:rsidR="00D8098E" w:rsidRPr="00D8098E" w14:paraId="40BCC68E" w14:textId="77777777" w:rsidTr="005826E3">
        <w:trPr>
          <w:trHeight w:val="300"/>
        </w:trPr>
        <w:tc>
          <w:tcPr>
            <w:tcW w:w="3400" w:type="dxa"/>
            <w:hideMark/>
          </w:tcPr>
          <w:p w14:paraId="06408517" w14:textId="77777777" w:rsidR="00D8098E" w:rsidRPr="00D8098E" w:rsidRDefault="00D8098E" w:rsidP="00D8098E">
            <w:pPr>
              <w:spacing w:after="0" w:line="240" w:lineRule="auto"/>
              <w:rPr>
                <w:rFonts w:cs="Arial"/>
                <w:color w:val="000000"/>
                <w:sz w:val="16"/>
                <w:szCs w:val="16"/>
                <w:lang w:eastAsia="en-AU"/>
              </w:rPr>
            </w:pPr>
            <w:r w:rsidRPr="00D8098E">
              <w:rPr>
                <w:rFonts w:cs="Arial"/>
                <w:color w:val="000000"/>
                <w:sz w:val="16"/>
                <w:szCs w:val="16"/>
                <w:lang w:eastAsia="en-AU"/>
              </w:rPr>
              <w:t>South West Health</w:t>
            </w:r>
          </w:p>
        </w:tc>
        <w:tc>
          <w:tcPr>
            <w:tcW w:w="1817" w:type="dxa"/>
            <w:hideMark/>
          </w:tcPr>
          <w:p w14:paraId="743E74F5"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20</w:t>
            </w:r>
          </w:p>
        </w:tc>
        <w:tc>
          <w:tcPr>
            <w:tcW w:w="1818" w:type="dxa"/>
            <w:hideMark/>
          </w:tcPr>
          <w:p w14:paraId="1B19BE49"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7,305</w:t>
            </w:r>
          </w:p>
        </w:tc>
        <w:tc>
          <w:tcPr>
            <w:tcW w:w="1818" w:type="dxa"/>
            <w:hideMark/>
          </w:tcPr>
          <w:p w14:paraId="45A5C3EC"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28</w:t>
            </w:r>
          </w:p>
        </w:tc>
        <w:tc>
          <w:tcPr>
            <w:tcW w:w="1818" w:type="dxa"/>
            <w:hideMark/>
          </w:tcPr>
          <w:p w14:paraId="035A0091"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10,227</w:t>
            </w:r>
          </w:p>
        </w:tc>
        <w:tc>
          <w:tcPr>
            <w:tcW w:w="1818" w:type="dxa"/>
            <w:hideMark/>
          </w:tcPr>
          <w:p w14:paraId="2ED46742"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48</w:t>
            </w:r>
          </w:p>
        </w:tc>
        <w:tc>
          <w:tcPr>
            <w:tcW w:w="1818" w:type="dxa"/>
            <w:hideMark/>
          </w:tcPr>
          <w:p w14:paraId="258A2BBD" w14:textId="77777777" w:rsidR="00D8098E" w:rsidRPr="00D8098E" w:rsidRDefault="00D8098E" w:rsidP="00D8098E">
            <w:pPr>
              <w:spacing w:after="0" w:line="240" w:lineRule="auto"/>
              <w:jc w:val="right"/>
              <w:rPr>
                <w:rFonts w:cs="Arial"/>
                <w:color w:val="000000"/>
                <w:sz w:val="16"/>
                <w:szCs w:val="16"/>
                <w:lang w:eastAsia="en-AU"/>
              </w:rPr>
            </w:pPr>
            <w:r w:rsidRPr="00D8098E">
              <w:rPr>
                <w:rFonts w:cs="Arial"/>
                <w:color w:val="000000"/>
                <w:sz w:val="16"/>
                <w:szCs w:val="16"/>
                <w:lang w:eastAsia="en-AU"/>
              </w:rPr>
              <w:t>17,532</w:t>
            </w:r>
          </w:p>
        </w:tc>
      </w:tr>
    </w:tbl>
    <w:p w14:paraId="34E6085E" w14:textId="77777777" w:rsidR="00951AA5" w:rsidRPr="00951AA5" w:rsidRDefault="00951AA5" w:rsidP="00951AA5">
      <w:pPr>
        <w:pStyle w:val="Body"/>
      </w:pPr>
    </w:p>
    <w:p w14:paraId="272DC231" w14:textId="0DC4A860" w:rsidR="002162F2" w:rsidRDefault="002162F2" w:rsidP="00785CBA">
      <w:pPr>
        <w:pStyle w:val="Bodyaftertablefigure"/>
        <w:keepNext/>
        <w:keepLines/>
        <w:spacing w:line="240" w:lineRule="auto"/>
      </w:pPr>
      <w:r w:rsidRPr="00F2096A">
        <w:t>Combined</w:t>
      </w:r>
      <w:r>
        <w:t xml:space="preserve"> total</w:t>
      </w:r>
    </w:p>
    <w:tbl>
      <w:tblPr>
        <w:tblStyle w:val="TableGrid1"/>
        <w:tblW w:w="14307" w:type="dxa"/>
        <w:tblLook w:val="04A0" w:firstRow="1" w:lastRow="0" w:firstColumn="1" w:lastColumn="0" w:noHBand="0" w:noVBand="1"/>
      </w:tblPr>
      <w:tblGrid>
        <w:gridCol w:w="3400"/>
        <w:gridCol w:w="1817"/>
        <w:gridCol w:w="1818"/>
        <w:gridCol w:w="1818"/>
        <w:gridCol w:w="1818"/>
        <w:gridCol w:w="1818"/>
        <w:gridCol w:w="1818"/>
      </w:tblGrid>
      <w:tr w:rsidR="000A3FB3" w:rsidRPr="000A3FB3" w14:paraId="0AC77142" w14:textId="77777777" w:rsidTr="005826E3">
        <w:trPr>
          <w:cnfStyle w:val="100000000000" w:firstRow="1" w:lastRow="0" w:firstColumn="0" w:lastColumn="0" w:oddVBand="0" w:evenVBand="0" w:oddHBand="0" w:evenHBand="0" w:firstRowFirstColumn="0" w:firstRowLastColumn="0" w:lastRowFirstColumn="0" w:lastRowLastColumn="0"/>
          <w:trHeight w:val="748"/>
        </w:trPr>
        <w:tc>
          <w:tcPr>
            <w:tcW w:w="3400" w:type="dxa"/>
            <w:hideMark/>
          </w:tcPr>
          <w:p w14:paraId="7142E847" w14:textId="77777777" w:rsidR="000A3FB3" w:rsidRPr="000A3FB3" w:rsidRDefault="000A3FB3" w:rsidP="000A3FB3">
            <w:pPr>
              <w:spacing w:after="0" w:line="240" w:lineRule="auto"/>
              <w:rPr>
                <w:rFonts w:ascii="Calibri" w:hAnsi="Calibri" w:cs="Calibri"/>
                <w:color w:val="000000"/>
                <w:sz w:val="22"/>
                <w:lang w:eastAsia="en-AU"/>
              </w:rPr>
            </w:pPr>
            <w:r w:rsidRPr="000A3FB3">
              <w:rPr>
                <w:rFonts w:ascii="Calibri" w:hAnsi="Calibri" w:cs="Calibri"/>
                <w:color w:val="000000"/>
                <w:sz w:val="22"/>
                <w:lang w:eastAsia="en-AU"/>
              </w:rPr>
              <w:t> </w:t>
            </w:r>
          </w:p>
        </w:tc>
        <w:tc>
          <w:tcPr>
            <w:tcW w:w="1817" w:type="dxa"/>
            <w:hideMark/>
          </w:tcPr>
          <w:p w14:paraId="2ED5EC26" w14:textId="77777777" w:rsidR="000A3FB3" w:rsidRPr="000A3FB3" w:rsidRDefault="000A3FB3" w:rsidP="000A3FB3">
            <w:pPr>
              <w:spacing w:after="0" w:line="240" w:lineRule="auto"/>
              <w:jc w:val="right"/>
              <w:rPr>
                <w:rFonts w:cs="Arial"/>
                <w:b/>
                <w:bCs/>
                <w:color w:val="FFFFFF"/>
                <w:sz w:val="16"/>
                <w:szCs w:val="16"/>
                <w:lang w:eastAsia="en-AU"/>
              </w:rPr>
            </w:pPr>
            <w:r w:rsidRPr="000A3FB3">
              <w:rPr>
                <w:rFonts w:cs="Arial"/>
                <w:b/>
                <w:bCs/>
                <w:color w:val="FFFFFF"/>
                <w:sz w:val="16"/>
                <w:szCs w:val="16"/>
                <w:lang w:eastAsia="en-AU"/>
              </w:rPr>
              <w:t xml:space="preserve">Mental health funded acute bed </w:t>
            </w:r>
          </w:p>
        </w:tc>
        <w:tc>
          <w:tcPr>
            <w:tcW w:w="1818" w:type="dxa"/>
            <w:hideMark/>
          </w:tcPr>
          <w:p w14:paraId="5FD12720" w14:textId="77777777" w:rsidR="000A3FB3" w:rsidRPr="000A3FB3" w:rsidRDefault="000A3FB3" w:rsidP="000A3FB3">
            <w:pPr>
              <w:spacing w:after="0" w:line="240" w:lineRule="auto"/>
              <w:jc w:val="right"/>
              <w:rPr>
                <w:rFonts w:cs="Arial"/>
                <w:b/>
                <w:bCs/>
                <w:color w:val="FFFFFF"/>
                <w:sz w:val="16"/>
                <w:szCs w:val="16"/>
                <w:lang w:eastAsia="en-AU"/>
              </w:rPr>
            </w:pPr>
            <w:r w:rsidRPr="000A3FB3">
              <w:rPr>
                <w:rFonts w:cs="Arial"/>
                <w:b/>
                <w:bCs/>
                <w:color w:val="FFFFFF"/>
                <w:sz w:val="16"/>
                <w:szCs w:val="16"/>
                <w:lang w:eastAsia="en-AU"/>
              </w:rPr>
              <w:t>Mental health funded acute bed days</w:t>
            </w:r>
          </w:p>
        </w:tc>
        <w:tc>
          <w:tcPr>
            <w:tcW w:w="1818" w:type="dxa"/>
            <w:hideMark/>
          </w:tcPr>
          <w:p w14:paraId="75D6CEBD" w14:textId="77777777" w:rsidR="000A3FB3" w:rsidRPr="000A3FB3" w:rsidRDefault="000A3FB3" w:rsidP="000A3FB3">
            <w:pPr>
              <w:spacing w:after="0" w:line="240" w:lineRule="auto"/>
              <w:jc w:val="right"/>
              <w:rPr>
                <w:rFonts w:cs="Arial"/>
                <w:b/>
                <w:bCs/>
                <w:color w:val="FFFFFF"/>
                <w:sz w:val="16"/>
                <w:szCs w:val="16"/>
                <w:lang w:eastAsia="en-AU"/>
              </w:rPr>
            </w:pPr>
            <w:r w:rsidRPr="000A3FB3">
              <w:rPr>
                <w:rFonts w:cs="Arial"/>
                <w:b/>
                <w:bCs/>
                <w:color w:val="FFFFFF"/>
                <w:sz w:val="16"/>
                <w:szCs w:val="16"/>
                <w:lang w:eastAsia="en-AU"/>
              </w:rPr>
              <w:t>Mental health funded non-acute, subacute, and residential bed</w:t>
            </w:r>
          </w:p>
        </w:tc>
        <w:tc>
          <w:tcPr>
            <w:tcW w:w="1818" w:type="dxa"/>
            <w:hideMark/>
          </w:tcPr>
          <w:p w14:paraId="4CC619E0" w14:textId="77777777" w:rsidR="000A3FB3" w:rsidRPr="000A3FB3" w:rsidRDefault="000A3FB3" w:rsidP="000A3FB3">
            <w:pPr>
              <w:spacing w:after="0" w:line="240" w:lineRule="auto"/>
              <w:jc w:val="right"/>
              <w:rPr>
                <w:rFonts w:cs="Arial"/>
                <w:b/>
                <w:bCs/>
                <w:color w:val="FFFFFF"/>
                <w:sz w:val="16"/>
                <w:szCs w:val="16"/>
                <w:lang w:eastAsia="en-AU"/>
              </w:rPr>
            </w:pPr>
            <w:r w:rsidRPr="000A3FB3">
              <w:rPr>
                <w:rFonts w:cs="Arial"/>
                <w:b/>
                <w:bCs/>
                <w:color w:val="FFFFFF"/>
                <w:sz w:val="16"/>
                <w:szCs w:val="16"/>
                <w:lang w:eastAsia="en-AU"/>
              </w:rPr>
              <w:t xml:space="preserve">Mental health funded non-acute, subacute, and residential bed days </w:t>
            </w:r>
          </w:p>
        </w:tc>
        <w:tc>
          <w:tcPr>
            <w:tcW w:w="1818" w:type="dxa"/>
            <w:hideMark/>
          </w:tcPr>
          <w:p w14:paraId="66DB91E5" w14:textId="77777777" w:rsidR="000A3FB3" w:rsidRPr="000A3FB3" w:rsidRDefault="000A3FB3" w:rsidP="000A3FB3">
            <w:pPr>
              <w:spacing w:after="0" w:line="240" w:lineRule="auto"/>
              <w:jc w:val="right"/>
              <w:rPr>
                <w:rFonts w:cs="Arial"/>
                <w:b/>
                <w:bCs/>
                <w:color w:val="FFFFFF"/>
                <w:sz w:val="16"/>
                <w:szCs w:val="16"/>
                <w:lang w:eastAsia="en-AU"/>
              </w:rPr>
            </w:pPr>
            <w:r w:rsidRPr="000A3FB3">
              <w:rPr>
                <w:rFonts w:cs="Arial"/>
                <w:b/>
                <w:bCs/>
                <w:color w:val="FFFFFF"/>
                <w:sz w:val="16"/>
                <w:szCs w:val="16"/>
                <w:lang w:eastAsia="en-AU"/>
              </w:rPr>
              <w:t xml:space="preserve">Mental health beds </w:t>
            </w:r>
          </w:p>
        </w:tc>
        <w:tc>
          <w:tcPr>
            <w:tcW w:w="1818" w:type="dxa"/>
            <w:hideMark/>
          </w:tcPr>
          <w:p w14:paraId="1078F122" w14:textId="77777777" w:rsidR="000A3FB3" w:rsidRPr="000A3FB3" w:rsidRDefault="000A3FB3" w:rsidP="000A3FB3">
            <w:pPr>
              <w:spacing w:after="0" w:line="240" w:lineRule="auto"/>
              <w:jc w:val="right"/>
              <w:rPr>
                <w:rFonts w:cs="Arial"/>
                <w:b/>
                <w:bCs/>
                <w:color w:val="FFFFFF"/>
                <w:sz w:val="16"/>
                <w:szCs w:val="16"/>
                <w:lang w:eastAsia="en-AU"/>
              </w:rPr>
            </w:pPr>
            <w:r w:rsidRPr="000A3FB3">
              <w:rPr>
                <w:rFonts w:cs="Arial"/>
                <w:b/>
                <w:bCs/>
                <w:color w:val="FFFFFF"/>
                <w:sz w:val="16"/>
                <w:szCs w:val="16"/>
                <w:lang w:eastAsia="en-AU"/>
              </w:rPr>
              <w:t xml:space="preserve">Mental health bed days </w:t>
            </w:r>
          </w:p>
        </w:tc>
      </w:tr>
      <w:tr w:rsidR="000A3FB3" w:rsidRPr="000A3FB3" w14:paraId="7C5D23D7" w14:textId="77777777" w:rsidTr="005826E3">
        <w:trPr>
          <w:trHeight w:val="300"/>
        </w:trPr>
        <w:tc>
          <w:tcPr>
            <w:tcW w:w="3400" w:type="dxa"/>
            <w:hideMark/>
          </w:tcPr>
          <w:p w14:paraId="2050A488" w14:textId="77777777" w:rsidR="000A3FB3" w:rsidRPr="000A3FB3" w:rsidRDefault="000A3FB3" w:rsidP="000A3FB3">
            <w:pPr>
              <w:spacing w:after="0" w:line="240" w:lineRule="auto"/>
              <w:rPr>
                <w:rFonts w:cs="Arial"/>
                <w:b/>
                <w:bCs/>
                <w:color w:val="000000"/>
                <w:sz w:val="16"/>
                <w:szCs w:val="16"/>
                <w:lang w:eastAsia="en-AU"/>
              </w:rPr>
            </w:pPr>
            <w:r w:rsidRPr="000A3FB3">
              <w:rPr>
                <w:rFonts w:cs="Arial"/>
                <w:b/>
                <w:bCs/>
                <w:color w:val="000000"/>
                <w:sz w:val="16"/>
                <w:szCs w:val="16"/>
                <w:lang w:eastAsia="en-AU"/>
              </w:rPr>
              <w:t>Total</w:t>
            </w:r>
          </w:p>
        </w:tc>
        <w:tc>
          <w:tcPr>
            <w:tcW w:w="1817" w:type="dxa"/>
            <w:hideMark/>
          </w:tcPr>
          <w:p w14:paraId="50C4A7AF" w14:textId="77777777" w:rsidR="000A3FB3" w:rsidRPr="000A3FB3" w:rsidRDefault="000A3FB3" w:rsidP="000A3FB3">
            <w:pPr>
              <w:spacing w:after="0" w:line="240" w:lineRule="auto"/>
              <w:jc w:val="right"/>
              <w:rPr>
                <w:rFonts w:cs="Arial"/>
                <w:b/>
                <w:bCs/>
                <w:color w:val="000000"/>
                <w:sz w:val="16"/>
                <w:szCs w:val="16"/>
                <w:lang w:eastAsia="en-AU"/>
              </w:rPr>
            </w:pPr>
            <w:r w:rsidRPr="000A3FB3">
              <w:rPr>
                <w:rFonts w:cs="Arial"/>
                <w:b/>
                <w:bCs/>
                <w:color w:val="000000"/>
                <w:sz w:val="16"/>
                <w:szCs w:val="16"/>
                <w:lang w:eastAsia="en-AU"/>
              </w:rPr>
              <w:t>1,317</w:t>
            </w:r>
          </w:p>
        </w:tc>
        <w:tc>
          <w:tcPr>
            <w:tcW w:w="1818" w:type="dxa"/>
            <w:hideMark/>
          </w:tcPr>
          <w:p w14:paraId="2361B9D8" w14:textId="77777777" w:rsidR="000A3FB3" w:rsidRPr="000A3FB3" w:rsidRDefault="000A3FB3" w:rsidP="000A3FB3">
            <w:pPr>
              <w:spacing w:after="0" w:line="240" w:lineRule="auto"/>
              <w:jc w:val="right"/>
              <w:rPr>
                <w:rFonts w:cs="Arial"/>
                <w:b/>
                <w:bCs/>
                <w:color w:val="000000"/>
                <w:sz w:val="16"/>
                <w:szCs w:val="16"/>
                <w:lang w:eastAsia="en-AU"/>
              </w:rPr>
            </w:pPr>
            <w:r w:rsidRPr="000A3FB3">
              <w:rPr>
                <w:rFonts w:cs="Arial"/>
                <w:b/>
                <w:bCs/>
                <w:color w:val="000000"/>
                <w:sz w:val="16"/>
                <w:szCs w:val="16"/>
                <w:lang w:eastAsia="en-AU"/>
              </w:rPr>
              <w:t>441,742</w:t>
            </w:r>
          </w:p>
        </w:tc>
        <w:tc>
          <w:tcPr>
            <w:tcW w:w="1818" w:type="dxa"/>
            <w:hideMark/>
          </w:tcPr>
          <w:p w14:paraId="77236211" w14:textId="77777777" w:rsidR="000A3FB3" w:rsidRPr="000A3FB3" w:rsidRDefault="000A3FB3" w:rsidP="000A3FB3">
            <w:pPr>
              <w:spacing w:after="0" w:line="240" w:lineRule="auto"/>
              <w:jc w:val="right"/>
              <w:rPr>
                <w:rFonts w:cs="Arial"/>
                <w:b/>
                <w:bCs/>
                <w:color w:val="000000"/>
                <w:sz w:val="16"/>
                <w:szCs w:val="16"/>
                <w:lang w:eastAsia="en-AU"/>
              </w:rPr>
            </w:pPr>
            <w:r w:rsidRPr="000A3FB3">
              <w:rPr>
                <w:rFonts w:cs="Arial"/>
                <w:b/>
                <w:bCs/>
                <w:color w:val="000000"/>
                <w:sz w:val="16"/>
                <w:szCs w:val="16"/>
                <w:lang w:eastAsia="en-AU"/>
              </w:rPr>
              <w:t>1,355</w:t>
            </w:r>
          </w:p>
        </w:tc>
        <w:tc>
          <w:tcPr>
            <w:tcW w:w="1818" w:type="dxa"/>
            <w:hideMark/>
          </w:tcPr>
          <w:p w14:paraId="237614C6" w14:textId="77777777" w:rsidR="000A3FB3" w:rsidRPr="000A3FB3" w:rsidRDefault="000A3FB3" w:rsidP="000A3FB3">
            <w:pPr>
              <w:spacing w:after="0" w:line="240" w:lineRule="auto"/>
              <w:jc w:val="right"/>
              <w:rPr>
                <w:rFonts w:cs="Arial"/>
                <w:b/>
                <w:bCs/>
                <w:color w:val="000000"/>
                <w:sz w:val="16"/>
                <w:szCs w:val="16"/>
                <w:lang w:eastAsia="en-AU"/>
              </w:rPr>
            </w:pPr>
            <w:r w:rsidRPr="000A3FB3">
              <w:rPr>
                <w:rFonts w:cs="Arial"/>
                <w:b/>
                <w:bCs/>
                <w:color w:val="000000"/>
                <w:sz w:val="16"/>
                <w:szCs w:val="16"/>
                <w:lang w:eastAsia="en-AU"/>
              </w:rPr>
              <w:t>464,592</w:t>
            </w:r>
          </w:p>
        </w:tc>
        <w:tc>
          <w:tcPr>
            <w:tcW w:w="1818" w:type="dxa"/>
            <w:hideMark/>
          </w:tcPr>
          <w:p w14:paraId="0407A74E" w14:textId="77777777" w:rsidR="000A3FB3" w:rsidRPr="000A3FB3" w:rsidRDefault="000A3FB3" w:rsidP="000A3FB3">
            <w:pPr>
              <w:spacing w:after="0" w:line="240" w:lineRule="auto"/>
              <w:jc w:val="right"/>
              <w:rPr>
                <w:rFonts w:cs="Arial"/>
                <w:b/>
                <w:bCs/>
                <w:color w:val="000000"/>
                <w:sz w:val="16"/>
                <w:szCs w:val="16"/>
                <w:lang w:eastAsia="en-AU"/>
              </w:rPr>
            </w:pPr>
            <w:r w:rsidRPr="000A3FB3">
              <w:rPr>
                <w:rFonts w:cs="Arial"/>
                <w:b/>
                <w:bCs/>
                <w:color w:val="000000"/>
                <w:sz w:val="16"/>
                <w:szCs w:val="16"/>
                <w:lang w:eastAsia="en-AU"/>
              </w:rPr>
              <w:t>2,656</w:t>
            </w:r>
          </w:p>
        </w:tc>
        <w:tc>
          <w:tcPr>
            <w:tcW w:w="1818" w:type="dxa"/>
            <w:hideMark/>
          </w:tcPr>
          <w:p w14:paraId="34AA17BB" w14:textId="77777777" w:rsidR="000A3FB3" w:rsidRPr="000A3FB3" w:rsidRDefault="000A3FB3" w:rsidP="000A3FB3">
            <w:pPr>
              <w:spacing w:after="0" w:line="240" w:lineRule="auto"/>
              <w:jc w:val="right"/>
              <w:rPr>
                <w:rFonts w:cs="Arial"/>
                <w:b/>
                <w:bCs/>
                <w:color w:val="000000"/>
                <w:sz w:val="16"/>
                <w:szCs w:val="16"/>
                <w:lang w:eastAsia="en-AU"/>
              </w:rPr>
            </w:pPr>
            <w:r w:rsidRPr="000A3FB3">
              <w:rPr>
                <w:rFonts w:cs="Arial"/>
                <w:b/>
                <w:bCs/>
                <w:color w:val="000000"/>
                <w:sz w:val="16"/>
                <w:szCs w:val="16"/>
                <w:lang w:eastAsia="en-AU"/>
              </w:rPr>
              <w:t>906,334</w:t>
            </w:r>
          </w:p>
        </w:tc>
      </w:tr>
    </w:tbl>
    <w:p w14:paraId="180C03F1" w14:textId="77777777" w:rsidR="002162F2" w:rsidRDefault="002162F2" w:rsidP="00B92CD4">
      <w:pPr>
        <w:pStyle w:val="Body"/>
      </w:pPr>
    </w:p>
    <w:p w14:paraId="10224C90" w14:textId="77777777" w:rsidR="00E369FC" w:rsidRDefault="00E369FC" w:rsidP="009375E0">
      <w:pPr>
        <w:pStyle w:val="Heading3"/>
        <w:spacing w:before="0"/>
        <w:sectPr w:rsidR="00E369FC" w:rsidSect="0031305A">
          <w:headerReference w:type="default" r:id="rId99"/>
          <w:footerReference w:type="even" r:id="rId100"/>
          <w:footerReference w:type="default" r:id="rId101"/>
          <w:pgSz w:w="16838" w:h="11906" w:orient="landscape" w:code="9"/>
          <w:pgMar w:top="1304" w:right="1418" w:bottom="1304" w:left="1134" w:header="680" w:footer="283" w:gutter="0"/>
          <w:cols w:space="340"/>
          <w:docGrid w:linePitch="360"/>
        </w:sectPr>
      </w:pPr>
      <w:bookmarkStart w:id="1383" w:name="_Toc12780678"/>
      <w:bookmarkStart w:id="1384" w:name="_Toc14172319"/>
      <w:bookmarkStart w:id="1385" w:name="_Toc33703993"/>
      <w:bookmarkStart w:id="1386" w:name="_Toc55381181"/>
      <w:bookmarkStart w:id="1387" w:name="_Toc100263385"/>
    </w:p>
    <w:p w14:paraId="7A38B902" w14:textId="41916E2D" w:rsidR="000B27B9" w:rsidRPr="00DE5BFB" w:rsidRDefault="000B27B9" w:rsidP="009375E0">
      <w:pPr>
        <w:pStyle w:val="Heading3"/>
        <w:spacing w:before="0"/>
      </w:pPr>
      <w:bookmarkStart w:id="1388" w:name="_Toc127192034"/>
      <w:r w:rsidRPr="00271AC6">
        <w:t xml:space="preserve">Mental </w:t>
      </w:r>
      <w:r w:rsidR="00331D5D">
        <w:t>H</w:t>
      </w:r>
      <w:r w:rsidRPr="00271AC6">
        <w:t xml:space="preserve">ealth </w:t>
      </w:r>
      <w:r w:rsidR="00331D5D">
        <w:t>A</w:t>
      </w:r>
      <w:r w:rsidRPr="00271AC6">
        <w:t xml:space="preserve">mbulatory </w:t>
      </w:r>
      <w:r w:rsidR="00331D5D" w:rsidRPr="00DE5BFB">
        <w:t>T</w:t>
      </w:r>
      <w:r w:rsidRPr="00DE5BFB">
        <w:t xml:space="preserve">argets </w:t>
      </w:r>
      <w:bookmarkEnd w:id="1383"/>
      <w:bookmarkEnd w:id="1384"/>
      <w:bookmarkEnd w:id="1385"/>
      <w:bookmarkEnd w:id="1386"/>
      <w:r w:rsidR="005D1FCB" w:rsidRPr="00DE5BFB">
        <w:t>2022</w:t>
      </w:r>
      <w:r w:rsidR="00F2096A" w:rsidRPr="00DE5BFB">
        <w:t>–</w:t>
      </w:r>
      <w:r w:rsidR="005D1FCB" w:rsidRPr="00DE5BFB">
        <w:t>23</w:t>
      </w:r>
      <w:bookmarkEnd w:id="1387"/>
      <w:bookmarkEnd w:id="1388"/>
    </w:p>
    <w:p w14:paraId="6D1E733E" w14:textId="17223A41" w:rsidR="000B27B9" w:rsidRDefault="000B27B9" w:rsidP="000E08EF">
      <w:pPr>
        <w:pStyle w:val="Tablecaption"/>
      </w:pPr>
      <w:bookmarkStart w:id="1389" w:name="_Toc12780584"/>
      <w:bookmarkStart w:id="1390" w:name="_Toc14194840"/>
      <w:bookmarkStart w:id="1391" w:name="_Toc33704021"/>
      <w:bookmarkStart w:id="1392" w:name="_Toc109894150"/>
      <w:bookmarkStart w:id="1393" w:name="_Toc119500931"/>
      <w:r w:rsidRPr="00DE5BFB">
        <w:t xml:space="preserve">Table </w:t>
      </w:r>
      <w:r>
        <w:fldChar w:fldCharType="begin"/>
      </w:r>
      <w:r>
        <w:instrText>STYLEREF 1 \s</w:instrText>
      </w:r>
      <w:r>
        <w:fldChar w:fldCharType="separate"/>
      </w:r>
      <w:r w:rsidR="006D0756" w:rsidRPr="00DE5BFB">
        <w:rPr>
          <w:noProof/>
        </w:rPr>
        <w:t>2</w:t>
      </w:r>
      <w:r>
        <w:fldChar w:fldCharType="end"/>
      </w:r>
      <w:r w:rsidR="00EC6300" w:rsidRPr="00DE5BFB">
        <w:t>.</w:t>
      </w:r>
      <w:r>
        <w:fldChar w:fldCharType="begin"/>
      </w:r>
      <w:r>
        <w:instrText>SEQ Table \* ARABIC \s 1</w:instrText>
      </w:r>
      <w:r>
        <w:fldChar w:fldCharType="separate"/>
      </w:r>
      <w:r w:rsidR="002A4F62">
        <w:rPr>
          <w:noProof/>
        </w:rPr>
        <w:t>23</w:t>
      </w:r>
      <w:r>
        <w:fldChar w:fldCharType="end"/>
      </w:r>
      <w:r w:rsidRPr="00DE5BFB">
        <w:t xml:space="preserve">: Mental health acute, non-acute, subacute and residential service hour targets </w:t>
      </w:r>
      <w:bookmarkEnd w:id="1389"/>
      <w:bookmarkEnd w:id="1390"/>
      <w:bookmarkEnd w:id="1391"/>
      <w:r w:rsidR="005D1FCB" w:rsidRPr="00DE5BFB">
        <w:t>2022</w:t>
      </w:r>
      <w:r w:rsidR="00F2096A" w:rsidRPr="00DE5BFB">
        <w:t>–</w:t>
      </w:r>
      <w:r w:rsidR="005D1FCB" w:rsidRPr="00DE5BFB">
        <w:t>23</w:t>
      </w:r>
      <w:bookmarkEnd w:id="1392"/>
      <w:bookmarkEnd w:id="1393"/>
    </w:p>
    <w:p w14:paraId="0281130E" w14:textId="778FEBDF" w:rsidR="009A0F3A" w:rsidRPr="009A0F3A" w:rsidRDefault="009A0F3A" w:rsidP="009C67FC">
      <w:pPr>
        <w:pStyle w:val="Body"/>
        <w:rPr>
          <w:sz w:val="18"/>
          <w:szCs w:val="18"/>
        </w:rPr>
      </w:pPr>
      <w:r w:rsidRPr="009A0F3A">
        <w:rPr>
          <w:sz w:val="18"/>
          <w:szCs w:val="18"/>
        </w:rPr>
        <w:t>Note:</w:t>
      </w:r>
    </w:p>
    <w:p w14:paraId="02618038" w14:textId="77777777" w:rsidR="009A0F3A" w:rsidRPr="009A0F3A" w:rsidRDefault="009A0F3A" w:rsidP="009A0F3A">
      <w:pPr>
        <w:pStyle w:val="Tablefigurenote9pt"/>
        <w:numPr>
          <w:ilvl w:val="0"/>
          <w:numId w:val="49"/>
        </w:numPr>
        <w:rPr>
          <w:szCs w:val="18"/>
        </w:rPr>
      </w:pPr>
      <w:r w:rsidRPr="00996987">
        <w:rPr>
          <w:szCs w:val="18"/>
        </w:rPr>
        <w:t>2022-23 targets are under review on the basis of FYTD performance and the need for adjustment to reflect 2022-23 growth allocations</w:t>
      </w:r>
      <w:r w:rsidRPr="009A0F3A">
        <w:rPr>
          <w:szCs w:val="18"/>
        </w:rPr>
        <w:t>.</w:t>
      </w:r>
    </w:p>
    <w:p w14:paraId="347693CC" w14:textId="0BFD7D30" w:rsidR="009A0F3A" w:rsidRPr="009A0F3A" w:rsidRDefault="009A0F3A" w:rsidP="009A0F3A">
      <w:pPr>
        <w:pStyle w:val="Body"/>
        <w:numPr>
          <w:ilvl w:val="0"/>
          <w:numId w:val="49"/>
        </w:numPr>
        <w:rPr>
          <w:sz w:val="18"/>
          <w:szCs w:val="18"/>
        </w:rPr>
      </w:pPr>
      <w:r w:rsidRPr="009A0F3A">
        <w:rPr>
          <w:sz w:val="18"/>
          <w:szCs w:val="18"/>
        </w:rPr>
        <w:t xml:space="preserve">Northern </w:t>
      </w:r>
      <w:r w:rsidRPr="00996987">
        <w:rPr>
          <w:sz w:val="18"/>
          <w:szCs w:val="18"/>
        </w:rPr>
        <w:t>Health became a designated mental health service from 1 July 2022. Realignment of community service funding and targets from Melbourne Health to Northern Health are currently under review</w:t>
      </w:r>
      <w:r w:rsidRPr="009A0F3A">
        <w:rPr>
          <w:sz w:val="18"/>
          <w:szCs w:val="18"/>
        </w:rPr>
        <w:t>.</w:t>
      </w:r>
    </w:p>
    <w:p w14:paraId="54806FA8" w14:textId="77777777" w:rsidR="009A0F3A" w:rsidRDefault="009A0F3A" w:rsidP="009C67FC">
      <w:pPr>
        <w:pStyle w:val="Body"/>
      </w:pPr>
    </w:p>
    <w:p w14:paraId="396F2FF6" w14:textId="1994F4D3" w:rsidR="009C67FC" w:rsidRDefault="009C67FC" w:rsidP="009C67FC">
      <w:pPr>
        <w:pStyle w:val="Body"/>
      </w:pPr>
      <w:r>
        <w:t>Metropolitan and regional</w:t>
      </w:r>
    </w:p>
    <w:tbl>
      <w:tblPr>
        <w:tblStyle w:val="TableGrid1"/>
        <w:tblW w:w="6227" w:type="dxa"/>
        <w:tblLook w:val="04A0" w:firstRow="1" w:lastRow="0" w:firstColumn="1" w:lastColumn="0" w:noHBand="0" w:noVBand="1"/>
      </w:tblPr>
      <w:tblGrid>
        <w:gridCol w:w="3380"/>
        <w:gridCol w:w="2847"/>
      </w:tblGrid>
      <w:tr w:rsidR="008807AD" w:rsidRPr="008807AD" w14:paraId="4A6AE09B" w14:textId="77777777" w:rsidTr="005826E3">
        <w:trPr>
          <w:cnfStyle w:val="100000000000" w:firstRow="1" w:lastRow="0" w:firstColumn="0" w:lastColumn="0" w:oddVBand="0" w:evenVBand="0" w:oddHBand="0" w:evenHBand="0" w:firstRowFirstColumn="0" w:firstRowLastColumn="0" w:lastRowFirstColumn="0" w:lastRowLastColumn="0"/>
          <w:trHeight w:val="420"/>
        </w:trPr>
        <w:tc>
          <w:tcPr>
            <w:tcW w:w="3380" w:type="dxa"/>
            <w:hideMark/>
          </w:tcPr>
          <w:p w14:paraId="2E57CC88" w14:textId="77777777" w:rsidR="008807AD" w:rsidRPr="008807AD" w:rsidRDefault="008807AD" w:rsidP="008807AD">
            <w:pPr>
              <w:spacing w:after="0" w:line="240" w:lineRule="auto"/>
              <w:rPr>
                <w:rFonts w:cs="Arial"/>
                <w:b/>
                <w:bCs/>
                <w:color w:val="FFFFFF"/>
                <w:sz w:val="16"/>
                <w:szCs w:val="16"/>
                <w:lang w:eastAsia="en-AU"/>
              </w:rPr>
            </w:pPr>
            <w:r w:rsidRPr="008807AD">
              <w:rPr>
                <w:rFonts w:cs="Arial"/>
                <w:b/>
                <w:bCs/>
                <w:color w:val="FFFFFF"/>
                <w:sz w:val="16"/>
                <w:szCs w:val="16"/>
                <w:lang w:eastAsia="en-AU"/>
              </w:rPr>
              <w:t>Health service</w:t>
            </w:r>
          </w:p>
        </w:tc>
        <w:tc>
          <w:tcPr>
            <w:tcW w:w="2847" w:type="dxa"/>
            <w:hideMark/>
          </w:tcPr>
          <w:p w14:paraId="794E42F0" w14:textId="77777777" w:rsidR="008807AD" w:rsidRPr="008807AD" w:rsidRDefault="008807AD" w:rsidP="008807AD">
            <w:pPr>
              <w:spacing w:after="0" w:line="240" w:lineRule="auto"/>
              <w:jc w:val="right"/>
              <w:rPr>
                <w:rFonts w:cs="Arial"/>
                <w:b/>
                <w:bCs/>
                <w:color w:val="FFFFFF"/>
                <w:sz w:val="16"/>
                <w:szCs w:val="16"/>
                <w:lang w:eastAsia="en-AU"/>
              </w:rPr>
            </w:pPr>
            <w:r w:rsidRPr="008807AD">
              <w:rPr>
                <w:rFonts w:cs="Arial"/>
                <w:b/>
                <w:bCs/>
                <w:color w:val="FFFFFF"/>
                <w:sz w:val="16"/>
                <w:szCs w:val="16"/>
                <w:lang w:eastAsia="en-AU"/>
              </w:rPr>
              <w:t>Ambulatory contacts</w:t>
            </w:r>
          </w:p>
        </w:tc>
      </w:tr>
      <w:tr w:rsidR="008807AD" w:rsidRPr="008807AD" w14:paraId="07C64F07" w14:textId="77777777" w:rsidTr="005826E3">
        <w:trPr>
          <w:trHeight w:val="300"/>
        </w:trPr>
        <w:tc>
          <w:tcPr>
            <w:tcW w:w="3380" w:type="dxa"/>
            <w:hideMark/>
          </w:tcPr>
          <w:p w14:paraId="0137780C"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Albury Wodonga Health</w:t>
            </w:r>
          </w:p>
        </w:tc>
        <w:tc>
          <w:tcPr>
            <w:tcW w:w="2847" w:type="dxa"/>
            <w:hideMark/>
          </w:tcPr>
          <w:p w14:paraId="480520C0"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44,747</w:t>
            </w:r>
          </w:p>
        </w:tc>
      </w:tr>
      <w:tr w:rsidR="008807AD" w:rsidRPr="008807AD" w14:paraId="6BAD4497" w14:textId="77777777" w:rsidTr="005826E3">
        <w:trPr>
          <w:trHeight w:val="300"/>
        </w:trPr>
        <w:tc>
          <w:tcPr>
            <w:tcW w:w="3380" w:type="dxa"/>
            <w:hideMark/>
          </w:tcPr>
          <w:p w14:paraId="5DD28659"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Alfred Health</w:t>
            </w:r>
          </w:p>
        </w:tc>
        <w:tc>
          <w:tcPr>
            <w:tcW w:w="2847" w:type="dxa"/>
            <w:hideMark/>
          </w:tcPr>
          <w:p w14:paraId="7078F71F"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118,235</w:t>
            </w:r>
          </w:p>
        </w:tc>
      </w:tr>
      <w:tr w:rsidR="008807AD" w:rsidRPr="008807AD" w14:paraId="1D66D455" w14:textId="77777777" w:rsidTr="005826E3">
        <w:trPr>
          <w:trHeight w:val="300"/>
        </w:trPr>
        <w:tc>
          <w:tcPr>
            <w:tcW w:w="3380" w:type="dxa"/>
            <w:hideMark/>
          </w:tcPr>
          <w:p w14:paraId="712D3715"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Austin Health</w:t>
            </w:r>
          </w:p>
        </w:tc>
        <w:tc>
          <w:tcPr>
            <w:tcW w:w="2847" w:type="dxa"/>
            <w:hideMark/>
          </w:tcPr>
          <w:p w14:paraId="6EA725EC"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83,303</w:t>
            </w:r>
          </w:p>
        </w:tc>
      </w:tr>
      <w:tr w:rsidR="008807AD" w:rsidRPr="008807AD" w14:paraId="6667BEC7" w14:textId="77777777" w:rsidTr="005826E3">
        <w:trPr>
          <w:trHeight w:val="300"/>
        </w:trPr>
        <w:tc>
          <w:tcPr>
            <w:tcW w:w="3380" w:type="dxa"/>
            <w:hideMark/>
          </w:tcPr>
          <w:p w14:paraId="0CEC95A0"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Ballarat Health Services</w:t>
            </w:r>
          </w:p>
        </w:tc>
        <w:tc>
          <w:tcPr>
            <w:tcW w:w="2847" w:type="dxa"/>
            <w:hideMark/>
          </w:tcPr>
          <w:p w14:paraId="6B34DF4F"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73,858</w:t>
            </w:r>
          </w:p>
        </w:tc>
      </w:tr>
      <w:tr w:rsidR="008807AD" w:rsidRPr="008807AD" w14:paraId="2A32F59A" w14:textId="77777777" w:rsidTr="005826E3">
        <w:trPr>
          <w:trHeight w:val="300"/>
        </w:trPr>
        <w:tc>
          <w:tcPr>
            <w:tcW w:w="3380" w:type="dxa"/>
            <w:hideMark/>
          </w:tcPr>
          <w:p w14:paraId="350EB37B"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Barwon Health</w:t>
            </w:r>
          </w:p>
        </w:tc>
        <w:tc>
          <w:tcPr>
            <w:tcW w:w="2847" w:type="dxa"/>
            <w:hideMark/>
          </w:tcPr>
          <w:p w14:paraId="100851B3"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90,058</w:t>
            </w:r>
          </w:p>
        </w:tc>
      </w:tr>
      <w:tr w:rsidR="008807AD" w:rsidRPr="008807AD" w14:paraId="13148ACD" w14:textId="77777777" w:rsidTr="005826E3">
        <w:trPr>
          <w:trHeight w:val="300"/>
        </w:trPr>
        <w:tc>
          <w:tcPr>
            <w:tcW w:w="3380" w:type="dxa"/>
            <w:hideMark/>
          </w:tcPr>
          <w:p w14:paraId="0004E9EB"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Bendigo Health Care Group</w:t>
            </w:r>
          </w:p>
        </w:tc>
        <w:tc>
          <w:tcPr>
            <w:tcW w:w="2847" w:type="dxa"/>
            <w:hideMark/>
          </w:tcPr>
          <w:p w14:paraId="578E8F19"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84,277</w:t>
            </w:r>
          </w:p>
        </w:tc>
      </w:tr>
      <w:tr w:rsidR="008807AD" w:rsidRPr="008807AD" w14:paraId="25D229F1" w14:textId="77777777" w:rsidTr="005826E3">
        <w:trPr>
          <w:trHeight w:val="300"/>
        </w:trPr>
        <w:tc>
          <w:tcPr>
            <w:tcW w:w="3380" w:type="dxa"/>
            <w:hideMark/>
          </w:tcPr>
          <w:p w14:paraId="161D9E36"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Eastern Health</w:t>
            </w:r>
          </w:p>
        </w:tc>
        <w:tc>
          <w:tcPr>
            <w:tcW w:w="2847" w:type="dxa"/>
            <w:hideMark/>
          </w:tcPr>
          <w:p w14:paraId="094B38E4"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215,218</w:t>
            </w:r>
          </w:p>
        </w:tc>
      </w:tr>
      <w:tr w:rsidR="008807AD" w:rsidRPr="008807AD" w14:paraId="17CF89AB" w14:textId="77777777" w:rsidTr="005826E3">
        <w:trPr>
          <w:trHeight w:val="300"/>
        </w:trPr>
        <w:tc>
          <w:tcPr>
            <w:tcW w:w="3380" w:type="dxa"/>
            <w:hideMark/>
          </w:tcPr>
          <w:p w14:paraId="0A9FD55A"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Goulburn Valley Health</w:t>
            </w:r>
          </w:p>
        </w:tc>
        <w:tc>
          <w:tcPr>
            <w:tcW w:w="2847" w:type="dxa"/>
            <w:hideMark/>
          </w:tcPr>
          <w:p w14:paraId="30C88628"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51,334</w:t>
            </w:r>
          </w:p>
        </w:tc>
      </w:tr>
      <w:tr w:rsidR="008807AD" w:rsidRPr="008807AD" w14:paraId="339FDC61" w14:textId="77777777" w:rsidTr="005826E3">
        <w:trPr>
          <w:trHeight w:val="300"/>
        </w:trPr>
        <w:tc>
          <w:tcPr>
            <w:tcW w:w="3380" w:type="dxa"/>
            <w:hideMark/>
          </w:tcPr>
          <w:p w14:paraId="0FE1367F"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Latrobe Regional Hospital</w:t>
            </w:r>
          </w:p>
        </w:tc>
        <w:tc>
          <w:tcPr>
            <w:tcW w:w="2847" w:type="dxa"/>
            <w:hideMark/>
          </w:tcPr>
          <w:p w14:paraId="4DF463A7"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83,802</w:t>
            </w:r>
          </w:p>
        </w:tc>
      </w:tr>
      <w:tr w:rsidR="008807AD" w:rsidRPr="008807AD" w14:paraId="47305E52" w14:textId="77777777" w:rsidTr="005826E3">
        <w:trPr>
          <w:trHeight w:val="300"/>
        </w:trPr>
        <w:tc>
          <w:tcPr>
            <w:tcW w:w="3380" w:type="dxa"/>
            <w:hideMark/>
          </w:tcPr>
          <w:p w14:paraId="16D63F7F"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Melbourne Health</w:t>
            </w:r>
          </w:p>
        </w:tc>
        <w:tc>
          <w:tcPr>
            <w:tcW w:w="2847" w:type="dxa"/>
            <w:hideMark/>
          </w:tcPr>
          <w:p w14:paraId="344E9ED7"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348,865</w:t>
            </w:r>
          </w:p>
        </w:tc>
      </w:tr>
      <w:tr w:rsidR="008807AD" w:rsidRPr="008807AD" w14:paraId="64577DFB" w14:textId="77777777" w:rsidTr="005826E3">
        <w:trPr>
          <w:trHeight w:val="300"/>
        </w:trPr>
        <w:tc>
          <w:tcPr>
            <w:tcW w:w="3380" w:type="dxa"/>
            <w:hideMark/>
          </w:tcPr>
          <w:p w14:paraId="259F3CD1"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Mercy Health</w:t>
            </w:r>
          </w:p>
        </w:tc>
        <w:tc>
          <w:tcPr>
            <w:tcW w:w="2847" w:type="dxa"/>
            <w:hideMark/>
          </w:tcPr>
          <w:p w14:paraId="68ECED46"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84,447</w:t>
            </w:r>
          </w:p>
        </w:tc>
      </w:tr>
      <w:tr w:rsidR="008807AD" w:rsidRPr="008807AD" w14:paraId="3C04AA0E" w14:textId="77777777" w:rsidTr="005826E3">
        <w:trPr>
          <w:trHeight w:val="300"/>
        </w:trPr>
        <w:tc>
          <w:tcPr>
            <w:tcW w:w="3380" w:type="dxa"/>
            <w:hideMark/>
          </w:tcPr>
          <w:p w14:paraId="0B88E113"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Monash Health</w:t>
            </w:r>
          </w:p>
        </w:tc>
        <w:tc>
          <w:tcPr>
            <w:tcW w:w="2847" w:type="dxa"/>
            <w:hideMark/>
          </w:tcPr>
          <w:p w14:paraId="1D2F560B"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255,395</w:t>
            </w:r>
          </w:p>
        </w:tc>
      </w:tr>
      <w:tr w:rsidR="008807AD" w:rsidRPr="008807AD" w14:paraId="4F436B40" w14:textId="77777777" w:rsidTr="005826E3">
        <w:trPr>
          <w:trHeight w:val="300"/>
        </w:trPr>
        <w:tc>
          <w:tcPr>
            <w:tcW w:w="3380" w:type="dxa"/>
            <w:hideMark/>
          </w:tcPr>
          <w:p w14:paraId="19FCAE8F"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Peninsula Health</w:t>
            </w:r>
          </w:p>
        </w:tc>
        <w:tc>
          <w:tcPr>
            <w:tcW w:w="2847" w:type="dxa"/>
            <w:hideMark/>
          </w:tcPr>
          <w:p w14:paraId="0DC164C4"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69,995</w:t>
            </w:r>
          </w:p>
        </w:tc>
      </w:tr>
      <w:tr w:rsidR="008807AD" w:rsidRPr="008807AD" w14:paraId="1D4F495F" w14:textId="77777777" w:rsidTr="005826E3">
        <w:trPr>
          <w:trHeight w:val="300"/>
        </w:trPr>
        <w:tc>
          <w:tcPr>
            <w:tcW w:w="3380" w:type="dxa"/>
            <w:hideMark/>
          </w:tcPr>
          <w:p w14:paraId="68764AFE"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St Vincent’s Hospital</w:t>
            </w:r>
          </w:p>
        </w:tc>
        <w:tc>
          <w:tcPr>
            <w:tcW w:w="2847" w:type="dxa"/>
            <w:hideMark/>
          </w:tcPr>
          <w:p w14:paraId="1D27DCD3"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81,571</w:t>
            </w:r>
          </w:p>
        </w:tc>
      </w:tr>
      <w:tr w:rsidR="008807AD" w:rsidRPr="008807AD" w14:paraId="012D38AA" w14:textId="77777777" w:rsidTr="005826E3">
        <w:trPr>
          <w:trHeight w:val="300"/>
        </w:trPr>
        <w:tc>
          <w:tcPr>
            <w:tcW w:w="3380" w:type="dxa"/>
            <w:hideMark/>
          </w:tcPr>
          <w:p w14:paraId="05BE7644" w14:textId="77777777" w:rsidR="008807AD" w:rsidRPr="008807AD" w:rsidRDefault="008807AD" w:rsidP="008807AD">
            <w:pPr>
              <w:spacing w:after="0" w:line="240" w:lineRule="auto"/>
              <w:rPr>
                <w:rFonts w:cs="Arial"/>
                <w:color w:val="000000"/>
                <w:sz w:val="16"/>
                <w:szCs w:val="16"/>
                <w:lang w:eastAsia="en-AU"/>
              </w:rPr>
            </w:pPr>
            <w:r w:rsidRPr="008807AD">
              <w:rPr>
                <w:rFonts w:cs="Arial"/>
                <w:color w:val="000000"/>
                <w:sz w:val="16"/>
                <w:szCs w:val="16"/>
                <w:lang w:eastAsia="en-AU"/>
              </w:rPr>
              <w:t>The Royal Children’s Hospital</w:t>
            </w:r>
          </w:p>
        </w:tc>
        <w:tc>
          <w:tcPr>
            <w:tcW w:w="2847" w:type="dxa"/>
            <w:hideMark/>
          </w:tcPr>
          <w:p w14:paraId="76CBBD61" w14:textId="77777777" w:rsidR="008807AD" w:rsidRPr="008807AD" w:rsidRDefault="008807AD" w:rsidP="008807AD">
            <w:pPr>
              <w:spacing w:after="0" w:line="240" w:lineRule="auto"/>
              <w:jc w:val="right"/>
              <w:rPr>
                <w:rFonts w:cs="Arial"/>
                <w:color w:val="000000"/>
                <w:sz w:val="16"/>
                <w:szCs w:val="16"/>
                <w:lang w:eastAsia="en-AU"/>
              </w:rPr>
            </w:pPr>
            <w:r w:rsidRPr="008807AD">
              <w:rPr>
                <w:rFonts w:cs="Arial"/>
                <w:color w:val="000000"/>
                <w:sz w:val="16"/>
                <w:szCs w:val="16"/>
                <w:lang w:eastAsia="en-AU"/>
              </w:rPr>
              <w:t>44,209</w:t>
            </w:r>
          </w:p>
        </w:tc>
      </w:tr>
    </w:tbl>
    <w:p w14:paraId="2B7A7805" w14:textId="77777777" w:rsidR="008807AD" w:rsidRDefault="008807AD" w:rsidP="009C67FC">
      <w:pPr>
        <w:pStyle w:val="Body"/>
      </w:pPr>
    </w:p>
    <w:p w14:paraId="3800DD99" w14:textId="419CED6F" w:rsidR="00F2096A" w:rsidRDefault="00F2096A" w:rsidP="00AE6427">
      <w:pPr>
        <w:pStyle w:val="Body"/>
        <w:spacing w:before="60"/>
      </w:pPr>
      <w:r>
        <w:t xml:space="preserve">Subregional </w:t>
      </w:r>
      <w:r w:rsidRPr="00F2096A">
        <w:t>and</w:t>
      </w:r>
      <w:r>
        <w:t xml:space="preserve"> </w:t>
      </w:r>
      <w:r w:rsidRPr="00F2096A">
        <w:t>local</w:t>
      </w:r>
      <w:r>
        <w:t xml:space="preserve"> </w:t>
      </w:r>
    </w:p>
    <w:tbl>
      <w:tblPr>
        <w:tblStyle w:val="TableGrid1"/>
        <w:tblW w:w="6227" w:type="dxa"/>
        <w:tblLook w:val="04A0" w:firstRow="1" w:lastRow="0" w:firstColumn="1" w:lastColumn="0" w:noHBand="0" w:noVBand="1"/>
      </w:tblPr>
      <w:tblGrid>
        <w:gridCol w:w="3380"/>
        <w:gridCol w:w="2847"/>
      </w:tblGrid>
      <w:tr w:rsidR="00E77D60" w:rsidRPr="00E77D60" w14:paraId="40CDDD2B" w14:textId="77777777" w:rsidTr="005826E3">
        <w:trPr>
          <w:cnfStyle w:val="100000000000" w:firstRow="1" w:lastRow="0" w:firstColumn="0" w:lastColumn="0" w:oddVBand="0" w:evenVBand="0" w:oddHBand="0" w:evenHBand="0" w:firstRowFirstColumn="0" w:firstRowLastColumn="0" w:lastRowFirstColumn="0" w:lastRowLastColumn="0"/>
          <w:trHeight w:val="420"/>
        </w:trPr>
        <w:tc>
          <w:tcPr>
            <w:tcW w:w="3380" w:type="dxa"/>
            <w:hideMark/>
          </w:tcPr>
          <w:p w14:paraId="01B44501" w14:textId="77777777" w:rsidR="00E77D60" w:rsidRPr="00E77D60" w:rsidRDefault="00E77D60" w:rsidP="00E77D60">
            <w:pPr>
              <w:spacing w:after="0" w:line="240" w:lineRule="auto"/>
              <w:rPr>
                <w:rFonts w:cs="Arial"/>
                <w:b/>
                <w:bCs/>
                <w:color w:val="FFFFFF"/>
                <w:sz w:val="16"/>
                <w:szCs w:val="16"/>
                <w:lang w:eastAsia="en-AU"/>
              </w:rPr>
            </w:pPr>
            <w:r w:rsidRPr="00E77D60">
              <w:rPr>
                <w:rFonts w:cs="Arial"/>
                <w:b/>
                <w:bCs/>
                <w:color w:val="FFFFFF"/>
                <w:sz w:val="16"/>
                <w:szCs w:val="16"/>
                <w:lang w:eastAsia="en-AU"/>
              </w:rPr>
              <w:t>Health service</w:t>
            </w:r>
          </w:p>
        </w:tc>
        <w:tc>
          <w:tcPr>
            <w:tcW w:w="2847" w:type="dxa"/>
            <w:hideMark/>
          </w:tcPr>
          <w:p w14:paraId="7BC7F34D" w14:textId="77777777" w:rsidR="00E77D60" w:rsidRPr="00E77D60" w:rsidRDefault="00E77D60" w:rsidP="00E77D60">
            <w:pPr>
              <w:spacing w:after="0" w:line="240" w:lineRule="auto"/>
              <w:jc w:val="right"/>
              <w:rPr>
                <w:rFonts w:cs="Arial"/>
                <w:b/>
                <w:bCs/>
                <w:color w:val="FFFFFF"/>
                <w:sz w:val="16"/>
                <w:szCs w:val="16"/>
                <w:lang w:eastAsia="en-AU"/>
              </w:rPr>
            </w:pPr>
            <w:r w:rsidRPr="00E77D60">
              <w:rPr>
                <w:rFonts w:cs="Arial"/>
                <w:b/>
                <w:bCs/>
                <w:color w:val="FFFFFF"/>
                <w:sz w:val="16"/>
                <w:szCs w:val="16"/>
                <w:lang w:eastAsia="en-AU"/>
              </w:rPr>
              <w:t>Ambulatory contacts</w:t>
            </w:r>
          </w:p>
        </w:tc>
      </w:tr>
      <w:tr w:rsidR="00E77D60" w:rsidRPr="00E77D60" w14:paraId="37D7965B" w14:textId="77777777" w:rsidTr="005826E3">
        <w:trPr>
          <w:trHeight w:val="300"/>
        </w:trPr>
        <w:tc>
          <w:tcPr>
            <w:tcW w:w="3380" w:type="dxa"/>
            <w:hideMark/>
          </w:tcPr>
          <w:p w14:paraId="34AA7F55" w14:textId="77777777" w:rsidR="00E77D60" w:rsidRPr="00E77D60" w:rsidRDefault="00E77D60" w:rsidP="00E77D60">
            <w:pPr>
              <w:spacing w:after="0" w:line="240" w:lineRule="auto"/>
              <w:rPr>
                <w:rFonts w:cs="Arial"/>
                <w:color w:val="000000"/>
                <w:sz w:val="16"/>
                <w:szCs w:val="16"/>
                <w:lang w:eastAsia="en-AU"/>
              </w:rPr>
            </w:pPr>
            <w:r w:rsidRPr="00E77D60">
              <w:rPr>
                <w:rFonts w:cs="Arial"/>
                <w:color w:val="000000"/>
                <w:sz w:val="16"/>
                <w:szCs w:val="16"/>
                <w:lang w:eastAsia="en-AU"/>
              </w:rPr>
              <w:t>Mildura Base Hospital</w:t>
            </w:r>
          </w:p>
        </w:tc>
        <w:tc>
          <w:tcPr>
            <w:tcW w:w="2847" w:type="dxa"/>
            <w:hideMark/>
          </w:tcPr>
          <w:p w14:paraId="0BE3A903" w14:textId="77777777" w:rsidR="00E77D60" w:rsidRPr="00E77D60" w:rsidRDefault="00E77D60" w:rsidP="00E77D60">
            <w:pPr>
              <w:spacing w:after="0" w:line="240" w:lineRule="auto"/>
              <w:jc w:val="right"/>
              <w:rPr>
                <w:rFonts w:cs="Arial"/>
                <w:color w:val="000000"/>
                <w:sz w:val="16"/>
                <w:szCs w:val="16"/>
                <w:lang w:eastAsia="en-AU"/>
              </w:rPr>
            </w:pPr>
            <w:r w:rsidRPr="00E77D60">
              <w:rPr>
                <w:rFonts w:cs="Arial"/>
                <w:color w:val="000000"/>
                <w:sz w:val="16"/>
                <w:szCs w:val="16"/>
                <w:lang w:eastAsia="en-AU"/>
              </w:rPr>
              <w:t>30,622</w:t>
            </w:r>
          </w:p>
        </w:tc>
      </w:tr>
      <w:tr w:rsidR="00E77D60" w:rsidRPr="00E77D60" w14:paraId="01DC5AA2" w14:textId="77777777" w:rsidTr="005826E3">
        <w:trPr>
          <w:trHeight w:val="300"/>
        </w:trPr>
        <w:tc>
          <w:tcPr>
            <w:tcW w:w="3380" w:type="dxa"/>
            <w:hideMark/>
          </w:tcPr>
          <w:p w14:paraId="64AFF8B9" w14:textId="77777777" w:rsidR="00E77D60" w:rsidRPr="00E77D60" w:rsidRDefault="00E77D60" w:rsidP="00E77D60">
            <w:pPr>
              <w:spacing w:after="0" w:line="240" w:lineRule="auto"/>
              <w:rPr>
                <w:rFonts w:cs="Arial"/>
                <w:color w:val="000000"/>
                <w:sz w:val="16"/>
                <w:szCs w:val="16"/>
                <w:lang w:eastAsia="en-AU"/>
              </w:rPr>
            </w:pPr>
            <w:r w:rsidRPr="00E77D60">
              <w:rPr>
                <w:rFonts w:cs="Arial"/>
                <w:color w:val="000000"/>
                <w:sz w:val="16"/>
                <w:szCs w:val="16"/>
                <w:lang w:eastAsia="en-AU"/>
              </w:rPr>
              <w:t>South West Healthcare</w:t>
            </w:r>
          </w:p>
        </w:tc>
        <w:tc>
          <w:tcPr>
            <w:tcW w:w="2847" w:type="dxa"/>
            <w:hideMark/>
          </w:tcPr>
          <w:p w14:paraId="4DE5BEFA" w14:textId="77777777" w:rsidR="00E77D60" w:rsidRPr="00E77D60" w:rsidRDefault="00E77D60" w:rsidP="00E77D60">
            <w:pPr>
              <w:spacing w:after="0" w:line="240" w:lineRule="auto"/>
              <w:jc w:val="right"/>
              <w:rPr>
                <w:rFonts w:cs="Arial"/>
                <w:color w:val="000000"/>
                <w:sz w:val="16"/>
                <w:szCs w:val="16"/>
                <w:lang w:eastAsia="en-AU"/>
              </w:rPr>
            </w:pPr>
            <w:r w:rsidRPr="00E77D60">
              <w:rPr>
                <w:rFonts w:cs="Arial"/>
                <w:color w:val="000000"/>
                <w:sz w:val="16"/>
                <w:szCs w:val="16"/>
                <w:lang w:eastAsia="en-AU"/>
              </w:rPr>
              <w:t>39,904</w:t>
            </w:r>
          </w:p>
        </w:tc>
      </w:tr>
    </w:tbl>
    <w:p w14:paraId="482E30D2" w14:textId="77777777" w:rsidR="00E77D60" w:rsidRDefault="00E77D60" w:rsidP="00AE6427">
      <w:pPr>
        <w:pStyle w:val="Body"/>
        <w:spacing w:before="60"/>
      </w:pPr>
    </w:p>
    <w:p w14:paraId="2A3C7AAA" w14:textId="29853843" w:rsidR="00F2096A" w:rsidRDefault="00F2096A" w:rsidP="00AE6427">
      <w:pPr>
        <w:pStyle w:val="Body"/>
        <w:spacing w:before="60"/>
      </w:pPr>
      <w:r>
        <w:t xml:space="preserve">Combined </w:t>
      </w:r>
      <w:r w:rsidRPr="00F2096A">
        <w:t>total</w:t>
      </w:r>
    </w:p>
    <w:tbl>
      <w:tblPr>
        <w:tblStyle w:val="TableGrid1"/>
        <w:tblW w:w="6227" w:type="dxa"/>
        <w:tblLook w:val="04A0" w:firstRow="1" w:lastRow="0" w:firstColumn="1" w:lastColumn="0" w:noHBand="0" w:noVBand="1"/>
      </w:tblPr>
      <w:tblGrid>
        <w:gridCol w:w="3380"/>
        <w:gridCol w:w="2847"/>
      </w:tblGrid>
      <w:tr w:rsidR="000D6B56" w:rsidRPr="000D6B56" w14:paraId="5801310E" w14:textId="77777777" w:rsidTr="005826E3">
        <w:trPr>
          <w:cnfStyle w:val="100000000000" w:firstRow="1" w:lastRow="0" w:firstColumn="0" w:lastColumn="0" w:oddVBand="0" w:evenVBand="0" w:oddHBand="0" w:evenHBand="0" w:firstRowFirstColumn="0" w:firstRowLastColumn="0" w:lastRowFirstColumn="0" w:lastRowLastColumn="0"/>
          <w:trHeight w:val="420"/>
        </w:trPr>
        <w:tc>
          <w:tcPr>
            <w:tcW w:w="3380" w:type="dxa"/>
            <w:hideMark/>
          </w:tcPr>
          <w:p w14:paraId="4982EAF7" w14:textId="77777777" w:rsidR="000D6B56" w:rsidRPr="000D6B56" w:rsidRDefault="000D6B56" w:rsidP="000D6B56">
            <w:pPr>
              <w:spacing w:after="0" w:line="240" w:lineRule="auto"/>
              <w:rPr>
                <w:rFonts w:cs="Arial"/>
                <w:b/>
                <w:bCs/>
                <w:color w:val="FFFFFF"/>
                <w:sz w:val="16"/>
                <w:szCs w:val="16"/>
                <w:lang w:eastAsia="en-AU"/>
              </w:rPr>
            </w:pPr>
            <w:bookmarkStart w:id="1394" w:name="_Toc110950079"/>
            <w:bookmarkStart w:id="1395" w:name="_Toc12780679"/>
            <w:bookmarkStart w:id="1396" w:name="_Toc14172320"/>
            <w:bookmarkStart w:id="1397" w:name="_Toc33703994"/>
            <w:bookmarkStart w:id="1398" w:name="_Toc55381182"/>
            <w:bookmarkStart w:id="1399" w:name="_Toc100263386"/>
            <w:bookmarkEnd w:id="1394"/>
            <w:r w:rsidRPr="000D6B56">
              <w:rPr>
                <w:rFonts w:cs="Arial"/>
                <w:b/>
                <w:bCs/>
                <w:color w:val="FFFFFF"/>
                <w:sz w:val="16"/>
                <w:szCs w:val="16"/>
                <w:lang w:eastAsia="en-AU"/>
              </w:rPr>
              <w:t> </w:t>
            </w:r>
          </w:p>
        </w:tc>
        <w:tc>
          <w:tcPr>
            <w:tcW w:w="2847" w:type="dxa"/>
            <w:hideMark/>
          </w:tcPr>
          <w:p w14:paraId="3E7CE244" w14:textId="77777777" w:rsidR="000D6B56" w:rsidRPr="000D6B56" w:rsidRDefault="000D6B56" w:rsidP="000D6B56">
            <w:pPr>
              <w:spacing w:after="0" w:line="240" w:lineRule="auto"/>
              <w:jc w:val="right"/>
              <w:rPr>
                <w:rFonts w:cs="Arial"/>
                <w:b/>
                <w:bCs/>
                <w:color w:val="FFFFFF"/>
                <w:sz w:val="16"/>
                <w:szCs w:val="16"/>
                <w:lang w:eastAsia="en-AU"/>
              </w:rPr>
            </w:pPr>
            <w:r w:rsidRPr="000D6B56">
              <w:rPr>
                <w:rFonts w:cs="Arial"/>
                <w:b/>
                <w:bCs/>
                <w:color w:val="FFFFFF"/>
                <w:sz w:val="16"/>
                <w:szCs w:val="16"/>
                <w:lang w:eastAsia="en-AU"/>
              </w:rPr>
              <w:t>Ambulatory contacts</w:t>
            </w:r>
          </w:p>
        </w:tc>
      </w:tr>
      <w:tr w:rsidR="000D6B56" w:rsidRPr="000D6B56" w14:paraId="3C18DC2D" w14:textId="77777777" w:rsidTr="005826E3">
        <w:trPr>
          <w:trHeight w:val="300"/>
        </w:trPr>
        <w:tc>
          <w:tcPr>
            <w:tcW w:w="3380" w:type="dxa"/>
            <w:hideMark/>
          </w:tcPr>
          <w:p w14:paraId="40C3C492" w14:textId="77777777" w:rsidR="000D6B56" w:rsidRPr="000D6B56" w:rsidRDefault="000D6B56" w:rsidP="000D6B56">
            <w:pPr>
              <w:spacing w:after="0" w:line="240" w:lineRule="auto"/>
              <w:rPr>
                <w:rFonts w:cs="Arial"/>
                <w:b/>
                <w:bCs/>
                <w:color w:val="000000"/>
                <w:sz w:val="16"/>
                <w:szCs w:val="16"/>
                <w:lang w:eastAsia="en-AU"/>
              </w:rPr>
            </w:pPr>
            <w:r w:rsidRPr="000D6B56">
              <w:rPr>
                <w:rFonts w:cs="Arial"/>
                <w:b/>
                <w:bCs/>
                <w:color w:val="000000"/>
                <w:sz w:val="16"/>
                <w:szCs w:val="16"/>
                <w:lang w:eastAsia="en-AU"/>
              </w:rPr>
              <w:t>Total</w:t>
            </w:r>
          </w:p>
        </w:tc>
        <w:tc>
          <w:tcPr>
            <w:tcW w:w="2847" w:type="dxa"/>
            <w:hideMark/>
          </w:tcPr>
          <w:p w14:paraId="3158F0C1" w14:textId="77777777" w:rsidR="000D6B56" w:rsidRPr="000D6B56" w:rsidRDefault="000D6B56" w:rsidP="000D6B56">
            <w:pPr>
              <w:spacing w:after="0" w:line="240" w:lineRule="auto"/>
              <w:jc w:val="right"/>
              <w:rPr>
                <w:rFonts w:cs="Arial"/>
                <w:b/>
                <w:bCs/>
                <w:color w:val="000000"/>
                <w:sz w:val="16"/>
                <w:szCs w:val="16"/>
                <w:lang w:eastAsia="en-AU"/>
              </w:rPr>
            </w:pPr>
            <w:r w:rsidRPr="000D6B56">
              <w:rPr>
                <w:rFonts w:cs="Arial"/>
                <w:b/>
                <w:bCs/>
                <w:color w:val="000000"/>
                <w:sz w:val="16"/>
                <w:szCs w:val="16"/>
                <w:lang w:eastAsia="en-AU"/>
              </w:rPr>
              <w:t>1,799,840</w:t>
            </w:r>
          </w:p>
        </w:tc>
      </w:tr>
    </w:tbl>
    <w:p w14:paraId="48D04D82" w14:textId="0CCD8B9C" w:rsidR="000D6B56" w:rsidRPr="000D6B56" w:rsidRDefault="000D6B56" w:rsidP="000D6B56">
      <w:pPr>
        <w:pStyle w:val="Body"/>
        <w:sectPr w:rsidR="000D6B56" w:rsidRPr="000D6B56" w:rsidSect="00E369FC">
          <w:pgSz w:w="11906" w:h="16838" w:code="9"/>
          <w:pgMar w:top="1418" w:right="1304" w:bottom="1134" w:left="1304" w:header="680" w:footer="283" w:gutter="0"/>
          <w:cols w:space="340"/>
          <w:docGrid w:linePitch="360"/>
        </w:sectPr>
      </w:pPr>
    </w:p>
    <w:p w14:paraId="42D89133" w14:textId="485EDF83" w:rsidR="000B27B9" w:rsidRDefault="000B27B9" w:rsidP="009375E0">
      <w:pPr>
        <w:pStyle w:val="Heading3"/>
        <w:spacing w:before="0"/>
      </w:pPr>
      <w:bookmarkStart w:id="1400" w:name="_Toc127192035"/>
      <w:r>
        <w:t xml:space="preserve">Alcohol and </w:t>
      </w:r>
      <w:r w:rsidR="00331D5D">
        <w:t>O</w:t>
      </w:r>
      <w:r>
        <w:t xml:space="preserve">ther </w:t>
      </w:r>
      <w:r w:rsidR="00331D5D">
        <w:t>D</w:t>
      </w:r>
      <w:r>
        <w:t xml:space="preserve">rugs </w:t>
      </w:r>
      <w:r w:rsidR="00331D5D">
        <w:t>O</w:t>
      </w:r>
      <w:r>
        <w:t xml:space="preserve">utput </w:t>
      </w:r>
      <w:r w:rsidR="00331D5D">
        <w:t>T</w:t>
      </w:r>
      <w:r>
        <w:t xml:space="preserve">argets </w:t>
      </w:r>
      <w:bookmarkEnd w:id="1395"/>
      <w:bookmarkEnd w:id="1396"/>
      <w:bookmarkEnd w:id="1397"/>
      <w:bookmarkEnd w:id="1398"/>
      <w:r w:rsidR="005D1FCB" w:rsidRPr="005C02BA">
        <w:t>2022</w:t>
      </w:r>
      <w:r w:rsidR="00DA22EA">
        <w:t>–</w:t>
      </w:r>
      <w:r w:rsidR="005D1FCB" w:rsidRPr="005C02BA">
        <w:t>23</w:t>
      </w:r>
      <w:bookmarkEnd w:id="1399"/>
      <w:bookmarkEnd w:id="1400"/>
    </w:p>
    <w:p w14:paraId="09472BE5" w14:textId="63184E8D" w:rsidR="000B27B9" w:rsidRDefault="000B27B9" w:rsidP="000E08EF">
      <w:pPr>
        <w:pStyle w:val="Tablecaption"/>
      </w:pPr>
      <w:bookmarkStart w:id="1401" w:name="_Toc14194841"/>
      <w:bookmarkStart w:id="1402" w:name="_Toc33704022"/>
      <w:bookmarkStart w:id="1403" w:name="_Toc109894151"/>
      <w:bookmarkStart w:id="1404" w:name="_Toc119500932"/>
      <w:r>
        <w:t xml:space="preserve">Table </w:t>
      </w:r>
      <w:r>
        <w:fldChar w:fldCharType="begin"/>
      </w:r>
      <w:r>
        <w:instrText>STYLEREF 1 \s</w:instrText>
      </w:r>
      <w:r>
        <w:fldChar w:fldCharType="separate"/>
      </w:r>
      <w:r w:rsidR="006D0756">
        <w:rPr>
          <w:noProof/>
        </w:rPr>
        <w:t>2</w:t>
      </w:r>
      <w:r>
        <w:fldChar w:fldCharType="end"/>
      </w:r>
      <w:r w:rsidR="00EC6300">
        <w:t>.</w:t>
      </w:r>
      <w:r>
        <w:fldChar w:fldCharType="begin"/>
      </w:r>
      <w:r>
        <w:instrText>SEQ Table \* ARABIC \s 1</w:instrText>
      </w:r>
      <w:r>
        <w:fldChar w:fldCharType="separate"/>
      </w:r>
      <w:r w:rsidR="002A4F62">
        <w:rPr>
          <w:noProof/>
        </w:rPr>
        <w:t>24</w:t>
      </w:r>
      <w:r>
        <w:fldChar w:fldCharType="end"/>
      </w:r>
      <w:r>
        <w:t>: Alcohol and other drugs output targets</w:t>
      </w:r>
      <w:r w:rsidRPr="007A725F">
        <w:t xml:space="preserve"> </w:t>
      </w:r>
      <w:bookmarkEnd w:id="1401"/>
      <w:bookmarkEnd w:id="1402"/>
      <w:r w:rsidR="005D1FCB" w:rsidRPr="00D31096">
        <w:t>2022</w:t>
      </w:r>
      <w:r w:rsidR="00DA22EA">
        <w:t>–</w:t>
      </w:r>
      <w:r w:rsidR="005D1FCB" w:rsidRPr="00D31096">
        <w:t>23</w:t>
      </w:r>
      <w:bookmarkEnd w:id="1403"/>
      <w:bookmarkEnd w:id="1404"/>
    </w:p>
    <w:p w14:paraId="01C9BA83" w14:textId="05F6F7A8" w:rsidR="009C67FC" w:rsidRDefault="009C67FC" w:rsidP="009C67FC">
      <w:pPr>
        <w:pStyle w:val="Body"/>
      </w:pPr>
      <w:r>
        <w:t>Metropolitan and regional</w:t>
      </w:r>
    </w:p>
    <w:tbl>
      <w:tblPr>
        <w:tblStyle w:val="TableGrid1"/>
        <w:tblW w:w="14276" w:type="dxa"/>
        <w:tblLayout w:type="fixed"/>
        <w:tblLook w:val="06A0" w:firstRow="1" w:lastRow="0" w:firstColumn="1" w:lastColumn="0" w:noHBand="1" w:noVBand="1"/>
      </w:tblPr>
      <w:tblGrid>
        <w:gridCol w:w="1536"/>
        <w:gridCol w:w="851"/>
        <w:gridCol w:w="852"/>
        <w:gridCol w:w="852"/>
        <w:gridCol w:w="852"/>
        <w:gridCol w:w="864"/>
        <w:gridCol w:w="840"/>
        <w:gridCol w:w="852"/>
        <w:gridCol w:w="851"/>
        <w:gridCol w:w="852"/>
        <w:gridCol w:w="852"/>
        <w:gridCol w:w="852"/>
        <w:gridCol w:w="852"/>
        <w:gridCol w:w="852"/>
        <w:gridCol w:w="852"/>
        <w:gridCol w:w="814"/>
      </w:tblGrid>
      <w:tr w:rsidR="00E85FA1" w:rsidRPr="00462A8C" w14:paraId="36190E5E" w14:textId="77777777" w:rsidTr="00E85FA1">
        <w:trPr>
          <w:cnfStyle w:val="100000000000" w:firstRow="1" w:lastRow="0" w:firstColumn="0" w:lastColumn="0" w:oddVBand="0" w:evenVBand="0" w:oddHBand="0" w:evenHBand="0" w:firstRowFirstColumn="0" w:firstRowLastColumn="0" w:lastRowFirstColumn="0" w:lastRowLastColumn="0"/>
          <w:trHeight w:val="871"/>
        </w:trPr>
        <w:tc>
          <w:tcPr>
            <w:tcW w:w="1536" w:type="dxa"/>
            <w:hideMark/>
          </w:tcPr>
          <w:p w14:paraId="57009347" w14:textId="4F2C0776" w:rsidR="00462A8C" w:rsidRPr="00462A8C" w:rsidRDefault="00462A8C" w:rsidP="00462A8C">
            <w:pPr>
              <w:spacing w:after="0" w:line="240" w:lineRule="auto"/>
              <w:rPr>
                <w:rFonts w:cs="Arial"/>
                <w:b/>
                <w:bCs/>
                <w:color w:val="FFFFFF"/>
                <w:sz w:val="13"/>
                <w:szCs w:val="13"/>
                <w:lang w:eastAsia="en-AU"/>
              </w:rPr>
            </w:pPr>
            <w:r w:rsidRPr="00462A8C">
              <w:rPr>
                <w:rFonts w:cs="Arial"/>
                <w:b/>
                <w:bCs/>
                <w:color w:val="FFFFFF"/>
                <w:sz w:val="13"/>
                <w:szCs w:val="13"/>
                <w:lang w:eastAsia="en-AU"/>
              </w:rPr>
              <w:t>Health Service</w:t>
            </w:r>
          </w:p>
        </w:tc>
        <w:tc>
          <w:tcPr>
            <w:tcW w:w="851" w:type="dxa"/>
            <w:hideMark/>
          </w:tcPr>
          <w:p w14:paraId="4C1EEBD3"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 xml:space="preserve">DTU – activity </w:t>
            </w:r>
          </w:p>
        </w:tc>
        <w:tc>
          <w:tcPr>
            <w:tcW w:w="852" w:type="dxa"/>
            <w:hideMark/>
          </w:tcPr>
          <w:p w14:paraId="5949E01B"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DTAU – residential drug withdrawal</w:t>
            </w:r>
          </w:p>
        </w:tc>
        <w:tc>
          <w:tcPr>
            <w:tcW w:w="852" w:type="dxa"/>
            <w:hideMark/>
          </w:tcPr>
          <w:p w14:paraId="02275F94" w14:textId="3B401C70"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DTAU – residential rehabilitation</w:t>
            </w:r>
          </w:p>
        </w:tc>
        <w:tc>
          <w:tcPr>
            <w:tcW w:w="852" w:type="dxa"/>
            <w:hideMark/>
          </w:tcPr>
          <w:p w14:paraId="3B8A563B"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DTAU – Intake and assessment</w:t>
            </w:r>
          </w:p>
        </w:tc>
        <w:tc>
          <w:tcPr>
            <w:tcW w:w="864" w:type="dxa"/>
            <w:hideMark/>
          </w:tcPr>
          <w:p w14:paraId="451AE862"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DTAU – Care and recovery coordination</w:t>
            </w:r>
          </w:p>
        </w:tc>
        <w:tc>
          <w:tcPr>
            <w:tcW w:w="840" w:type="dxa"/>
            <w:hideMark/>
          </w:tcPr>
          <w:p w14:paraId="3451C501"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DTAU – counselling</w:t>
            </w:r>
          </w:p>
        </w:tc>
        <w:tc>
          <w:tcPr>
            <w:tcW w:w="852" w:type="dxa"/>
            <w:hideMark/>
          </w:tcPr>
          <w:p w14:paraId="3FFF8331"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Episode of care – Mobile overdose response service</w:t>
            </w:r>
          </w:p>
        </w:tc>
        <w:tc>
          <w:tcPr>
            <w:tcW w:w="851" w:type="dxa"/>
            <w:hideMark/>
          </w:tcPr>
          <w:p w14:paraId="4858C1BF" w14:textId="77C90D8A"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 xml:space="preserve">DTAU – </w:t>
            </w:r>
            <w:r w:rsidR="00C4616E" w:rsidRPr="00462A8C">
              <w:rPr>
                <w:rFonts w:cs="Arial"/>
                <w:b/>
                <w:bCs/>
                <w:color w:val="FFFFFF"/>
                <w:sz w:val="13"/>
                <w:szCs w:val="13"/>
                <w:lang w:eastAsia="en-AU"/>
              </w:rPr>
              <w:t>Non-residential</w:t>
            </w:r>
            <w:r w:rsidRPr="00462A8C">
              <w:rPr>
                <w:rFonts w:cs="Arial"/>
                <w:b/>
                <w:bCs/>
                <w:color w:val="FFFFFF"/>
                <w:sz w:val="13"/>
                <w:szCs w:val="13"/>
                <w:lang w:eastAsia="en-AU"/>
              </w:rPr>
              <w:t xml:space="preserve"> withdrawal</w:t>
            </w:r>
          </w:p>
        </w:tc>
        <w:tc>
          <w:tcPr>
            <w:tcW w:w="852" w:type="dxa"/>
            <w:hideMark/>
          </w:tcPr>
          <w:p w14:paraId="100D9927"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DTAU – Rural withdrawal</w:t>
            </w:r>
          </w:p>
        </w:tc>
        <w:tc>
          <w:tcPr>
            <w:tcW w:w="852" w:type="dxa"/>
            <w:hideMark/>
          </w:tcPr>
          <w:p w14:paraId="74B91BB2" w14:textId="3F21807D"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Episode of care – Specialist Pharmacotherapy</w:t>
            </w:r>
          </w:p>
        </w:tc>
        <w:tc>
          <w:tcPr>
            <w:tcW w:w="852" w:type="dxa"/>
            <w:hideMark/>
          </w:tcPr>
          <w:p w14:paraId="7C687425"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Episode of care – Specialist Pharmacotherapy Service</w:t>
            </w:r>
          </w:p>
        </w:tc>
        <w:tc>
          <w:tcPr>
            <w:tcW w:w="852" w:type="dxa"/>
            <w:hideMark/>
          </w:tcPr>
          <w:p w14:paraId="4E3CB2A4"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Episode of care –  Youth A&amp;D supported accommodation</w:t>
            </w:r>
          </w:p>
        </w:tc>
        <w:tc>
          <w:tcPr>
            <w:tcW w:w="852" w:type="dxa"/>
            <w:hideMark/>
          </w:tcPr>
          <w:p w14:paraId="099E1985"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Episode of care –  Youth A&amp;D supported accommodation rural</w:t>
            </w:r>
          </w:p>
        </w:tc>
        <w:tc>
          <w:tcPr>
            <w:tcW w:w="852" w:type="dxa"/>
            <w:hideMark/>
          </w:tcPr>
          <w:p w14:paraId="1145B1ED"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Episode of care –Youth Outreach</w:t>
            </w:r>
          </w:p>
        </w:tc>
        <w:tc>
          <w:tcPr>
            <w:tcW w:w="814" w:type="dxa"/>
            <w:hideMark/>
          </w:tcPr>
          <w:p w14:paraId="39C783D3" w14:textId="77777777" w:rsidR="00462A8C" w:rsidRPr="00462A8C" w:rsidRDefault="00462A8C" w:rsidP="00462A8C">
            <w:pPr>
              <w:spacing w:after="0" w:line="240" w:lineRule="auto"/>
              <w:jc w:val="right"/>
              <w:rPr>
                <w:rFonts w:cs="Arial"/>
                <w:b/>
                <w:bCs/>
                <w:color w:val="FFFFFF"/>
                <w:sz w:val="13"/>
                <w:szCs w:val="13"/>
                <w:lang w:eastAsia="en-AU"/>
              </w:rPr>
            </w:pPr>
            <w:r w:rsidRPr="00462A8C">
              <w:rPr>
                <w:rFonts w:cs="Arial"/>
                <w:b/>
                <w:bCs/>
                <w:color w:val="FFFFFF"/>
                <w:sz w:val="13"/>
                <w:szCs w:val="13"/>
                <w:lang w:eastAsia="en-AU"/>
              </w:rPr>
              <w:t>Total</w:t>
            </w:r>
          </w:p>
        </w:tc>
      </w:tr>
      <w:tr w:rsidR="00462A8C" w:rsidRPr="00462A8C" w14:paraId="19C456E7" w14:textId="77777777" w:rsidTr="00E85FA1">
        <w:trPr>
          <w:trHeight w:val="284"/>
        </w:trPr>
        <w:tc>
          <w:tcPr>
            <w:tcW w:w="1536" w:type="dxa"/>
            <w:hideMark/>
          </w:tcPr>
          <w:p w14:paraId="7A49086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Alfred Health</w:t>
            </w:r>
          </w:p>
        </w:tc>
        <w:tc>
          <w:tcPr>
            <w:tcW w:w="851" w:type="dxa"/>
            <w:noWrap/>
            <w:hideMark/>
          </w:tcPr>
          <w:p w14:paraId="5ED3887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426462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B5EC7C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E22BCF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64" w:type="dxa"/>
            <w:noWrap/>
            <w:hideMark/>
          </w:tcPr>
          <w:p w14:paraId="15B9097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0" w:type="dxa"/>
            <w:noWrap/>
            <w:hideMark/>
          </w:tcPr>
          <w:p w14:paraId="76AC955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5EACBA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2B94A35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04BCF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76040C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42A16856"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c>
          <w:tcPr>
            <w:tcW w:w="852" w:type="dxa"/>
            <w:noWrap/>
            <w:hideMark/>
          </w:tcPr>
          <w:p w14:paraId="452C77E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6005F1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74BBE9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14" w:type="dxa"/>
            <w:noWrap/>
            <w:hideMark/>
          </w:tcPr>
          <w:p w14:paraId="5FDC1952"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r>
      <w:tr w:rsidR="00462A8C" w:rsidRPr="00462A8C" w14:paraId="7008B9C0" w14:textId="77777777" w:rsidTr="00E85FA1">
        <w:trPr>
          <w:trHeight w:val="284"/>
        </w:trPr>
        <w:tc>
          <w:tcPr>
            <w:tcW w:w="1536" w:type="dxa"/>
            <w:hideMark/>
          </w:tcPr>
          <w:p w14:paraId="1C4695E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Austin Health</w:t>
            </w:r>
          </w:p>
        </w:tc>
        <w:tc>
          <w:tcPr>
            <w:tcW w:w="851" w:type="dxa"/>
            <w:noWrap/>
            <w:hideMark/>
          </w:tcPr>
          <w:p w14:paraId="5AF1FC1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061B0A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EC3323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16A344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64" w:type="dxa"/>
            <w:noWrap/>
            <w:hideMark/>
          </w:tcPr>
          <w:p w14:paraId="12639E5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0" w:type="dxa"/>
            <w:noWrap/>
            <w:hideMark/>
          </w:tcPr>
          <w:p w14:paraId="12BF66A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3D0BFD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0A5DAD4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46CC1E8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FBD112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3486175"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c>
          <w:tcPr>
            <w:tcW w:w="852" w:type="dxa"/>
            <w:noWrap/>
            <w:hideMark/>
          </w:tcPr>
          <w:p w14:paraId="7ACFA03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A43431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17197C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14" w:type="dxa"/>
            <w:noWrap/>
            <w:hideMark/>
          </w:tcPr>
          <w:p w14:paraId="0DD99A7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r>
      <w:tr w:rsidR="00462A8C" w:rsidRPr="00462A8C" w14:paraId="2EE08FB8" w14:textId="77777777" w:rsidTr="00E85FA1">
        <w:trPr>
          <w:trHeight w:val="284"/>
        </w:trPr>
        <w:tc>
          <w:tcPr>
            <w:tcW w:w="1536" w:type="dxa"/>
            <w:hideMark/>
          </w:tcPr>
          <w:p w14:paraId="19CADCC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Barwon Health</w:t>
            </w:r>
          </w:p>
        </w:tc>
        <w:tc>
          <w:tcPr>
            <w:tcW w:w="851" w:type="dxa"/>
            <w:noWrap/>
            <w:hideMark/>
          </w:tcPr>
          <w:p w14:paraId="1683C86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1,940</w:t>
            </w:r>
          </w:p>
        </w:tc>
        <w:tc>
          <w:tcPr>
            <w:tcW w:w="852" w:type="dxa"/>
            <w:noWrap/>
            <w:hideMark/>
          </w:tcPr>
          <w:p w14:paraId="58AD088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12C80A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3505233"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64" w:type="dxa"/>
            <w:noWrap/>
            <w:hideMark/>
          </w:tcPr>
          <w:p w14:paraId="5B6E2599"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40" w:type="dxa"/>
            <w:noWrap/>
            <w:hideMark/>
          </w:tcPr>
          <w:p w14:paraId="2BA5575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114138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7A3DC5A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ED3BC6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BEFBE0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759904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2017C3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E07243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5</w:t>
            </w:r>
          </w:p>
        </w:tc>
        <w:tc>
          <w:tcPr>
            <w:tcW w:w="852" w:type="dxa"/>
            <w:noWrap/>
            <w:hideMark/>
          </w:tcPr>
          <w:p w14:paraId="53046050"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55</w:t>
            </w:r>
          </w:p>
        </w:tc>
        <w:tc>
          <w:tcPr>
            <w:tcW w:w="814" w:type="dxa"/>
            <w:noWrap/>
            <w:hideMark/>
          </w:tcPr>
          <w:p w14:paraId="69EFC835"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2,000</w:t>
            </w:r>
          </w:p>
        </w:tc>
      </w:tr>
      <w:tr w:rsidR="00462A8C" w:rsidRPr="00462A8C" w14:paraId="0FBE4482" w14:textId="77777777" w:rsidTr="00E85FA1">
        <w:trPr>
          <w:trHeight w:val="284"/>
        </w:trPr>
        <w:tc>
          <w:tcPr>
            <w:tcW w:w="1536" w:type="dxa"/>
            <w:hideMark/>
          </w:tcPr>
          <w:p w14:paraId="77F63FF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Bendigo Health</w:t>
            </w:r>
          </w:p>
        </w:tc>
        <w:tc>
          <w:tcPr>
            <w:tcW w:w="851" w:type="dxa"/>
            <w:noWrap/>
            <w:hideMark/>
          </w:tcPr>
          <w:p w14:paraId="3D01A4F4"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2,391</w:t>
            </w:r>
          </w:p>
        </w:tc>
        <w:tc>
          <w:tcPr>
            <w:tcW w:w="852" w:type="dxa"/>
            <w:noWrap/>
            <w:hideMark/>
          </w:tcPr>
          <w:p w14:paraId="0321E89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46E52C1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0DA626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64" w:type="dxa"/>
            <w:noWrap/>
            <w:hideMark/>
          </w:tcPr>
          <w:p w14:paraId="34FCE7C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0" w:type="dxa"/>
            <w:noWrap/>
            <w:hideMark/>
          </w:tcPr>
          <w:p w14:paraId="65555EA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71D8CA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63A8D3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EC30B3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B92B71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4686D35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D6645F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796BF4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D355A5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14" w:type="dxa"/>
            <w:noWrap/>
            <w:hideMark/>
          </w:tcPr>
          <w:p w14:paraId="52D6A67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2,391</w:t>
            </w:r>
          </w:p>
        </w:tc>
      </w:tr>
      <w:tr w:rsidR="00462A8C" w:rsidRPr="00462A8C" w14:paraId="0429E612" w14:textId="77777777" w:rsidTr="00E85FA1">
        <w:trPr>
          <w:trHeight w:val="284"/>
        </w:trPr>
        <w:tc>
          <w:tcPr>
            <w:tcW w:w="1536" w:type="dxa"/>
            <w:hideMark/>
          </w:tcPr>
          <w:p w14:paraId="1156F80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Eastern Health</w:t>
            </w:r>
          </w:p>
        </w:tc>
        <w:tc>
          <w:tcPr>
            <w:tcW w:w="851" w:type="dxa"/>
            <w:noWrap/>
            <w:hideMark/>
          </w:tcPr>
          <w:p w14:paraId="50772034"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7,113</w:t>
            </w:r>
          </w:p>
        </w:tc>
        <w:tc>
          <w:tcPr>
            <w:tcW w:w="852" w:type="dxa"/>
            <w:noWrap/>
            <w:hideMark/>
          </w:tcPr>
          <w:p w14:paraId="051B530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44D92E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F0993D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64" w:type="dxa"/>
            <w:noWrap/>
            <w:hideMark/>
          </w:tcPr>
          <w:p w14:paraId="1D7881FC"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40" w:type="dxa"/>
            <w:noWrap/>
            <w:hideMark/>
          </w:tcPr>
          <w:p w14:paraId="331F57D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479D54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19</w:t>
            </w:r>
          </w:p>
        </w:tc>
        <w:tc>
          <w:tcPr>
            <w:tcW w:w="851" w:type="dxa"/>
            <w:noWrap/>
            <w:hideMark/>
          </w:tcPr>
          <w:p w14:paraId="60F70C0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0948A1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D81396A"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100</w:t>
            </w:r>
          </w:p>
        </w:tc>
        <w:tc>
          <w:tcPr>
            <w:tcW w:w="852" w:type="dxa"/>
            <w:noWrap/>
            <w:hideMark/>
          </w:tcPr>
          <w:p w14:paraId="41847ACA"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70</w:t>
            </w:r>
          </w:p>
        </w:tc>
        <w:tc>
          <w:tcPr>
            <w:tcW w:w="852" w:type="dxa"/>
            <w:noWrap/>
            <w:hideMark/>
          </w:tcPr>
          <w:p w14:paraId="1267702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5472B3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650BD2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14" w:type="dxa"/>
            <w:noWrap/>
            <w:hideMark/>
          </w:tcPr>
          <w:p w14:paraId="527596E0"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7,302</w:t>
            </w:r>
          </w:p>
        </w:tc>
      </w:tr>
      <w:tr w:rsidR="00462A8C" w:rsidRPr="00462A8C" w14:paraId="59B807E5" w14:textId="77777777" w:rsidTr="00E85FA1">
        <w:trPr>
          <w:trHeight w:val="284"/>
        </w:trPr>
        <w:tc>
          <w:tcPr>
            <w:tcW w:w="1536" w:type="dxa"/>
            <w:hideMark/>
          </w:tcPr>
          <w:p w14:paraId="566BFA1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Goulburn Valley Health</w:t>
            </w:r>
          </w:p>
        </w:tc>
        <w:tc>
          <w:tcPr>
            <w:tcW w:w="851" w:type="dxa"/>
            <w:noWrap/>
            <w:hideMark/>
          </w:tcPr>
          <w:p w14:paraId="0765E4A7"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2,213</w:t>
            </w:r>
          </w:p>
        </w:tc>
        <w:tc>
          <w:tcPr>
            <w:tcW w:w="852" w:type="dxa"/>
            <w:noWrap/>
            <w:hideMark/>
          </w:tcPr>
          <w:p w14:paraId="6B01992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75D801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90846EE"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64" w:type="dxa"/>
            <w:noWrap/>
            <w:hideMark/>
          </w:tcPr>
          <w:p w14:paraId="6D95D7F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40" w:type="dxa"/>
            <w:noWrap/>
            <w:hideMark/>
          </w:tcPr>
          <w:p w14:paraId="288C530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A5A74C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6B3F07C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C1B39E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B8A666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78782D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4B44574"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2D965E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9283FC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14" w:type="dxa"/>
            <w:noWrap/>
            <w:hideMark/>
          </w:tcPr>
          <w:p w14:paraId="38240A9D"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2,213</w:t>
            </w:r>
          </w:p>
        </w:tc>
      </w:tr>
      <w:tr w:rsidR="00462A8C" w:rsidRPr="00462A8C" w14:paraId="387506C3" w14:textId="77777777" w:rsidTr="00E85FA1">
        <w:trPr>
          <w:trHeight w:val="284"/>
        </w:trPr>
        <w:tc>
          <w:tcPr>
            <w:tcW w:w="1536" w:type="dxa"/>
            <w:hideMark/>
          </w:tcPr>
          <w:p w14:paraId="0413B46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Monash Health</w:t>
            </w:r>
          </w:p>
        </w:tc>
        <w:tc>
          <w:tcPr>
            <w:tcW w:w="851" w:type="dxa"/>
            <w:noWrap/>
            <w:hideMark/>
          </w:tcPr>
          <w:p w14:paraId="02FBE56D"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3,113</w:t>
            </w:r>
          </w:p>
        </w:tc>
        <w:tc>
          <w:tcPr>
            <w:tcW w:w="852" w:type="dxa"/>
            <w:noWrap/>
            <w:hideMark/>
          </w:tcPr>
          <w:p w14:paraId="149D479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0CF254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5D6B81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64" w:type="dxa"/>
            <w:noWrap/>
            <w:hideMark/>
          </w:tcPr>
          <w:p w14:paraId="296212C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0" w:type="dxa"/>
            <w:noWrap/>
            <w:hideMark/>
          </w:tcPr>
          <w:p w14:paraId="3276C81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1E5E60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3BB5863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DE9A0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46BB55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BC81CE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70A4EAB"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32</w:t>
            </w:r>
          </w:p>
        </w:tc>
        <w:tc>
          <w:tcPr>
            <w:tcW w:w="852" w:type="dxa"/>
            <w:noWrap/>
            <w:hideMark/>
          </w:tcPr>
          <w:p w14:paraId="1178D42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36FDACC"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28</w:t>
            </w:r>
          </w:p>
        </w:tc>
        <w:tc>
          <w:tcPr>
            <w:tcW w:w="814" w:type="dxa"/>
            <w:noWrap/>
            <w:hideMark/>
          </w:tcPr>
          <w:p w14:paraId="55299CE6"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3,173</w:t>
            </w:r>
          </w:p>
        </w:tc>
      </w:tr>
      <w:tr w:rsidR="00462A8C" w:rsidRPr="00462A8C" w14:paraId="365990E7" w14:textId="77777777" w:rsidTr="00E85FA1">
        <w:trPr>
          <w:trHeight w:val="284"/>
        </w:trPr>
        <w:tc>
          <w:tcPr>
            <w:tcW w:w="1536" w:type="dxa"/>
            <w:hideMark/>
          </w:tcPr>
          <w:p w14:paraId="7C912D3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Peninsula Health</w:t>
            </w:r>
          </w:p>
        </w:tc>
        <w:tc>
          <w:tcPr>
            <w:tcW w:w="851" w:type="dxa"/>
            <w:noWrap/>
            <w:hideMark/>
          </w:tcPr>
          <w:p w14:paraId="687FC68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1,472</w:t>
            </w:r>
          </w:p>
        </w:tc>
        <w:tc>
          <w:tcPr>
            <w:tcW w:w="852" w:type="dxa"/>
            <w:noWrap/>
            <w:hideMark/>
          </w:tcPr>
          <w:p w14:paraId="08EF401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D79BA0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1E23699"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64" w:type="dxa"/>
            <w:noWrap/>
            <w:hideMark/>
          </w:tcPr>
          <w:p w14:paraId="7E554AD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0</w:t>
            </w:r>
          </w:p>
        </w:tc>
        <w:tc>
          <w:tcPr>
            <w:tcW w:w="840" w:type="dxa"/>
            <w:noWrap/>
            <w:hideMark/>
          </w:tcPr>
          <w:p w14:paraId="29243FD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EB1138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1A483E9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09651E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1D1722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B14E41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4B7FEAE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8</w:t>
            </w:r>
          </w:p>
        </w:tc>
        <w:tc>
          <w:tcPr>
            <w:tcW w:w="852" w:type="dxa"/>
            <w:noWrap/>
            <w:hideMark/>
          </w:tcPr>
          <w:p w14:paraId="05628904"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02F18AC"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109</w:t>
            </w:r>
          </w:p>
        </w:tc>
        <w:tc>
          <w:tcPr>
            <w:tcW w:w="814" w:type="dxa"/>
            <w:noWrap/>
            <w:hideMark/>
          </w:tcPr>
          <w:p w14:paraId="19D25D7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1,589</w:t>
            </w:r>
          </w:p>
        </w:tc>
      </w:tr>
      <w:tr w:rsidR="00462A8C" w:rsidRPr="00462A8C" w14:paraId="70F05381" w14:textId="77777777" w:rsidTr="00E85FA1">
        <w:trPr>
          <w:trHeight w:val="284"/>
        </w:trPr>
        <w:tc>
          <w:tcPr>
            <w:tcW w:w="1536" w:type="dxa"/>
            <w:hideMark/>
          </w:tcPr>
          <w:p w14:paraId="2518B780" w14:textId="25241705"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St Vincent</w:t>
            </w:r>
            <w:r w:rsidR="00586A3B">
              <w:rPr>
                <w:rFonts w:cs="Arial"/>
                <w:color w:val="000000"/>
                <w:sz w:val="16"/>
                <w:szCs w:val="16"/>
                <w:lang w:eastAsia="en-AU"/>
              </w:rPr>
              <w:t>’</w:t>
            </w:r>
            <w:r w:rsidRPr="00462A8C">
              <w:rPr>
                <w:rFonts w:cs="Arial"/>
                <w:color w:val="000000"/>
                <w:sz w:val="16"/>
                <w:szCs w:val="16"/>
                <w:lang w:eastAsia="en-AU"/>
              </w:rPr>
              <w:t>s Hospital Melbourne Limited</w:t>
            </w:r>
          </w:p>
        </w:tc>
        <w:tc>
          <w:tcPr>
            <w:tcW w:w="851" w:type="dxa"/>
            <w:noWrap/>
            <w:hideMark/>
          </w:tcPr>
          <w:p w14:paraId="40446B36"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2,769</w:t>
            </w:r>
          </w:p>
        </w:tc>
        <w:tc>
          <w:tcPr>
            <w:tcW w:w="852" w:type="dxa"/>
            <w:noWrap/>
            <w:hideMark/>
          </w:tcPr>
          <w:p w14:paraId="1BD1DBE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CEEB66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4CD7E30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64" w:type="dxa"/>
            <w:noWrap/>
            <w:hideMark/>
          </w:tcPr>
          <w:p w14:paraId="112CA4E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0" w:type="dxa"/>
            <w:noWrap/>
            <w:hideMark/>
          </w:tcPr>
          <w:p w14:paraId="78BF48A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D53DA0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74DF4B6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55B9B1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165A571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2CCDA7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27E6B6E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904101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BEB11F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14" w:type="dxa"/>
            <w:noWrap/>
            <w:hideMark/>
          </w:tcPr>
          <w:p w14:paraId="541CD3A5"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2,769</w:t>
            </w:r>
          </w:p>
        </w:tc>
      </w:tr>
      <w:tr w:rsidR="00462A8C" w:rsidRPr="00462A8C" w14:paraId="19203F9B" w14:textId="77777777" w:rsidTr="00E85FA1">
        <w:trPr>
          <w:trHeight w:val="284"/>
        </w:trPr>
        <w:tc>
          <w:tcPr>
            <w:tcW w:w="1536" w:type="dxa"/>
            <w:hideMark/>
          </w:tcPr>
          <w:p w14:paraId="4EC071A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Western Health</w:t>
            </w:r>
          </w:p>
        </w:tc>
        <w:tc>
          <w:tcPr>
            <w:tcW w:w="851" w:type="dxa"/>
            <w:noWrap/>
            <w:hideMark/>
          </w:tcPr>
          <w:p w14:paraId="47D4DBD3"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11,400</w:t>
            </w:r>
          </w:p>
        </w:tc>
        <w:tc>
          <w:tcPr>
            <w:tcW w:w="852" w:type="dxa"/>
            <w:noWrap/>
            <w:hideMark/>
          </w:tcPr>
          <w:p w14:paraId="4C02046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047063C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66AF7F49"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497</w:t>
            </w:r>
          </w:p>
        </w:tc>
        <w:tc>
          <w:tcPr>
            <w:tcW w:w="864" w:type="dxa"/>
            <w:noWrap/>
            <w:hideMark/>
          </w:tcPr>
          <w:p w14:paraId="75B2F8B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392</w:t>
            </w:r>
          </w:p>
        </w:tc>
        <w:tc>
          <w:tcPr>
            <w:tcW w:w="840" w:type="dxa"/>
            <w:noWrap/>
            <w:hideMark/>
          </w:tcPr>
          <w:p w14:paraId="6DFDA06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1,245</w:t>
            </w:r>
          </w:p>
        </w:tc>
        <w:tc>
          <w:tcPr>
            <w:tcW w:w="852" w:type="dxa"/>
            <w:noWrap/>
            <w:hideMark/>
          </w:tcPr>
          <w:p w14:paraId="3600B5A4"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1" w:type="dxa"/>
            <w:noWrap/>
            <w:hideMark/>
          </w:tcPr>
          <w:p w14:paraId="54451D08"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578</w:t>
            </w:r>
          </w:p>
        </w:tc>
        <w:tc>
          <w:tcPr>
            <w:tcW w:w="852" w:type="dxa"/>
            <w:noWrap/>
            <w:hideMark/>
          </w:tcPr>
          <w:p w14:paraId="7A77AE8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C70074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50D30CB9"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c>
          <w:tcPr>
            <w:tcW w:w="852" w:type="dxa"/>
            <w:noWrap/>
            <w:hideMark/>
          </w:tcPr>
          <w:p w14:paraId="4B9BF35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38D249A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2" w:type="dxa"/>
            <w:noWrap/>
            <w:hideMark/>
          </w:tcPr>
          <w:p w14:paraId="7660AD0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220</w:t>
            </w:r>
          </w:p>
        </w:tc>
        <w:tc>
          <w:tcPr>
            <w:tcW w:w="814" w:type="dxa"/>
            <w:noWrap/>
            <w:hideMark/>
          </w:tcPr>
          <w:p w14:paraId="75DC2264"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14,472</w:t>
            </w:r>
          </w:p>
        </w:tc>
      </w:tr>
    </w:tbl>
    <w:p w14:paraId="57580A0D" w14:textId="77777777" w:rsidR="008776E3" w:rsidRDefault="008776E3" w:rsidP="009C67FC">
      <w:pPr>
        <w:pStyle w:val="Body"/>
      </w:pPr>
    </w:p>
    <w:p w14:paraId="4D23795B" w14:textId="6F7C156A" w:rsidR="009C67FC" w:rsidRDefault="009C67FC" w:rsidP="00B92CD4">
      <w:pPr>
        <w:pStyle w:val="Body"/>
      </w:pPr>
      <w:r>
        <w:t>Subregional and local</w:t>
      </w:r>
    </w:p>
    <w:tbl>
      <w:tblPr>
        <w:tblStyle w:val="TableGrid1"/>
        <w:tblW w:w="14276" w:type="dxa"/>
        <w:tblLayout w:type="fixed"/>
        <w:tblLook w:val="06A0" w:firstRow="1" w:lastRow="0" w:firstColumn="1" w:lastColumn="0" w:noHBand="1" w:noVBand="1"/>
      </w:tblPr>
      <w:tblGrid>
        <w:gridCol w:w="1536"/>
        <w:gridCol w:w="861"/>
        <w:gridCol w:w="862"/>
        <w:gridCol w:w="862"/>
        <w:gridCol w:w="862"/>
        <w:gridCol w:w="862"/>
        <w:gridCol w:w="862"/>
        <w:gridCol w:w="862"/>
        <w:gridCol w:w="862"/>
        <w:gridCol w:w="862"/>
        <w:gridCol w:w="862"/>
        <w:gridCol w:w="862"/>
        <w:gridCol w:w="862"/>
        <w:gridCol w:w="862"/>
        <w:gridCol w:w="862"/>
        <w:gridCol w:w="673"/>
      </w:tblGrid>
      <w:tr w:rsidR="00F321C9" w:rsidRPr="00FF6B91" w14:paraId="32C5A5DB" w14:textId="77777777" w:rsidTr="002370C8">
        <w:trPr>
          <w:cnfStyle w:val="100000000000" w:firstRow="1" w:lastRow="0" w:firstColumn="0" w:lastColumn="0" w:oddVBand="0" w:evenVBand="0" w:oddHBand="0" w:evenHBand="0" w:firstRowFirstColumn="0" w:firstRowLastColumn="0" w:lastRowFirstColumn="0" w:lastRowLastColumn="0"/>
          <w:cantSplit/>
          <w:trHeight w:val="841"/>
          <w:tblHeader/>
        </w:trPr>
        <w:tc>
          <w:tcPr>
            <w:tcW w:w="1536" w:type="dxa"/>
            <w:hideMark/>
          </w:tcPr>
          <w:p w14:paraId="5B2620F2" w14:textId="58594190" w:rsidR="00FF6B91" w:rsidRPr="00FF6B91" w:rsidRDefault="00FF6B91" w:rsidP="00FF6B91">
            <w:pPr>
              <w:spacing w:after="0" w:line="240" w:lineRule="auto"/>
              <w:rPr>
                <w:rFonts w:cs="Arial"/>
                <w:b/>
                <w:bCs/>
                <w:color w:val="FFFFFF"/>
                <w:sz w:val="16"/>
                <w:szCs w:val="16"/>
                <w:lang w:eastAsia="en-AU"/>
              </w:rPr>
            </w:pPr>
            <w:r w:rsidRPr="00FF6B91">
              <w:rPr>
                <w:rFonts w:cs="Arial"/>
                <w:b/>
                <w:bCs/>
                <w:color w:val="FFFFFF"/>
                <w:sz w:val="16"/>
                <w:szCs w:val="16"/>
                <w:lang w:eastAsia="en-AU"/>
              </w:rPr>
              <w:t>Health Service</w:t>
            </w:r>
          </w:p>
        </w:tc>
        <w:tc>
          <w:tcPr>
            <w:tcW w:w="861" w:type="dxa"/>
            <w:hideMark/>
          </w:tcPr>
          <w:p w14:paraId="60CAC04D"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 xml:space="preserve">DTU – activity </w:t>
            </w:r>
          </w:p>
        </w:tc>
        <w:tc>
          <w:tcPr>
            <w:tcW w:w="862" w:type="dxa"/>
            <w:hideMark/>
          </w:tcPr>
          <w:p w14:paraId="5D402263"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DTAU – residential drug withdrawal</w:t>
            </w:r>
          </w:p>
        </w:tc>
        <w:tc>
          <w:tcPr>
            <w:tcW w:w="862" w:type="dxa"/>
            <w:hideMark/>
          </w:tcPr>
          <w:p w14:paraId="007416B2" w14:textId="3318612E"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DTAU – residential rehabilitation</w:t>
            </w:r>
          </w:p>
        </w:tc>
        <w:tc>
          <w:tcPr>
            <w:tcW w:w="862" w:type="dxa"/>
            <w:hideMark/>
          </w:tcPr>
          <w:p w14:paraId="00975F45"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DTAU – Intake and assessment</w:t>
            </w:r>
          </w:p>
        </w:tc>
        <w:tc>
          <w:tcPr>
            <w:tcW w:w="862" w:type="dxa"/>
            <w:hideMark/>
          </w:tcPr>
          <w:p w14:paraId="4A2E7AD0"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DTAU – Care and recovery coordination</w:t>
            </w:r>
          </w:p>
        </w:tc>
        <w:tc>
          <w:tcPr>
            <w:tcW w:w="862" w:type="dxa"/>
            <w:hideMark/>
          </w:tcPr>
          <w:p w14:paraId="742A4AFF"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DTAU – counselling</w:t>
            </w:r>
          </w:p>
        </w:tc>
        <w:tc>
          <w:tcPr>
            <w:tcW w:w="862" w:type="dxa"/>
            <w:hideMark/>
          </w:tcPr>
          <w:p w14:paraId="158C0A88"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Episode of care – Mobile overdose response service</w:t>
            </w:r>
          </w:p>
        </w:tc>
        <w:tc>
          <w:tcPr>
            <w:tcW w:w="862" w:type="dxa"/>
            <w:hideMark/>
          </w:tcPr>
          <w:p w14:paraId="387CBA7B" w14:textId="1EC86FA8"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 xml:space="preserve">DTAU – </w:t>
            </w:r>
            <w:r w:rsidR="0027369B" w:rsidRPr="00FF6B91">
              <w:rPr>
                <w:rFonts w:cs="Arial"/>
                <w:b/>
                <w:bCs/>
                <w:color w:val="FFFFFF"/>
                <w:sz w:val="13"/>
                <w:szCs w:val="13"/>
                <w:lang w:eastAsia="en-AU"/>
              </w:rPr>
              <w:t>Non-residential</w:t>
            </w:r>
            <w:r w:rsidRPr="00FF6B91">
              <w:rPr>
                <w:rFonts w:cs="Arial"/>
                <w:b/>
                <w:bCs/>
                <w:color w:val="FFFFFF"/>
                <w:sz w:val="13"/>
                <w:szCs w:val="13"/>
                <w:lang w:eastAsia="en-AU"/>
              </w:rPr>
              <w:t xml:space="preserve"> withdrawal</w:t>
            </w:r>
          </w:p>
        </w:tc>
        <w:tc>
          <w:tcPr>
            <w:tcW w:w="862" w:type="dxa"/>
            <w:hideMark/>
          </w:tcPr>
          <w:p w14:paraId="240AC791"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DTAU – Rural withdrawal</w:t>
            </w:r>
          </w:p>
        </w:tc>
        <w:tc>
          <w:tcPr>
            <w:tcW w:w="862" w:type="dxa"/>
            <w:hideMark/>
          </w:tcPr>
          <w:p w14:paraId="4C96D912" w14:textId="28AE321F"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Episode of care – Specialist Pharmacotherapy</w:t>
            </w:r>
          </w:p>
        </w:tc>
        <w:tc>
          <w:tcPr>
            <w:tcW w:w="862" w:type="dxa"/>
            <w:hideMark/>
          </w:tcPr>
          <w:p w14:paraId="521267BF"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Episode of care – Specialist Pharmacotherapy Service</w:t>
            </w:r>
          </w:p>
        </w:tc>
        <w:tc>
          <w:tcPr>
            <w:tcW w:w="862" w:type="dxa"/>
            <w:hideMark/>
          </w:tcPr>
          <w:p w14:paraId="2722ECEB"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Episode of care –  Youth A&amp;D supported accommodation</w:t>
            </w:r>
          </w:p>
        </w:tc>
        <w:tc>
          <w:tcPr>
            <w:tcW w:w="862" w:type="dxa"/>
            <w:hideMark/>
          </w:tcPr>
          <w:p w14:paraId="01E7C7BF"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Episode of care –  Youth A&amp;D supported accommodation rural</w:t>
            </w:r>
          </w:p>
        </w:tc>
        <w:tc>
          <w:tcPr>
            <w:tcW w:w="862" w:type="dxa"/>
            <w:hideMark/>
          </w:tcPr>
          <w:p w14:paraId="33E68BBB"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Episode of care –Youth Outreach</w:t>
            </w:r>
          </w:p>
        </w:tc>
        <w:tc>
          <w:tcPr>
            <w:tcW w:w="673" w:type="dxa"/>
            <w:hideMark/>
          </w:tcPr>
          <w:p w14:paraId="2E8B5842" w14:textId="77777777" w:rsidR="00FF6B91" w:rsidRPr="00FF6B91" w:rsidRDefault="00FF6B91" w:rsidP="00FF6B91">
            <w:pPr>
              <w:spacing w:after="0" w:line="240" w:lineRule="auto"/>
              <w:jc w:val="right"/>
              <w:rPr>
                <w:rFonts w:cs="Arial"/>
                <w:b/>
                <w:bCs/>
                <w:color w:val="FFFFFF"/>
                <w:sz w:val="13"/>
                <w:szCs w:val="13"/>
                <w:lang w:eastAsia="en-AU"/>
              </w:rPr>
            </w:pPr>
            <w:r w:rsidRPr="00FF6B91">
              <w:rPr>
                <w:rFonts w:cs="Arial"/>
                <w:b/>
                <w:bCs/>
                <w:color w:val="FFFFFF"/>
                <w:sz w:val="13"/>
                <w:szCs w:val="13"/>
                <w:lang w:eastAsia="en-AU"/>
              </w:rPr>
              <w:t>Total</w:t>
            </w:r>
          </w:p>
        </w:tc>
      </w:tr>
      <w:tr w:rsidR="00FF6B91" w:rsidRPr="00FF6B91" w14:paraId="31C441C5" w14:textId="77777777" w:rsidTr="00480CA3">
        <w:trPr>
          <w:trHeight w:val="311"/>
        </w:trPr>
        <w:tc>
          <w:tcPr>
            <w:tcW w:w="1536" w:type="dxa"/>
            <w:hideMark/>
          </w:tcPr>
          <w:p w14:paraId="6378A02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Bairnsdale Regional Health Service</w:t>
            </w:r>
          </w:p>
        </w:tc>
        <w:tc>
          <w:tcPr>
            <w:tcW w:w="861" w:type="dxa"/>
            <w:noWrap/>
            <w:hideMark/>
          </w:tcPr>
          <w:p w14:paraId="25A48043"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724</w:t>
            </w:r>
          </w:p>
        </w:tc>
        <w:tc>
          <w:tcPr>
            <w:tcW w:w="862" w:type="dxa"/>
            <w:noWrap/>
            <w:hideMark/>
          </w:tcPr>
          <w:p w14:paraId="32D9557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6B1A3B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7E3186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E2CB8C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4B8B5ED"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D2841ED"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C76129D"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8B4F212"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0B758A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4D00C4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C72E58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EDBD2D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235674A"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45C85727"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724</w:t>
            </w:r>
          </w:p>
        </w:tc>
      </w:tr>
      <w:tr w:rsidR="00FF6B91" w:rsidRPr="00FF6B91" w14:paraId="26B60928" w14:textId="77777777" w:rsidTr="00480CA3">
        <w:trPr>
          <w:trHeight w:val="311"/>
        </w:trPr>
        <w:tc>
          <w:tcPr>
            <w:tcW w:w="1536" w:type="dxa"/>
            <w:hideMark/>
          </w:tcPr>
          <w:p w14:paraId="511BEAC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Central Gippsland Health Service</w:t>
            </w:r>
          </w:p>
        </w:tc>
        <w:tc>
          <w:tcPr>
            <w:tcW w:w="861" w:type="dxa"/>
            <w:noWrap/>
            <w:hideMark/>
          </w:tcPr>
          <w:p w14:paraId="370B71D8"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476</w:t>
            </w:r>
          </w:p>
        </w:tc>
        <w:tc>
          <w:tcPr>
            <w:tcW w:w="862" w:type="dxa"/>
            <w:noWrap/>
            <w:hideMark/>
          </w:tcPr>
          <w:p w14:paraId="4D1B4E3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B94C9F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61583E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2719647"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A9ECA1A"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8BC3D0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87D665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DCC1808"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9C2D17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1EB4F1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B455B4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ECA8DC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BAECC5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5BE2CBEC"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476</w:t>
            </w:r>
          </w:p>
        </w:tc>
      </w:tr>
      <w:tr w:rsidR="00FF6B91" w:rsidRPr="00FF6B91" w14:paraId="34CFB5B9" w14:textId="77777777" w:rsidTr="00480CA3">
        <w:trPr>
          <w:trHeight w:val="311"/>
        </w:trPr>
        <w:tc>
          <w:tcPr>
            <w:tcW w:w="1536" w:type="dxa"/>
            <w:hideMark/>
          </w:tcPr>
          <w:p w14:paraId="308A170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Colac Area Health</w:t>
            </w:r>
          </w:p>
        </w:tc>
        <w:tc>
          <w:tcPr>
            <w:tcW w:w="861" w:type="dxa"/>
            <w:noWrap/>
            <w:hideMark/>
          </w:tcPr>
          <w:p w14:paraId="3CA1422D"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17496C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0C8653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2DFFFE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668B2E8"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9A4496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EA07CB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DDE185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C592FCD"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48BB606"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ED2C30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691660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304A750"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1</w:t>
            </w:r>
          </w:p>
        </w:tc>
        <w:tc>
          <w:tcPr>
            <w:tcW w:w="862" w:type="dxa"/>
            <w:noWrap/>
            <w:hideMark/>
          </w:tcPr>
          <w:p w14:paraId="5493707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374D8AB9"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1</w:t>
            </w:r>
          </w:p>
        </w:tc>
      </w:tr>
      <w:tr w:rsidR="00FF6B91" w:rsidRPr="00FF6B91" w14:paraId="2209EE1B" w14:textId="77777777" w:rsidTr="00480CA3">
        <w:trPr>
          <w:trHeight w:val="311"/>
        </w:trPr>
        <w:tc>
          <w:tcPr>
            <w:tcW w:w="1536" w:type="dxa"/>
            <w:hideMark/>
          </w:tcPr>
          <w:p w14:paraId="1F7B3DDF"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Gippsland Southern Health Service</w:t>
            </w:r>
          </w:p>
        </w:tc>
        <w:tc>
          <w:tcPr>
            <w:tcW w:w="861" w:type="dxa"/>
            <w:noWrap/>
            <w:hideMark/>
          </w:tcPr>
          <w:p w14:paraId="56014850"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238</w:t>
            </w:r>
          </w:p>
        </w:tc>
        <w:tc>
          <w:tcPr>
            <w:tcW w:w="862" w:type="dxa"/>
            <w:noWrap/>
            <w:hideMark/>
          </w:tcPr>
          <w:p w14:paraId="0A3FF6AA"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2E683D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05BBB4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A2C37D0"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D65CFD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5E394E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6D3DF9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935B23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C02ECAF"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73E9CF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8195E37"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04048AF"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D314036"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55791AE7"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238</w:t>
            </w:r>
          </w:p>
        </w:tc>
      </w:tr>
      <w:tr w:rsidR="00FF6B91" w:rsidRPr="00FF6B91" w14:paraId="31DC560C" w14:textId="77777777" w:rsidTr="00480CA3">
        <w:trPr>
          <w:trHeight w:val="311"/>
        </w:trPr>
        <w:tc>
          <w:tcPr>
            <w:tcW w:w="1536" w:type="dxa"/>
            <w:hideMark/>
          </w:tcPr>
          <w:p w14:paraId="720041A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Mildura Base Public Hospital</w:t>
            </w:r>
          </w:p>
        </w:tc>
        <w:tc>
          <w:tcPr>
            <w:tcW w:w="861" w:type="dxa"/>
            <w:noWrap/>
            <w:hideMark/>
          </w:tcPr>
          <w:p w14:paraId="0EE34DDB"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308</w:t>
            </w:r>
          </w:p>
        </w:tc>
        <w:tc>
          <w:tcPr>
            <w:tcW w:w="862" w:type="dxa"/>
            <w:noWrap/>
            <w:hideMark/>
          </w:tcPr>
          <w:p w14:paraId="412E883A"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12CDF5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181681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C82555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F113D3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366CAB0"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97A9C00"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FBF929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36704C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22FAF1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A5D1346"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FB918F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AFF2F2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2AC06480"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308</w:t>
            </w:r>
          </w:p>
        </w:tc>
      </w:tr>
      <w:tr w:rsidR="00FF6B91" w:rsidRPr="00FF6B91" w14:paraId="617AE766" w14:textId="77777777" w:rsidTr="00480CA3">
        <w:trPr>
          <w:trHeight w:val="311"/>
        </w:trPr>
        <w:tc>
          <w:tcPr>
            <w:tcW w:w="1536" w:type="dxa"/>
            <w:hideMark/>
          </w:tcPr>
          <w:p w14:paraId="6CDDD22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Portland District Health</w:t>
            </w:r>
          </w:p>
        </w:tc>
        <w:tc>
          <w:tcPr>
            <w:tcW w:w="861" w:type="dxa"/>
            <w:noWrap/>
            <w:hideMark/>
          </w:tcPr>
          <w:p w14:paraId="14D3895F"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249B058"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FFEE79A"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107CB4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30EFFF9"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17EB35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4B41B08"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C7DD27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1FF9018"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447CE6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1C5E54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FF91CD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2D38A32"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1</w:t>
            </w:r>
          </w:p>
        </w:tc>
        <w:tc>
          <w:tcPr>
            <w:tcW w:w="862" w:type="dxa"/>
            <w:noWrap/>
            <w:hideMark/>
          </w:tcPr>
          <w:p w14:paraId="78696BD7"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7F5B0279"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1</w:t>
            </w:r>
          </w:p>
        </w:tc>
      </w:tr>
      <w:tr w:rsidR="00FF6B91" w:rsidRPr="00FF6B91" w14:paraId="1828CE1D" w14:textId="77777777" w:rsidTr="00480CA3">
        <w:trPr>
          <w:trHeight w:val="311"/>
        </w:trPr>
        <w:tc>
          <w:tcPr>
            <w:tcW w:w="1536" w:type="dxa"/>
            <w:hideMark/>
          </w:tcPr>
          <w:p w14:paraId="430C0F3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Ramsay Health Care Australia PTY LTD</w:t>
            </w:r>
          </w:p>
        </w:tc>
        <w:tc>
          <w:tcPr>
            <w:tcW w:w="861" w:type="dxa"/>
            <w:noWrap/>
            <w:hideMark/>
          </w:tcPr>
          <w:p w14:paraId="40B19989"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0</w:t>
            </w:r>
          </w:p>
        </w:tc>
        <w:tc>
          <w:tcPr>
            <w:tcW w:w="862" w:type="dxa"/>
            <w:noWrap/>
            <w:hideMark/>
          </w:tcPr>
          <w:p w14:paraId="785BF8B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B610CB8"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531EE72"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795722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B48AA0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DB02F40"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1B11A07D"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E46A72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787C23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E3358A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2DDDFB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4DCDE9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48539ED8"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4B019E75"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0</w:t>
            </w:r>
          </w:p>
        </w:tc>
      </w:tr>
      <w:tr w:rsidR="00FF6B91" w:rsidRPr="00FF6B91" w14:paraId="47CD212F" w14:textId="77777777" w:rsidTr="00480CA3">
        <w:trPr>
          <w:trHeight w:val="311"/>
        </w:trPr>
        <w:tc>
          <w:tcPr>
            <w:tcW w:w="1536" w:type="dxa"/>
            <w:hideMark/>
          </w:tcPr>
          <w:p w14:paraId="7077FFA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South West Healthcare</w:t>
            </w:r>
          </w:p>
        </w:tc>
        <w:tc>
          <w:tcPr>
            <w:tcW w:w="861" w:type="dxa"/>
            <w:noWrap/>
            <w:hideMark/>
          </w:tcPr>
          <w:p w14:paraId="4698AB8C"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9FA0514"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7A1CDB2"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55D020D"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C248523"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50147671"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3C10A817"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660D486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6A08824"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120</w:t>
            </w:r>
          </w:p>
        </w:tc>
        <w:tc>
          <w:tcPr>
            <w:tcW w:w="862" w:type="dxa"/>
            <w:noWrap/>
            <w:hideMark/>
          </w:tcPr>
          <w:p w14:paraId="7793A14B"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759FC0BD"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12</w:t>
            </w:r>
          </w:p>
        </w:tc>
        <w:tc>
          <w:tcPr>
            <w:tcW w:w="862" w:type="dxa"/>
            <w:noWrap/>
            <w:hideMark/>
          </w:tcPr>
          <w:p w14:paraId="0CB214AA"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26CF76EE"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862" w:type="dxa"/>
            <w:noWrap/>
            <w:hideMark/>
          </w:tcPr>
          <w:p w14:paraId="001252A5" w14:textId="77777777" w:rsidR="00FF6B91" w:rsidRPr="00FF6B91" w:rsidRDefault="00FF6B91" w:rsidP="00FF6B91">
            <w:pPr>
              <w:spacing w:after="0" w:line="240" w:lineRule="auto"/>
              <w:rPr>
                <w:rFonts w:cs="Arial"/>
                <w:color w:val="000000"/>
                <w:sz w:val="16"/>
                <w:szCs w:val="16"/>
                <w:lang w:eastAsia="en-AU"/>
              </w:rPr>
            </w:pPr>
            <w:r w:rsidRPr="00FF6B91">
              <w:rPr>
                <w:rFonts w:cs="Arial"/>
                <w:color w:val="000000"/>
                <w:sz w:val="16"/>
                <w:szCs w:val="16"/>
                <w:lang w:eastAsia="en-AU"/>
              </w:rPr>
              <w:t> </w:t>
            </w:r>
          </w:p>
        </w:tc>
        <w:tc>
          <w:tcPr>
            <w:tcW w:w="673" w:type="dxa"/>
            <w:noWrap/>
            <w:hideMark/>
          </w:tcPr>
          <w:p w14:paraId="59F930AC" w14:textId="77777777" w:rsidR="00FF6B91" w:rsidRPr="00FF6B91" w:rsidRDefault="00FF6B91" w:rsidP="00FF6B91">
            <w:pPr>
              <w:spacing w:after="0" w:line="240" w:lineRule="auto"/>
              <w:jc w:val="right"/>
              <w:rPr>
                <w:rFonts w:cs="Arial"/>
                <w:color w:val="000000"/>
                <w:sz w:val="16"/>
                <w:szCs w:val="16"/>
                <w:lang w:eastAsia="en-AU"/>
              </w:rPr>
            </w:pPr>
            <w:r w:rsidRPr="00FF6B91">
              <w:rPr>
                <w:rFonts w:cs="Arial"/>
                <w:color w:val="000000"/>
                <w:sz w:val="16"/>
                <w:szCs w:val="16"/>
                <w:lang w:eastAsia="en-AU"/>
              </w:rPr>
              <w:t>132</w:t>
            </w:r>
          </w:p>
        </w:tc>
      </w:tr>
    </w:tbl>
    <w:p w14:paraId="0F9F13AB" w14:textId="77777777" w:rsidR="00954A45" w:rsidRDefault="00954A45" w:rsidP="00B92CD4">
      <w:pPr>
        <w:pStyle w:val="Body"/>
      </w:pPr>
    </w:p>
    <w:p w14:paraId="19760DDD" w14:textId="774A6F46" w:rsidR="00882215" w:rsidRDefault="00882215" w:rsidP="00B92CD4">
      <w:pPr>
        <w:pStyle w:val="Body"/>
      </w:pPr>
      <w:r>
        <w:t>Combined total</w:t>
      </w:r>
    </w:p>
    <w:tbl>
      <w:tblPr>
        <w:tblW w:w="14276" w:type="dxa"/>
        <w:tblLayout w:type="fixed"/>
        <w:tblLook w:val="04A0" w:firstRow="1" w:lastRow="0" w:firstColumn="1" w:lastColumn="0" w:noHBand="0" w:noVBand="1"/>
      </w:tblPr>
      <w:tblGrid>
        <w:gridCol w:w="1536"/>
        <w:gridCol w:w="849"/>
        <w:gridCol w:w="849"/>
        <w:gridCol w:w="850"/>
        <w:gridCol w:w="849"/>
        <w:gridCol w:w="849"/>
        <w:gridCol w:w="850"/>
        <w:gridCol w:w="849"/>
        <w:gridCol w:w="849"/>
        <w:gridCol w:w="850"/>
        <w:gridCol w:w="849"/>
        <w:gridCol w:w="849"/>
        <w:gridCol w:w="850"/>
        <w:gridCol w:w="849"/>
        <w:gridCol w:w="849"/>
        <w:gridCol w:w="850"/>
      </w:tblGrid>
      <w:tr w:rsidR="004A5138" w:rsidRPr="004A5138" w14:paraId="33597857" w14:textId="77777777" w:rsidTr="004A5138">
        <w:trPr>
          <w:trHeight w:val="992"/>
        </w:trPr>
        <w:tc>
          <w:tcPr>
            <w:tcW w:w="1536" w:type="dxa"/>
            <w:tcBorders>
              <w:top w:val="single" w:sz="4" w:space="0" w:color="auto"/>
              <w:left w:val="single" w:sz="4" w:space="0" w:color="auto"/>
              <w:bottom w:val="single" w:sz="4" w:space="0" w:color="auto"/>
              <w:right w:val="single" w:sz="4" w:space="0" w:color="auto"/>
            </w:tcBorders>
            <w:shd w:val="clear" w:color="000000" w:fill="201547"/>
            <w:vAlign w:val="bottom"/>
            <w:hideMark/>
          </w:tcPr>
          <w:p w14:paraId="037E1262" w14:textId="77777777" w:rsidR="004A5138" w:rsidRPr="004A5138" w:rsidRDefault="004A5138" w:rsidP="004A5138">
            <w:pPr>
              <w:spacing w:after="0" w:line="240" w:lineRule="auto"/>
              <w:rPr>
                <w:rFonts w:cs="Arial"/>
                <w:b/>
                <w:bCs/>
                <w:color w:val="FFFFFF"/>
                <w:sz w:val="16"/>
                <w:szCs w:val="16"/>
                <w:lang w:eastAsia="en-AU"/>
              </w:rPr>
            </w:pPr>
            <w:r w:rsidRPr="004A5138">
              <w:rPr>
                <w:rFonts w:cs="Arial"/>
                <w:b/>
                <w:bCs/>
                <w:color w:val="FFFFFF"/>
                <w:sz w:val="16"/>
                <w:szCs w:val="16"/>
                <w:lang w:eastAsia="en-AU"/>
              </w:rPr>
              <w:t> </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1693D9C0"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 xml:space="preserve">DTU – activity </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41154B4E"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DTAU – residential drug withdrawal</w:t>
            </w:r>
          </w:p>
        </w:tc>
        <w:tc>
          <w:tcPr>
            <w:tcW w:w="850" w:type="dxa"/>
            <w:tcBorders>
              <w:top w:val="single" w:sz="4" w:space="0" w:color="auto"/>
              <w:left w:val="nil"/>
              <w:bottom w:val="single" w:sz="4" w:space="0" w:color="auto"/>
              <w:right w:val="single" w:sz="4" w:space="0" w:color="auto"/>
            </w:tcBorders>
            <w:shd w:val="clear" w:color="000000" w:fill="201547"/>
            <w:vAlign w:val="bottom"/>
            <w:hideMark/>
          </w:tcPr>
          <w:p w14:paraId="68F6BDC9" w14:textId="1583CA69"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DTAU – residential rehabilitation</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5CDBA8AD"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DTAU – Intake and assessment</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71E2DAD3"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DTAU – Care and recovery coordination</w:t>
            </w:r>
          </w:p>
        </w:tc>
        <w:tc>
          <w:tcPr>
            <w:tcW w:w="850" w:type="dxa"/>
            <w:tcBorders>
              <w:top w:val="single" w:sz="4" w:space="0" w:color="auto"/>
              <w:left w:val="nil"/>
              <w:bottom w:val="single" w:sz="4" w:space="0" w:color="auto"/>
              <w:right w:val="single" w:sz="4" w:space="0" w:color="auto"/>
            </w:tcBorders>
            <w:shd w:val="clear" w:color="000000" w:fill="201547"/>
            <w:vAlign w:val="bottom"/>
            <w:hideMark/>
          </w:tcPr>
          <w:p w14:paraId="26F1B2A9"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DTAU – counselling</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215FC75A"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Episode of care – Mobile overdose response service</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726F85E2" w14:textId="78E1C5E1"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DTAU – Non-residential withdrawal</w:t>
            </w:r>
          </w:p>
        </w:tc>
        <w:tc>
          <w:tcPr>
            <w:tcW w:w="850" w:type="dxa"/>
            <w:tcBorders>
              <w:top w:val="single" w:sz="4" w:space="0" w:color="auto"/>
              <w:left w:val="nil"/>
              <w:bottom w:val="single" w:sz="4" w:space="0" w:color="auto"/>
              <w:right w:val="single" w:sz="4" w:space="0" w:color="auto"/>
            </w:tcBorders>
            <w:shd w:val="clear" w:color="000000" w:fill="201547"/>
            <w:vAlign w:val="bottom"/>
            <w:hideMark/>
          </w:tcPr>
          <w:p w14:paraId="3B70262A"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DTAU – Rural withdrawal</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5874E4DC" w14:textId="63624DFD"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Episode of care – Specialist Pharmacotherapy</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177CB054"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Episode of care – Specialist Pharmacotherapy Service</w:t>
            </w:r>
          </w:p>
        </w:tc>
        <w:tc>
          <w:tcPr>
            <w:tcW w:w="850" w:type="dxa"/>
            <w:tcBorders>
              <w:top w:val="single" w:sz="4" w:space="0" w:color="auto"/>
              <w:left w:val="nil"/>
              <w:bottom w:val="single" w:sz="4" w:space="0" w:color="auto"/>
              <w:right w:val="single" w:sz="4" w:space="0" w:color="auto"/>
            </w:tcBorders>
            <w:shd w:val="clear" w:color="000000" w:fill="201547"/>
            <w:vAlign w:val="bottom"/>
            <w:hideMark/>
          </w:tcPr>
          <w:p w14:paraId="25854947"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Episode of care –  Youth A&amp;D supported accommodation</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0558FC91"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Episode of care –  Youth A&amp;D supported accommodation rural</w:t>
            </w:r>
          </w:p>
        </w:tc>
        <w:tc>
          <w:tcPr>
            <w:tcW w:w="849" w:type="dxa"/>
            <w:tcBorders>
              <w:top w:val="single" w:sz="4" w:space="0" w:color="auto"/>
              <w:left w:val="nil"/>
              <w:bottom w:val="single" w:sz="4" w:space="0" w:color="auto"/>
              <w:right w:val="single" w:sz="4" w:space="0" w:color="auto"/>
            </w:tcBorders>
            <w:shd w:val="clear" w:color="000000" w:fill="201547"/>
            <w:vAlign w:val="bottom"/>
            <w:hideMark/>
          </w:tcPr>
          <w:p w14:paraId="41DDFD00"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Episode of care –Youth Outreach</w:t>
            </w:r>
          </w:p>
        </w:tc>
        <w:tc>
          <w:tcPr>
            <w:tcW w:w="850" w:type="dxa"/>
            <w:tcBorders>
              <w:top w:val="single" w:sz="4" w:space="0" w:color="auto"/>
              <w:left w:val="nil"/>
              <w:bottom w:val="single" w:sz="4" w:space="0" w:color="auto"/>
              <w:right w:val="single" w:sz="4" w:space="0" w:color="auto"/>
            </w:tcBorders>
            <w:shd w:val="clear" w:color="000000" w:fill="201547"/>
            <w:vAlign w:val="bottom"/>
            <w:hideMark/>
          </w:tcPr>
          <w:p w14:paraId="7C3FB6EC" w14:textId="77777777" w:rsidR="004A5138" w:rsidRPr="004A5138" w:rsidRDefault="004A5138" w:rsidP="004A5138">
            <w:pPr>
              <w:spacing w:after="0" w:line="240" w:lineRule="auto"/>
              <w:jc w:val="right"/>
              <w:rPr>
                <w:rFonts w:cs="Arial"/>
                <w:b/>
                <w:bCs/>
                <w:color w:val="FFFFFF"/>
                <w:sz w:val="13"/>
                <w:szCs w:val="13"/>
                <w:lang w:eastAsia="en-AU"/>
              </w:rPr>
            </w:pPr>
            <w:r w:rsidRPr="004A5138">
              <w:rPr>
                <w:rFonts w:cs="Arial"/>
                <w:b/>
                <w:bCs/>
                <w:color w:val="FFFFFF"/>
                <w:sz w:val="13"/>
                <w:szCs w:val="13"/>
                <w:lang w:eastAsia="en-AU"/>
              </w:rPr>
              <w:t>Total</w:t>
            </w:r>
          </w:p>
        </w:tc>
      </w:tr>
      <w:tr w:rsidR="004A5138" w:rsidRPr="004A5138" w14:paraId="095C1CE7" w14:textId="77777777" w:rsidTr="004A5138">
        <w:trPr>
          <w:trHeight w:val="291"/>
        </w:trPr>
        <w:tc>
          <w:tcPr>
            <w:tcW w:w="1536" w:type="dxa"/>
            <w:tcBorders>
              <w:top w:val="nil"/>
              <w:left w:val="single" w:sz="4" w:space="0" w:color="auto"/>
              <w:bottom w:val="single" w:sz="4" w:space="0" w:color="auto"/>
              <w:right w:val="single" w:sz="4" w:space="0" w:color="auto"/>
            </w:tcBorders>
            <w:shd w:val="clear" w:color="000000" w:fill="FFFFFF"/>
            <w:vAlign w:val="bottom"/>
            <w:hideMark/>
          </w:tcPr>
          <w:p w14:paraId="0A6A7E25" w14:textId="69587B2C" w:rsidR="004A5138" w:rsidRPr="004A5138" w:rsidRDefault="004A5138" w:rsidP="004A5138">
            <w:pPr>
              <w:spacing w:after="0" w:line="240" w:lineRule="auto"/>
              <w:rPr>
                <w:rFonts w:cs="Arial"/>
                <w:b/>
                <w:bCs/>
                <w:sz w:val="16"/>
                <w:szCs w:val="16"/>
                <w:lang w:eastAsia="en-AU"/>
              </w:rPr>
            </w:pPr>
            <w:r>
              <w:rPr>
                <w:rFonts w:cs="Arial"/>
                <w:b/>
                <w:bCs/>
                <w:sz w:val="16"/>
                <w:szCs w:val="16"/>
                <w:lang w:eastAsia="en-AU"/>
              </w:rPr>
              <w:t>Total</w:t>
            </w:r>
          </w:p>
        </w:tc>
        <w:tc>
          <w:tcPr>
            <w:tcW w:w="849" w:type="dxa"/>
            <w:tcBorders>
              <w:top w:val="nil"/>
              <w:left w:val="nil"/>
              <w:bottom w:val="single" w:sz="4" w:space="0" w:color="auto"/>
              <w:right w:val="single" w:sz="4" w:space="0" w:color="auto"/>
            </w:tcBorders>
            <w:shd w:val="clear" w:color="000000" w:fill="FFFFFF"/>
            <w:vAlign w:val="bottom"/>
            <w:hideMark/>
          </w:tcPr>
          <w:p w14:paraId="3276116E"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3,113</w:t>
            </w:r>
          </w:p>
        </w:tc>
        <w:tc>
          <w:tcPr>
            <w:tcW w:w="849" w:type="dxa"/>
            <w:tcBorders>
              <w:top w:val="nil"/>
              <w:left w:val="nil"/>
              <w:bottom w:val="single" w:sz="4" w:space="0" w:color="auto"/>
              <w:right w:val="single" w:sz="4" w:space="0" w:color="auto"/>
            </w:tcBorders>
            <w:shd w:val="clear" w:color="000000" w:fill="FFFFFF"/>
            <w:vAlign w:val="bottom"/>
            <w:hideMark/>
          </w:tcPr>
          <w:p w14:paraId="76878771"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0</w:t>
            </w:r>
          </w:p>
        </w:tc>
        <w:tc>
          <w:tcPr>
            <w:tcW w:w="850" w:type="dxa"/>
            <w:tcBorders>
              <w:top w:val="nil"/>
              <w:left w:val="nil"/>
              <w:bottom w:val="single" w:sz="4" w:space="0" w:color="auto"/>
              <w:right w:val="single" w:sz="4" w:space="0" w:color="auto"/>
            </w:tcBorders>
            <w:shd w:val="clear" w:color="000000" w:fill="FFFFFF"/>
            <w:vAlign w:val="bottom"/>
            <w:hideMark/>
          </w:tcPr>
          <w:p w14:paraId="4863FC20"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0</w:t>
            </w:r>
          </w:p>
        </w:tc>
        <w:tc>
          <w:tcPr>
            <w:tcW w:w="849" w:type="dxa"/>
            <w:tcBorders>
              <w:top w:val="nil"/>
              <w:left w:val="nil"/>
              <w:bottom w:val="single" w:sz="4" w:space="0" w:color="auto"/>
              <w:right w:val="single" w:sz="4" w:space="0" w:color="auto"/>
            </w:tcBorders>
            <w:shd w:val="clear" w:color="000000" w:fill="FFFFFF"/>
            <w:vAlign w:val="bottom"/>
            <w:hideMark/>
          </w:tcPr>
          <w:p w14:paraId="3ECC3E0D"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0</w:t>
            </w:r>
          </w:p>
        </w:tc>
        <w:tc>
          <w:tcPr>
            <w:tcW w:w="849" w:type="dxa"/>
            <w:tcBorders>
              <w:top w:val="nil"/>
              <w:left w:val="nil"/>
              <w:bottom w:val="single" w:sz="4" w:space="0" w:color="auto"/>
              <w:right w:val="single" w:sz="4" w:space="0" w:color="auto"/>
            </w:tcBorders>
            <w:shd w:val="clear" w:color="000000" w:fill="FFFFFF"/>
            <w:vAlign w:val="bottom"/>
            <w:hideMark/>
          </w:tcPr>
          <w:p w14:paraId="3C755E2D"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0</w:t>
            </w:r>
          </w:p>
        </w:tc>
        <w:tc>
          <w:tcPr>
            <w:tcW w:w="850" w:type="dxa"/>
            <w:tcBorders>
              <w:top w:val="nil"/>
              <w:left w:val="nil"/>
              <w:bottom w:val="single" w:sz="4" w:space="0" w:color="auto"/>
              <w:right w:val="single" w:sz="4" w:space="0" w:color="auto"/>
            </w:tcBorders>
            <w:shd w:val="clear" w:color="000000" w:fill="FFFFFF"/>
            <w:vAlign w:val="bottom"/>
            <w:hideMark/>
          </w:tcPr>
          <w:p w14:paraId="7DAABBEF"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0</w:t>
            </w:r>
          </w:p>
        </w:tc>
        <w:tc>
          <w:tcPr>
            <w:tcW w:w="849" w:type="dxa"/>
            <w:tcBorders>
              <w:top w:val="nil"/>
              <w:left w:val="nil"/>
              <w:bottom w:val="single" w:sz="4" w:space="0" w:color="auto"/>
              <w:right w:val="single" w:sz="4" w:space="0" w:color="auto"/>
            </w:tcBorders>
            <w:shd w:val="clear" w:color="000000" w:fill="FFFFFF"/>
            <w:vAlign w:val="bottom"/>
            <w:hideMark/>
          </w:tcPr>
          <w:p w14:paraId="19F8CCFE"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0</w:t>
            </w:r>
          </w:p>
        </w:tc>
        <w:tc>
          <w:tcPr>
            <w:tcW w:w="849" w:type="dxa"/>
            <w:tcBorders>
              <w:top w:val="nil"/>
              <w:left w:val="nil"/>
              <w:bottom w:val="single" w:sz="4" w:space="0" w:color="auto"/>
              <w:right w:val="single" w:sz="4" w:space="0" w:color="auto"/>
            </w:tcBorders>
            <w:shd w:val="clear" w:color="000000" w:fill="FFFFFF"/>
            <w:vAlign w:val="bottom"/>
            <w:hideMark/>
          </w:tcPr>
          <w:p w14:paraId="78DCE7D7"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578</w:t>
            </w:r>
          </w:p>
        </w:tc>
        <w:tc>
          <w:tcPr>
            <w:tcW w:w="850" w:type="dxa"/>
            <w:tcBorders>
              <w:top w:val="nil"/>
              <w:left w:val="nil"/>
              <w:bottom w:val="single" w:sz="4" w:space="0" w:color="auto"/>
              <w:right w:val="single" w:sz="4" w:space="0" w:color="auto"/>
            </w:tcBorders>
            <w:shd w:val="clear" w:color="000000" w:fill="FFFFFF"/>
            <w:vAlign w:val="bottom"/>
            <w:hideMark/>
          </w:tcPr>
          <w:p w14:paraId="4DB70C74"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120</w:t>
            </w:r>
          </w:p>
        </w:tc>
        <w:tc>
          <w:tcPr>
            <w:tcW w:w="849" w:type="dxa"/>
            <w:tcBorders>
              <w:top w:val="nil"/>
              <w:left w:val="nil"/>
              <w:bottom w:val="single" w:sz="4" w:space="0" w:color="auto"/>
              <w:right w:val="single" w:sz="4" w:space="0" w:color="auto"/>
            </w:tcBorders>
            <w:shd w:val="clear" w:color="000000" w:fill="FFFFFF"/>
            <w:vAlign w:val="bottom"/>
            <w:hideMark/>
          </w:tcPr>
          <w:p w14:paraId="0265A6F8"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100</w:t>
            </w:r>
          </w:p>
        </w:tc>
        <w:tc>
          <w:tcPr>
            <w:tcW w:w="849" w:type="dxa"/>
            <w:tcBorders>
              <w:top w:val="nil"/>
              <w:left w:val="nil"/>
              <w:bottom w:val="single" w:sz="4" w:space="0" w:color="auto"/>
              <w:right w:val="single" w:sz="4" w:space="0" w:color="auto"/>
            </w:tcBorders>
            <w:shd w:val="clear" w:color="000000" w:fill="FFFFFF"/>
            <w:vAlign w:val="bottom"/>
            <w:hideMark/>
          </w:tcPr>
          <w:p w14:paraId="10C32FFE"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502</w:t>
            </w:r>
          </w:p>
        </w:tc>
        <w:tc>
          <w:tcPr>
            <w:tcW w:w="850" w:type="dxa"/>
            <w:tcBorders>
              <w:top w:val="nil"/>
              <w:left w:val="nil"/>
              <w:bottom w:val="single" w:sz="4" w:space="0" w:color="auto"/>
              <w:right w:val="single" w:sz="4" w:space="0" w:color="auto"/>
            </w:tcBorders>
            <w:shd w:val="clear" w:color="000000" w:fill="FFFFFF"/>
            <w:vAlign w:val="bottom"/>
            <w:hideMark/>
          </w:tcPr>
          <w:p w14:paraId="2B14EA16"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40</w:t>
            </w:r>
          </w:p>
        </w:tc>
        <w:tc>
          <w:tcPr>
            <w:tcW w:w="849" w:type="dxa"/>
            <w:tcBorders>
              <w:top w:val="nil"/>
              <w:left w:val="nil"/>
              <w:bottom w:val="single" w:sz="4" w:space="0" w:color="auto"/>
              <w:right w:val="single" w:sz="4" w:space="0" w:color="auto"/>
            </w:tcBorders>
            <w:shd w:val="clear" w:color="000000" w:fill="FFFFFF"/>
            <w:vAlign w:val="bottom"/>
            <w:hideMark/>
          </w:tcPr>
          <w:p w14:paraId="5C650B0F"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7</w:t>
            </w:r>
          </w:p>
        </w:tc>
        <w:tc>
          <w:tcPr>
            <w:tcW w:w="849" w:type="dxa"/>
            <w:tcBorders>
              <w:top w:val="nil"/>
              <w:left w:val="nil"/>
              <w:bottom w:val="single" w:sz="4" w:space="0" w:color="auto"/>
              <w:right w:val="single" w:sz="4" w:space="0" w:color="auto"/>
            </w:tcBorders>
            <w:shd w:val="clear" w:color="000000" w:fill="FFFFFF"/>
            <w:vAlign w:val="bottom"/>
            <w:hideMark/>
          </w:tcPr>
          <w:p w14:paraId="2B6619B7"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412</w:t>
            </w:r>
          </w:p>
        </w:tc>
        <w:tc>
          <w:tcPr>
            <w:tcW w:w="850" w:type="dxa"/>
            <w:tcBorders>
              <w:top w:val="nil"/>
              <w:left w:val="nil"/>
              <w:bottom w:val="single" w:sz="4" w:space="0" w:color="auto"/>
              <w:right w:val="single" w:sz="4" w:space="0" w:color="auto"/>
            </w:tcBorders>
            <w:shd w:val="clear" w:color="000000" w:fill="FFFFFF"/>
            <w:vAlign w:val="bottom"/>
            <w:hideMark/>
          </w:tcPr>
          <w:p w14:paraId="06F53E1A" w14:textId="77777777" w:rsidR="004A5138" w:rsidRPr="004A5138" w:rsidRDefault="004A5138" w:rsidP="004A5138">
            <w:pPr>
              <w:spacing w:after="0" w:line="240" w:lineRule="auto"/>
              <w:jc w:val="right"/>
              <w:rPr>
                <w:rFonts w:cs="Arial"/>
                <w:b/>
                <w:bCs/>
                <w:sz w:val="16"/>
                <w:szCs w:val="16"/>
                <w:lang w:eastAsia="en-AU"/>
              </w:rPr>
            </w:pPr>
            <w:r w:rsidRPr="004A5138">
              <w:rPr>
                <w:rFonts w:cs="Arial"/>
                <w:b/>
                <w:bCs/>
                <w:sz w:val="16"/>
                <w:szCs w:val="16"/>
                <w:lang w:eastAsia="en-AU"/>
              </w:rPr>
              <w:t>38,069</w:t>
            </w:r>
          </w:p>
        </w:tc>
      </w:tr>
    </w:tbl>
    <w:p w14:paraId="04EB01F1" w14:textId="77777777" w:rsidR="00C4616E" w:rsidRDefault="00C4616E" w:rsidP="00B92CD4">
      <w:pPr>
        <w:pStyle w:val="Body"/>
        <w:sectPr w:rsidR="00C4616E" w:rsidSect="0031305A">
          <w:pgSz w:w="16838" w:h="11906" w:orient="landscape" w:code="9"/>
          <w:pgMar w:top="1304" w:right="1418" w:bottom="1304" w:left="1134" w:header="680" w:footer="283" w:gutter="0"/>
          <w:cols w:space="340"/>
          <w:docGrid w:linePitch="360"/>
        </w:sectPr>
      </w:pPr>
    </w:p>
    <w:p w14:paraId="4CF207C2" w14:textId="088DD9A4" w:rsidR="000B27B9" w:rsidRDefault="000B27B9" w:rsidP="002705DA">
      <w:pPr>
        <w:pStyle w:val="Heading1"/>
        <w:numPr>
          <w:ilvl w:val="0"/>
          <w:numId w:val="0"/>
        </w:numPr>
        <w:spacing w:before="0"/>
      </w:pPr>
      <w:bookmarkStart w:id="1405" w:name="_Toc100263387"/>
      <w:bookmarkStart w:id="1406" w:name="_Toc127192036"/>
      <w:bookmarkStart w:id="1407" w:name="_Toc55381183"/>
      <w:bookmarkEnd w:id="1043"/>
      <w:bookmarkEnd w:id="1044"/>
      <w:r>
        <w:t xml:space="preserve">List of </w:t>
      </w:r>
      <w:r w:rsidR="00331D5D">
        <w:t>T</w:t>
      </w:r>
      <w:r>
        <w:t>ables</w:t>
      </w:r>
      <w:bookmarkEnd w:id="1045"/>
      <w:bookmarkEnd w:id="1405"/>
      <w:bookmarkEnd w:id="1406"/>
      <w:r>
        <w:t xml:space="preserve"> </w:t>
      </w:r>
      <w:bookmarkEnd w:id="1407"/>
    </w:p>
    <w:p w14:paraId="5C79E95B" w14:textId="4D2A8A36" w:rsidR="002A4F62" w:rsidRDefault="000B27B9">
      <w:pPr>
        <w:pStyle w:val="TOC4"/>
        <w:tabs>
          <w:tab w:val="left" w:pos="1200"/>
        </w:tabs>
        <w:rPr>
          <w:rFonts w:asciiTheme="minorHAnsi" w:eastAsiaTheme="minorEastAsia" w:hAnsiTheme="minorHAnsi" w:cstheme="minorBidi"/>
          <w:noProof/>
          <w:sz w:val="22"/>
          <w:szCs w:val="22"/>
          <w:lang w:eastAsia="en-AU"/>
        </w:rPr>
      </w:pPr>
      <w:r w:rsidRPr="00F02E93">
        <w:rPr>
          <w:noProof/>
          <w:sz w:val="18"/>
          <w:szCs w:val="18"/>
        </w:rPr>
        <w:fldChar w:fldCharType="begin"/>
      </w:r>
      <w:r w:rsidRPr="00F02E93">
        <w:rPr>
          <w:sz w:val="18"/>
          <w:szCs w:val="18"/>
        </w:rPr>
        <w:instrText xml:space="preserve"> TOC \h \z \t "</w:instrText>
      </w:r>
      <w:r w:rsidR="00DA113D" w:rsidRPr="00F02E93">
        <w:rPr>
          <w:sz w:val="18"/>
          <w:szCs w:val="18"/>
        </w:rPr>
        <w:instrText>Table caption</w:instrText>
      </w:r>
      <w:r w:rsidRPr="00F02E93">
        <w:rPr>
          <w:sz w:val="18"/>
          <w:szCs w:val="18"/>
        </w:rPr>
        <w:instrText xml:space="preserve">,4" </w:instrText>
      </w:r>
      <w:r w:rsidRPr="00F02E93">
        <w:rPr>
          <w:noProof/>
          <w:sz w:val="18"/>
          <w:szCs w:val="18"/>
        </w:rPr>
        <w:fldChar w:fldCharType="separate"/>
      </w:r>
      <w:hyperlink w:anchor="_Toc119500876" w:history="1">
        <w:r w:rsidR="002A4F62" w:rsidRPr="00016B0B">
          <w:rPr>
            <w:rStyle w:val="Hyperlink"/>
            <w:iCs/>
            <w:noProof/>
          </w:rPr>
          <w:t>Table 1.1</w:t>
        </w:r>
        <w:r w:rsidR="002A4F62">
          <w:rPr>
            <w:rFonts w:asciiTheme="minorHAnsi" w:eastAsiaTheme="minorEastAsia" w:hAnsiTheme="minorHAnsi" w:cstheme="minorBidi"/>
            <w:noProof/>
            <w:sz w:val="22"/>
            <w:szCs w:val="22"/>
            <w:lang w:eastAsia="en-AU"/>
          </w:rPr>
          <w:tab/>
        </w:r>
        <w:r w:rsidR="002A4F62" w:rsidRPr="00016B0B">
          <w:rPr>
            <w:rStyle w:val="Hyperlink"/>
            <w:iCs/>
            <w:noProof/>
          </w:rPr>
          <w:t xml:space="preserve">Victorian Budget </w:t>
        </w:r>
        <w:r w:rsidR="002A4F62" w:rsidRPr="00016B0B">
          <w:rPr>
            <w:rStyle w:val="Hyperlink"/>
            <w:noProof/>
          </w:rPr>
          <w:t xml:space="preserve">2022–23 </w:t>
        </w:r>
        <w:r w:rsidR="002A4F62" w:rsidRPr="00016B0B">
          <w:rPr>
            <w:rStyle w:val="Hyperlink"/>
            <w:iCs/>
            <w:noProof/>
          </w:rPr>
          <w:t>by output group</w:t>
        </w:r>
        <w:r w:rsidR="002A4F62">
          <w:rPr>
            <w:noProof/>
            <w:webHidden/>
          </w:rPr>
          <w:tab/>
        </w:r>
        <w:r w:rsidR="002A4F62">
          <w:rPr>
            <w:noProof/>
            <w:webHidden/>
          </w:rPr>
          <w:fldChar w:fldCharType="begin"/>
        </w:r>
        <w:r w:rsidR="002A4F62">
          <w:rPr>
            <w:noProof/>
            <w:webHidden/>
          </w:rPr>
          <w:instrText xml:space="preserve"> PAGEREF _Toc119500876 \h </w:instrText>
        </w:r>
        <w:r w:rsidR="002A4F62">
          <w:rPr>
            <w:noProof/>
            <w:webHidden/>
          </w:rPr>
        </w:r>
        <w:r w:rsidR="002A4F62">
          <w:rPr>
            <w:noProof/>
            <w:webHidden/>
          </w:rPr>
          <w:fldChar w:fldCharType="separate"/>
        </w:r>
        <w:r w:rsidR="002A4F62">
          <w:rPr>
            <w:noProof/>
            <w:webHidden/>
          </w:rPr>
          <w:t>4</w:t>
        </w:r>
        <w:r w:rsidR="002A4F62">
          <w:rPr>
            <w:noProof/>
            <w:webHidden/>
          </w:rPr>
          <w:fldChar w:fldCharType="end"/>
        </w:r>
      </w:hyperlink>
    </w:p>
    <w:p w14:paraId="4BFA1DDA" w14:textId="3C7E9CF9"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77" w:history="1">
        <w:r w:rsidR="002A4F62" w:rsidRPr="00016B0B">
          <w:rPr>
            <w:rStyle w:val="Hyperlink"/>
            <w:noProof/>
          </w:rPr>
          <w:t>Table 1.2</w:t>
        </w:r>
        <w:r w:rsidR="002A4F62">
          <w:rPr>
            <w:rFonts w:asciiTheme="minorHAnsi" w:eastAsiaTheme="minorEastAsia" w:hAnsiTheme="minorHAnsi" w:cstheme="minorBidi"/>
            <w:noProof/>
            <w:sz w:val="22"/>
            <w:szCs w:val="22"/>
            <w:lang w:eastAsia="en-AU"/>
          </w:rPr>
          <w:tab/>
        </w:r>
        <w:r w:rsidR="002A4F62" w:rsidRPr="00016B0B">
          <w:rPr>
            <w:rStyle w:val="Hyperlink"/>
            <w:noProof/>
          </w:rPr>
          <w:t>Funding for asset initiatives – acute health</w:t>
        </w:r>
        <w:r w:rsidR="002A4F62">
          <w:rPr>
            <w:noProof/>
            <w:webHidden/>
          </w:rPr>
          <w:tab/>
        </w:r>
        <w:r w:rsidR="002A4F62">
          <w:rPr>
            <w:noProof/>
            <w:webHidden/>
          </w:rPr>
          <w:fldChar w:fldCharType="begin"/>
        </w:r>
        <w:r w:rsidR="002A4F62">
          <w:rPr>
            <w:noProof/>
            <w:webHidden/>
          </w:rPr>
          <w:instrText xml:space="preserve"> PAGEREF _Toc119500877 \h </w:instrText>
        </w:r>
        <w:r w:rsidR="002A4F62">
          <w:rPr>
            <w:noProof/>
            <w:webHidden/>
          </w:rPr>
        </w:r>
        <w:r w:rsidR="002A4F62">
          <w:rPr>
            <w:noProof/>
            <w:webHidden/>
          </w:rPr>
          <w:fldChar w:fldCharType="separate"/>
        </w:r>
        <w:r w:rsidR="002A4F62">
          <w:rPr>
            <w:noProof/>
            <w:webHidden/>
          </w:rPr>
          <w:t>11</w:t>
        </w:r>
        <w:r w:rsidR="002A4F62">
          <w:rPr>
            <w:noProof/>
            <w:webHidden/>
          </w:rPr>
          <w:fldChar w:fldCharType="end"/>
        </w:r>
      </w:hyperlink>
    </w:p>
    <w:p w14:paraId="55580D36" w14:textId="3AA9A662"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78" w:history="1">
        <w:r w:rsidR="002A4F62" w:rsidRPr="00016B0B">
          <w:rPr>
            <w:rStyle w:val="Hyperlink"/>
            <w:noProof/>
          </w:rPr>
          <w:t>Table 1.3</w:t>
        </w:r>
        <w:r w:rsidR="002A4F62">
          <w:rPr>
            <w:rFonts w:asciiTheme="minorHAnsi" w:eastAsiaTheme="minorEastAsia" w:hAnsiTheme="minorHAnsi" w:cstheme="minorBidi"/>
            <w:noProof/>
            <w:sz w:val="22"/>
            <w:szCs w:val="22"/>
            <w:lang w:eastAsia="en-AU"/>
          </w:rPr>
          <w:tab/>
        </w:r>
        <w:r w:rsidR="002A4F62" w:rsidRPr="00016B0B">
          <w:rPr>
            <w:rStyle w:val="Hyperlink"/>
            <w:noProof/>
          </w:rPr>
          <w:t>Funding for asset initiatives – ageing, aged and home care</w:t>
        </w:r>
        <w:r w:rsidR="002A4F62">
          <w:rPr>
            <w:noProof/>
            <w:webHidden/>
          </w:rPr>
          <w:tab/>
        </w:r>
        <w:r w:rsidR="002A4F62">
          <w:rPr>
            <w:noProof/>
            <w:webHidden/>
          </w:rPr>
          <w:fldChar w:fldCharType="begin"/>
        </w:r>
        <w:r w:rsidR="002A4F62">
          <w:rPr>
            <w:noProof/>
            <w:webHidden/>
          </w:rPr>
          <w:instrText xml:space="preserve"> PAGEREF _Toc119500878 \h </w:instrText>
        </w:r>
        <w:r w:rsidR="002A4F62">
          <w:rPr>
            <w:noProof/>
            <w:webHidden/>
          </w:rPr>
        </w:r>
        <w:r w:rsidR="002A4F62">
          <w:rPr>
            <w:noProof/>
            <w:webHidden/>
          </w:rPr>
          <w:fldChar w:fldCharType="separate"/>
        </w:r>
        <w:r w:rsidR="002A4F62">
          <w:rPr>
            <w:noProof/>
            <w:webHidden/>
          </w:rPr>
          <w:t>13</w:t>
        </w:r>
        <w:r w:rsidR="002A4F62">
          <w:rPr>
            <w:noProof/>
            <w:webHidden/>
          </w:rPr>
          <w:fldChar w:fldCharType="end"/>
        </w:r>
      </w:hyperlink>
    </w:p>
    <w:p w14:paraId="2DFFA25E" w14:textId="1C939048"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79" w:history="1">
        <w:r w:rsidR="002A4F62" w:rsidRPr="00016B0B">
          <w:rPr>
            <w:rStyle w:val="Hyperlink"/>
            <w:noProof/>
          </w:rPr>
          <w:t>Table 1.4</w:t>
        </w:r>
        <w:r w:rsidR="002A4F62">
          <w:rPr>
            <w:rFonts w:asciiTheme="minorHAnsi" w:eastAsiaTheme="minorEastAsia" w:hAnsiTheme="minorHAnsi" w:cstheme="minorBidi"/>
            <w:noProof/>
            <w:sz w:val="22"/>
            <w:szCs w:val="22"/>
            <w:lang w:eastAsia="en-AU"/>
          </w:rPr>
          <w:tab/>
        </w:r>
        <w:r w:rsidR="002A4F62" w:rsidRPr="00016B0B">
          <w:rPr>
            <w:rStyle w:val="Hyperlink"/>
            <w:noProof/>
          </w:rPr>
          <w:t>Funding for asset initiatives – mental health</w:t>
        </w:r>
        <w:r w:rsidR="002A4F62">
          <w:rPr>
            <w:noProof/>
            <w:webHidden/>
          </w:rPr>
          <w:tab/>
        </w:r>
        <w:r w:rsidR="002A4F62">
          <w:rPr>
            <w:noProof/>
            <w:webHidden/>
          </w:rPr>
          <w:fldChar w:fldCharType="begin"/>
        </w:r>
        <w:r w:rsidR="002A4F62">
          <w:rPr>
            <w:noProof/>
            <w:webHidden/>
          </w:rPr>
          <w:instrText xml:space="preserve"> PAGEREF _Toc119500879 \h </w:instrText>
        </w:r>
        <w:r w:rsidR="002A4F62">
          <w:rPr>
            <w:noProof/>
            <w:webHidden/>
          </w:rPr>
        </w:r>
        <w:r w:rsidR="002A4F62">
          <w:rPr>
            <w:noProof/>
            <w:webHidden/>
          </w:rPr>
          <w:fldChar w:fldCharType="separate"/>
        </w:r>
        <w:r w:rsidR="002A4F62">
          <w:rPr>
            <w:noProof/>
            <w:webHidden/>
          </w:rPr>
          <w:t>13</w:t>
        </w:r>
        <w:r w:rsidR="002A4F62">
          <w:rPr>
            <w:noProof/>
            <w:webHidden/>
          </w:rPr>
          <w:fldChar w:fldCharType="end"/>
        </w:r>
      </w:hyperlink>
    </w:p>
    <w:p w14:paraId="4304AA25" w14:textId="1088B733"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80" w:history="1">
        <w:r w:rsidR="002A4F62" w:rsidRPr="00016B0B">
          <w:rPr>
            <w:rStyle w:val="Hyperlink"/>
            <w:noProof/>
          </w:rPr>
          <w:t>Table 1.5</w:t>
        </w:r>
        <w:r w:rsidR="002A4F62">
          <w:rPr>
            <w:rFonts w:asciiTheme="minorHAnsi" w:eastAsiaTheme="minorEastAsia" w:hAnsiTheme="minorHAnsi" w:cstheme="minorBidi"/>
            <w:noProof/>
            <w:sz w:val="22"/>
            <w:szCs w:val="22"/>
            <w:lang w:eastAsia="en-AU"/>
          </w:rPr>
          <w:tab/>
        </w:r>
        <w:r w:rsidR="002A4F62" w:rsidRPr="00016B0B">
          <w:rPr>
            <w:rStyle w:val="Hyperlink"/>
            <w:noProof/>
          </w:rPr>
          <w:t>Victorian funding recall rates 2022–23</w:t>
        </w:r>
        <w:r w:rsidR="002A4F62">
          <w:rPr>
            <w:noProof/>
            <w:webHidden/>
          </w:rPr>
          <w:tab/>
        </w:r>
        <w:r w:rsidR="002A4F62">
          <w:rPr>
            <w:noProof/>
            <w:webHidden/>
          </w:rPr>
          <w:fldChar w:fldCharType="begin"/>
        </w:r>
        <w:r w:rsidR="002A4F62">
          <w:rPr>
            <w:noProof/>
            <w:webHidden/>
          </w:rPr>
          <w:instrText xml:space="preserve"> PAGEREF _Toc119500880 \h </w:instrText>
        </w:r>
        <w:r w:rsidR="002A4F62">
          <w:rPr>
            <w:noProof/>
            <w:webHidden/>
          </w:rPr>
        </w:r>
        <w:r w:rsidR="002A4F62">
          <w:rPr>
            <w:noProof/>
            <w:webHidden/>
          </w:rPr>
          <w:fldChar w:fldCharType="separate"/>
        </w:r>
        <w:r w:rsidR="002A4F62">
          <w:rPr>
            <w:noProof/>
            <w:webHidden/>
          </w:rPr>
          <w:t>56</w:t>
        </w:r>
        <w:r w:rsidR="002A4F62">
          <w:rPr>
            <w:noProof/>
            <w:webHidden/>
          </w:rPr>
          <w:fldChar w:fldCharType="end"/>
        </w:r>
      </w:hyperlink>
    </w:p>
    <w:p w14:paraId="2500178C" w14:textId="3C82F9C3"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81" w:history="1">
        <w:r w:rsidR="002A4F62" w:rsidRPr="00016B0B">
          <w:rPr>
            <w:rStyle w:val="Hyperlink"/>
            <w:noProof/>
          </w:rPr>
          <w:t>Table 1.6</w:t>
        </w:r>
        <w:r w:rsidR="002A4F62">
          <w:rPr>
            <w:rFonts w:asciiTheme="minorHAnsi" w:eastAsiaTheme="minorEastAsia" w:hAnsiTheme="minorHAnsi" w:cstheme="minorBidi"/>
            <w:noProof/>
            <w:sz w:val="22"/>
            <w:szCs w:val="22"/>
            <w:lang w:eastAsia="en-AU"/>
          </w:rPr>
          <w:tab/>
        </w:r>
        <w:r w:rsidR="002A4F62" w:rsidRPr="00016B0B">
          <w:rPr>
            <w:rStyle w:val="Hyperlink"/>
            <w:noProof/>
          </w:rPr>
          <w:t>Funding for throughput above target 2022–23</w:t>
        </w:r>
        <w:r w:rsidR="002A4F62">
          <w:rPr>
            <w:noProof/>
            <w:webHidden/>
          </w:rPr>
          <w:tab/>
        </w:r>
        <w:r w:rsidR="002A4F62">
          <w:rPr>
            <w:noProof/>
            <w:webHidden/>
          </w:rPr>
          <w:fldChar w:fldCharType="begin"/>
        </w:r>
        <w:r w:rsidR="002A4F62">
          <w:rPr>
            <w:noProof/>
            <w:webHidden/>
          </w:rPr>
          <w:instrText xml:space="preserve"> PAGEREF _Toc119500881 \h </w:instrText>
        </w:r>
        <w:r w:rsidR="002A4F62">
          <w:rPr>
            <w:noProof/>
            <w:webHidden/>
          </w:rPr>
        </w:r>
        <w:r w:rsidR="002A4F62">
          <w:rPr>
            <w:noProof/>
            <w:webHidden/>
          </w:rPr>
          <w:fldChar w:fldCharType="separate"/>
        </w:r>
        <w:r w:rsidR="002A4F62">
          <w:rPr>
            <w:noProof/>
            <w:webHidden/>
          </w:rPr>
          <w:t>59</w:t>
        </w:r>
        <w:r w:rsidR="002A4F62">
          <w:rPr>
            <w:noProof/>
            <w:webHidden/>
          </w:rPr>
          <w:fldChar w:fldCharType="end"/>
        </w:r>
      </w:hyperlink>
    </w:p>
    <w:p w14:paraId="0F9421FD" w14:textId="05F8461E"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82" w:history="1">
        <w:r w:rsidR="002A4F62" w:rsidRPr="00016B0B">
          <w:rPr>
            <w:rStyle w:val="Hyperlink"/>
            <w:noProof/>
          </w:rPr>
          <w:t>Table 1.7</w:t>
        </w:r>
        <w:r w:rsidR="002A4F62">
          <w:rPr>
            <w:rFonts w:asciiTheme="minorHAnsi" w:eastAsiaTheme="minorEastAsia" w:hAnsiTheme="minorHAnsi" w:cstheme="minorBidi"/>
            <w:noProof/>
            <w:sz w:val="22"/>
            <w:szCs w:val="22"/>
            <w:lang w:eastAsia="en-AU"/>
          </w:rPr>
          <w:tab/>
        </w:r>
        <w:r w:rsidR="002A4F62" w:rsidRPr="00016B0B">
          <w:rPr>
            <w:rStyle w:val="Hyperlink"/>
            <w:noProof/>
          </w:rPr>
          <w:t>Elective Surgery recall policy 2022–23</w:t>
        </w:r>
        <w:r w:rsidR="002A4F62">
          <w:rPr>
            <w:noProof/>
            <w:webHidden/>
          </w:rPr>
          <w:tab/>
        </w:r>
        <w:r w:rsidR="002A4F62">
          <w:rPr>
            <w:noProof/>
            <w:webHidden/>
          </w:rPr>
          <w:fldChar w:fldCharType="begin"/>
        </w:r>
        <w:r w:rsidR="002A4F62">
          <w:rPr>
            <w:noProof/>
            <w:webHidden/>
          </w:rPr>
          <w:instrText xml:space="preserve"> PAGEREF _Toc119500882 \h </w:instrText>
        </w:r>
        <w:r w:rsidR="002A4F62">
          <w:rPr>
            <w:noProof/>
            <w:webHidden/>
          </w:rPr>
        </w:r>
        <w:r w:rsidR="002A4F62">
          <w:rPr>
            <w:noProof/>
            <w:webHidden/>
          </w:rPr>
          <w:fldChar w:fldCharType="separate"/>
        </w:r>
        <w:r w:rsidR="002A4F62">
          <w:rPr>
            <w:noProof/>
            <w:webHidden/>
          </w:rPr>
          <w:t>62</w:t>
        </w:r>
        <w:r w:rsidR="002A4F62">
          <w:rPr>
            <w:noProof/>
            <w:webHidden/>
          </w:rPr>
          <w:fldChar w:fldCharType="end"/>
        </w:r>
      </w:hyperlink>
    </w:p>
    <w:p w14:paraId="40E8AF5E" w14:textId="2D3A6C39"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83" w:history="1">
        <w:r w:rsidR="002A4F62" w:rsidRPr="00016B0B">
          <w:rPr>
            <w:rStyle w:val="Hyperlink"/>
            <w:noProof/>
          </w:rPr>
          <w:t>Table 1.8</w:t>
        </w:r>
        <w:r w:rsidR="002A4F62">
          <w:rPr>
            <w:rFonts w:asciiTheme="minorHAnsi" w:eastAsiaTheme="minorEastAsia" w:hAnsiTheme="minorHAnsi" w:cstheme="minorBidi"/>
            <w:noProof/>
            <w:sz w:val="22"/>
            <w:szCs w:val="22"/>
            <w:lang w:eastAsia="en-AU"/>
          </w:rPr>
          <w:tab/>
        </w:r>
        <w:r w:rsidR="002A4F62" w:rsidRPr="00016B0B">
          <w:rPr>
            <w:rStyle w:val="Hyperlink"/>
            <w:noProof/>
          </w:rPr>
          <w:t>Funding arrangements for Department of Veterans’ Affairs patients</w:t>
        </w:r>
        <w:r w:rsidR="002A4F62">
          <w:rPr>
            <w:noProof/>
            <w:webHidden/>
          </w:rPr>
          <w:tab/>
        </w:r>
        <w:r w:rsidR="002A4F62">
          <w:rPr>
            <w:noProof/>
            <w:webHidden/>
          </w:rPr>
          <w:fldChar w:fldCharType="begin"/>
        </w:r>
        <w:r w:rsidR="002A4F62">
          <w:rPr>
            <w:noProof/>
            <w:webHidden/>
          </w:rPr>
          <w:instrText xml:space="preserve"> PAGEREF _Toc119500883 \h </w:instrText>
        </w:r>
        <w:r w:rsidR="002A4F62">
          <w:rPr>
            <w:noProof/>
            <w:webHidden/>
          </w:rPr>
        </w:r>
        <w:r w:rsidR="002A4F62">
          <w:rPr>
            <w:noProof/>
            <w:webHidden/>
          </w:rPr>
          <w:fldChar w:fldCharType="separate"/>
        </w:r>
        <w:r w:rsidR="002A4F62">
          <w:rPr>
            <w:noProof/>
            <w:webHidden/>
          </w:rPr>
          <w:t>66</w:t>
        </w:r>
        <w:r w:rsidR="002A4F62">
          <w:rPr>
            <w:noProof/>
            <w:webHidden/>
          </w:rPr>
          <w:fldChar w:fldCharType="end"/>
        </w:r>
      </w:hyperlink>
    </w:p>
    <w:p w14:paraId="399C756D" w14:textId="488A399F" w:rsidR="002A4F62" w:rsidRDefault="00D36400">
      <w:pPr>
        <w:pStyle w:val="TOC4"/>
        <w:tabs>
          <w:tab w:val="left" w:pos="1200"/>
        </w:tabs>
        <w:rPr>
          <w:rFonts w:asciiTheme="minorHAnsi" w:eastAsiaTheme="minorEastAsia" w:hAnsiTheme="minorHAnsi" w:cstheme="minorBidi"/>
          <w:noProof/>
          <w:sz w:val="22"/>
          <w:szCs w:val="22"/>
          <w:lang w:eastAsia="en-AU"/>
        </w:rPr>
      </w:pPr>
      <w:hyperlink w:anchor="_Toc119500884" w:history="1">
        <w:r w:rsidR="002A4F62" w:rsidRPr="00016B0B">
          <w:rPr>
            <w:rStyle w:val="Hyperlink"/>
            <w:noProof/>
          </w:rPr>
          <w:t>Table 1.9</w:t>
        </w:r>
        <w:r w:rsidR="002A4F62">
          <w:rPr>
            <w:rFonts w:asciiTheme="minorHAnsi" w:eastAsiaTheme="minorEastAsia" w:hAnsiTheme="minorHAnsi" w:cstheme="minorBidi"/>
            <w:noProof/>
            <w:sz w:val="22"/>
            <w:szCs w:val="22"/>
            <w:lang w:eastAsia="en-AU"/>
          </w:rPr>
          <w:tab/>
        </w:r>
        <w:r w:rsidR="002A4F62" w:rsidRPr="00016B0B">
          <w:rPr>
            <w:rStyle w:val="Hyperlink"/>
            <w:noProof/>
          </w:rPr>
          <w:t>NWAU Victorian Efficient Price for growth 2022–23</w:t>
        </w:r>
        <w:r w:rsidR="002A4F62">
          <w:rPr>
            <w:noProof/>
            <w:webHidden/>
          </w:rPr>
          <w:tab/>
        </w:r>
        <w:r w:rsidR="002A4F62">
          <w:rPr>
            <w:noProof/>
            <w:webHidden/>
          </w:rPr>
          <w:fldChar w:fldCharType="begin"/>
        </w:r>
        <w:r w:rsidR="002A4F62">
          <w:rPr>
            <w:noProof/>
            <w:webHidden/>
          </w:rPr>
          <w:instrText xml:space="preserve"> PAGEREF _Toc119500884 \h </w:instrText>
        </w:r>
        <w:r w:rsidR="002A4F62">
          <w:rPr>
            <w:noProof/>
            <w:webHidden/>
          </w:rPr>
        </w:r>
        <w:r w:rsidR="002A4F62">
          <w:rPr>
            <w:noProof/>
            <w:webHidden/>
          </w:rPr>
          <w:fldChar w:fldCharType="separate"/>
        </w:r>
        <w:r w:rsidR="002A4F62">
          <w:rPr>
            <w:noProof/>
            <w:webHidden/>
          </w:rPr>
          <w:t>75</w:t>
        </w:r>
        <w:r w:rsidR="002A4F62">
          <w:rPr>
            <w:noProof/>
            <w:webHidden/>
          </w:rPr>
          <w:fldChar w:fldCharType="end"/>
        </w:r>
      </w:hyperlink>
    </w:p>
    <w:p w14:paraId="4251ACFD" w14:textId="79590668"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85" w:history="1">
        <w:r w:rsidR="002A4F62" w:rsidRPr="00016B0B">
          <w:rPr>
            <w:rStyle w:val="Hyperlink"/>
            <w:noProof/>
          </w:rPr>
          <w:t>Table 1.10</w:t>
        </w:r>
        <w:r w:rsidR="002A4F62">
          <w:rPr>
            <w:rFonts w:asciiTheme="minorHAnsi" w:eastAsiaTheme="minorEastAsia" w:hAnsiTheme="minorHAnsi" w:cstheme="minorBidi"/>
            <w:noProof/>
            <w:sz w:val="22"/>
            <w:szCs w:val="22"/>
            <w:lang w:eastAsia="en-AU"/>
          </w:rPr>
          <w:tab/>
        </w:r>
        <w:r w:rsidR="002A4F62" w:rsidRPr="00016B0B">
          <w:rPr>
            <w:rStyle w:val="Hyperlink"/>
            <w:noProof/>
          </w:rPr>
          <w:t>NWAU Compensable Price Rates 2022–23</w:t>
        </w:r>
        <w:r w:rsidR="002A4F62">
          <w:rPr>
            <w:noProof/>
            <w:webHidden/>
          </w:rPr>
          <w:tab/>
        </w:r>
        <w:r w:rsidR="002A4F62">
          <w:rPr>
            <w:noProof/>
            <w:webHidden/>
          </w:rPr>
          <w:fldChar w:fldCharType="begin"/>
        </w:r>
        <w:r w:rsidR="002A4F62">
          <w:rPr>
            <w:noProof/>
            <w:webHidden/>
          </w:rPr>
          <w:instrText xml:space="preserve"> PAGEREF _Toc119500885 \h </w:instrText>
        </w:r>
        <w:r w:rsidR="002A4F62">
          <w:rPr>
            <w:noProof/>
            <w:webHidden/>
          </w:rPr>
        </w:r>
        <w:r w:rsidR="002A4F62">
          <w:rPr>
            <w:noProof/>
            <w:webHidden/>
          </w:rPr>
          <w:fldChar w:fldCharType="separate"/>
        </w:r>
        <w:r w:rsidR="002A4F62">
          <w:rPr>
            <w:noProof/>
            <w:webHidden/>
          </w:rPr>
          <w:t>75</w:t>
        </w:r>
        <w:r w:rsidR="002A4F62">
          <w:rPr>
            <w:noProof/>
            <w:webHidden/>
          </w:rPr>
          <w:fldChar w:fldCharType="end"/>
        </w:r>
      </w:hyperlink>
    </w:p>
    <w:p w14:paraId="5266504F" w14:textId="768FB162"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86" w:history="1">
        <w:r w:rsidR="002A4F62" w:rsidRPr="00016B0B">
          <w:rPr>
            <w:rStyle w:val="Hyperlink"/>
            <w:noProof/>
          </w:rPr>
          <w:t>Table 1.12</w:t>
        </w:r>
        <w:r w:rsidR="002A4F62">
          <w:rPr>
            <w:rFonts w:asciiTheme="minorHAnsi" w:eastAsiaTheme="minorEastAsia" w:hAnsiTheme="minorHAnsi" w:cstheme="minorBidi"/>
            <w:noProof/>
            <w:sz w:val="22"/>
            <w:szCs w:val="22"/>
            <w:lang w:eastAsia="en-AU"/>
          </w:rPr>
          <w:tab/>
        </w:r>
        <w:r w:rsidR="002A4F62" w:rsidRPr="00016B0B">
          <w:rPr>
            <w:rStyle w:val="Hyperlink"/>
            <w:noProof/>
          </w:rPr>
          <w:t>Non-admitted radiotherapy 2022–23</w:t>
        </w:r>
        <w:r w:rsidR="002A4F62">
          <w:rPr>
            <w:noProof/>
            <w:webHidden/>
          </w:rPr>
          <w:tab/>
        </w:r>
        <w:r w:rsidR="002A4F62">
          <w:rPr>
            <w:noProof/>
            <w:webHidden/>
          </w:rPr>
          <w:fldChar w:fldCharType="begin"/>
        </w:r>
        <w:r w:rsidR="002A4F62">
          <w:rPr>
            <w:noProof/>
            <w:webHidden/>
          </w:rPr>
          <w:instrText xml:space="preserve"> PAGEREF _Toc119500886 \h </w:instrText>
        </w:r>
        <w:r w:rsidR="002A4F62">
          <w:rPr>
            <w:noProof/>
            <w:webHidden/>
          </w:rPr>
        </w:r>
        <w:r w:rsidR="002A4F62">
          <w:rPr>
            <w:noProof/>
            <w:webHidden/>
          </w:rPr>
          <w:fldChar w:fldCharType="separate"/>
        </w:r>
        <w:r w:rsidR="002A4F62">
          <w:rPr>
            <w:noProof/>
            <w:webHidden/>
          </w:rPr>
          <w:t>75</w:t>
        </w:r>
        <w:r w:rsidR="002A4F62">
          <w:rPr>
            <w:noProof/>
            <w:webHidden/>
          </w:rPr>
          <w:fldChar w:fldCharType="end"/>
        </w:r>
      </w:hyperlink>
    </w:p>
    <w:p w14:paraId="3A23BDD7" w14:textId="6B27A8D2"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87" w:history="1">
        <w:r w:rsidR="002A4F62" w:rsidRPr="00016B0B">
          <w:rPr>
            <w:rStyle w:val="Hyperlink"/>
            <w:noProof/>
          </w:rPr>
          <w:t>Table 1.13</w:t>
        </w:r>
        <w:r w:rsidR="002A4F62">
          <w:rPr>
            <w:rFonts w:asciiTheme="minorHAnsi" w:eastAsiaTheme="minorEastAsia" w:hAnsiTheme="minorHAnsi" w:cstheme="minorBidi"/>
            <w:noProof/>
            <w:sz w:val="22"/>
            <w:szCs w:val="22"/>
            <w:lang w:eastAsia="en-AU"/>
          </w:rPr>
          <w:tab/>
        </w:r>
        <w:r w:rsidR="002A4F62" w:rsidRPr="00016B0B">
          <w:rPr>
            <w:rStyle w:val="Hyperlink"/>
            <w:noProof/>
          </w:rPr>
          <w:t>Nationally Funded Centres Program 2022–23</w:t>
        </w:r>
        <w:r w:rsidR="002A4F62">
          <w:rPr>
            <w:noProof/>
            <w:webHidden/>
          </w:rPr>
          <w:tab/>
        </w:r>
        <w:r w:rsidR="002A4F62">
          <w:rPr>
            <w:noProof/>
            <w:webHidden/>
          </w:rPr>
          <w:fldChar w:fldCharType="begin"/>
        </w:r>
        <w:r w:rsidR="002A4F62">
          <w:rPr>
            <w:noProof/>
            <w:webHidden/>
          </w:rPr>
          <w:instrText xml:space="preserve"> PAGEREF _Toc119500887 \h </w:instrText>
        </w:r>
        <w:r w:rsidR="002A4F62">
          <w:rPr>
            <w:noProof/>
            <w:webHidden/>
          </w:rPr>
        </w:r>
        <w:r w:rsidR="002A4F62">
          <w:rPr>
            <w:noProof/>
            <w:webHidden/>
          </w:rPr>
          <w:fldChar w:fldCharType="separate"/>
        </w:r>
        <w:r w:rsidR="002A4F62">
          <w:rPr>
            <w:noProof/>
            <w:webHidden/>
          </w:rPr>
          <w:t>75</w:t>
        </w:r>
        <w:r w:rsidR="002A4F62">
          <w:rPr>
            <w:noProof/>
            <w:webHidden/>
          </w:rPr>
          <w:fldChar w:fldCharType="end"/>
        </w:r>
      </w:hyperlink>
    </w:p>
    <w:p w14:paraId="0836C477" w14:textId="01CDF2E6"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88" w:history="1">
        <w:r w:rsidR="002A4F62" w:rsidRPr="00016B0B">
          <w:rPr>
            <w:rStyle w:val="Hyperlink"/>
            <w:noProof/>
          </w:rPr>
          <w:t>Table 1.14</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 funded units applicable to clinical bed-based services 2022–23 – a</w:t>
        </w:r>
        <w:r w:rsidR="002A4F62" w:rsidRPr="00016B0B">
          <w:rPr>
            <w:rStyle w:val="Hyperlink"/>
            <w:noProof/>
            <w:lang w:eastAsia="en-AU"/>
          </w:rPr>
          <w:t>dmitted care</w:t>
        </w:r>
        <w:r w:rsidR="002A4F62">
          <w:rPr>
            <w:noProof/>
            <w:webHidden/>
          </w:rPr>
          <w:tab/>
        </w:r>
        <w:r w:rsidR="002A4F62">
          <w:rPr>
            <w:noProof/>
            <w:webHidden/>
          </w:rPr>
          <w:fldChar w:fldCharType="begin"/>
        </w:r>
        <w:r w:rsidR="002A4F62">
          <w:rPr>
            <w:noProof/>
            <w:webHidden/>
          </w:rPr>
          <w:instrText xml:space="preserve"> PAGEREF _Toc119500888 \h </w:instrText>
        </w:r>
        <w:r w:rsidR="002A4F62">
          <w:rPr>
            <w:noProof/>
            <w:webHidden/>
          </w:rPr>
        </w:r>
        <w:r w:rsidR="002A4F62">
          <w:rPr>
            <w:noProof/>
            <w:webHidden/>
          </w:rPr>
          <w:fldChar w:fldCharType="separate"/>
        </w:r>
        <w:r w:rsidR="002A4F62">
          <w:rPr>
            <w:noProof/>
            <w:webHidden/>
          </w:rPr>
          <w:t>76</w:t>
        </w:r>
        <w:r w:rsidR="002A4F62">
          <w:rPr>
            <w:noProof/>
            <w:webHidden/>
          </w:rPr>
          <w:fldChar w:fldCharType="end"/>
        </w:r>
      </w:hyperlink>
    </w:p>
    <w:p w14:paraId="381BB72A" w14:textId="376F5CB7"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89" w:history="1">
        <w:r w:rsidR="002A4F62" w:rsidRPr="00016B0B">
          <w:rPr>
            <w:rStyle w:val="Hyperlink"/>
            <w:noProof/>
          </w:rPr>
          <w:t>Table 1.15</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 funded units applicable to clinical bed-based services 2022–23 – n</w:t>
        </w:r>
        <w:r w:rsidR="002A4F62" w:rsidRPr="00016B0B">
          <w:rPr>
            <w:rStyle w:val="Hyperlink"/>
            <w:noProof/>
            <w:lang w:eastAsia="en-AU"/>
          </w:rPr>
          <w:t>on-admitted care</w:t>
        </w:r>
        <w:r w:rsidR="002A4F62">
          <w:rPr>
            <w:noProof/>
            <w:webHidden/>
          </w:rPr>
          <w:tab/>
        </w:r>
        <w:r w:rsidR="002A4F62">
          <w:rPr>
            <w:noProof/>
            <w:webHidden/>
          </w:rPr>
          <w:fldChar w:fldCharType="begin"/>
        </w:r>
        <w:r w:rsidR="002A4F62">
          <w:rPr>
            <w:noProof/>
            <w:webHidden/>
          </w:rPr>
          <w:instrText xml:space="preserve"> PAGEREF _Toc119500889 \h </w:instrText>
        </w:r>
        <w:r w:rsidR="002A4F62">
          <w:rPr>
            <w:noProof/>
            <w:webHidden/>
          </w:rPr>
        </w:r>
        <w:r w:rsidR="002A4F62">
          <w:rPr>
            <w:noProof/>
            <w:webHidden/>
          </w:rPr>
          <w:fldChar w:fldCharType="separate"/>
        </w:r>
        <w:r w:rsidR="002A4F62">
          <w:rPr>
            <w:noProof/>
            <w:webHidden/>
          </w:rPr>
          <w:t>76</w:t>
        </w:r>
        <w:r w:rsidR="002A4F62">
          <w:rPr>
            <w:noProof/>
            <w:webHidden/>
          </w:rPr>
          <w:fldChar w:fldCharType="end"/>
        </w:r>
      </w:hyperlink>
    </w:p>
    <w:p w14:paraId="1A4E8700" w14:textId="3057EE5A"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0" w:history="1">
        <w:r w:rsidR="002A4F62" w:rsidRPr="00016B0B">
          <w:rPr>
            <w:rStyle w:val="Hyperlink"/>
            <w:noProof/>
          </w:rPr>
          <w:t>Table 1.16</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 funded units applicable to clinical bed-based services 2022-23 – c</w:t>
        </w:r>
        <w:r w:rsidR="002A4F62" w:rsidRPr="00016B0B">
          <w:rPr>
            <w:rStyle w:val="Hyperlink"/>
            <w:noProof/>
            <w:lang w:eastAsia="en-AU"/>
          </w:rPr>
          <w:t xml:space="preserve">linical </w:t>
        </w:r>
        <w:r w:rsidR="002A4F62" w:rsidRPr="00016B0B">
          <w:rPr>
            <w:rStyle w:val="Hyperlink"/>
            <w:noProof/>
          </w:rPr>
          <w:t>community</w:t>
        </w:r>
        <w:r w:rsidR="002A4F62" w:rsidRPr="00016B0B">
          <w:rPr>
            <w:rStyle w:val="Hyperlink"/>
            <w:noProof/>
            <w:lang w:eastAsia="en-AU"/>
          </w:rPr>
          <w:t xml:space="preserve"> care</w:t>
        </w:r>
        <w:r w:rsidR="002A4F62">
          <w:rPr>
            <w:noProof/>
            <w:webHidden/>
          </w:rPr>
          <w:tab/>
        </w:r>
        <w:r w:rsidR="002A4F62">
          <w:rPr>
            <w:noProof/>
            <w:webHidden/>
          </w:rPr>
          <w:fldChar w:fldCharType="begin"/>
        </w:r>
        <w:r w:rsidR="002A4F62">
          <w:rPr>
            <w:noProof/>
            <w:webHidden/>
          </w:rPr>
          <w:instrText xml:space="preserve"> PAGEREF _Toc119500890 \h </w:instrText>
        </w:r>
        <w:r w:rsidR="002A4F62">
          <w:rPr>
            <w:noProof/>
            <w:webHidden/>
          </w:rPr>
        </w:r>
        <w:r w:rsidR="002A4F62">
          <w:rPr>
            <w:noProof/>
            <w:webHidden/>
          </w:rPr>
          <w:fldChar w:fldCharType="separate"/>
        </w:r>
        <w:r w:rsidR="002A4F62">
          <w:rPr>
            <w:noProof/>
            <w:webHidden/>
          </w:rPr>
          <w:t>76</w:t>
        </w:r>
        <w:r w:rsidR="002A4F62">
          <w:rPr>
            <w:noProof/>
            <w:webHidden/>
          </w:rPr>
          <w:fldChar w:fldCharType="end"/>
        </w:r>
      </w:hyperlink>
    </w:p>
    <w:p w14:paraId="519DBC14" w14:textId="6DE58577"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1" w:history="1">
        <w:r w:rsidR="002A4F62" w:rsidRPr="00016B0B">
          <w:rPr>
            <w:rStyle w:val="Hyperlink"/>
            <w:noProof/>
          </w:rPr>
          <w:t>Table 1.17</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community support services unit prices 2022-23 – community</w:t>
        </w:r>
        <w:r w:rsidR="002A4F62" w:rsidRPr="00016B0B">
          <w:rPr>
            <w:rStyle w:val="Hyperlink"/>
            <w:noProof/>
            <w:lang w:eastAsia="en-AU"/>
          </w:rPr>
          <w:t xml:space="preserve"> support services</w:t>
        </w:r>
        <w:r w:rsidR="002A4F62">
          <w:rPr>
            <w:noProof/>
            <w:webHidden/>
          </w:rPr>
          <w:tab/>
        </w:r>
        <w:r w:rsidR="002A4F62">
          <w:rPr>
            <w:noProof/>
            <w:webHidden/>
          </w:rPr>
          <w:fldChar w:fldCharType="begin"/>
        </w:r>
        <w:r w:rsidR="002A4F62">
          <w:rPr>
            <w:noProof/>
            <w:webHidden/>
          </w:rPr>
          <w:instrText xml:space="preserve"> PAGEREF _Toc119500891 \h </w:instrText>
        </w:r>
        <w:r w:rsidR="002A4F62">
          <w:rPr>
            <w:noProof/>
            <w:webHidden/>
          </w:rPr>
        </w:r>
        <w:r w:rsidR="002A4F62">
          <w:rPr>
            <w:noProof/>
            <w:webHidden/>
          </w:rPr>
          <w:fldChar w:fldCharType="separate"/>
        </w:r>
        <w:r w:rsidR="002A4F62">
          <w:rPr>
            <w:noProof/>
            <w:webHidden/>
          </w:rPr>
          <w:t>76</w:t>
        </w:r>
        <w:r w:rsidR="002A4F62">
          <w:rPr>
            <w:noProof/>
            <w:webHidden/>
          </w:rPr>
          <w:fldChar w:fldCharType="end"/>
        </w:r>
      </w:hyperlink>
    </w:p>
    <w:p w14:paraId="2B452422" w14:textId="2A14AC02"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2" w:history="1">
        <w:r w:rsidR="002A4F62" w:rsidRPr="00016B0B">
          <w:rPr>
            <w:rStyle w:val="Hyperlink"/>
            <w:noProof/>
          </w:rPr>
          <w:t>Table 1.18</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community support services unit prices 2022-23 – m</w:t>
        </w:r>
        <w:r w:rsidR="002A4F62" w:rsidRPr="00016B0B">
          <w:rPr>
            <w:rStyle w:val="Hyperlink"/>
            <w:noProof/>
            <w:lang w:eastAsia="en-AU"/>
          </w:rPr>
          <w:t>utual support and self-help services</w:t>
        </w:r>
        <w:r w:rsidR="002A4F62">
          <w:rPr>
            <w:noProof/>
            <w:webHidden/>
          </w:rPr>
          <w:tab/>
        </w:r>
        <w:r w:rsidR="002A4F62">
          <w:rPr>
            <w:noProof/>
            <w:webHidden/>
          </w:rPr>
          <w:fldChar w:fldCharType="begin"/>
        </w:r>
        <w:r w:rsidR="002A4F62">
          <w:rPr>
            <w:noProof/>
            <w:webHidden/>
          </w:rPr>
          <w:instrText xml:space="preserve"> PAGEREF _Toc119500892 \h </w:instrText>
        </w:r>
        <w:r w:rsidR="002A4F62">
          <w:rPr>
            <w:noProof/>
            <w:webHidden/>
          </w:rPr>
        </w:r>
        <w:r w:rsidR="002A4F62">
          <w:rPr>
            <w:noProof/>
            <w:webHidden/>
          </w:rPr>
          <w:fldChar w:fldCharType="separate"/>
        </w:r>
        <w:r w:rsidR="002A4F62">
          <w:rPr>
            <w:noProof/>
            <w:webHidden/>
          </w:rPr>
          <w:t>76</w:t>
        </w:r>
        <w:r w:rsidR="002A4F62">
          <w:rPr>
            <w:noProof/>
            <w:webHidden/>
          </w:rPr>
          <w:fldChar w:fldCharType="end"/>
        </w:r>
      </w:hyperlink>
    </w:p>
    <w:p w14:paraId="1687F02A" w14:textId="37AFA751"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3" w:history="1">
        <w:r w:rsidR="002A4F62" w:rsidRPr="00016B0B">
          <w:rPr>
            <w:rStyle w:val="Hyperlink"/>
            <w:noProof/>
          </w:rPr>
          <w:t>Table 1.19</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community support services unit prices 2022–23 – planned respite</w:t>
        </w:r>
        <w:r w:rsidR="002A4F62">
          <w:rPr>
            <w:noProof/>
            <w:webHidden/>
          </w:rPr>
          <w:tab/>
        </w:r>
        <w:r w:rsidR="002A4F62">
          <w:rPr>
            <w:noProof/>
            <w:webHidden/>
          </w:rPr>
          <w:fldChar w:fldCharType="begin"/>
        </w:r>
        <w:r w:rsidR="002A4F62">
          <w:rPr>
            <w:noProof/>
            <w:webHidden/>
          </w:rPr>
          <w:instrText xml:space="preserve"> PAGEREF _Toc119500893 \h </w:instrText>
        </w:r>
        <w:r w:rsidR="002A4F62">
          <w:rPr>
            <w:noProof/>
            <w:webHidden/>
          </w:rPr>
        </w:r>
        <w:r w:rsidR="002A4F62">
          <w:rPr>
            <w:noProof/>
            <w:webHidden/>
          </w:rPr>
          <w:fldChar w:fldCharType="separate"/>
        </w:r>
        <w:r w:rsidR="002A4F62">
          <w:rPr>
            <w:noProof/>
            <w:webHidden/>
          </w:rPr>
          <w:t>77</w:t>
        </w:r>
        <w:r w:rsidR="002A4F62">
          <w:rPr>
            <w:noProof/>
            <w:webHidden/>
          </w:rPr>
          <w:fldChar w:fldCharType="end"/>
        </w:r>
      </w:hyperlink>
    </w:p>
    <w:p w14:paraId="78153D7E" w14:textId="3515C42E"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4" w:history="1">
        <w:r w:rsidR="002A4F62" w:rsidRPr="00016B0B">
          <w:rPr>
            <w:rStyle w:val="Hyperlink"/>
            <w:noProof/>
          </w:rPr>
          <w:t>Table 1.20</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community support services unit prices 2022-23 – supported accommodation</w:t>
        </w:r>
        <w:r w:rsidR="002A4F62">
          <w:rPr>
            <w:noProof/>
            <w:webHidden/>
          </w:rPr>
          <w:tab/>
        </w:r>
        <w:r w:rsidR="002A4F62">
          <w:rPr>
            <w:noProof/>
            <w:webHidden/>
          </w:rPr>
          <w:fldChar w:fldCharType="begin"/>
        </w:r>
        <w:r w:rsidR="002A4F62">
          <w:rPr>
            <w:noProof/>
            <w:webHidden/>
          </w:rPr>
          <w:instrText xml:space="preserve"> PAGEREF _Toc119500894 \h </w:instrText>
        </w:r>
        <w:r w:rsidR="002A4F62">
          <w:rPr>
            <w:noProof/>
            <w:webHidden/>
          </w:rPr>
        </w:r>
        <w:r w:rsidR="002A4F62">
          <w:rPr>
            <w:noProof/>
            <w:webHidden/>
          </w:rPr>
          <w:fldChar w:fldCharType="separate"/>
        </w:r>
        <w:r w:rsidR="002A4F62">
          <w:rPr>
            <w:noProof/>
            <w:webHidden/>
          </w:rPr>
          <w:t>77</w:t>
        </w:r>
        <w:r w:rsidR="002A4F62">
          <w:rPr>
            <w:noProof/>
            <w:webHidden/>
          </w:rPr>
          <w:fldChar w:fldCharType="end"/>
        </w:r>
      </w:hyperlink>
    </w:p>
    <w:p w14:paraId="61E4FA7D" w14:textId="45AFF9E1"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5" w:history="1">
        <w:r w:rsidR="002A4F62" w:rsidRPr="00016B0B">
          <w:rPr>
            <w:rStyle w:val="Hyperlink"/>
            <w:noProof/>
          </w:rPr>
          <w:t>Table 1.21</w:t>
        </w:r>
        <w:r w:rsidR="002A4F62">
          <w:rPr>
            <w:rFonts w:asciiTheme="minorHAnsi" w:eastAsiaTheme="minorEastAsia" w:hAnsiTheme="minorHAnsi" w:cstheme="minorBidi"/>
            <w:noProof/>
            <w:sz w:val="22"/>
            <w:szCs w:val="22"/>
            <w:lang w:eastAsia="en-AU"/>
          </w:rPr>
          <w:tab/>
        </w:r>
        <w:r w:rsidR="002A4F62" w:rsidRPr="00016B0B">
          <w:rPr>
            <w:rStyle w:val="Hyperlink"/>
            <w:noProof/>
          </w:rPr>
          <w:t>Drug services – unit prices 2022-23</w:t>
        </w:r>
        <w:r w:rsidR="002A4F62">
          <w:rPr>
            <w:noProof/>
            <w:webHidden/>
          </w:rPr>
          <w:tab/>
        </w:r>
        <w:r w:rsidR="002A4F62">
          <w:rPr>
            <w:noProof/>
            <w:webHidden/>
          </w:rPr>
          <w:fldChar w:fldCharType="begin"/>
        </w:r>
        <w:r w:rsidR="002A4F62">
          <w:rPr>
            <w:noProof/>
            <w:webHidden/>
          </w:rPr>
          <w:instrText xml:space="preserve"> PAGEREF _Toc119500895 \h </w:instrText>
        </w:r>
        <w:r w:rsidR="002A4F62">
          <w:rPr>
            <w:noProof/>
            <w:webHidden/>
          </w:rPr>
        </w:r>
        <w:r w:rsidR="002A4F62">
          <w:rPr>
            <w:noProof/>
            <w:webHidden/>
          </w:rPr>
          <w:fldChar w:fldCharType="separate"/>
        </w:r>
        <w:r w:rsidR="002A4F62">
          <w:rPr>
            <w:noProof/>
            <w:webHidden/>
          </w:rPr>
          <w:t>77</w:t>
        </w:r>
        <w:r w:rsidR="002A4F62">
          <w:rPr>
            <w:noProof/>
            <w:webHidden/>
          </w:rPr>
          <w:fldChar w:fldCharType="end"/>
        </w:r>
      </w:hyperlink>
    </w:p>
    <w:p w14:paraId="286A8705" w14:textId="6FE214E2"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6" w:history="1">
        <w:r w:rsidR="002A4F62" w:rsidRPr="00016B0B">
          <w:rPr>
            <w:rStyle w:val="Hyperlink"/>
            <w:noProof/>
          </w:rPr>
          <w:t>Table 1.22</w:t>
        </w:r>
        <w:r w:rsidR="002A4F62">
          <w:rPr>
            <w:rFonts w:asciiTheme="minorHAnsi" w:eastAsiaTheme="minorEastAsia" w:hAnsiTheme="minorHAnsi" w:cstheme="minorBidi"/>
            <w:noProof/>
            <w:sz w:val="22"/>
            <w:szCs w:val="22"/>
            <w:lang w:eastAsia="en-AU"/>
          </w:rPr>
          <w:tab/>
        </w:r>
        <w:r w:rsidR="002A4F62" w:rsidRPr="00016B0B">
          <w:rPr>
            <w:rStyle w:val="Hyperlink"/>
            <w:noProof/>
          </w:rPr>
          <w:t>Ageing, aged and home care 2022-23</w:t>
        </w:r>
        <w:r w:rsidR="002A4F62">
          <w:rPr>
            <w:noProof/>
            <w:webHidden/>
          </w:rPr>
          <w:tab/>
        </w:r>
        <w:r w:rsidR="002A4F62">
          <w:rPr>
            <w:noProof/>
            <w:webHidden/>
          </w:rPr>
          <w:fldChar w:fldCharType="begin"/>
        </w:r>
        <w:r w:rsidR="002A4F62">
          <w:rPr>
            <w:noProof/>
            <w:webHidden/>
          </w:rPr>
          <w:instrText xml:space="preserve"> PAGEREF _Toc119500896 \h </w:instrText>
        </w:r>
        <w:r w:rsidR="002A4F62">
          <w:rPr>
            <w:noProof/>
            <w:webHidden/>
          </w:rPr>
        </w:r>
        <w:r w:rsidR="002A4F62">
          <w:rPr>
            <w:noProof/>
            <w:webHidden/>
          </w:rPr>
          <w:fldChar w:fldCharType="separate"/>
        </w:r>
        <w:r w:rsidR="002A4F62">
          <w:rPr>
            <w:noProof/>
            <w:webHidden/>
          </w:rPr>
          <w:t>78</w:t>
        </w:r>
        <w:r w:rsidR="002A4F62">
          <w:rPr>
            <w:noProof/>
            <w:webHidden/>
          </w:rPr>
          <w:fldChar w:fldCharType="end"/>
        </w:r>
      </w:hyperlink>
    </w:p>
    <w:p w14:paraId="19CA9D17" w14:textId="6FBB0A62"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7" w:history="1">
        <w:r w:rsidR="002A4F62" w:rsidRPr="00016B0B">
          <w:rPr>
            <w:rStyle w:val="Hyperlink"/>
            <w:noProof/>
          </w:rPr>
          <w:t>Table 1.23</w:t>
        </w:r>
        <w:r w:rsidR="002A4F62">
          <w:rPr>
            <w:rFonts w:asciiTheme="minorHAnsi" w:eastAsiaTheme="minorEastAsia" w:hAnsiTheme="minorHAnsi" w:cstheme="minorBidi"/>
            <w:noProof/>
            <w:sz w:val="22"/>
            <w:szCs w:val="22"/>
            <w:lang w:eastAsia="en-AU"/>
          </w:rPr>
          <w:tab/>
        </w:r>
        <w:r w:rsidR="002A4F62" w:rsidRPr="00016B0B">
          <w:rPr>
            <w:rStyle w:val="Hyperlink"/>
            <w:noProof/>
          </w:rPr>
          <w:t>Small rural health services – ageing, aged and home care 2022–23</w:t>
        </w:r>
        <w:r w:rsidR="002A4F62">
          <w:rPr>
            <w:noProof/>
            <w:webHidden/>
          </w:rPr>
          <w:tab/>
        </w:r>
        <w:r w:rsidR="002A4F62">
          <w:rPr>
            <w:noProof/>
            <w:webHidden/>
          </w:rPr>
          <w:fldChar w:fldCharType="begin"/>
        </w:r>
        <w:r w:rsidR="002A4F62">
          <w:rPr>
            <w:noProof/>
            <w:webHidden/>
          </w:rPr>
          <w:instrText xml:space="preserve"> PAGEREF _Toc119500897 \h </w:instrText>
        </w:r>
        <w:r w:rsidR="002A4F62">
          <w:rPr>
            <w:noProof/>
            <w:webHidden/>
          </w:rPr>
        </w:r>
        <w:r w:rsidR="002A4F62">
          <w:rPr>
            <w:noProof/>
            <w:webHidden/>
          </w:rPr>
          <w:fldChar w:fldCharType="separate"/>
        </w:r>
        <w:r w:rsidR="002A4F62">
          <w:rPr>
            <w:noProof/>
            <w:webHidden/>
          </w:rPr>
          <w:t>79</w:t>
        </w:r>
        <w:r w:rsidR="002A4F62">
          <w:rPr>
            <w:noProof/>
            <w:webHidden/>
          </w:rPr>
          <w:fldChar w:fldCharType="end"/>
        </w:r>
      </w:hyperlink>
    </w:p>
    <w:p w14:paraId="0CF93FC5" w14:textId="02559217"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8" w:history="1">
        <w:r w:rsidR="002A4F62" w:rsidRPr="00016B0B">
          <w:rPr>
            <w:rStyle w:val="Hyperlink"/>
            <w:noProof/>
          </w:rPr>
          <w:t>Table 1.24</w:t>
        </w:r>
        <w:r w:rsidR="002A4F62">
          <w:rPr>
            <w:rFonts w:asciiTheme="minorHAnsi" w:eastAsiaTheme="minorEastAsia" w:hAnsiTheme="minorHAnsi" w:cstheme="minorBidi"/>
            <w:noProof/>
            <w:sz w:val="22"/>
            <w:szCs w:val="22"/>
            <w:lang w:eastAsia="en-AU"/>
          </w:rPr>
          <w:tab/>
        </w:r>
        <w:r w:rsidR="002A4F62" w:rsidRPr="00016B0B">
          <w:rPr>
            <w:rStyle w:val="Hyperlink"/>
            <w:noProof/>
          </w:rPr>
          <w:t>Primary community health care output 2022–23</w:t>
        </w:r>
        <w:r w:rsidR="002A4F62">
          <w:rPr>
            <w:noProof/>
            <w:webHidden/>
          </w:rPr>
          <w:tab/>
        </w:r>
        <w:r w:rsidR="002A4F62">
          <w:rPr>
            <w:noProof/>
            <w:webHidden/>
          </w:rPr>
          <w:fldChar w:fldCharType="begin"/>
        </w:r>
        <w:r w:rsidR="002A4F62">
          <w:rPr>
            <w:noProof/>
            <w:webHidden/>
          </w:rPr>
          <w:instrText xml:space="preserve"> PAGEREF _Toc119500898 \h </w:instrText>
        </w:r>
        <w:r w:rsidR="002A4F62">
          <w:rPr>
            <w:noProof/>
            <w:webHidden/>
          </w:rPr>
        </w:r>
        <w:r w:rsidR="002A4F62">
          <w:rPr>
            <w:noProof/>
            <w:webHidden/>
          </w:rPr>
          <w:fldChar w:fldCharType="separate"/>
        </w:r>
        <w:r w:rsidR="002A4F62">
          <w:rPr>
            <w:noProof/>
            <w:webHidden/>
          </w:rPr>
          <w:t>80</w:t>
        </w:r>
        <w:r w:rsidR="002A4F62">
          <w:rPr>
            <w:noProof/>
            <w:webHidden/>
          </w:rPr>
          <w:fldChar w:fldCharType="end"/>
        </w:r>
      </w:hyperlink>
    </w:p>
    <w:p w14:paraId="511015D3" w14:textId="4338FE12"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899" w:history="1">
        <w:r w:rsidR="002A4F62" w:rsidRPr="00016B0B">
          <w:rPr>
            <w:rStyle w:val="Hyperlink"/>
            <w:noProof/>
          </w:rPr>
          <w:t>Table 1.25</w:t>
        </w:r>
        <w:r w:rsidR="002A4F62">
          <w:rPr>
            <w:rFonts w:asciiTheme="minorHAnsi" w:eastAsiaTheme="minorEastAsia" w:hAnsiTheme="minorHAnsi" w:cstheme="minorBidi"/>
            <w:noProof/>
            <w:sz w:val="22"/>
            <w:szCs w:val="22"/>
            <w:lang w:eastAsia="en-AU"/>
          </w:rPr>
          <w:tab/>
        </w:r>
        <w:r w:rsidR="002A4F62" w:rsidRPr="00016B0B">
          <w:rPr>
            <w:rStyle w:val="Hyperlink"/>
            <w:noProof/>
          </w:rPr>
          <w:t>Training and development funding rates in 2022–23</w:t>
        </w:r>
        <w:r w:rsidR="002A4F62">
          <w:rPr>
            <w:noProof/>
            <w:webHidden/>
          </w:rPr>
          <w:tab/>
        </w:r>
        <w:r w:rsidR="002A4F62">
          <w:rPr>
            <w:noProof/>
            <w:webHidden/>
          </w:rPr>
          <w:fldChar w:fldCharType="begin"/>
        </w:r>
        <w:r w:rsidR="002A4F62">
          <w:rPr>
            <w:noProof/>
            <w:webHidden/>
          </w:rPr>
          <w:instrText xml:space="preserve"> PAGEREF _Toc119500899 \h </w:instrText>
        </w:r>
        <w:r w:rsidR="002A4F62">
          <w:rPr>
            <w:noProof/>
            <w:webHidden/>
          </w:rPr>
        </w:r>
        <w:r w:rsidR="002A4F62">
          <w:rPr>
            <w:noProof/>
            <w:webHidden/>
          </w:rPr>
          <w:fldChar w:fldCharType="separate"/>
        </w:r>
        <w:r w:rsidR="002A4F62">
          <w:rPr>
            <w:noProof/>
            <w:webHidden/>
          </w:rPr>
          <w:t>81</w:t>
        </w:r>
        <w:r w:rsidR="002A4F62">
          <w:rPr>
            <w:noProof/>
            <w:webHidden/>
          </w:rPr>
          <w:fldChar w:fldCharType="end"/>
        </w:r>
      </w:hyperlink>
    </w:p>
    <w:p w14:paraId="71220E66" w14:textId="68B33042"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0" w:history="1">
        <w:r w:rsidR="002A4F62" w:rsidRPr="00016B0B">
          <w:rPr>
            <w:rStyle w:val="Hyperlink"/>
            <w:noProof/>
          </w:rPr>
          <w:t>Table 1.26</w:t>
        </w:r>
        <w:r w:rsidR="002A4F62">
          <w:rPr>
            <w:rFonts w:asciiTheme="minorHAnsi" w:eastAsiaTheme="minorEastAsia" w:hAnsiTheme="minorHAnsi" w:cstheme="minorBidi"/>
            <w:noProof/>
            <w:sz w:val="22"/>
            <w:szCs w:val="22"/>
            <w:lang w:eastAsia="en-AU"/>
          </w:rPr>
          <w:tab/>
        </w:r>
        <w:r w:rsidR="002A4F62" w:rsidRPr="00016B0B">
          <w:rPr>
            <w:rStyle w:val="Hyperlink"/>
            <w:noProof/>
          </w:rPr>
          <w:t>Price groups for NWAU purposes</w:t>
        </w:r>
        <w:r w:rsidR="002A4F62">
          <w:rPr>
            <w:noProof/>
            <w:webHidden/>
          </w:rPr>
          <w:tab/>
        </w:r>
        <w:r w:rsidR="002A4F62">
          <w:rPr>
            <w:noProof/>
            <w:webHidden/>
          </w:rPr>
          <w:fldChar w:fldCharType="begin"/>
        </w:r>
        <w:r w:rsidR="002A4F62">
          <w:rPr>
            <w:noProof/>
            <w:webHidden/>
          </w:rPr>
          <w:instrText xml:space="preserve"> PAGEREF _Toc119500900 \h </w:instrText>
        </w:r>
        <w:r w:rsidR="002A4F62">
          <w:rPr>
            <w:noProof/>
            <w:webHidden/>
          </w:rPr>
        </w:r>
        <w:r w:rsidR="002A4F62">
          <w:rPr>
            <w:noProof/>
            <w:webHidden/>
          </w:rPr>
          <w:fldChar w:fldCharType="separate"/>
        </w:r>
        <w:r w:rsidR="002A4F62">
          <w:rPr>
            <w:noProof/>
            <w:webHidden/>
          </w:rPr>
          <w:t>83</w:t>
        </w:r>
        <w:r w:rsidR="002A4F62">
          <w:rPr>
            <w:noProof/>
            <w:webHidden/>
          </w:rPr>
          <w:fldChar w:fldCharType="end"/>
        </w:r>
      </w:hyperlink>
    </w:p>
    <w:p w14:paraId="428F5B96" w14:textId="1181E1C5"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1" w:history="1">
        <w:r w:rsidR="002A4F62" w:rsidRPr="00016B0B">
          <w:rPr>
            <w:rStyle w:val="Hyperlink"/>
            <w:noProof/>
          </w:rPr>
          <w:t>Table 1.27</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 outputs and activities: clinical care 2022-23</w:t>
        </w:r>
        <w:r w:rsidR="002A4F62">
          <w:rPr>
            <w:noProof/>
            <w:webHidden/>
          </w:rPr>
          <w:tab/>
        </w:r>
        <w:r w:rsidR="002A4F62">
          <w:rPr>
            <w:noProof/>
            <w:webHidden/>
          </w:rPr>
          <w:fldChar w:fldCharType="begin"/>
        </w:r>
        <w:r w:rsidR="002A4F62">
          <w:rPr>
            <w:noProof/>
            <w:webHidden/>
          </w:rPr>
          <w:instrText xml:space="preserve"> PAGEREF _Toc119500901 \h </w:instrText>
        </w:r>
        <w:r w:rsidR="002A4F62">
          <w:rPr>
            <w:noProof/>
            <w:webHidden/>
          </w:rPr>
        </w:r>
        <w:r w:rsidR="002A4F62">
          <w:rPr>
            <w:noProof/>
            <w:webHidden/>
          </w:rPr>
          <w:fldChar w:fldCharType="separate"/>
        </w:r>
        <w:r w:rsidR="002A4F62">
          <w:rPr>
            <w:noProof/>
            <w:webHidden/>
          </w:rPr>
          <w:t>85</w:t>
        </w:r>
        <w:r w:rsidR="002A4F62">
          <w:rPr>
            <w:noProof/>
            <w:webHidden/>
          </w:rPr>
          <w:fldChar w:fldCharType="end"/>
        </w:r>
      </w:hyperlink>
    </w:p>
    <w:p w14:paraId="10B95F23" w14:textId="56548E77"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2" w:history="1">
        <w:r w:rsidR="002A4F62" w:rsidRPr="00016B0B">
          <w:rPr>
            <w:rStyle w:val="Hyperlink"/>
            <w:noProof/>
          </w:rPr>
          <w:t>Table 1.28</w:t>
        </w:r>
        <w:r w:rsidR="002A4F62">
          <w:rPr>
            <w:rFonts w:asciiTheme="minorHAnsi" w:eastAsiaTheme="minorEastAsia" w:hAnsiTheme="minorHAnsi" w:cstheme="minorBidi"/>
            <w:noProof/>
            <w:sz w:val="22"/>
            <w:szCs w:val="22"/>
            <w:lang w:eastAsia="en-AU"/>
          </w:rPr>
          <w:tab/>
        </w:r>
        <w:r w:rsidR="002A4F62" w:rsidRPr="00016B0B">
          <w:rPr>
            <w:rStyle w:val="Hyperlink"/>
            <w:noProof/>
          </w:rPr>
          <w:t>Mental health community support services – outputs and activities 2022–23</w:t>
        </w:r>
        <w:r w:rsidR="002A4F62">
          <w:rPr>
            <w:noProof/>
            <w:webHidden/>
          </w:rPr>
          <w:tab/>
        </w:r>
        <w:r w:rsidR="002A4F62">
          <w:rPr>
            <w:noProof/>
            <w:webHidden/>
          </w:rPr>
          <w:fldChar w:fldCharType="begin"/>
        </w:r>
        <w:r w:rsidR="002A4F62">
          <w:rPr>
            <w:noProof/>
            <w:webHidden/>
          </w:rPr>
          <w:instrText xml:space="preserve"> PAGEREF _Toc119500902 \h </w:instrText>
        </w:r>
        <w:r w:rsidR="002A4F62">
          <w:rPr>
            <w:noProof/>
            <w:webHidden/>
          </w:rPr>
        </w:r>
        <w:r w:rsidR="002A4F62">
          <w:rPr>
            <w:noProof/>
            <w:webHidden/>
          </w:rPr>
          <w:fldChar w:fldCharType="separate"/>
        </w:r>
        <w:r w:rsidR="002A4F62">
          <w:rPr>
            <w:noProof/>
            <w:webHidden/>
          </w:rPr>
          <w:t>89</w:t>
        </w:r>
        <w:r w:rsidR="002A4F62">
          <w:rPr>
            <w:noProof/>
            <w:webHidden/>
          </w:rPr>
          <w:fldChar w:fldCharType="end"/>
        </w:r>
      </w:hyperlink>
    </w:p>
    <w:p w14:paraId="32838CCB" w14:textId="70A60C90"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3" w:history="1">
        <w:r w:rsidR="002A4F62" w:rsidRPr="00016B0B">
          <w:rPr>
            <w:rStyle w:val="Hyperlink"/>
            <w:noProof/>
          </w:rPr>
          <w:t>Table 1.29</w:t>
        </w:r>
        <w:r w:rsidR="002A4F62">
          <w:rPr>
            <w:rFonts w:asciiTheme="minorHAnsi" w:eastAsiaTheme="minorEastAsia" w:hAnsiTheme="minorHAnsi" w:cstheme="minorBidi"/>
            <w:noProof/>
            <w:sz w:val="22"/>
            <w:szCs w:val="22"/>
            <w:lang w:eastAsia="en-AU"/>
          </w:rPr>
          <w:tab/>
        </w:r>
        <w:r w:rsidR="002A4F62" w:rsidRPr="00016B0B">
          <w:rPr>
            <w:rStyle w:val="Hyperlink"/>
            <w:noProof/>
          </w:rPr>
          <w:t>Drug services – outputs and activities: drug prevention and control 2022–23</w:t>
        </w:r>
        <w:r w:rsidR="002A4F62">
          <w:rPr>
            <w:noProof/>
            <w:webHidden/>
          </w:rPr>
          <w:tab/>
        </w:r>
        <w:r w:rsidR="002A4F62">
          <w:rPr>
            <w:noProof/>
            <w:webHidden/>
          </w:rPr>
          <w:fldChar w:fldCharType="begin"/>
        </w:r>
        <w:r w:rsidR="002A4F62">
          <w:rPr>
            <w:noProof/>
            <w:webHidden/>
          </w:rPr>
          <w:instrText xml:space="preserve"> PAGEREF _Toc119500903 \h </w:instrText>
        </w:r>
        <w:r w:rsidR="002A4F62">
          <w:rPr>
            <w:noProof/>
            <w:webHidden/>
          </w:rPr>
        </w:r>
        <w:r w:rsidR="002A4F62">
          <w:rPr>
            <w:noProof/>
            <w:webHidden/>
          </w:rPr>
          <w:fldChar w:fldCharType="separate"/>
        </w:r>
        <w:r w:rsidR="002A4F62">
          <w:rPr>
            <w:noProof/>
            <w:webHidden/>
          </w:rPr>
          <w:t>90</w:t>
        </w:r>
        <w:r w:rsidR="002A4F62">
          <w:rPr>
            <w:noProof/>
            <w:webHidden/>
          </w:rPr>
          <w:fldChar w:fldCharType="end"/>
        </w:r>
      </w:hyperlink>
    </w:p>
    <w:p w14:paraId="7BBD21BB" w14:textId="26B0D543"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4" w:history="1">
        <w:r w:rsidR="002A4F62" w:rsidRPr="00016B0B">
          <w:rPr>
            <w:rStyle w:val="Hyperlink"/>
            <w:noProof/>
          </w:rPr>
          <w:t>Table 1.30</w:t>
        </w:r>
        <w:r w:rsidR="002A4F62">
          <w:rPr>
            <w:rFonts w:asciiTheme="minorHAnsi" w:eastAsiaTheme="minorEastAsia" w:hAnsiTheme="minorHAnsi" w:cstheme="minorBidi"/>
            <w:noProof/>
            <w:sz w:val="22"/>
            <w:szCs w:val="22"/>
            <w:lang w:eastAsia="en-AU"/>
          </w:rPr>
          <w:tab/>
        </w:r>
        <w:r w:rsidR="002A4F62" w:rsidRPr="00016B0B">
          <w:rPr>
            <w:rStyle w:val="Hyperlink"/>
            <w:noProof/>
          </w:rPr>
          <w:t>Drug services – outputs and activities: drug treatment and rehabilitation 2022-23</w:t>
        </w:r>
        <w:r w:rsidR="002A4F62">
          <w:rPr>
            <w:noProof/>
            <w:webHidden/>
          </w:rPr>
          <w:tab/>
        </w:r>
        <w:r w:rsidR="002A4F62">
          <w:rPr>
            <w:noProof/>
            <w:webHidden/>
          </w:rPr>
          <w:fldChar w:fldCharType="begin"/>
        </w:r>
        <w:r w:rsidR="002A4F62">
          <w:rPr>
            <w:noProof/>
            <w:webHidden/>
          </w:rPr>
          <w:instrText xml:space="preserve"> PAGEREF _Toc119500904 \h </w:instrText>
        </w:r>
        <w:r w:rsidR="002A4F62">
          <w:rPr>
            <w:noProof/>
            <w:webHidden/>
          </w:rPr>
        </w:r>
        <w:r w:rsidR="002A4F62">
          <w:rPr>
            <w:noProof/>
            <w:webHidden/>
          </w:rPr>
          <w:fldChar w:fldCharType="separate"/>
        </w:r>
        <w:r w:rsidR="002A4F62">
          <w:rPr>
            <w:noProof/>
            <w:webHidden/>
          </w:rPr>
          <w:t>91</w:t>
        </w:r>
        <w:r w:rsidR="002A4F62">
          <w:rPr>
            <w:noProof/>
            <w:webHidden/>
          </w:rPr>
          <w:fldChar w:fldCharType="end"/>
        </w:r>
      </w:hyperlink>
    </w:p>
    <w:p w14:paraId="21C408E8" w14:textId="140B1A27"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5" w:history="1">
        <w:r w:rsidR="002A4F62" w:rsidRPr="00016B0B">
          <w:rPr>
            <w:rStyle w:val="Hyperlink"/>
            <w:noProof/>
          </w:rPr>
          <w:t>Table 1.31</w:t>
        </w:r>
        <w:r w:rsidR="002A4F62">
          <w:rPr>
            <w:rFonts w:asciiTheme="minorHAnsi" w:eastAsiaTheme="minorEastAsia" w:hAnsiTheme="minorHAnsi" w:cstheme="minorBidi"/>
            <w:noProof/>
            <w:sz w:val="22"/>
            <w:szCs w:val="22"/>
            <w:lang w:eastAsia="en-AU"/>
          </w:rPr>
          <w:tab/>
        </w:r>
        <w:r w:rsidR="002A4F62" w:rsidRPr="00016B0B">
          <w:rPr>
            <w:rStyle w:val="Hyperlink"/>
            <w:noProof/>
          </w:rPr>
          <w:t>Small rural health services – outputs and activities 2022–23</w:t>
        </w:r>
        <w:r w:rsidR="002A4F62">
          <w:rPr>
            <w:noProof/>
            <w:webHidden/>
          </w:rPr>
          <w:tab/>
        </w:r>
        <w:r w:rsidR="002A4F62">
          <w:rPr>
            <w:noProof/>
            <w:webHidden/>
          </w:rPr>
          <w:fldChar w:fldCharType="begin"/>
        </w:r>
        <w:r w:rsidR="002A4F62">
          <w:rPr>
            <w:noProof/>
            <w:webHidden/>
          </w:rPr>
          <w:instrText xml:space="preserve"> PAGEREF _Toc119500905 \h </w:instrText>
        </w:r>
        <w:r w:rsidR="002A4F62">
          <w:rPr>
            <w:noProof/>
            <w:webHidden/>
          </w:rPr>
        </w:r>
        <w:r w:rsidR="002A4F62">
          <w:rPr>
            <w:noProof/>
            <w:webHidden/>
          </w:rPr>
          <w:fldChar w:fldCharType="separate"/>
        </w:r>
        <w:r w:rsidR="002A4F62">
          <w:rPr>
            <w:noProof/>
            <w:webHidden/>
          </w:rPr>
          <w:t>95</w:t>
        </w:r>
        <w:r w:rsidR="002A4F62">
          <w:rPr>
            <w:noProof/>
            <w:webHidden/>
          </w:rPr>
          <w:fldChar w:fldCharType="end"/>
        </w:r>
      </w:hyperlink>
    </w:p>
    <w:p w14:paraId="78967D6D" w14:textId="2F44EEC7"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6" w:history="1">
        <w:r w:rsidR="002A4F62" w:rsidRPr="00016B0B">
          <w:rPr>
            <w:rStyle w:val="Hyperlink"/>
            <w:noProof/>
          </w:rPr>
          <w:t>Table 1.32</w:t>
        </w:r>
        <w:r w:rsidR="002A4F62">
          <w:rPr>
            <w:rFonts w:asciiTheme="minorHAnsi" w:eastAsiaTheme="minorEastAsia" w:hAnsiTheme="minorHAnsi" w:cstheme="minorBidi"/>
            <w:noProof/>
            <w:sz w:val="22"/>
            <w:szCs w:val="22"/>
            <w:lang w:eastAsia="en-AU"/>
          </w:rPr>
          <w:tab/>
        </w:r>
        <w:r w:rsidR="002A4F62" w:rsidRPr="00016B0B">
          <w:rPr>
            <w:rStyle w:val="Hyperlink"/>
            <w:noProof/>
          </w:rPr>
          <w:t>Aged and home care – outputs and activities 2022-23</w:t>
        </w:r>
        <w:r w:rsidR="002A4F62">
          <w:rPr>
            <w:noProof/>
            <w:webHidden/>
          </w:rPr>
          <w:tab/>
        </w:r>
        <w:r w:rsidR="002A4F62">
          <w:rPr>
            <w:noProof/>
            <w:webHidden/>
          </w:rPr>
          <w:fldChar w:fldCharType="begin"/>
        </w:r>
        <w:r w:rsidR="002A4F62">
          <w:rPr>
            <w:noProof/>
            <w:webHidden/>
          </w:rPr>
          <w:instrText xml:space="preserve"> PAGEREF _Toc119500906 \h </w:instrText>
        </w:r>
        <w:r w:rsidR="002A4F62">
          <w:rPr>
            <w:noProof/>
            <w:webHidden/>
          </w:rPr>
        </w:r>
        <w:r w:rsidR="002A4F62">
          <w:rPr>
            <w:noProof/>
            <w:webHidden/>
          </w:rPr>
          <w:fldChar w:fldCharType="separate"/>
        </w:r>
        <w:r w:rsidR="002A4F62">
          <w:rPr>
            <w:noProof/>
            <w:webHidden/>
          </w:rPr>
          <w:t>96</w:t>
        </w:r>
        <w:r w:rsidR="002A4F62">
          <w:rPr>
            <w:noProof/>
            <w:webHidden/>
          </w:rPr>
          <w:fldChar w:fldCharType="end"/>
        </w:r>
      </w:hyperlink>
    </w:p>
    <w:p w14:paraId="4056B3F0" w14:textId="6D05C7EA" w:rsidR="002A4F62" w:rsidRDefault="00D36400">
      <w:pPr>
        <w:pStyle w:val="TOC4"/>
        <w:tabs>
          <w:tab w:val="left" w:pos="1400"/>
        </w:tabs>
        <w:rPr>
          <w:rFonts w:asciiTheme="minorHAnsi" w:eastAsiaTheme="minorEastAsia" w:hAnsiTheme="minorHAnsi" w:cstheme="minorBidi"/>
          <w:noProof/>
          <w:sz w:val="22"/>
          <w:szCs w:val="22"/>
          <w:lang w:eastAsia="en-AU"/>
        </w:rPr>
      </w:pPr>
      <w:hyperlink w:anchor="_Toc119500907" w:history="1">
        <w:r w:rsidR="002A4F62" w:rsidRPr="00016B0B">
          <w:rPr>
            <w:rStyle w:val="Hyperlink"/>
            <w:noProof/>
          </w:rPr>
          <w:t>Table 1.33</w:t>
        </w:r>
        <w:r w:rsidR="002A4F62">
          <w:rPr>
            <w:rFonts w:asciiTheme="minorHAnsi" w:eastAsiaTheme="minorEastAsia" w:hAnsiTheme="minorHAnsi" w:cstheme="minorBidi"/>
            <w:noProof/>
            <w:sz w:val="22"/>
            <w:szCs w:val="22"/>
            <w:lang w:eastAsia="en-AU"/>
          </w:rPr>
          <w:tab/>
        </w:r>
        <w:r w:rsidR="002A4F62" w:rsidRPr="00016B0B">
          <w:rPr>
            <w:rStyle w:val="Hyperlink"/>
            <w:noProof/>
          </w:rPr>
          <w:t>Public health – outputs and activities 2022-23</w:t>
        </w:r>
        <w:r w:rsidR="002A4F62">
          <w:rPr>
            <w:noProof/>
            <w:webHidden/>
          </w:rPr>
          <w:tab/>
        </w:r>
        <w:r w:rsidR="002A4F62">
          <w:rPr>
            <w:noProof/>
            <w:webHidden/>
          </w:rPr>
          <w:fldChar w:fldCharType="begin"/>
        </w:r>
        <w:r w:rsidR="002A4F62">
          <w:rPr>
            <w:noProof/>
            <w:webHidden/>
          </w:rPr>
          <w:instrText xml:space="preserve"> PAGEREF _Toc119500907 \h </w:instrText>
        </w:r>
        <w:r w:rsidR="002A4F62">
          <w:rPr>
            <w:noProof/>
            <w:webHidden/>
          </w:rPr>
        </w:r>
        <w:r w:rsidR="002A4F62">
          <w:rPr>
            <w:noProof/>
            <w:webHidden/>
          </w:rPr>
          <w:fldChar w:fldCharType="separate"/>
        </w:r>
        <w:r w:rsidR="002A4F62">
          <w:rPr>
            <w:noProof/>
            <w:webHidden/>
          </w:rPr>
          <w:t>99</w:t>
        </w:r>
        <w:r w:rsidR="002A4F62">
          <w:rPr>
            <w:noProof/>
            <w:webHidden/>
          </w:rPr>
          <w:fldChar w:fldCharType="end"/>
        </w:r>
      </w:hyperlink>
    </w:p>
    <w:p w14:paraId="5941C30C" w14:textId="58AD3031" w:rsidR="002A4F62" w:rsidRDefault="00D36400">
      <w:pPr>
        <w:pStyle w:val="TOC4"/>
        <w:rPr>
          <w:rFonts w:asciiTheme="minorHAnsi" w:eastAsiaTheme="minorEastAsia" w:hAnsiTheme="minorHAnsi" w:cstheme="minorBidi"/>
          <w:noProof/>
          <w:sz w:val="22"/>
          <w:szCs w:val="22"/>
          <w:lang w:eastAsia="en-AU"/>
        </w:rPr>
      </w:pPr>
      <w:hyperlink w:anchor="_Toc119500908" w:history="1">
        <w:r w:rsidR="002A4F62" w:rsidRPr="00016B0B">
          <w:rPr>
            <w:rStyle w:val="Hyperlink"/>
            <w:noProof/>
          </w:rPr>
          <w:t>Table 2.1: Expenditure budgets 2021–22 and 2022–23</w:t>
        </w:r>
        <w:r w:rsidR="002A4F62">
          <w:rPr>
            <w:noProof/>
            <w:webHidden/>
          </w:rPr>
          <w:tab/>
        </w:r>
        <w:r w:rsidR="002A4F62">
          <w:rPr>
            <w:noProof/>
            <w:webHidden/>
          </w:rPr>
          <w:fldChar w:fldCharType="begin"/>
        </w:r>
        <w:r w:rsidR="002A4F62">
          <w:rPr>
            <w:noProof/>
            <w:webHidden/>
          </w:rPr>
          <w:instrText xml:space="preserve"> PAGEREF _Toc119500908 \h </w:instrText>
        </w:r>
        <w:r w:rsidR="002A4F62">
          <w:rPr>
            <w:noProof/>
            <w:webHidden/>
          </w:rPr>
        </w:r>
        <w:r w:rsidR="002A4F62">
          <w:rPr>
            <w:noProof/>
            <w:webHidden/>
          </w:rPr>
          <w:fldChar w:fldCharType="separate"/>
        </w:r>
        <w:r w:rsidR="002A4F62">
          <w:rPr>
            <w:noProof/>
            <w:webHidden/>
          </w:rPr>
          <w:t>106</w:t>
        </w:r>
        <w:r w:rsidR="002A4F62">
          <w:rPr>
            <w:noProof/>
            <w:webHidden/>
          </w:rPr>
          <w:fldChar w:fldCharType="end"/>
        </w:r>
      </w:hyperlink>
    </w:p>
    <w:p w14:paraId="4AE47A6D" w14:textId="5E753123" w:rsidR="002A4F62" w:rsidRDefault="00D36400">
      <w:pPr>
        <w:pStyle w:val="TOC4"/>
        <w:rPr>
          <w:rFonts w:asciiTheme="minorHAnsi" w:eastAsiaTheme="minorEastAsia" w:hAnsiTheme="minorHAnsi" w:cstheme="minorBidi"/>
          <w:noProof/>
          <w:sz w:val="22"/>
          <w:szCs w:val="22"/>
          <w:lang w:eastAsia="en-AU"/>
        </w:rPr>
      </w:pPr>
      <w:hyperlink w:anchor="_Toc119500909" w:history="1">
        <w:r w:rsidR="002A4F62" w:rsidRPr="00016B0B">
          <w:rPr>
            <w:rStyle w:val="Hyperlink"/>
            <w:noProof/>
          </w:rPr>
          <w:t>Table 2.2: Small rural health services expenditure budgets 2021–22 and 2022–23</w:t>
        </w:r>
        <w:r w:rsidR="002A4F62">
          <w:rPr>
            <w:noProof/>
            <w:webHidden/>
          </w:rPr>
          <w:tab/>
        </w:r>
        <w:r w:rsidR="002A4F62">
          <w:rPr>
            <w:noProof/>
            <w:webHidden/>
          </w:rPr>
          <w:fldChar w:fldCharType="begin"/>
        </w:r>
        <w:r w:rsidR="002A4F62">
          <w:rPr>
            <w:noProof/>
            <w:webHidden/>
          </w:rPr>
          <w:instrText xml:space="preserve"> PAGEREF _Toc119500909 \h </w:instrText>
        </w:r>
        <w:r w:rsidR="002A4F62">
          <w:rPr>
            <w:noProof/>
            <w:webHidden/>
          </w:rPr>
        </w:r>
        <w:r w:rsidR="002A4F62">
          <w:rPr>
            <w:noProof/>
            <w:webHidden/>
          </w:rPr>
          <w:fldChar w:fldCharType="separate"/>
        </w:r>
        <w:r w:rsidR="002A4F62">
          <w:rPr>
            <w:noProof/>
            <w:webHidden/>
          </w:rPr>
          <w:t>109</w:t>
        </w:r>
        <w:r w:rsidR="002A4F62">
          <w:rPr>
            <w:noProof/>
            <w:webHidden/>
          </w:rPr>
          <w:fldChar w:fldCharType="end"/>
        </w:r>
      </w:hyperlink>
    </w:p>
    <w:p w14:paraId="3A3983FC" w14:textId="082AB1FD" w:rsidR="002A4F62" w:rsidRDefault="00D36400">
      <w:pPr>
        <w:pStyle w:val="TOC4"/>
        <w:rPr>
          <w:rFonts w:asciiTheme="minorHAnsi" w:eastAsiaTheme="minorEastAsia" w:hAnsiTheme="minorHAnsi" w:cstheme="minorBidi"/>
          <w:noProof/>
          <w:sz w:val="22"/>
          <w:szCs w:val="22"/>
          <w:lang w:eastAsia="en-AU"/>
        </w:rPr>
      </w:pPr>
      <w:hyperlink w:anchor="_Toc119500910" w:history="1">
        <w:r w:rsidR="002A4F62" w:rsidRPr="00016B0B">
          <w:rPr>
            <w:rStyle w:val="Hyperlink"/>
            <w:noProof/>
          </w:rPr>
          <w:t>Table 2.3: Activity-based funding: Health service expenditure budgets 2021–22 and 2022–23 by service category</w:t>
        </w:r>
        <w:r w:rsidR="002A4F62">
          <w:rPr>
            <w:noProof/>
            <w:webHidden/>
          </w:rPr>
          <w:tab/>
        </w:r>
        <w:r w:rsidR="002A4F62">
          <w:rPr>
            <w:noProof/>
            <w:webHidden/>
          </w:rPr>
          <w:fldChar w:fldCharType="begin"/>
        </w:r>
        <w:r w:rsidR="002A4F62">
          <w:rPr>
            <w:noProof/>
            <w:webHidden/>
          </w:rPr>
          <w:instrText xml:space="preserve"> PAGEREF _Toc119500910 \h </w:instrText>
        </w:r>
        <w:r w:rsidR="002A4F62">
          <w:rPr>
            <w:noProof/>
            <w:webHidden/>
          </w:rPr>
        </w:r>
        <w:r w:rsidR="002A4F62">
          <w:rPr>
            <w:noProof/>
            <w:webHidden/>
          </w:rPr>
          <w:fldChar w:fldCharType="separate"/>
        </w:r>
        <w:r w:rsidR="002A4F62">
          <w:rPr>
            <w:noProof/>
            <w:webHidden/>
          </w:rPr>
          <w:t>111</w:t>
        </w:r>
        <w:r w:rsidR="002A4F62">
          <w:rPr>
            <w:noProof/>
            <w:webHidden/>
          </w:rPr>
          <w:fldChar w:fldCharType="end"/>
        </w:r>
      </w:hyperlink>
    </w:p>
    <w:p w14:paraId="4B8932F6" w14:textId="3EF2AF29" w:rsidR="002A4F62" w:rsidRDefault="00D36400">
      <w:pPr>
        <w:pStyle w:val="TOC4"/>
        <w:rPr>
          <w:rFonts w:asciiTheme="minorHAnsi" w:eastAsiaTheme="minorEastAsia" w:hAnsiTheme="minorHAnsi" w:cstheme="minorBidi"/>
          <w:noProof/>
          <w:sz w:val="22"/>
          <w:szCs w:val="22"/>
          <w:lang w:eastAsia="en-AU"/>
        </w:rPr>
      </w:pPr>
      <w:hyperlink w:anchor="_Toc119500911" w:history="1">
        <w:r w:rsidR="002A4F62" w:rsidRPr="00016B0B">
          <w:rPr>
            <w:rStyle w:val="Hyperlink"/>
            <w:noProof/>
          </w:rPr>
          <w:t>Table 2.4: Mental health expenditure budgets 2021-22 and 2022-23 by service type</w:t>
        </w:r>
        <w:r w:rsidR="002A4F62">
          <w:rPr>
            <w:noProof/>
            <w:webHidden/>
          </w:rPr>
          <w:tab/>
        </w:r>
        <w:r w:rsidR="002A4F62">
          <w:rPr>
            <w:noProof/>
            <w:webHidden/>
          </w:rPr>
          <w:fldChar w:fldCharType="begin"/>
        </w:r>
        <w:r w:rsidR="002A4F62">
          <w:rPr>
            <w:noProof/>
            <w:webHidden/>
          </w:rPr>
          <w:instrText xml:space="preserve"> PAGEREF _Toc119500911 \h </w:instrText>
        </w:r>
        <w:r w:rsidR="002A4F62">
          <w:rPr>
            <w:noProof/>
            <w:webHidden/>
          </w:rPr>
        </w:r>
        <w:r w:rsidR="002A4F62">
          <w:rPr>
            <w:noProof/>
            <w:webHidden/>
          </w:rPr>
          <w:fldChar w:fldCharType="separate"/>
        </w:r>
        <w:r w:rsidR="002A4F62">
          <w:rPr>
            <w:noProof/>
            <w:webHidden/>
          </w:rPr>
          <w:t>114</w:t>
        </w:r>
        <w:r w:rsidR="002A4F62">
          <w:rPr>
            <w:noProof/>
            <w:webHidden/>
          </w:rPr>
          <w:fldChar w:fldCharType="end"/>
        </w:r>
      </w:hyperlink>
    </w:p>
    <w:p w14:paraId="6974EE17" w14:textId="3D0CC60C" w:rsidR="002A4F62" w:rsidRDefault="00D36400">
      <w:pPr>
        <w:pStyle w:val="TOC4"/>
        <w:rPr>
          <w:rFonts w:asciiTheme="minorHAnsi" w:eastAsiaTheme="minorEastAsia" w:hAnsiTheme="minorHAnsi" w:cstheme="minorBidi"/>
          <w:noProof/>
          <w:sz w:val="22"/>
          <w:szCs w:val="22"/>
          <w:lang w:eastAsia="en-AU"/>
        </w:rPr>
      </w:pPr>
      <w:hyperlink w:anchor="_Toc119500912" w:history="1">
        <w:r w:rsidR="002A4F62" w:rsidRPr="00016B0B">
          <w:rPr>
            <w:rStyle w:val="Hyperlink"/>
            <w:noProof/>
          </w:rPr>
          <w:t>Table 2.5: Registered community expenditure budgets 2021–22 and 2022–23</w:t>
        </w:r>
        <w:r w:rsidR="002A4F62">
          <w:rPr>
            <w:noProof/>
            <w:webHidden/>
          </w:rPr>
          <w:tab/>
        </w:r>
        <w:r w:rsidR="002A4F62">
          <w:rPr>
            <w:noProof/>
            <w:webHidden/>
          </w:rPr>
          <w:fldChar w:fldCharType="begin"/>
        </w:r>
        <w:r w:rsidR="002A4F62">
          <w:rPr>
            <w:noProof/>
            <w:webHidden/>
          </w:rPr>
          <w:instrText xml:space="preserve"> PAGEREF _Toc119500912 \h </w:instrText>
        </w:r>
        <w:r w:rsidR="002A4F62">
          <w:rPr>
            <w:noProof/>
            <w:webHidden/>
          </w:rPr>
        </w:r>
        <w:r w:rsidR="002A4F62">
          <w:rPr>
            <w:noProof/>
            <w:webHidden/>
          </w:rPr>
          <w:fldChar w:fldCharType="separate"/>
        </w:r>
        <w:r w:rsidR="002A4F62">
          <w:rPr>
            <w:noProof/>
            <w:webHidden/>
          </w:rPr>
          <w:t>117</w:t>
        </w:r>
        <w:r w:rsidR="002A4F62">
          <w:rPr>
            <w:noProof/>
            <w:webHidden/>
          </w:rPr>
          <w:fldChar w:fldCharType="end"/>
        </w:r>
      </w:hyperlink>
    </w:p>
    <w:p w14:paraId="45DEE9AF" w14:textId="239C7EEA" w:rsidR="002A4F62" w:rsidRDefault="00D36400">
      <w:pPr>
        <w:pStyle w:val="TOC4"/>
        <w:rPr>
          <w:rFonts w:asciiTheme="minorHAnsi" w:eastAsiaTheme="minorEastAsia" w:hAnsiTheme="minorHAnsi" w:cstheme="minorBidi"/>
          <w:noProof/>
          <w:sz w:val="22"/>
          <w:szCs w:val="22"/>
          <w:lang w:eastAsia="en-AU"/>
        </w:rPr>
      </w:pPr>
      <w:hyperlink w:anchor="_Toc119500913" w:history="1">
        <w:r w:rsidR="002A4F62" w:rsidRPr="00016B0B">
          <w:rPr>
            <w:rStyle w:val="Hyperlink"/>
            <w:noProof/>
          </w:rPr>
          <w:t>Table 2.6: Local government authorities 2021–22 and 2022–23</w:t>
        </w:r>
        <w:r w:rsidR="002A4F62">
          <w:rPr>
            <w:noProof/>
            <w:webHidden/>
          </w:rPr>
          <w:tab/>
        </w:r>
        <w:r w:rsidR="002A4F62">
          <w:rPr>
            <w:noProof/>
            <w:webHidden/>
          </w:rPr>
          <w:fldChar w:fldCharType="begin"/>
        </w:r>
        <w:r w:rsidR="002A4F62">
          <w:rPr>
            <w:noProof/>
            <w:webHidden/>
          </w:rPr>
          <w:instrText xml:space="preserve"> PAGEREF _Toc119500913 \h </w:instrText>
        </w:r>
        <w:r w:rsidR="002A4F62">
          <w:rPr>
            <w:noProof/>
            <w:webHidden/>
          </w:rPr>
        </w:r>
        <w:r w:rsidR="002A4F62">
          <w:rPr>
            <w:noProof/>
            <w:webHidden/>
          </w:rPr>
          <w:fldChar w:fldCharType="separate"/>
        </w:r>
        <w:r w:rsidR="002A4F62">
          <w:rPr>
            <w:noProof/>
            <w:webHidden/>
          </w:rPr>
          <w:t>119</w:t>
        </w:r>
        <w:r w:rsidR="002A4F62">
          <w:rPr>
            <w:noProof/>
            <w:webHidden/>
          </w:rPr>
          <w:fldChar w:fldCharType="end"/>
        </w:r>
      </w:hyperlink>
    </w:p>
    <w:p w14:paraId="13B7A5AF" w14:textId="673D3BAE" w:rsidR="002A4F62" w:rsidRDefault="00D36400">
      <w:pPr>
        <w:pStyle w:val="TOC4"/>
        <w:rPr>
          <w:rFonts w:asciiTheme="minorHAnsi" w:eastAsiaTheme="minorEastAsia" w:hAnsiTheme="minorHAnsi" w:cstheme="minorBidi"/>
          <w:noProof/>
          <w:sz w:val="22"/>
          <w:szCs w:val="22"/>
          <w:lang w:eastAsia="en-AU"/>
        </w:rPr>
      </w:pPr>
      <w:hyperlink w:anchor="_Toc119500914" w:history="1">
        <w:r w:rsidR="002A4F62" w:rsidRPr="00016B0B">
          <w:rPr>
            <w:rStyle w:val="Hyperlink"/>
            <w:noProof/>
          </w:rPr>
          <w:t>Table 2.7: Non-government providers 2021–22 and 2022–23</w:t>
        </w:r>
        <w:r w:rsidR="002A4F62">
          <w:rPr>
            <w:noProof/>
            <w:webHidden/>
          </w:rPr>
          <w:tab/>
        </w:r>
        <w:r w:rsidR="002A4F62">
          <w:rPr>
            <w:noProof/>
            <w:webHidden/>
          </w:rPr>
          <w:fldChar w:fldCharType="begin"/>
        </w:r>
        <w:r w:rsidR="002A4F62">
          <w:rPr>
            <w:noProof/>
            <w:webHidden/>
          </w:rPr>
          <w:instrText xml:space="preserve"> PAGEREF _Toc119500914 \h </w:instrText>
        </w:r>
        <w:r w:rsidR="002A4F62">
          <w:rPr>
            <w:noProof/>
            <w:webHidden/>
          </w:rPr>
        </w:r>
        <w:r w:rsidR="002A4F62">
          <w:rPr>
            <w:noProof/>
            <w:webHidden/>
          </w:rPr>
          <w:fldChar w:fldCharType="separate"/>
        </w:r>
        <w:r w:rsidR="002A4F62">
          <w:rPr>
            <w:noProof/>
            <w:webHidden/>
          </w:rPr>
          <w:t>121</w:t>
        </w:r>
        <w:r w:rsidR="002A4F62">
          <w:rPr>
            <w:noProof/>
            <w:webHidden/>
          </w:rPr>
          <w:fldChar w:fldCharType="end"/>
        </w:r>
      </w:hyperlink>
    </w:p>
    <w:p w14:paraId="075BEC84" w14:textId="4A7C2AF2" w:rsidR="002A4F62" w:rsidRDefault="00D36400">
      <w:pPr>
        <w:pStyle w:val="TOC4"/>
        <w:rPr>
          <w:rFonts w:asciiTheme="minorHAnsi" w:eastAsiaTheme="minorEastAsia" w:hAnsiTheme="minorHAnsi" w:cstheme="minorBidi"/>
          <w:noProof/>
          <w:sz w:val="22"/>
          <w:szCs w:val="22"/>
          <w:lang w:eastAsia="en-AU"/>
        </w:rPr>
      </w:pPr>
      <w:hyperlink w:anchor="_Toc119500915" w:history="1">
        <w:r w:rsidR="002A4F62" w:rsidRPr="00016B0B">
          <w:rPr>
            <w:rStyle w:val="Hyperlink"/>
            <w:noProof/>
          </w:rPr>
          <w:t>Table 2.8: Other funded organisations expenditure budgets 2021–22 and 2022–23</w:t>
        </w:r>
        <w:r w:rsidR="002A4F62">
          <w:rPr>
            <w:noProof/>
            <w:webHidden/>
          </w:rPr>
          <w:tab/>
        </w:r>
        <w:r w:rsidR="002A4F62">
          <w:rPr>
            <w:noProof/>
            <w:webHidden/>
          </w:rPr>
          <w:fldChar w:fldCharType="begin"/>
        </w:r>
        <w:r w:rsidR="002A4F62">
          <w:rPr>
            <w:noProof/>
            <w:webHidden/>
          </w:rPr>
          <w:instrText xml:space="preserve"> PAGEREF _Toc119500915 \h </w:instrText>
        </w:r>
        <w:r w:rsidR="002A4F62">
          <w:rPr>
            <w:noProof/>
            <w:webHidden/>
          </w:rPr>
        </w:r>
        <w:r w:rsidR="002A4F62">
          <w:rPr>
            <w:noProof/>
            <w:webHidden/>
          </w:rPr>
          <w:fldChar w:fldCharType="separate"/>
        </w:r>
        <w:r w:rsidR="002A4F62">
          <w:rPr>
            <w:noProof/>
            <w:webHidden/>
          </w:rPr>
          <w:t>126</w:t>
        </w:r>
        <w:r w:rsidR="002A4F62">
          <w:rPr>
            <w:noProof/>
            <w:webHidden/>
          </w:rPr>
          <w:fldChar w:fldCharType="end"/>
        </w:r>
      </w:hyperlink>
    </w:p>
    <w:p w14:paraId="6C8D316F" w14:textId="7EA066D1" w:rsidR="002A4F62" w:rsidRDefault="00D36400">
      <w:pPr>
        <w:pStyle w:val="TOC4"/>
        <w:rPr>
          <w:rFonts w:asciiTheme="minorHAnsi" w:eastAsiaTheme="minorEastAsia" w:hAnsiTheme="minorHAnsi" w:cstheme="minorBidi"/>
          <w:noProof/>
          <w:sz w:val="22"/>
          <w:szCs w:val="22"/>
          <w:lang w:eastAsia="en-AU"/>
        </w:rPr>
      </w:pPr>
      <w:hyperlink w:anchor="_Toc119500916" w:history="1">
        <w:r w:rsidR="002A4F62" w:rsidRPr="00016B0B">
          <w:rPr>
            <w:rStyle w:val="Hyperlink"/>
            <w:noProof/>
          </w:rPr>
          <w:t>Table 2.9: Health operations expenditure budgets 2021–22 and 2022–23</w:t>
        </w:r>
        <w:r w:rsidR="002A4F62">
          <w:rPr>
            <w:noProof/>
            <w:webHidden/>
          </w:rPr>
          <w:tab/>
        </w:r>
        <w:r w:rsidR="002A4F62">
          <w:rPr>
            <w:noProof/>
            <w:webHidden/>
          </w:rPr>
          <w:fldChar w:fldCharType="begin"/>
        </w:r>
        <w:r w:rsidR="002A4F62">
          <w:rPr>
            <w:noProof/>
            <w:webHidden/>
          </w:rPr>
          <w:instrText xml:space="preserve"> PAGEREF _Toc119500916 \h </w:instrText>
        </w:r>
        <w:r w:rsidR="002A4F62">
          <w:rPr>
            <w:noProof/>
            <w:webHidden/>
          </w:rPr>
        </w:r>
        <w:r w:rsidR="002A4F62">
          <w:rPr>
            <w:noProof/>
            <w:webHidden/>
          </w:rPr>
          <w:fldChar w:fldCharType="separate"/>
        </w:r>
        <w:r w:rsidR="002A4F62">
          <w:rPr>
            <w:noProof/>
            <w:webHidden/>
          </w:rPr>
          <w:t>128</w:t>
        </w:r>
        <w:r w:rsidR="002A4F62">
          <w:rPr>
            <w:noProof/>
            <w:webHidden/>
          </w:rPr>
          <w:fldChar w:fldCharType="end"/>
        </w:r>
      </w:hyperlink>
    </w:p>
    <w:p w14:paraId="7FAE52FA" w14:textId="43936607" w:rsidR="002A4F62" w:rsidRDefault="00D36400">
      <w:pPr>
        <w:pStyle w:val="TOC4"/>
        <w:rPr>
          <w:rFonts w:asciiTheme="minorHAnsi" w:eastAsiaTheme="minorEastAsia" w:hAnsiTheme="minorHAnsi" w:cstheme="minorBidi"/>
          <w:noProof/>
          <w:sz w:val="22"/>
          <w:szCs w:val="22"/>
          <w:lang w:eastAsia="en-AU"/>
        </w:rPr>
      </w:pPr>
      <w:hyperlink w:anchor="_Toc119500917" w:history="1">
        <w:r w:rsidR="002A4F62" w:rsidRPr="00016B0B">
          <w:rPr>
            <w:rStyle w:val="Hyperlink"/>
            <w:noProof/>
          </w:rPr>
          <w:t>Table 2.10: Victorian acute admitted activity targets (NWAU) 2022–23</w:t>
        </w:r>
        <w:r w:rsidR="002A4F62">
          <w:rPr>
            <w:noProof/>
            <w:webHidden/>
          </w:rPr>
          <w:tab/>
        </w:r>
        <w:r w:rsidR="002A4F62">
          <w:rPr>
            <w:noProof/>
            <w:webHidden/>
          </w:rPr>
          <w:fldChar w:fldCharType="begin"/>
        </w:r>
        <w:r w:rsidR="002A4F62">
          <w:rPr>
            <w:noProof/>
            <w:webHidden/>
          </w:rPr>
          <w:instrText xml:space="preserve"> PAGEREF _Toc119500917 \h </w:instrText>
        </w:r>
        <w:r w:rsidR="002A4F62">
          <w:rPr>
            <w:noProof/>
            <w:webHidden/>
          </w:rPr>
        </w:r>
        <w:r w:rsidR="002A4F62">
          <w:rPr>
            <w:noProof/>
            <w:webHidden/>
          </w:rPr>
          <w:fldChar w:fldCharType="separate"/>
        </w:r>
        <w:r w:rsidR="002A4F62">
          <w:rPr>
            <w:noProof/>
            <w:webHidden/>
          </w:rPr>
          <w:t>129</w:t>
        </w:r>
        <w:r w:rsidR="002A4F62">
          <w:rPr>
            <w:noProof/>
            <w:webHidden/>
          </w:rPr>
          <w:fldChar w:fldCharType="end"/>
        </w:r>
      </w:hyperlink>
    </w:p>
    <w:p w14:paraId="5DB23123" w14:textId="5C00AD65" w:rsidR="002A4F62" w:rsidRDefault="00D36400">
      <w:pPr>
        <w:pStyle w:val="TOC4"/>
        <w:rPr>
          <w:rFonts w:asciiTheme="minorHAnsi" w:eastAsiaTheme="minorEastAsia" w:hAnsiTheme="minorHAnsi" w:cstheme="minorBidi"/>
          <w:noProof/>
          <w:sz w:val="22"/>
          <w:szCs w:val="22"/>
          <w:lang w:eastAsia="en-AU"/>
        </w:rPr>
      </w:pPr>
      <w:hyperlink w:anchor="_Toc119500918" w:history="1">
        <w:r w:rsidR="002A4F62" w:rsidRPr="00016B0B">
          <w:rPr>
            <w:rStyle w:val="Hyperlink"/>
            <w:noProof/>
          </w:rPr>
          <w:t>Table 2.11: Victorian small rural health service acute admitted activity targets 2022–23</w:t>
        </w:r>
        <w:r w:rsidR="002A4F62">
          <w:rPr>
            <w:noProof/>
            <w:webHidden/>
          </w:rPr>
          <w:tab/>
        </w:r>
        <w:r w:rsidR="002A4F62">
          <w:rPr>
            <w:noProof/>
            <w:webHidden/>
          </w:rPr>
          <w:fldChar w:fldCharType="begin"/>
        </w:r>
        <w:r w:rsidR="002A4F62">
          <w:rPr>
            <w:noProof/>
            <w:webHidden/>
          </w:rPr>
          <w:instrText xml:space="preserve"> PAGEREF _Toc119500918 \h </w:instrText>
        </w:r>
        <w:r w:rsidR="002A4F62">
          <w:rPr>
            <w:noProof/>
            <w:webHidden/>
          </w:rPr>
        </w:r>
        <w:r w:rsidR="002A4F62">
          <w:rPr>
            <w:noProof/>
            <w:webHidden/>
          </w:rPr>
          <w:fldChar w:fldCharType="separate"/>
        </w:r>
        <w:r w:rsidR="002A4F62">
          <w:rPr>
            <w:noProof/>
            <w:webHidden/>
          </w:rPr>
          <w:t>130</w:t>
        </w:r>
        <w:r w:rsidR="002A4F62">
          <w:rPr>
            <w:noProof/>
            <w:webHidden/>
          </w:rPr>
          <w:fldChar w:fldCharType="end"/>
        </w:r>
      </w:hyperlink>
    </w:p>
    <w:p w14:paraId="1813F059" w14:textId="489A4051" w:rsidR="002A4F62" w:rsidRDefault="00D36400">
      <w:pPr>
        <w:pStyle w:val="TOC4"/>
        <w:rPr>
          <w:rFonts w:asciiTheme="minorHAnsi" w:eastAsiaTheme="minorEastAsia" w:hAnsiTheme="minorHAnsi" w:cstheme="minorBidi"/>
          <w:noProof/>
          <w:sz w:val="22"/>
          <w:szCs w:val="22"/>
          <w:lang w:eastAsia="en-AU"/>
        </w:rPr>
      </w:pPr>
      <w:hyperlink w:anchor="_Toc119500919" w:history="1">
        <w:r w:rsidR="002A4F62" w:rsidRPr="00016B0B">
          <w:rPr>
            <w:rStyle w:val="Hyperlink"/>
            <w:noProof/>
          </w:rPr>
          <w:t>Table 2.12: Non-admitted radiotherapy activity targets 2022–23</w:t>
        </w:r>
        <w:r w:rsidR="002A4F62">
          <w:rPr>
            <w:noProof/>
            <w:webHidden/>
          </w:rPr>
          <w:tab/>
        </w:r>
        <w:r w:rsidR="002A4F62">
          <w:rPr>
            <w:noProof/>
            <w:webHidden/>
          </w:rPr>
          <w:fldChar w:fldCharType="begin"/>
        </w:r>
        <w:r w:rsidR="002A4F62">
          <w:rPr>
            <w:noProof/>
            <w:webHidden/>
          </w:rPr>
          <w:instrText xml:space="preserve"> PAGEREF _Toc119500919 \h </w:instrText>
        </w:r>
        <w:r w:rsidR="002A4F62">
          <w:rPr>
            <w:noProof/>
            <w:webHidden/>
          </w:rPr>
        </w:r>
        <w:r w:rsidR="002A4F62">
          <w:rPr>
            <w:noProof/>
            <w:webHidden/>
          </w:rPr>
          <w:fldChar w:fldCharType="separate"/>
        </w:r>
        <w:r w:rsidR="002A4F62">
          <w:rPr>
            <w:noProof/>
            <w:webHidden/>
          </w:rPr>
          <w:t>131</w:t>
        </w:r>
        <w:r w:rsidR="002A4F62">
          <w:rPr>
            <w:noProof/>
            <w:webHidden/>
          </w:rPr>
          <w:fldChar w:fldCharType="end"/>
        </w:r>
      </w:hyperlink>
    </w:p>
    <w:p w14:paraId="4FF837A2" w14:textId="407728DC" w:rsidR="002A4F62" w:rsidRDefault="00D36400">
      <w:pPr>
        <w:pStyle w:val="TOC4"/>
        <w:rPr>
          <w:rFonts w:asciiTheme="minorHAnsi" w:eastAsiaTheme="minorEastAsia" w:hAnsiTheme="minorHAnsi" w:cstheme="minorBidi"/>
          <w:noProof/>
          <w:sz w:val="22"/>
          <w:szCs w:val="22"/>
          <w:lang w:eastAsia="en-AU"/>
        </w:rPr>
      </w:pPr>
      <w:hyperlink w:anchor="_Toc119500920" w:history="1">
        <w:r w:rsidR="002A4F62" w:rsidRPr="00016B0B">
          <w:rPr>
            <w:rStyle w:val="Hyperlink"/>
            <w:noProof/>
          </w:rPr>
          <w:t>Table 2.13: Shared care radiotherapy activity targets 2022–23</w:t>
        </w:r>
        <w:r w:rsidR="002A4F62">
          <w:rPr>
            <w:noProof/>
            <w:webHidden/>
          </w:rPr>
          <w:tab/>
        </w:r>
        <w:r w:rsidR="002A4F62">
          <w:rPr>
            <w:noProof/>
            <w:webHidden/>
          </w:rPr>
          <w:fldChar w:fldCharType="begin"/>
        </w:r>
        <w:r w:rsidR="002A4F62">
          <w:rPr>
            <w:noProof/>
            <w:webHidden/>
          </w:rPr>
          <w:instrText xml:space="preserve"> PAGEREF _Toc119500920 \h </w:instrText>
        </w:r>
        <w:r w:rsidR="002A4F62">
          <w:rPr>
            <w:noProof/>
            <w:webHidden/>
          </w:rPr>
        </w:r>
        <w:r w:rsidR="002A4F62">
          <w:rPr>
            <w:noProof/>
            <w:webHidden/>
          </w:rPr>
          <w:fldChar w:fldCharType="separate"/>
        </w:r>
        <w:r w:rsidR="002A4F62">
          <w:rPr>
            <w:noProof/>
            <w:webHidden/>
          </w:rPr>
          <w:t>131</w:t>
        </w:r>
        <w:r w:rsidR="002A4F62">
          <w:rPr>
            <w:noProof/>
            <w:webHidden/>
          </w:rPr>
          <w:fldChar w:fldCharType="end"/>
        </w:r>
      </w:hyperlink>
    </w:p>
    <w:p w14:paraId="007B2FA0" w14:textId="2BF7E781" w:rsidR="002A4F62" w:rsidRDefault="00D36400">
      <w:pPr>
        <w:pStyle w:val="TOC4"/>
        <w:rPr>
          <w:rFonts w:asciiTheme="minorHAnsi" w:eastAsiaTheme="minorEastAsia" w:hAnsiTheme="minorHAnsi" w:cstheme="minorBidi"/>
          <w:noProof/>
          <w:sz w:val="22"/>
          <w:szCs w:val="22"/>
          <w:lang w:eastAsia="en-AU"/>
        </w:rPr>
      </w:pPr>
      <w:hyperlink w:anchor="_Toc119500921" w:history="1">
        <w:r w:rsidR="002A4F62" w:rsidRPr="00016B0B">
          <w:rPr>
            <w:rStyle w:val="Hyperlink"/>
            <w:noProof/>
          </w:rPr>
          <w:t>Table 2.14: Admitted subacute and non-acute targets (subacute NWAU) 2022–23</w:t>
        </w:r>
        <w:r w:rsidR="002A4F62">
          <w:rPr>
            <w:noProof/>
            <w:webHidden/>
          </w:rPr>
          <w:tab/>
        </w:r>
        <w:r w:rsidR="002A4F62">
          <w:rPr>
            <w:noProof/>
            <w:webHidden/>
          </w:rPr>
          <w:fldChar w:fldCharType="begin"/>
        </w:r>
        <w:r w:rsidR="002A4F62">
          <w:rPr>
            <w:noProof/>
            <w:webHidden/>
          </w:rPr>
          <w:instrText xml:space="preserve"> PAGEREF _Toc119500921 \h </w:instrText>
        </w:r>
        <w:r w:rsidR="002A4F62">
          <w:rPr>
            <w:noProof/>
            <w:webHidden/>
          </w:rPr>
        </w:r>
        <w:r w:rsidR="002A4F62">
          <w:rPr>
            <w:noProof/>
            <w:webHidden/>
          </w:rPr>
          <w:fldChar w:fldCharType="separate"/>
        </w:r>
        <w:r w:rsidR="002A4F62">
          <w:rPr>
            <w:noProof/>
            <w:webHidden/>
          </w:rPr>
          <w:t>132</w:t>
        </w:r>
        <w:r w:rsidR="002A4F62">
          <w:rPr>
            <w:noProof/>
            <w:webHidden/>
          </w:rPr>
          <w:fldChar w:fldCharType="end"/>
        </w:r>
      </w:hyperlink>
    </w:p>
    <w:p w14:paraId="10DEC493" w14:textId="0224E24A" w:rsidR="002A4F62" w:rsidRDefault="00D36400">
      <w:pPr>
        <w:pStyle w:val="TOC4"/>
        <w:rPr>
          <w:rFonts w:asciiTheme="minorHAnsi" w:eastAsiaTheme="minorEastAsia" w:hAnsiTheme="minorHAnsi" w:cstheme="minorBidi"/>
          <w:noProof/>
          <w:sz w:val="22"/>
          <w:szCs w:val="22"/>
          <w:lang w:eastAsia="en-AU"/>
        </w:rPr>
      </w:pPr>
      <w:hyperlink w:anchor="_Toc119500922" w:history="1">
        <w:r w:rsidR="002A4F62" w:rsidRPr="00016B0B">
          <w:rPr>
            <w:rStyle w:val="Hyperlink"/>
            <w:noProof/>
          </w:rPr>
          <w:t>Table 2.15: Transition Care Program targets 2022–23</w:t>
        </w:r>
        <w:r w:rsidR="002A4F62">
          <w:rPr>
            <w:noProof/>
            <w:webHidden/>
          </w:rPr>
          <w:tab/>
        </w:r>
        <w:r w:rsidR="002A4F62">
          <w:rPr>
            <w:noProof/>
            <w:webHidden/>
          </w:rPr>
          <w:fldChar w:fldCharType="begin"/>
        </w:r>
        <w:r w:rsidR="002A4F62">
          <w:rPr>
            <w:noProof/>
            <w:webHidden/>
          </w:rPr>
          <w:instrText xml:space="preserve"> PAGEREF _Toc119500922 \h </w:instrText>
        </w:r>
        <w:r w:rsidR="002A4F62">
          <w:rPr>
            <w:noProof/>
            <w:webHidden/>
          </w:rPr>
        </w:r>
        <w:r w:rsidR="002A4F62">
          <w:rPr>
            <w:noProof/>
            <w:webHidden/>
          </w:rPr>
          <w:fldChar w:fldCharType="separate"/>
        </w:r>
        <w:r w:rsidR="002A4F62">
          <w:rPr>
            <w:noProof/>
            <w:webHidden/>
          </w:rPr>
          <w:t>133</w:t>
        </w:r>
        <w:r w:rsidR="002A4F62">
          <w:rPr>
            <w:noProof/>
            <w:webHidden/>
          </w:rPr>
          <w:fldChar w:fldCharType="end"/>
        </w:r>
      </w:hyperlink>
    </w:p>
    <w:p w14:paraId="4D27FEC3" w14:textId="51C75FAC" w:rsidR="002A4F62" w:rsidRDefault="00D36400">
      <w:pPr>
        <w:pStyle w:val="TOC4"/>
        <w:rPr>
          <w:rFonts w:asciiTheme="minorHAnsi" w:eastAsiaTheme="minorEastAsia" w:hAnsiTheme="minorHAnsi" w:cstheme="minorBidi"/>
          <w:noProof/>
          <w:sz w:val="22"/>
          <w:szCs w:val="22"/>
          <w:lang w:eastAsia="en-AU"/>
        </w:rPr>
      </w:pPr>
      <w:hyperlink w:anchor="_Toc119500923" w:history="1">
        <w:r w:rsidR="002A4F62" w:rsidRPr="00016B0B">
          <w:rPr>
            <w:rStyle w:val="Hyperlink"/>
            <w:noProof/>
          </w:rPr>
          <w:t>Table 2.16: Total parenteral nutrition service event targets 2022</w:t>
        </w:r>
        <w:r w:rsidR="002A4F62" w:rsidRPr="00016B0B">
          <w:rPr>
            <w:rStyle w:val="Hyperlink"/>
            <w:bCs/>
            <w:noProof/>
            <w:lang w:eastAsia="en-AU"/>
          </w:rPr>
          <w:t>–</w:t>
        </w:r>
        <w:r w:rsidR="002A4F62" w:rsidRPr="00016B0B">
          <w:rPr>
            <w:rStyle w:val="Hyperlink"/>
            <w:noProof/>
          </w:rPr>
          <w:t>23</w:t>
        </w:r>
        <w:r w:rsidR="002A4F62">
          <w:rPr>
            <w:noProof/>
            <w:webHidden/>
          </w:rPr>
          <w:tab/>
        </w:r>
        <w:r w:rsidR="002A4F62">
          <w:rPr>
            <w:noProof/>
            <w:webHidden/>
          </w:rPr>
          <w:fldChar w:fldCharType="begin"/>
        </w:r>
        <w:r w:rsidR="002A4F62">
          <w:rPr>
            <w:noProof/>
            <w:webHidden/>
          </w:rPr>
          <w:instrText xml:space="preserve"> PAGEREF _Toc119500923 \h </w:instrText>
        </w:r>
        <w:r w:rsidR="002A4F62">
          <w:rPr>
            <w:noProof/>
            <w:webHidden/>
          </w:rPr>
        </w:r>
        <w:r w:rsidR="002A4F62">
          <w:rPr>
            <w:noProof/>
            <w:webHidden/>
          </w:rPr>
          <w:fldChar w:fldCharType="separate"/>
        </w:r>
        <w:r w:rsidR="002A4F62">
          <w:rPr>
            <w:noProof/>
            <w:webHidden/>
          </w:rPr>
          <w:t>133</w:t>
        </w:r>
        <w:r w:rsidR="002A4F62">
          <w:rPr>
            <w:noProof/>
            <w:webHidden/>
          </w:rPr>
          <w:fldChar w:fldCharType="end"/>
        </w:r>
      </w:hyperlink>
    </w:p>
    <w:p w14:paraId="12656F7F" w14:textId="5C757693" w:rsidR="002A4F62" w:rsidRDefault="00D36400">
      <w:pPr>
        <w:pStyle w:val="TOC4"/>
        <w:rPr>
          <w:rFonts w:asciiTheme="minorHAnsi" w:eastAsiaTheme="minorEastAsia" w:hAnsiTheme="minorHAnsi" w:cstheme="minorBidi"/>
          <w:noProof/>
          <w:sz w:val="22"/>
          <w:szCs w:val="22"/>
          <w:lang w:eastAsia="en-AU"/>
        </w:rPr>
      </w:pPr>
      <w:hyperlink w:anchor="_Toc119500924" w:history="1">
        <w:r w:rsidR="002A4F62" w:rsidRPr="00016B0B">
          <w:rPr>
            <w:rStyle w:val="Hyperlink"/>
            <w:noProof/>
          </w:rPr>
          <w:t>Table 2.17: Home enteral nutrition service event targets 2022–23</w:t>
        </w:r>
        <w:r w:rsidR="002A4F62">
          <w:rPr>
            <w:noProof/>
            <w:webHidden/>
          </w:rPr>
          <w:tab/>
        </w:r>
        <w:r w:rsidR="002A4F62">
          <w:rPr>
            <w:noProof/>
            <w:webHidden/>
          </w:rPr>
          <w:fldChar w:fldCharType="begin"/>
        </w:r>
        <w:r w:rsidR="002A4F62">
          <w:rPr>
            <w:noProof/>
            <w:webHidden/>
          </w:rPr>
          <w:instrText xml:space="preserve"> PAGEREF _Toc119500924 \h </w:instrText>
        </w:r>
        <w:r w:rsidR="002A4F62">
          <w:rPr>
            <w:noProof/>
            <w:webHidden/>
          </w:rPr>
        </w:r>
        <w:r w:rsidR="002A4F62">
          <w:rPr>
            <w:noProof/>
            <w:webHidden/>
          </w:rPr>
          <w:fldChar w:fldCharType="separate"/>
        </w:r>
        <w:r w:rsidR="002A4F62">
          <w:rPr>
            <w:noProof/>
            <w:webHidden/>
          </w:rPr>
          <w:t>134</w:t>
        </w:r>
        <w:r w:rsidR="002A4F62">
          <w:rPr>
            <w:noProof/>
            <w:webHidden/>
          </w:rPr>
          <w:fldChar w:fldCharType="end"/>
        </w:r>
      </w:hyperlink>
    </w:p>
    <w:p w14:paraId="58732577" w14:textId="03D8F0ED" w:rsidR="002A4F62" w:rsidRDefault="00D36400">
      <w:pPr>
        <w:pStyle w:val="TOC4"/>
        <w:rPr>
          <w:rFonts w:asciiTheme="minorHAnsi" w:eastAsiaTheme="minorEastAsia" w:hAnsiTheme="minorHAnsi" w:cstheme="minorBidi"/>
          <w:noProof/>
          <w:sz w:val="22"/>
          <w:szCs w:val="22"/>
          <w:lang w:eastAsia="en-AU"/>
        </w:rPr>
      </w:pPr>
      <w:hyperlink w:anchor="_Toc119500925" w:history="1">
        <w:r w:rsidR="002A4F62" w:rsidRPr="00016B0B">
          <w:rPr>
            <w:rStyle w:val="Hyperlink"/>
            <w:noProof/>
          </w:rPr>
          <w:t>Table 2.18 Home renal dialysis targets 2022–23</w:t>
        </w:r>
        <w:r w:rsidR="002A4F62">
          <w:rPr>
            <w:noProof/>
            <w:webHidden/>
          </w:rPr>
          <w:tab/>
        </w:r>
        <w:r w:rsidR="002A4F62">
          <w:rPr>
            <w:noProof/>
            <w:webHidden/>
          </w:rPr>
          <w:fldChar w:fldCharType="begin"/>
        </w:r>
        <w:r w:rsidR="002A4F62">
          <w:rPr>
            <w:noProof/>
            <w:webHidden/>
          </w:rPr>
          <w:instrText xml:space="preserve"> PAGEREF _Toc119500925 \h </w:instrText>
        </w:r>
        <w:r w:rsidR="002A4F62">
          <w:rPr>
            <w:noProof/>
            <w:webHidden/>
          </w:rPr>
        </w:r>
        <w:r w:rsidR="002A4F62">
          <w:rPr>
            <w:noProof/>
            <w:webHidden/>
          </w:rPr>
          <w:fldChar w:fldCharType="separate"/>
        </w:r>
        <w:r w:rsidR="002A4F62">
          <w:rPr>
            <w:noProof/>
            <w:webHidden/>
          </w:rPr>
          <w:t>135</w:t>
        </w:r>
        <w:r w:rsidR="002A4F62">
          <w:rPr>
            <w:noProof/>
            <w:webHidden/>
          </w:rPr>
          <w:fldChar w:fldCharType="end"/>
        </w:r>
      </w:hyperlink>
    </w:p>
    <w:p w14:paraId="54712743" w14:textId="4C08DF0E" w:rsidR="002A4F62" w:rsidRDefault="00D36400">
      <w:pPr>
        <w:pStyle w:val="TOC4"/>
        <w:rPr>
          <w:rFonts w:asciiTheme="minorHAnsi" w:eastAsiaTheme="minorEastAsia" w:hAnsiTheme="minorHAnsi" w:cstheme="minorBidi"/>
          <w:noProof/>
          <w:sz w:val="22"/>
          <w:szCs w:val="22"/>
          <w:lang w:eastAsia="en-AU"/>
        </w:rPr>
      </w:pPr>
      <w:hyperlink w:anchor="_Toc119500926" w:history="1">
        <w:r w:rsidR="002A4F62" w:rsidRPr="00016B0B">
          <w:rPr>
            <w:rStyle w:val="Hyperlink"/>
            <w:noProof/>
          </w:rPr>
          <w:t>Table 2.19: Nationally Funded Centres Program targets 2022–23</w:t>
        </w:r>
        <w:r w:rsidR="002A4F62">
          <w:rPr>
            <w:noProof/>
            <w:webHidden/>
          </w:rPr>
          <w:tab/>
        </w:r>
        <w:r w:rsidR="002A4F62">
          <w:rPr>
            <w:noProof/>
            <w:webHidden/>
          </w:rPr>
          <w:fldChar w:fldCharType="begin"/>
        </w:r>
        <w:r w:rsidR="002A4F62">
          <w:rPr>
            <w:noProof/>
            <w:webHidden/>
          </w:rPr>
          <w:instrText xml:space="preserve"> PAGEREF _Toc119500926 \h </w:instrText>
        </w:r>
        <w:r w:rsidR="002A4F62">
          <w:rPr>
            <w:noProof/>
            <w:webHidden/>
          </w:rPr>
        </w:r>
        <w:r w:rsidR="002A4F62">
          <w:rPr>
            <w:noProof/>
            <w:webHidden/>
          </w:rPr>
          <w:fldChar w:fldCharType="separate"/>
        </w:r>
        <w:r w:rsidR="002A4F62">
          <w:rPr>
            <w:noProof/>
            <w:webHidden/>
          </w:rPr>
          <w:t>135</w:t>
        </w:r>
        <w:r w:rsidR="002A4F62">
          <w:rPr>
            <w:noProof/>
            <w:webHidden/>
          </w:rPr>
          <w:fldChar w:fldCharType="end"/>
        </w:r>
      </w:hyperlink>
    </w:p>
    <w:p w14:paraId="13FC17CC" w14:textId="28ED16B3" w:rsidR="002A4F62" w:rsidRDefault="00D36400">
      <w:pPr>
        <w:pStyle w:val="TOC4"/>
        <w:rPr>
          <w:rFonts w:asciiTheme="minorHAnsi" w:eastAsiaTheme="minorEastAsia" w:hAnsiTheme="minorHAnsi" w:cstheme="minorBidi"/>
          <w:noProof/>
          <w:sz w:val="22"/>
          <w:szCs w:val="22"/>
          <w:lang w:eastAsia="en-AU"/>
        </w:rPr>
      </w:pPr>
      <w:hyperlink w:anchor="_Toc119500927" w:history="1">
        <w:r w:rsidR="002A4F62" w:rsidRPr="00016B0B">
          <w:rPr>
            <w:rStyle w:val="Hyperlink"/>
            <w:noProof/>
          </w:rPr>
          <w:t>Table 2.20: Mental health acute available beds 2022–23</w:t>
        </w:r>
        <w:r w:rsidR="002A4F62">
          <w:rPr>
            <w:noProof/>
            <w:webHidden/>
          </w:rPr>
          <w:tab/>
        </w:r>
        <w:r w:rsidR="002A4F62">
          <w:rPr>
            <w:noProof/>
            <w:webHidden/>
          </w:rPr>
          <w:fldChar w:fldCharType="begin"/>
        </w:r>
        <w:r w:rsidR="002A4F62">
          <w:rPr>
            <w:noProof/>
            <w:webHidden/>
          </w:rPr>
          <w:instrText xml:space="preserve"> PAGEREF _Toc119500927 \h </w:instrText>
        </w:r>
        <w:r w:rsidR="002A4F62">
          <w:rPr>
            <w:noProof/>
            <w:webHidden/>
          </w:rPr>
        </w:r>
        <w:r w:rsidR="002A4F62">
          <w:rPr>
            <w:noProof/>
            <w:webHidden/>
          </w:rPr>
          <w:fldChar w:fldCharType="separate"/>
        </w:r>
        <w:r w:rsidR="002A4F62">
          <w:rPr>
            <w:noProof/>
            <w:webHidden/>
          </w:rPr>
          <w:t>136</w:t>
        </w:r>
        <w:r w:rsidR="002A4F62">
          <w:rPr>
            <w:noProof/>
            <w:webHidden/>
          </w:rPr>
          <w:fldChar w:fldCharType="end"/>
        </w:r>
      </w:hyperlink>
    </w:p>
    <w:p w14:paraId="4929BA83" w14:textId="762AA255" w:rsidR="002A4F62" w:rsidRDefault="00D36400">
      <w:pPr>
        <w:pStyle w:val="TOC4"/>
        <w:rPr>
          <w:rFonts w:asciiTheme="minorHAnsi" w:eastAsiaTheme="minorEastAsia" w:hAnsiTheme="minorHAnsi" w:cstheme="minorBidi"/>
          <w:noProof/>
          <w:sz w:val="22"/>
          <w:szCs w:val="22"/>
          <w:lang w:eastAsia="en-AU"/>
        </w:rPr>
      </w:pPr>
      <w:hyperlink w:anchor="_Toc119500928" w:history="1">
        <w:r w:rsidR="002A4F62" w:rsidRPr="00016B0B">
          <w:rPr>
            <w:rStyle w:val="Hyperlink"/>
            <w:rFonts w:eastAsia="Times"/>
            <w:noProof/>
          </w:rPr>
          <w:t>Subregional and rural</w:t>
        </w:r>
        <w:r w:rsidR="002A4F62">
          <w:rPr>
            <w:noProof/>
            <w:webHidden/>
          </w:rPr>
          <w:tab/>
        </w:r>
        <w:r w:rsidR="002A4F62">
          <w:rPr>
            <w:noProof/>
            <w:webHidden/>
          </w:rPr>
          <w:fldChar w:fldCharType="begin"/>
        </w:r>
        <w:r w:rsidR="002A4F62">
          <w:rPr>
            <w:noProof/>
            <w:webHidden/>
          </w:rPr>
          <w:instrText xml:space="preserve"> PAGEREF _Toc119500928 \h </w:instrText>
        </w:r>
        <w:r w:rsidR="002A4F62">
          <w:rPr>
            <w:noProof/>
            <w:webHidden/>
          </w:rPr>
        </w:r>
        <w:r w:rsidR="002A4F62">
          <w:rPr>
            <w:noProof/>
            <w:webHidden/>
          </w:rPr>
          <w:fldChar w:fldCharType="separate"/>
        </w:r>
        <w:r w:rsidR="002A4F62">
          <w:rPr>
            <w:noProof/>
            <w:webHidden/>
          </w:rPr>
          <w:t>137</w:t>
        </w:r>
        <w:r w:rsidR="002A4F62">
          <w:rPr>
            <w:noProof/>
            <w:webHidden/>
          </w:rPr>
          <w:fldChar w:fldCharType="end"/>
        </w:r>
      </w:hyperlink>
    </w:p>
    <w:p w14:paraId="60E4FF6A" w14:textId="553D7187" w:rsidR="002A4F62" w:rsidRDefault="00D36400">
      <w:pPr>
        <w:pStyle w:val="TOC4"/>
        <w:rPr>
          <w:rFonts w:asciiTheme="minorHAnsi" w:eastAsiaTheme="minorEastAsia" w:hAnsiTheme="minorHAnsi" w:cstheme="minorBidi"/>
          <w:noProof/>
          <w:sz w:val="22"/>
          <w:szCs w:val="22"/>
          <w:lang w:eastAsia="en-AU"/>
        </w:rPr>
      </w:pPr>
      <w:hyperlink w:anchor="_Toc119500929" w:history="1">
        <w:r w:rsidR="002A4F62" w:rsidRPr="00016B0B">
          <w:rPr>
            <w:rStyle w:val="Hyperlink"/>
            <w:noProof/>
          </w:rPr>
          <w:t>Table 2.21: Mental health non-acute, subacute and residential available beds 2022–23</w:t>
        </w:r>
        <w:r w:rsidR="002A4F62">
          <w:rPr>
            <w:noProof/>
            <w:webHidden/>
          </w:rPr>
          <w:tab/>
        </w:r>
        <w:r w:rsidR="002A4F62">
          <w:rPr>
            <w:noProof/>
            <w:webHidden/>
          </w:rPr>
          <w:fldChar w:fldCharType="begin"/>
        </w:r>
        <w:r w:rsidR="002A4F62">
          <w:rPr>
            <w:noProof/>
            <w:webHidden/>
          </w:rPr>
          <w:instrText xml:space="preserve"> PAGEREF _Toc119500929 \h </w:instrText>
        </w:r>
        <w:r w:rsidR="002A4F62">
          <w:rPr>
            <w:noProof/>
            <w:webHidden/>
          </w:rPr>
        </w:r>
        <w:r w:rsidR="002A4F62">
          <w:rPr>
            <w:noProof/>
            <w:webHidden/>
          </w:rPr>
          <w:fldChar w:fldCharType="separate"/>
        </w:r>
        <w:r w:rsidR="002A4F62">
          <w:rPr>
            <w:noProof/>
            <w:webHidden/>
          </w:rPr>
          <w:t>137</w:t>
        </w:r>
        <w:r w:rsidR="002A4F62">
          <w:rPr>
            <w:noProof/>
            <w:webHidden/>
          </w:rPr>
          <w:fldChar w:fldCharType="end"/>
        </w:r>
      </w:hyperlink>
    </w:p>
    <w:p w14:paraId="4C277ED1" w14:textId="0D6E59B6" w:rsidR="002A4F62" w:rsidRDefault="00D36400">
      <w:pPr>
        <w:pStyle w:val="TOC4"/>
        <w:rPr>
          <w:rFonts w:asciiTheme="minorHAnsi" w:eastAsiaTheme="minorEastAsia" w:hAnsiTheme="minorHAnsi" w:cstheme="minorBidi"/>
          <w:noProof/>
          <w:sz w:val="22"/>
          <w:szCs w:val="22"/>
          <w:lang w:eastAsia="en-AU"/>
        </w:rPr>
      </w:pPr>
      <w:hyperlink w:anchor="_Toc119500930" w:history="1">
        <w:r w:rsidR="002A4F62" w:rsidRPr="00016B0B">
          <w:rPr>
            <w:rStyle w:val="Hyperlink"/>
            <w:noProof/>
          </w:rPr>
          <w:t>Table 2.22: Mental health total acute, non-acute, subacute and residential available beds and available bed days 2022–23</w:t>
        </w:r>
        <w:r w:rsidR="002A4F62">
          <w:rPr>
            <w:noProof/>
            <w:webHidden/>
          </w:rPr>
          <w:tab/>
        </w:r>
        <w:r w:rsidR="002A4F62">
          <w:rPr>
            <w:noProof/>
            <w:webHidden/>
          </w:rPr>
          <w:fldChar w:fldCharType="begin"/>
        </w:r>
        <w:r w:rsidR="002A4F62">
          <w:rPr>
            <w:noProof/>
            <w:webHidden/>
          </w:rPr>
          <w:instrText xml:space="preserve"> PAGEREF _Toc119500930 \h </w:instrText>
        </w:r>
        <w:r w:rsidR="002A4F62">
          <w:rPr>
            <w:noProof/>
            <w:webHidden/>
          </w:rPr>
        </w:r>
        <w:r w:rsidR="002A4F62">
          <w:rPr>
            <w:noProof/>
            <w:webHidden/>
          </w:rPr>
          <w:fldChar w:fldCharType="separate"/>
        </w:r>
        <w:r w:rsidR="002A4F62">
          <w:rPr>
            <w:noProof/>
            <w:webHidden/>
          </w:rPr>
          <w:t>139</w:t>
        </w:r>
        <w:r w:rsidR="002A4F62">
          <w:rPr>
            <w:noProof/>
            <w:webHidden/>
          </w:rPr>
          <w:fldChar w:fldCharType="end"/>
        </w:r>
      </w:hyperlink>
    </w:p>
    <w:p w14:paraId="2238F4B0" w14:textId="7901DD1E" w:rsidR="002A4F62" w:rsidRDefault="00D36400">
      <w:pPr>
        <w:pStyle w:val="TOC4"/>
        <w:rPr>
          <w:rFonts w:asciiTheme="minorHAnsi" w:eastAsiaTheme="minorEastAsia" w:hAnsiTheme="minorHAnsi" w:cstheme="minorBidi"/>
          <w:noProof/>
          <w:sz w:val="22"/>
          <w:szCs w:val="22"/>
          <w:lang w:eastAsia="en-AU"/>
        </w:rPr>
      </w:pPr>
      <w:hyperlink w:anchor="_Toc119500931" w:history="1">
        <w:r w:rsidR="002A4F62" w:rsidRPr="00016B0B">
          <w:rPr>
            <w:rStyle w:val="Hyperlink"/>
            <w:noProof/>
          </w:rPr>
          <w:t>Table 2.23: Mental health acute, non-acute, subacute and residential service hour targets 2022–23</w:t>
        </w:r>
        <w:r w:rsidR="002A4F62">
          <w:rPr>
            <w:noProof/>
            <w:webHidden/>
          </w:rPr>
          <w:tab/>
        </w:r>
        <w:r w:rsidR="002A4F62">
          <w:rPr>
            <w:noProof/>
            <w:webHidden/>
          </w:rPr>
          <w:fldChar w:fldCharType="begin"/>
        </w:r>
        <w:r w:rsidR="002A4F62">
          <w:rPr>
            <w:noProof/>
            <w:webHidden/>
          </w:rPr>
          <w:instrText xml:space="preserve"> PAGEREF _Toc119500931 \h </w:instrText>
        </w:r>
        <w:r w:rsidR="002A4F62">
          <w:rPr>
            <w:noProof/>
            <w:webHidden/>
          </w:rPr>
        </w:r>
        <w:r w:rsidR="002A4F62">
          <w:rPr>
            <w:noProof/>
            <w:webHidden/>
          </w:rPr>
          <w:fldChar w:fldCharType="separate"/>
        </w:r>
        <w:r w:rsidR="002A4F62">
          <w:rPr>
            <w:noProof/>
            <w:webHidden/>
          </w:rPr>
          <w:t>141</w:t>
        </w:r>
        <w:r w:rsidR="002A4F62">
          <w:rPr>
            <w:noProof/>
            <w:webHidden/>
          </w:rPr>
          <w:fldChar w:fldCharType="end"/>
        </w:r>
      </w:hyperlink>
    </w:p>
    <w:p w14:paraId="7E0FD8D4" w14:textId="46E34595" w:rsidR="002A4F62" w:rsidRDefault="00D36400">
      <w:pPr>
        <w:pStyle w:val="TOC4"/>
        <w:rPr>
          <w:rFonts w:asciiTheme="minorHAnsi" w:eastAsiaTheme="minorEastAsia" w:hAnsiTheme="minorHAnsi" w:cstheme="minorBidi"/>
          <w:noProof/>
          <w:sz w:val="22"/>
          <w:szCs w:val="22"/>
          <w:lang w:eastAsia="en-AU"/>
        </w:rPr>
      </w:pPr>
      <w:hyperlink w:anchor="_Toc119500932" w:history="1">
        <w:r w:rsidR="002A4F62" w:rsidRPr="00016B0B">
          <w:rPr>
            <w:rStyle w:val="Hyperlink"/>
            <w:noProof/>
          </w:rPr>
          <w:t>Table 2.24: Alcohol and other drugs output targets 2022–23</w:t>
        </w:r>
        <w:r w:rsidR="002A4F62">
          <w:rPr>
            <w:noProof/>
            <w:webHidden/>
          </w:rPr>
          <w:tab/>
        </w:r>
        <w:r w:rsidR="002A4F62">
          <w:rPr>
            <w:noProof/>
            <w:webHidden/>
          </w:rPr>
          <w:fldChar w:fldCharType="begin"/>
        </w:r>
        <w:r w:rsidR="002A4F62">
          <w:rPr>
            <w:noProof/>
            <w:webHidden/>
          </w:rPr>
          <w:instrText xml:space="preserve"> PAGEREF _Toc119500932 \h </w:instrText>
        </w:r>
        <w:r w:rsidR="002A4F62">
          <w:rPr>
            <w:noProof/>
            <w:webHidden/>
          </w:rPr>
        </w:r>
        <w:r w:rsidR="002A4F62">
          <w:rPr>
            <w:noProof/>
            <w:webHidden/>
          </w:rPr>
          <w:fldChar w:fldCharType="separate"/>
        </w:r>
        <w:r w:rsidR="002A4F62">
          <w:rPr>
            <w:noProof/>
            <w:webHidden/>
          </w:rPr>
          <w:t>142</w:t>
        </w:r>
        <w:r w:rsidR="002A4F62">
          <w:rPr>
            <w:noProof/>
            <w:webHidden/>
          </w:rPr>
          <w:fldChar w:fldCharType="end"/>
        </w:r>
      </w:hyperlink>
    </w:p>
    <w:p w14:paraId="734C8455" w14:textId="40FE3580" w:rsidR="00283607" w:rsidRDefault="000B27B9" w:rsidP="00F02E93">
      <w:pPr>
        <w:pStyle w:val="Body"/>
        <w:tabs>
          <w:tab w:val="right" w:leader="dot" w:pos="9214"/>
        </w:tabs>
        <w:ind w:left="851" w:right="509" w:hanging="851"/>
        <w:rPr>
          <w:sz w:val="18"/>
          <w:szCs w:val="18"/>
        </w:rPr>
        <w:sectPr w:rsidR="00283607" w:rsidSect="00AE5B04">
          <w:headerReference w:type="even" r:id="rId102"/>
          <w:headerReference w:type="default" r:id="rId103"/>
          <w:footerReference w:type="even" r:id="rId104"/>
          <w:footerReference w:type="default" r:id="rId105"/>
          <w:pgSz w:w="11906" w:h="16838" w:code="9"/>
          <w:pgMar w:top="1418" w:right="1304" w:bottom="1134" w:left="1304" w:header="680" w:footer="567" w:gutter="0"/>
          <w:cols w:space="340"/>
          <w:docGrid w:linePitch="360"/>
        </w:sectPr>
      </w:pPr>
      <w:r w:rsidRPr="00F02E93">
        <w:rPr>
          <w:sz w:val="18"/>
          <w:szCs w:val="18"/>
        </w:rPr>
        <w:fldChar w:fldCharType="end"/>
      </w:r>
      <w:bookmarkStart w:id="1408" w:name="_Toc12780681"/>
      <w:bookmarkStart w:id="1409" w:name="_Toc14172322"/>
      <w:bookmarkStart w:id="1410" w:name="_Toc55381184"/>
      <w:bookmarkStart w:id="1411" w:name="_Toc100263388"/>
    </w:p>
    <w:p w14:paraId="5D437A30" w14:textId="5A027C60" w:rsidR="000B27B9" w:rsidRDefault="000B27B9" w:rsidP="00AD357B">
      <w:pPr>
        <w:pStyle w:val="Heading1"/>
        <w:numPr>
          <w:ilvl w:val="0"/>
          <w:numId w:val="0"/>
        </w:numPr>
      </w:pPr>
      <w:bookmarkStart w:id="1412" w:name="_Toc127192037"/>
      <w:r w:rsidRPr="008302DD">
        <w:t xml:space="preserve">Acronyms and </w:t>
      </w:r>
      <w:r w:rsidR="00331D5D">
        <w:t>A</w:t>
      </w:r>
      <w:r w:rsidRPr="008302DD">
        <w:t>bbreviations</w:t>
      </w:r>
      <w:bookmarkEnd w:id="1408"/>
      <w:bookmarkEnd w:id="1409"/>
      <w:bookmarkEnd w:id="1410"/>
      <w:bookmarkEnd w:id="1411"/>
      <w:bookmarkEnd w:id="1412"/>
    </w:p>
    <w:p w14:paraId="00B36A18" w14:textId="77777777" w:rsidR="000B27B9" w:rsidRPr="002E3429" w:rsidRDefault="000B27B9" w:rsidP="0064265C">
      <w:pPr>
        <w:pStyle w:val="Acronym"/>
      </w:pPr>
      <w:r w:rsidRPr="002E3429">
        <w:t>ABO</w:t>
      </w:r>
      <w:r>
        <w:tab/>
        <w:t>b</w:t>
      </w:r>
      <w:r w:rsidRPr="002E3429">
        <w:t>lood group system</w:t>
      </w:r>
    </w:p>
    <w:p w14:paraId="7DF9C859" w14:textId="77777777" w:rsidR="000B27B9" w:rsidRPr="002E3429" w:rsidRDefault="000B27B9" w:rsidP="0064265C">
      <w:pPr>
        <w:pStyle w:val="Acronym"/>
      </w:pPr>
      <w:r w:rsidRPr="002E3429">
        <w:t>ACCO</w:t>
      </w:r>
      <w:r>
        <w:tab/>
      </w:r>
      <w:r w:rsidRPr="002E3429">
        <w:t>Aboriginal community-controlled organisations</w:t>
      </w:r>
    </w:p>
    <w:p w14:paraId="7287EFEC" w14:textId="77777777" w:rsidR="000B27B9" w:rsidRPr="002E3429" w:rsidRDefault="000B27B9" w:rsidP="0064265C">
      <w:pPr>
        <w:pStyle w:val="Acronym"/>
      </w:pPr>
      <w:r w:rsidRPr="002E3429">
        <w:t>ACHI</w:t>
      </w:r>
      <w:r>
        <w:tab/>
      </w:r>
      <w:r w:rsidRPr="002E3429">
        <w:t>Australian Classification of Health Interventions</w:t>
      </w:r>
    </w:p>
    <w:p w14:paraId="640C2432" w14:textId="77777777" w:rsidR="000B27B9" w:rsidRPr="002E3429" w:rsidRDefault="000B27B9" w:rsidP="0064265C">
      <w:pPr>
        <w:pStyle w:val="Acronym"/>
      </w:pPr>
      <w:r w:rsidRPr="002E3429">
        <w:t>ACS</w:t>
      </w:r>
      <w:r>
        <w:tab/>
      </w:r>
      <w:r w:rsidRPr="002E3429">
        <w:t>Australian Coding Standard</w:t>
      </w:r>
    </w:p>
    <w:p w14:paraId="7CFDE520" w14:textId="3D7F88D8" w:rsidR="00963907" w:rsidRDefault="00963907" w:rsidP="0064265C">
      <w:pPr>
        <w:pStyle w:val="Acronym"/>
      </w:pPr>
      <w:r>
        <w:t>AECC</w:t>
      </w:r>
      <w:r>
        <w:tab/>
      </w:r>
      <w:r w:rsidR="00EB7FF5">
        <w:t>Australian Emergency Care Classification</w:t>
      </w:r>
    </w:p>
    <w:p w14:paraId="40D58EEC" w14:textId="246CCCEA" w:rsidR="000B27B9" w:rsidRPr="002E3429" w:rsidRDefault="000B27B9" w:rsidP="0064265C">
      <w:pPr>
        <w:pStyle w:val="Acronym"/>
      </w:pPr>
      <w:r w:rsidRPr="002E3429">
        <w:t>AIDS</w:t>
      </w:r>
      <w:r>
        <w:tab/>
        <w:t>a</w:t>
      </w:r>
      <w:r w:rsidRPr="002E3429">
        <w:t>cquired immune deficiency syndrome</w:t>
      </w:r>
    </w:p>
    <w:p w14:paraId="5BD8B7C5" w14:textId="77777777" w:rsidR="000B27B9" w:rsidRPr="002E3429" w:rsidRDefault="000B27B9" w:rsidP="0064265C">
      <w:pPr>
        <w:pStyle w:val="Acronym"/>
      </w:pPr>
      <w:r w:rsidRPr="002E3429">
        <w:t>AIMS</w:t>
      </w:r>
      <w:r>
        <w:tab/>
      </w:r>
      <w:r w:rsidRPr="002E3429">
        <w:t>Agency Information Management System</w:t>
      </w:r>
    </w:p>
    <w:p w14:paraId="240ED7B6" w14:textId="77777777" w:rsidR="000B27B9" w:rsidRPr="002E3429" w:rsidRDefault="000B27B9" w:rsidP="0064265C">
      <w:pPr>
        <w:pStyle w:val="Acronym"/>
      </w:pPr>
      <w:r w:rsidRPr="002E3429">
        <w:t>ALOS</w:t>
      </w:r>
      <w:r>
        <w:tab/>
        <w:t>a</w:t>
      </w:r>
      <w:r w:rsidRPr="002E3429">
        <w:t>verage length of stay</w:t>
      </w:r>
    </w:p>
    <w:p w14:paraId="68761E1B" w14:textId="77777777" w:rsidR="000B27B9" w:rsidRPr="002E3429" w:rsidRDefault="000B27B9" w:rsidP="0064265C">
      <w:pPr>
        <w:pStyle w:val="Acronym"/>
      </w:pPr>
      <w:r w:rsidRPr="002E3429">
        <w:t>AN-SNAP</w:t>
      </w:r>
      <w:r w:rsidRPr="002E3429">
        <w:tab/>
        <w:t>Australian National Subacute and Non-Acute Patient</w:t>
      </w:r>
    </w:p>
    <w:p w14:paraId="166DEC78" w14:textId="77777777" w:rsidR="000B27B9" w:rsidRPr="002E3429" w:rsidRDefault="000B27B9" w:rsidP="0064265C">
      <w:pPr>
        <w:pStyle w:val="Acronym"/>
      </w:pPr>
      <w:r w:rsidRPr="002E3429">
        <w:t>AOD</w:t>
      </w:r>
      <w:r>
        <w:tab/>
        <w:t>a</w:t>
      </w:r>
      <w:r w:rsidRPr="002E3429">
        <w:t>lcohol and other drugs</w:t>
      </w:r>
    </w:p>
    <w:p w14:paraId="12157856" w14:textId="5EEF6546" w:rsidR="000B27B9" w:rsidRPr="002E3429" w:rsidRDefault="000B27B9" w:rsidP="0064265C">
      <w:pPr>
        <w:pStyle w:val="Acronym"/>
      </w:pPr>
      <w:r w:rsidRPr="002E3429">
        <w:t>AR-DRG</w:t>
      </w:r>
      <w:r w:rsidRPr="002E3429">
        <w:tab/>
        <w:t>Australian Refined Diagnosis</w:t>
      </w:r>
      <w:r w:rsidR="00240DAF">
        <w:t>-</w:t>
      </w:r>
      <w:r w:rsidRPr="002E3429">
        <w:t>Related Groups</w:t>
      </w:r>
    </w:p>
    <w:p w14:paraId="5CB62C52" w14:textId="77777777" w:rsidR="000B27B9" w:rsidRPr="002E3429" w:rsidRDefault="000B27B9" w:rsidP="0064265C">
      <w:pPr>
        <w:pStyle w:val="Acronym"/>
      </w:pPr>
      <w:r w:rsidRPr="002E3429">
        <w:t>ASD</w:t>
      </w:r>
      <w:r>
        <w:tab/>
        <w:t>a</w:t>
      </w:r>
      <w:r w:rsidRPr="002E3429">
        <w:t>trial septal defect</w:t>
      </w:r>
    </w:p>
    <w:p w14:paraId="53CF1EA7" w14:textId="210D1D1A" w:rsidR="000B27B9" w:rsidRPr="002E3429" w:rsidRDefault="000B27B9" w:rsidP="0064265C">
      <w:pPr>
        <w:pStyle w:val="Acronym"/>
      </w:pPr>
      <w:r w:rsidRPr="002E3429">
        <w:t xml:space="preserve">CCU </w:t>
      </w:r>
      <w:r>
        <w:tab/>
      </w:r>
      <w:r w:rsidR="00DA22EA" w:rsidRPr="002E3429">
        <w:t>critical care unit</w:t>
      </w:r>
    </w:p>
    <w:p w14:paraId="4BD7D6D7" w14:textId="77777777" w:rsidR="000B27B9" w:rsidRPr="002E3429" w:rsidRDefault="000B27B9" w:rsidP="0064265C">
      <w:pPr>
        <w:pStyle w:val="Acronym"/>
      </w:pPr>
      <w:r w:rsidRPr="002E3429">
        <w:t>CORE</w:t>
      </w:r>
      <w:r>
        <w:tab/>
      </w:r>
      <w:r w:rsidRPr="002E3429">
        <w:t>Centre for Outcome and Resource Evaluation</w:t>
      </w:r>
    </w:p>
    <w:p w14:paraId="3259DEB5" w14:textId="2D1CF9A8" w:rsidR="000B27B9" w:rsidRPr="002E3429" w:rsidRDefault="000B27B9" w:rsidP="0064265C">
      <w:pPr>
        <w:pStyle w:val="Acronym"/>
      </w:pPr>
      <w:r w:rsidRPr="002E3429">
        <w:t xml:space="preserve">CSO </w:t>
      </w:r>
      <w:r>
        <w:tab/>
      </w:r>
      <w:r w:rsidR="00DA22EA">
        <w:t>c</w:t>
      </w:r>
      <w:r w:rsidR="00DA22EA" w:rsidRPr="002E3429">
        <w:t>ommunity service organisation</w:t>
      </w:r>
    </w:p>
    <w:p w14:paraId="3CC18F1C" w14:textId="77777777" w:rsidR="000B27B9" w:rsidRPr="002E3429" w:rsidRDefault="000B27B9" w:rsidP="0064265C">
      <w:pPr>
        <w:pStyle w:val="Acronym"/>
      </w:pPr>
      <w:r w:rsidRPr="002E3429">
        <w:t xml:space="preserve">DRG </w:t>
      </w:r>
      <w:r>
        <w:tab/>
      </w:r>
      <w:r w:rsidRPr="002E3429">
        <w:t>diagnosis-related group</w:t>
      </w:r>
    </w:p>
    <w:p w14:paraId="689BF857" w14:textId="77777777" w:rsidR="000B27B9" w:rsidRPr="002E3429" w:rsidRDefault="000B27B9" w:rsidP="0064265C">
      <w:pPr>
        <w:pStyle w:val="Acronym"/>
      </w:pPr>
      <w:r w:rsidRPr="002E3429">
        <w:t>EBA</w:t>
      </w:r>
      <w:r>
        <w:tab/>
      </w:r>
      <w:r w:rsidRPr="002E3429">
        <w:t>enterprise bargaining agreements</w:t>
      </w:r>
    </w:p>
    <w:p w14:paraId="42931346" w14:textId="77777777" w:rsidR="000B27B9" w:rsidRPr="002E3429" w:rsidRDefault="000B27B9" w:rsidP="0064265C">
      <w:pPr>
        <w:pStyle w:val="Acronym"/>
      </w:pPr>
      <w:r w:rsidRPr="002E3429">
        <w:t>ECT</w:t>
      </w:r>
      <w:r>
        <w:tab/>
      </w:r>
      <w:r w:rsidRPr="002E3429">
        <w:t>electroconvulsive treatment</w:t>
      </w:r>
    </w:p>
    <w:p w14:paraId="1F572CF6" w14:textId="77777777" w:rsidR="000B27B9" w:rsidRPr="002E3429" w:rsidRDefault="000B27B9" w:rsidP="0064265C">
      <w:pPr>
        <w:pStyle w:val="Acronym"/>
      </w:pPr>
      <w:r w:rsidRPr="002E3429">
        <w:t>ED</w:t>
      </w:r>
      <w:r>
        <w:tab/>
      </w:r>
      <w:r w:rsidRPr="002E3429">
        <w:t>emergency department</w:t>
      </w:r>
    </w:p>
    <w:p w14:paraId="6E64AC9C" w14:textId="4BA26551" w:rsidR="000B27B9" w:rsidRDefault="000B27B9" w:rsidP="0064265C">
      <w:pPr>
        <w:pStyle w:val="Acronym"/>
      </w:pPr>
      <w:r w:rsidRPr="002E3429">
        <w:t>F1</w:t>
      </w:r>
      <w:r>
        <w:tab/>
      </w:r>
      <w:r w:rsidR="00DA22EA" w:rsidRPr="002E3429">
        <w:t>financial data</w:t>
      </w:r>
    </w:p>
    <w:p w14:paraId="273ED54F" w14:textId="77777777" w:rsidR="000B27B9" w:rsidRDefault="000B27B9" w:rsidP="0064265C">
      <w:pPr>
        <w:pStyle w:val="Acronym"/>
      </w:pPr>
      <w:r>
        <w:t>FCP</w:t>
      </w:r>
      <w:r>
        <w:tab/>
        <w:t>Family Choice Program</w:t>
      </w:r>
    </w:p>
    <w:p w14:paraId="3089FC43" w14:textId="77777777" w:rsidR="000B27B9" w:rsidRPr="002E3429" w:rsidRDefault="000B27B9" w:rsidP="0064265C">
      <w:pPr>
        <w:pStyle w:val="Acronym"/>
      </w:pPr>
      <w:r w:rsidRPr="002E3429">
        <w:t>FIM</w:t>
      </w:r>
      <w:r w:rsidRPr="002E3429">
        <w:rPr>
          <w:lang w:eastAsia="en-AU"/>
        </w:rPr>
        <w:t>™</w:t>
      </w:r>
      <w:r>
        <w:tab/>
      </w:r>
      <w:r w:rsidRPr="002E3429">
        <w:t>Functional Independence Measure</w:t>
      </w:r>
    </w:p>
    <w:p w14:paraId="389F5189" w14:textId="77777777" w:rsidR="000B27B9" w:rsidRPr="002E3429" w:rsidRDefault="000B27B9" w:rsidP="0064265C">
      <w:pPr>
        <w:pStyle w:val="Acronym"/>
      </w:pPr>
      <w:r w:rsidRPr="002E3429">
        <w:t>GEM</w:t>
      </w:r>
      <w:r>
        <w:tab/>
      </w:r>
      <w:r w:rsidRPr="002E3429">
        <w:t>geriatric evaluation and management</w:t>
      </w:r>
    </w:p>
    <w:p w14:paraId="5307BB47" w14:textId="77777777" w:rsidR="000B27B9" w:rsidRDefault="000B27B9" w:rsidP="0064265C">
      <w:pPr>
        <w:pStyle w:val="Acronym"/>
      </w:pPr>
      <w:r w:rsidRPr="002E3429">
        <w:t>HACC</w:t>
      </w:r>
      <w:r>
        <w:tab/>
      </w:r>
      <w:r w:rsidRPr="002E3429">
        <w:t>Home and Community Care</w:t>
      </w:r>
    </w:p>
    <w:p w14:paraId="6AA869B5" w14:textId="77777777" w:rsidR="000B27B9" w:rsidRDefault="000B27B9" w:rsidP="0064265C">
      <w:pPr>
        <w:pStyle w:val="Acronym"/>
      </w:pPr>
      <w:r>
        <w:t xml:space="preserve">HACC-PYP </w:t>
      </w:r>
      <w:r>
        <w:tab/>
        <w:t>Home and Community Care Program Younger People</w:t>
      </w:r>
    </w:p>
    <w:p w14:paraId="59EC3991" w14:textId="3015B29D" w:rsidR="000B27B9" w:rsidRDefault="000B27B9" w:rsidP="0064265C">
      <w:pPr>
        <w:pStyle w:val="Acronym"/>
      </w:pPr>
      <w:r>
        <w:t>HARP</w:t>
      </w:r>
      <w:r>
        <w:tab/>
        <w:t xml:space="preserve">Hospital </w:t>
      </w:r>
      <w:r w:rsidR="00DA22EA">
        <w:t>Admission Risk Program</w:t>
      </w:r>
    </w:p>
    <w:p w14:paraId="56695055" w14:textId="4B71F0E0" w:rsidR="000B27B9" w:rsidRDefault="000B27B9" w:rsidP="0064265C">
      <w:pPr>
        <w:pStyle w:val="Acronym"/>
      </w:pPr>
      <w:r>
        <w:t>HBPCCT</w:t>
      </w:r>
      <w:r>
        <w:tab/>
      </w:r>
      <w:r w:rsidR="00DA22EA">
        <w:t>hospital-</w:t>
      </w:r>
      <w:r>
        <w:t>based palliative care consultancy team</w:t>
      </w:r>
    </w:p>
    <w:p w14:paraId="213BB2DC" w14:textId="6D3291EC" w:rsidR="000B27B9" w:rsidRPr="002E3429" w:rsidRDefault="000B27B9" w:rsidP="0064265C">
      <w:pPr>
        <w:pStyle w:val="Acronym"/>
      </w:pPr>
      <w:r w:rsidRPr="002E3429">
        <w:t>HEN</w:t>
      </w:r>
      <w:r>
        <w:tab/>
      </w:r>
      <w:r w:rsidR="00DA22EA" w:rsidRPr="002E3429">
        <w:t>home enteral nutrition</w:t>
      </w:r>
    </w:p>
    <w:p w14:paraId="0A495D92" w14:textId="77777777" w:rsidR="000B27B9" w:rsidRPr="002E3429" w:rsidRDefault="000B27B9" w:rsidP="0064265C">
      <w:pPr>
        <w:pStyle w:val="Acronym"/>
      </w:pPr>
      <w:r w:rsidRPr="002E3429">
        <w:t>HITH</w:t>
      </w:r>
      <w:r>
        <w:tab/>
      </w:r>
      <w:r w:rsidRPr="002E3429">
        <w:t>Hospital in the Home</w:t>
      </w:r>
    </w:p>
    <w:p w14:paraId="3B974DA1" w14:textId="77777777" w:rsidR="000B27B9" w:rsidRPr="002E3429" w:rsidRDefault="000B27B9" w:rsidP="0064265C">
      <w:pPr>
        <w:pStyle w:val="Acronym"/>
      </w:pPr>
      <w:r w:rsidRPr="002E3429">
        <w:t>HIV</w:t>
      </w:r>
      <w:r>
        <w:tab/>
      </w:r>
      <w:r w:rsidRPr="002E3429">
        <w:t>human immunodeficiency virus</w:t>
      </w:r>
    </w:p>
    <w:p w14:paraId="3689FE0B" w14:textId="77777777" w:rsidR="000B27B9" w:rsidRPr="002E3429" w:rsidRDefault="000B27B9" w:rsidP="0064265C">
      <w:pPr>
        <w:pStyle w:val="Acronym"/>
      </w:pPr>
      <w:r w:rsidRPr="00D07AFA">
        <w:t>ICT</w:t>
      </w:r>
      <w:r>
        <w:tab/>
      </w:r>
      <w:r w:rsidRPr="00D07AFA">
        <w:t>information communication technology</w:t>
      </w:r>
    </w:p>
    <w:p w14:paraId="66E3BCB1" w14:textId="77777777" w:rsidR="000B27B9" w:rsidRPr="002E3429" w:rsidRDefault="000B27B9" w:rsidP="0064265C">
      <w:pPr>
        <w:pStyle w:val="Acronym"/>
      </w:pPr>
      <w:r w:rsidRPr="002E3429">
        <w:t>ICU</w:t>
      </w:r>
      <w:r>
        <w:tab/>
      </w:r>
      <w:r w:rsidRPr="002E3429">
        <w:t>intensive care unit</w:t>
      </w:r>
    </w:p>
    <w:p w14:paraId="49CAC431" w14:textId="3599658C" w:rsidR="000B27B9" w:rsidRPr="002E3429" w:rsidRDefault="000B27B9" w:rsidP="0064265C">
      <w:pPr>
        <w:pStyle w:val="Acronym"/>
      </w:pPr>
      <w:r w:rsidRPr="002E3429">
        <w:t>IH</w:t>
      </w:r>
      <w:r w:rsidR="006548D4">
        <w:t>AC</w:t>
      </w:r>
      <w:r w:rsidRPr="002E3429">
        <w:t>PA</w:t>
      </w:r>
      <w:r>
        <w:tab/>
      </w:r>
      <w:r w:rsidRPr="002E3429">
        <w:t>Independent H</w:t>
      </w:r>
      <w:r w:rsidR="00A913CA">
        <w:t>ealth</w:t>
      </w:r>
      <w:r w:rsidR="006548D4">
        <w:t xml:space="preserve"> and Aged Care</w:t>
      </w:r>
      <w:r w:rsidRPr="002E3429">
        <w:t xml:space="preserve"> Pricing Authority</w:t>
      </w:r>
    </w:p>
    <w:p w14:paraId="02D5693E" w14:textId="77777777" w:rsidR="000B27B9" w:rsidRPr="002E3429" w:rsidRDefault="000B27B9" w:rsidP="0064265C">
      <w:pPr>
        <w:pStyle w:val="Acronym"/>
      </w:pPr>
      <w:r w:rsidRPr="002E3429">
        <w:t>LOS</w:t>
      </w:r>
      <w:r>
        <w:tab/>
      </w:r>
      <w:r w:rsidRPr="002E3429">
        <w:t>length of stay</w:t>
      </w:r>
    </w:p>
    <w:p w14:paraId="5033100B" w14:textId="77777777" w:rsidR="000B27B9" w:rsidRPr="002E3429" w:rsidRDefault="000B27B9" w:rsidP="0064265C">
      <w:pPr>
        <w:pStyle w:val="Acronym"/>
      </w:pPr>
      <w:r w:rsidRPr="002E3429">
        <w:t>MDS</w:t>
      </w:r>
      <w:r>
        <w:tab/>
      </w:r>
      <w:r w:rsidRPr="002E3429">
        <w:t>Hospital Minimum Payroll and Workforce Employee Dataset</w:t>
      </w:r>
    </w:p>
    <w:p w14:paraId="51FB4965" w14:textId="77777777" w:rsidR="000B27B9" w:rsidRPr="002E3429" w:rsidRDefault="000B27B9" w:rsidP="0064265C">
      <w:pPr>
        <w:pStyle w:val="Acronym"/>
      </w:pPr>
      <w:r w:rsidRPr="002E3429">
        <w:t>MHCSS</w:t>
      </w:r>
      <w:r w:rsidRPr="002E3429">
        <w:tab/>
        <w:t>mental health community support services</w:t>
      </w:r>
    </w:p>
    <w:p w14:paraId="303B788A" w14:textId="4814EEB0" w:rsidR="000B27B9" w:rsidRPr="002E3429" w:rsidRDefault="000B27B9" w:rsidP="0064265C">
      <w:pPr>
        <w:pStyle w:val="Acronym"/>
      </w:pPr>
      <w:r w:rsidRPr="002E3429">
        <w:t>MICA</w:t>
      </w:r>
      <w:r>
        <w:tab/>
      </w:r>
      <w:r w:rsidR="00DA22EA" w:rsidRPr="002E3429">
        <w:t>mobile intensive care ambulance</w:t>
      </w:r>
    </w:p>
    <w:p w14:paraId="617A1B7C" w14:textId="765CEFA1" w:rsidR="002538D5" w:rsidRDefault="002538D5" w:rsidP="0064265C">
      <w:pPr>
        <w:pStyle w:val="Acronym"/>
      </w:pPr>
      <w:r>
        <w:t>NADC</w:t>
      </w:r>
      <w:r>
        <w:tab/>
        <w:t>Non Admitted Data Collection</w:t>
      </w:r>
    </w:p>
    <w:p w14:paraId="748C1F98" w14:textId="0D7F234E" w:rsidR="000B27B9" w:rsidRPr="002E3429" w:rsidRDefault="000B27B9" w:rsidP="0064265C">
      <w:pPr>
        <w:pStyle w:val="Acronym"/>
      </w:pPr>
      <w:r w:rsidRPr="002E3429">
        <w:t>NBCSP</w:t>
      </w:r>
      <w:r>
        <w:tab/>
      </w:r>
      <w:r w:rsidRPr="002E3429">
        <w:t>National Bowel Cancer Screening Program</w:t>
      </w:r>
    </w:p>
    <w:p w14:paraId="3EA505C7" w14:textId="77777777" w:rsidR="000B27B9" w:rsidRPr="002E3429" w:rsidRDefault="000B27B9" w:rsidP="0064265C">
      <w:pPr>
        <w:pStyle w:val="Acronym"/>
      </w:pPr>
      <w:r w:rsidRPr="00D07AFA">
        <w:t>NGO</w:t>
      </w:r>
      <w:r>
        <w:tab/>
      </w:r>
      <w:r w:rsidRPr="00D07AFA">
        <w:t>non-government organisation</w:t>
      </w:r>
    </w:p>
    <w:p w14:paraId="5BDB6AFF" w14:textId="77777777" w:rsidR="000B27B9" w:rsidRPr="002E3429" w:rsidRDefault="000B27B9" w:rsidP="0064265C">
      <w:pPr>
        <w:pStyle w:val="Acronym"/>
      </w:pPr>
      <w:r w:rsidRPr="002E3429">
        <w:t>NHT</w:t>
      </w:r>
      <w:r>
        <w:tab/>
      </w:r>
      <w:r w:rsidRPr="002E3429">
        <w:t>nursing home type</w:t>
      </w:r>
    </w:p>
    <w:p w14:paraId="0BA4B253" w14:textId="77777777" w:rsidR="000B27B9" w:rsidRPr="002E3429" w:rsidRDefault="000B27B9" w:rsidP="0064265C">
      <w:pPr>
        <w:pStyle w:val="Acronym"/>
      </w:pPr>
      <w:r w:rsidRPr="002E3429">
        <w:t xml:space="preserve">NFC </w:t>
      </w:r>
      <w:r>
        <w:tab/>
      </w:r>
      <w:r w:rsidRPr="002E3429">
        <w:t>Nationally Funded Centres</w:t>
      </w:r>
    </w:p>
    <w:p w14:paraId="4859CD07" w14:textId="77777777" w:rsidR="000B27B9" w:rsidRPr="002E3429" w:rsidRDefault="000B27B9" w:rsidP="0064265C">
      <w:pPr>
        <w:pStyle w:val="Acronym"/>
      </w:pPr>
      <w:r w:rsidRPr="002E3429">
        <w:t xml:space="preserve">NHRA </w:t>
      </w:r>
      <w:r>
        <w:tab/>
      </w:r>
      <w:r w:rsidRPr="002E3429">
        <w:t>National Health Reform Agreement</w:t>
      </w:r>
    </w:p>
    <w:p w14:paraId="26295178" w14:textId="6AD12245" w:rsidR="0058149C" w:rsidRPr="002E3429" w:rsidRDefault="0058149C" w:rsidP="0058149C">
      <w:pPr>
        <w:pStyle w:val="Acronym"/>
      </w:pPr>
      <w:r>
        <w:t>NWAU</w:t>
      </w:r>
      <w:r w:rsidRPr="002E3429">
        <w:t xml:space="preserve"> </w:t>
      </w:r>
      <w:r>
        <w:tab/>
      </w:r>
      <w:r w:rsidR="00DA22EA" w:rsidRPr="002E3429">
        <w:t xml:space="preserve">national </w:t>
      </w:r>
      <w:r w:rsidR="00DA22EA">
        <w:t>weighted activity unit</w:t>
      </w:r>
    </w:p>
    <w:p w14:paraId="381B6C32" w14:textId="447D5387" w:rsidR="000B27B9" w:rsidRDefault="000B27B9" w:rsidP="0064265C">
      <w:pPr>
        <w:pStyle w:val="Acronym"/>
      </w:pPr>
      <w:r>
        <w:t>OP</w:t>
      </w:r>
      <w:r>
        <w:tab/>
      </w:r>
      <w:r w:rsidR="00DA22EA">
        <w:t>specialist (outpatient) clinics</w:t>
      </w:r>
    </w:p>
    <w:p w14:paraId="0F128E29" w14:textId="77777777" w:rsidR="000B27B9" w:rsidRDefault="000B27B9" w:rsidP="0064265C">
      <w:pPr>
        <w:pStyle w:val="Acronym"/>
      </w:pPr>
      <w:r>
        <w:t>PAC</w:t>
      </w:r>
      <w:r>
        <w:tab/>
        <w:t>post-acute care</w:t>
      </w:r>
    </w:p>
    <w:p w14:paraId="55E4861F" w14:textId="77777777" w:rsidR="000B27B9" w:rsidRPr="002E3429" w:rsidRDefault="000B27B9" w:rsidP="0064265C">
      <w:pPr>
        <w:pStyle w:val="Acronym"/>
      </w:pPr>
      <w:r w:rsidRPr="002E3429">
        <w:t xml:space="preserve">PARC </w:t>
      </w:r>
      <w:r>
        <w:tab/>
      </w:r>
      <w:r w:rsidRPr="002E3429">
        <w:t>prevention and recovery care</w:t>
      </w:r>
    </w:p>
    <w:p w14:paraId="3AFA3B30" w14:textId="77777777" w:rsidR="000B27B9" w:rsidRDefault="000B27B9" w:rsidP="0064265C">
      <w:pPr>
        <w:pStyle w:val="Acronym"/>
      </w:pPr>
      <w:r>
        <w:t>PC</w:t>
      </w:r>
      <w:r>
        <w:tab/>
        <w:t>palliative care</w:t>
      </w:r>
    </w:p>
    <w:p w14:paraId="2CBD77CE" w14:textId="77777777" w:rsidR="000B27B9" w:rsidRPr="002E3429" w:rsidRDefault="000B27B9" w:rsidP="0064265C">
      <w:pPr>
        <w:pStyle w:val="Acronym"/>
      </w:pPr>
      <w:r w:rsidRPr="002E3429">
        <w:t>PSRACS</w:t>
      </w:r>
      <w:r w:rsidRPr="002E3429">
        <w:tab/>
        <w:t>public sector residential aged care service</w:t>
      </w:r>
    </w:p>
    <w:p w14:paraId="7BA9EBBB" w14:textId="77777777" w:rsidR="000B27B9" w:rsidRDefault="000B27B9" w:rsidP="0064265C">
      <w:pPr>
        <w:pStyle w:val="Acronym"/>
      </w:pPr>
      <w:r>
        <w:t>RIR</w:t>
      </w:r>
      <w:r>
        <w:tab/>
        <w:t>residential in-reach</w:t>
      </w:r>
    </w:p>
    <w:p w14:paraId="40C5533A" w14:textId="17708BA0" w:rsidR="000B27B9" w:rsidRDefault="000B27B9" w:rsidP="0064265C">
      <w:pPr>
        <w:pStyle w:val="Acronym"/>
      </w:pPr>
      <w:r>
        <w:t>SACS</w:t>
      </w:r>
      <w:r>
        <w:tab/>
      </w:r>
      <w:r w:rsidR="00DA22EA">
        <w:t>subacute ambulatory care services</w:t>
      </w:r>
    </w:p>
    <w:p w14:paraId="6D16C04B" w14:textId="366327DA" w:rsidR="000B27B9" w:rsidRDefault="000B27B9" w:rsidP="0064265C">
      <w:pPr>
        <w:pStyle w:val="Acronym"/>
      </w:pPr>
      <w:r>
        <w:t>SMF</w:t>
      </w:r>
      <w:r>
        <w:tab/>
      </w:r>
      <w:r w:rsidR="006B4DBF">
        <w:t>State-Managed Fund</w:t>
      </w:r>
    </w:p>
    <w:p w14:paraId="1CDBF07D" w14:textId="77777777" w:rsidR="000B27B9" w:rsidRPr="002E3429" w:rsidRDefault="000B27B9" w:rsidP="0064265C">
      <w:pPr>
        <w:pStyle w:val="Acronym"/>
      </w:pPr>
      <w:r w:rsidRPr="002E3429">
        <w:t>S</w:t>
      </w:r>
      <w:r>
        <w:t>O</w:t>
      </w:r>
      <w:r w:rsidRPr="002E3429">
        <w:t xml:space="preserve">P </w:t>
      </w:r>
      <w:r>
        <w:tab/>
      </w:r>
      <w:r w:rsidRPr="002E3429">
        <w:t>Statement of Priorities</w:t>
      </w:r>
    </w:p>
    <w:p w14:paraId="3CA5ACF9" w14:textId="77777777" w:rsidR="000B27B9" w:rsidRDefault="000B27B9" w:rsidP="0064265C">
      <w:pPr>
        <w:pStyle w:val="Acronym"/>
      </w:pPr>
      <w:r w:rsidRPr="002E3429">
        <w:t>STI</w:t>
      </w:r>
      <w:r>
        <w:tab/>
      </w:r>
      <w:r w:rsidRPr="002E3429">
        <w:t>sexually transmissible infections</w:t>
      </w:r>
    </w:p>
    <w:p w14:paraId="3AE9A3D3" w14:textId="77777777" w:rsidR="000B27B9" w:rsidRPr="002E3429" w:rsidRDefault="000B27B9" w:rsidP="0064265C">
      <w:pPr>
        <w:pStyle w:val="Acronym"/>
      </w:pPr>
      <w:r w:rsidRPr="002E3429">
        <w:t xml:space="preserve">TAC </w:t>
      </w:r>
      <w:r>
        <w:tab/>
      </w:r>
      <w:r w:rsidRPr="002E3429">
        <w:t>Transport Accident Commission</w:t>
      </w:r>
    </w:p>
    <w:p w14:paraId="303EA78D" w14:textId="77777777" w:rsidR="000B27B9" w:rsidRPr="002E3429" w:rsidRDefault="000B27B9" w:rsidP="0064265C">
      <w:pPr>
        <w:pStyle w:val="Acronym"/>
      </w:pPr>
      <w:r w:rsidRPr="002E3429">
        <w:t>TCP</w:t>
      </w:r>
      <w:r>
        <w:tab/>
      </w:r>
      <w:r w:rsidRPr="002E3429">
        <w:t>Transition Care Program</w:t>
      </w:r>
    </w:p>
    <w:p w14:paraId="6EAE9427" w14:textId="77777777" w:rsidR="000B27B9" w:rsidRPr="002E3429" w:rsidRDefault="000B27B9" w:rsidP="0064265C">
      <w:pPr>
        <w:pStyle w:val="Acronym"/>
      </w:pPr>
      <w:r w:rsidRPr="002E3429">
        <w:t>TPN</w:t>
      </w:r>
      <w:r>
        <w:tab/>
      </w:r>
      <w:r w:rsidRPr="002E3429">
        <w:t>total parenteral nutrition</w:t>
      </w:r>
    </w:p>
    <w:p w14:paraId="2BA898DC" w14:textId="1F1A15AE" w:rsidR="0067005F" w:rsidRDefault="0067005F" w:rsidP="0064265C">
      <w:pPr>
        <w:pStyle w:val="Acronym"/>
      </w:pPr>
      <w:r>
        <w:t>UDG</w:t>
      </w:r>
      <w:r>
        <w:tab/>
        <w:t>Urgency Disposition Groups Classification</w:t>
      </w:r>
    </w:p>
    <w:p w14:paraId="3A768465" w14:textId="5A5C8D61" w:rsidR="000B27B9" w:rsidRPr="002E3429" w:rsidRDefault="000B27B9" w:rsidP="0064265C">
      <w:pPr>
        <w:pStyle w:val="Acronym"/>
      </w:pPr>
      <w:r w:rsidRPr="002E3429">
        <w:t>VACS</w:t>
      </w:r>
      <w:r>
        <w:tab/>
      </w:r>
      <w:r w:rsidRPr="002E3429">
        <w:t>Victorian Ambulatory Classification and Funding System</w:t>
      </w:r>
    </w:p>
    <w:p w14:paraId="6FC1E3A4" w14:textId="77777777" w:rsidR="000B27B9" w:rsidRPr="002E3429" w:rsidRDefault="000B27B9" w:rsidP="0064265C">
      <w:pPr>
        <w:pStyle w:val="Acronym"/>
      </w:pPr>
      <w:r w:rsidRPr="002E3429">
        <w:t>VAED</w:t>
      </w:r>
      <w:r>
        <w:tab/>
      </w:r>
      <w:r w:rsidRPr="002E3429">
        <w:t>Victorian Admitted Episodes Dataset</w:t>
      </w:r>
    </w:p>
    <w:p w14:paraId="7C46F952" w14:textId="77777777" w:rsidR="000B27B9" w:rsidRPr="002E3429" w:rsidRDefault="000B27B9" w:rsidP="0064265C">
      <w:pPr>
        <w:pStyle w:val="Acronym"/>
      </w:pPr>
      <w:r w:rsidRPr="002E3429">
        <w:t>VCDC</w:t>
      </w:r>
      <w:r>
        <w:tab/>
      </w:r>
      <w:r w:rsidRPr="002E3429">
        <w:t>Victorian Cost Data Collection</w:t>
      </w:r>
    </w:p>
    <w:p w14:paraId="1563ED4C" w14:textId="14FCB1E9" w:rsidR="0058149C" w:rsidRPr="002E3429" w:rsidRDefault="0058149C" w:rsidP="0058149C">
      <w:pPr>
        <w:pStyle w:val="Acronym"/>
      </w:pPr>
      <w:r>
        <w:t>VEP</w:t>
      </w:r>
      <w:r>
        <w:tab/>
      </w:r>
      <w:r w:rsidRPr="002E3429">
        <w:t xml:space="preserve">Victorian </w:t>
      </w:r>
      <w:r w:rsidR="00DA22EA">
        <w:t>efficient price</w:t>
      </w:r>
    </w:p>
    <w:p w14:paraId="49D7AA9C" w14:textId="3D41F7B5" w:rsidR="000B27B9" w:rsidRPr="002E3429" w:rsidRDefault="000B27B9" w:rsidP="0064265C">
      <w:pPr>
        <w:pStyle w:val="Acronym"/>
      </w:pPr>
      <w:r w:rsidRPr="002E3429">
        <w:t>VIC-DRG</w:t>
      </w:r>
      <w:r w:rsidRPr="002E3429">
        <w:tab/>
        <w:t>Victorian-modified Diagnosis</w:t>
      </w:r>
      <w:r w:rsidR="00240DAF">
        <w:t>-</w:t>
      </w:r>
      <w:r w:rsidRPr="002E3429">
        <w:t>Related Group</w:t>
      </w:r>
    </w:p>
    <w:p w14:paraId="71B90B32" w14:textId="77777777" w:rsidR="000B27B9" w:rsidRPr="002E3429" w:rsidRDefault="000B27B9" w:rsidP="0064265C">
      <w:pPr>
        <w:pStyle w:val="Acronym"/>
      </w:pPr>
      <w:r w:rsidRPr="002E3429">
        <w:t>ViCTOR</w:t>
      </w:r>
      <w:r w:rsidRPr="002E3429">
        <w:tab/>
        <w:t>Victorian Children’s Tool for Observation and Response</w:t>
      </w:r>
    </w:p>
    <w:p w14:paraId="62EF65E9" w14:textId="26C8C035" w:rsidR="000B27B9" w:rsidRPr="002E3429" w:rsidRDefault="000B27B9" w:rsidP="0064265C">
      <w:pPr>
        <w:pStyle w:val="Acronym"/>
      </w:pPr>
      <w:r w:rsidRPr="002E3429">
        <w:t>VINAH</w:t>
      </w:r>
      <w:r>
        <w:tab/>
      </w:r>
      <w:r w:rsidRPr="002E3429">
        <w:t>Victorian Integrated Non-Admitted Health</w:t>
      </w:r>
      <w:r w:rsidR="58CE1596">
        <w:t xml:space="preserve"> minimum dataset</w:t>
      </w:r>
    </w:p>
    <w:p w14:paraId="15259974" w14:textId="77777777" w:rsidR="000B27B9" w:rsidRPr="002E3429" w:rsidRDefault="000B27B9" w:rsidP="0064265C">
      <w:pPr>
        <w:pStyle w:val="Acronym"/>
      </w:pPr>
      <w:r w:rsidRPr="002E3429">
        <w:t>VRSS</w:t>
      </w:r>
      <w:r>
        <w:tab/>
      </w:r>
      <w:r w:rsidRPr="002E3429">
        <w:t>Victorian Respiratory Support Service</w:t>
      </w:r>
    </w:p>
    <w:p w14:paraId="5E7CA9A4" w14:textId="7E8288D7" w:rsidR="000B27B9" w:rsidRPr="002E3429" w:rsidRDefault="000B27B9" w:rsidP="0064265C">
      <w:pPr>
        <w:pStyle w:val="Acronym"/>
      </w:pPr>
      <w:r w:rsidRPr="002E3429">
        <w:t xml:space="preserve">WASE </w:t>
      </w:r>
      <w:r>
        <w:tab/>
      </w:r>
      <w:r w:rsidR="00DA22EA" w:rsidRPr="002E3429">
        <w:t>weighted ambulatory service event</w:t>
      </w:r>
    </w:p>
    <w:p w14:paraId="6F84E2C0" w14:textId="77777777" w:rsidR="000B27B9" w:rsidRPr="002E3429" w:rsidRDefault="000B27B9" w:rsidP="0064265C">
      <w:pPr>
        <w:pStyle w:val="Acronym"/>
      </w:pPr>
      <w:r w:rsidRPr="002E3429">
        <w:t xml:space="preserve">WAU </w:t>
      </w:r>
      <w:r>
        <w:tab/>
      </w:r>
      <w:r w:rsidRPr="002E3429">
        <w:t>weighted activity unit</w:t>
      </w:r>
    </w:p>
    <w:p w14:paraId="076A08B6" w14:textId="2575FAD4" w:rsidR="00FB1F6E" w:rsidRDefault="000B27B9" w:rsidP="000B27B9">
      <w:pPr>
        <w:pStyle w:val="Acronym"/>
      </w:pPr>
      <w:r w:rsidRPr="002E3429">
        <w:t xml:space="preserve">WIES </w:t>
      </w:r>
      <w:r>
        <w:tab/>
      </w:r>
      <w:r w:rsidRPr="002E3429">
        <w:t>weighted inlier equivalent separation</w:t>
      </w:r>
    </w:p>
    <w:sectPr w:rsidR="00FB1F6E" w:rsidSect="00AE5B04">
      <w:headerReference w:type="even" r:id="rId106"/>
      <w:headerReference w:type="default" r:id="rId107"/>
      <w:pgSz w:w="11906" w:h="16838" w:code="9"/>
      <w:pgMar w:top="1418" w:right="1304" w:bottom="1134" w:left="1304"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E2E0" w14:textId="77777777" w:rsidR="007014BF" w:rsidRDefault="007014BF">
      <w:r>
        <w:separator/>
      </w:r>
    </w:p>
    <w:p w14:paraId="31FC5D81" w14:textId="77777777" w:rsidR="007014BF" w:rsidRDefault="007014BF"/>
  </w:endnote>
  <w:endnote w:type="continuationSeparator" w:id="0">
    <w:p w14:paraId="2CB48602" w14:textId="77777777" w:rsidR="007014BF" w:rsidRDefault="007014BF">
      <w:r>
        <w:continuationSeparator/>
      </w:r>
    </w:p>
    <w:p w14:paraId="2485C236" w14:textId="77777777" w:rsidR="007014BF" w:rsidRDefault="007014BF"/>
  </w:endnote>
  <w:endnote w:type="continuationNotice" w:id="1">
    <w:p w14:paraId="34A32883" w14:textId="77777777" w:rsidR="007014BF" w:rsidRDefault="00701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SBQ-Med">
    <w:charset w:val="00"/>
    <w:family w:val="auto"/>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rporateSBQ-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IC-Regular">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6AB0" w14:textId="0C52BEC7" w:rsidR="006A7B86" w:rsidRDefault="007D7F02">
    <w:pPr>
      <w:pStyle w:val="Footer"/>
    </w:pPr>
    <w:r>
      <w:rPr>
        <w:noProof/>
      </w:rPr>
      <mc:AlternateContent>
        <mc:Choice Requires="wps">
          <w:drawing>
            <wp:anchor distT="0" distB="0" distL="114300" distR="114300" simplePos="0" relativeHeight="251672064" behindDoc="0" locked="0" layoutInCell="0" allowOverlap="1" wp14:anchorId="6DECBD3F" wp14:editId="49B9CC2C">
              <wp:simplePos x="0" y="9365456"/>
              <wp:positionH relativeFrom="page">
                <wp:align>center</wp:align>
              </wp:positionH>
              <wp:positionV relativeFrom="page">
                <wp:align>bottom</wp:align>
              </wp:positionV>
              <wp:extent cx="7772400" cy="502285"/>
              <wp:effectExtent l="0" t="0" r="0" b="12065"/>
              <wp:wrapNone/>
              <wp:docPr id="17" name="MSIPCM243447dbbf279806fd769f37"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3D64E" w14:textId="52973244" w:rsidR="007D7F02"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ECBD3F" id="_x0000_t202" coordsize="21600,21600" o:spt="202" path="m,l,21600r21600,l21600,xe">
              <v:stroke joinstyle="miter"/>
              <v:path gradientshapeok="t" o:connecttype="rect"/>
            </v:shapetype>
            <v:shape id="MSIPCM243447dbbf279806fd769f37"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6720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063D64E" w14:textId="52973244" w:rsidR="007D7F02"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FFAD" w14:textId="31BE7323" w:rsidR="00D00A67" w:rsidRPr="00C47A25" w:rsidRDefault="00D36400" w:rsidP="00C47A25">
    <w:pPr>
      <w:pStyle w:val="Header"/>
      <w:rPr>
        <w:b w:val="0"/>
        <w:bCs/>
        <w:color w:val="auto"/>
      </w:rPr>
    </w:pPr>
    <w:r>
      <w:rPr>
        <w:noProof/>
        <w:lang w:eastAsia="en-AU"/>
      </w:rPr>
      <mc:AlternateContent>
        <mc:Choice Requires="wps">
          <w:drawing>
            <wp:anchor distT="0" distB="0" distL="114300" distR="114300" simplePos="0" relativeHeight="251667456" behindDoc="0" locked="0" layoutInCell="0" allowOverlap="1" wp14:anchorId="7253E3E6" wp14:editId="28DB6072">
              <wp:simplePos x="0" y="0"/>
              <wp:positionH relativeFrom="page">
                <wp:align>center</wp:align>
              </wp:positionH>
              <wp:positionV relativeFrom="page">
                <wp:align>bottom</wp:align>
              </wp:positionV>
              <wp:extent cx="7772400" cy="502285"/>
              <wp:effectExtent l="0" t="0" r="0" b="12065"/>
              <wp:wrapNone/>
              <wp:docPr id="10" name="MSIPCMf44c46978acc985d18892258" descr="{&quot;HashCode&quot;:904758361,&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BB522" w14:textId="1027B947" w:rsidR="00D36400"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53E3E6" id="_x0000_t202" coordsize="21600,21600" o:spt="202" path="m,l,21600r21600,l21600,xe">
              <v:stroke joinstyle="miter"/>
              <v:path gradientshapeok="t" o:connecttype="rect"/>
            </v:shapetype>
            <v:shape id="MSIPCMf44c46978acc985d18892258" o:spid="_x0000_s1037" type="#_x0000_t202" alt="{&quot;HashCode&quot;:904758361,&quot;Height&quot;:9999999.0,&quot;Width&quot;:9999999.0,&quot;Placement&quot;:&quot;Footer&quot;,&quot;Index&quot;:&quot;Primary&quot;,&quot;Section&quot;:10,&quot;Top&quot;:0.0,&quot;Left&quot;:0.0}" style="position:absolute;margin-left:0;margin-top:0;width:612pt;height:39.5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QcjxjGQIAAC4EAAAOAAAAAAAAAAAAAAAAAC4CAABkcnMvZTJvRG9jLnhtbFBLAQItABQABgAI&#10;AAAAIQDYP/032wAAAAUBAAAPAAAAAAAAAAAAAAAAAHMEAABkcnMvZG93bnJldi54bWxQSwUGAAAA&#10;AAQABADzAAAAewUAAAAA&#10;" o:allowincell="f" filled="f" stroked="f" strokeweight=".5pt">
              <v:fill o:detectmouseclick="t"/>
              <v:textbox inset=",0,,0">
                <w:txbxContent>
                  <w:p w14:paraId="41CBB522" w14:textId="1027B947" w:rsidR="00D36400"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v:textbox>
              <w10:wrap anchorx="page" anchory="page"/>
            </v:shape>
          </w:pict>
        </mc:Fallback>
      </mc:AlternateContent>
    </w:r>
    <w:r w:rsidR="00695D13">
      <w:rPr>
        <w:noProof/>
        <w:lang w:eastAsia="en-AU"/>
      </w:rPr>
      <mc:AlternateContent>
        <mc:Choice Requires="wps">
          <w:drawing>
            <wp:anchor distT="0" distB="0" distL="114300" distR="114300" simplePos="0" relativeHeight="251662848" behindDoc="0" locked="0" layoutInCell="0" allowOverlap="1" wp14:anchorId="618A5796" wp14:editId="64B69F2B">
              <wp:simplePos x="0" y="0"/>
              <wp:positionH relativeFrom="page">
                <wp:posOffset>1422</wp:posOffset>
              </wp:positionH>
              <wp:positionV relativeFrom="page">
                <wp:posOffset>10156444</wp:posOffset>
              </wp:positionV>
              <wp:extent cx="7560310" cy="190500"/>
              <wp:effectExtent l="0" t="0" r="0" b="0"/>
              <wp:wrapNone/>
              <wp:docPr id="8"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4064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18A5796" id="_x0000_s1038" type="#_x0000_t202" alt="{&quot;HashCode&quot;:904758361,&quot;Height&quot;:841.0,&quot;Width&quot;:595.0,&quot;Placement&quot;:&quot;Footer&quot;,&quot;Index&quot;:&quot;OddAndEven&quot;,&quot;Section&quot;:3,&quot;Top&quot;:0.0,&quot;Left&quot;:0.0}" style="position:absolute;margin-left:.1pt;margin-top:799.7pt;width:595.3pt;height:15pt;z-index:2516628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" o:allowincell="f" filled="f" stroked="f" strokeweight=".5pt">
              <v:textbox inset=",0,,0">
                <w:txbxContent>
                  <w:p w14:paraId="0B04064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1BF1" w14:textId="10CD1569" w:rsidR="00D00A67" w:rsidRDefault="001923F4" w:rsidP="00AE6427">
    <w:pPr>
      <w:pStyle w:val="DHHSfooter"/>
      <w:tabs>
        <w:tab w:val="clear" w:pos="9299"/>
        <w:tab w:val="right" w:pos="14175"/>
      </w:tabs>
      <w:jc w:val="both"/>
    </w:pPr>
    <w:r>
      <w:rPr>
        <w:noProof/>
        <w:lang w:eastAsia="en-AU"/>
      </w:rPr>
      <mc:AlternateContent>
        <mc:Choice Requires="wps">
          <w:drawing>
            <wp:anchor distT="0" distB="0" distL="114300" distR="114300" simplePos="0" relativeHeight="251655680" behindDoc="0" locked="0" layoutInCell="0" allowOverlap="1" wp14:anchorId="5002BB60" wp14:editId="5B5AA34C">
              <wp:simplePos x="0" y="0"/>
              <wp:positionH relativeFrom="margin">
                <wp:align>center</wp:align>
              </wp:positionH>
              <wp:positionV relativeFrom="page">
                <wp:posOffset>10391775</wp:posOffset>
              </wp:positionV>
              <wp:extent cx="2762250" cy="266700"/>
              <wp:effectExtent l="0" t="0" r="0" b="0"/>
              <wp:wrapNone/>
              <wp:docPr id="9"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27622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085ED" w14:textId="77777777" w:rsidR="007404CC" w:rsidRPr="002C5B7C" w:rsidRDefault="007404C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2BB60" id="_x0000_t202" coordsize="21600,21600" o:spt="202" path="m,l,21600r21600,l21600,xe">
              <v:stroke joinstyle="miter"/>
              <v:path gradientshapeok="t" o:connecttype="rect"/>
            </v:shapetype>
            <v:shape id="_x0000_s1039" type="#_x0000_t202" alt="{&quot;HashCode&quot;:904758361,&quot;Height&quot;:841.0,&quot;Width&quot;:595.0,&quot;Placement&quot;:&quot;Footer&quot;,&quot;Index&quot;:&quot;OddAndEven&quot;,&quot;Section&quot;:3,&quot;Top&quot;:0.0,&quot;Left&quot;:0.0}" style="position:absolute;left:0;text-align:left;margin-left:0;margin-top:818.25pt;width:217.5pt;height:21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" o:allowincell="f" filled="f" stroked="f" strokeweight=".5pt">
              <v:textbox inset=",0,,0">
                <w:txbxContent>
                  <w:p w14:paraId="52C085ED" w14:textId="77777777" w:rsidR="007404CC" w:rsidRPr="002C5B7C" w:rsidRDefault="007404C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margin"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2123" w14:textId="3E55B2F7" w:rsidR="00D00A67" w:rsidRPr="0031305A" w:rsidRDefault="00695D13" w:rsidP="001923F4">
    <w:pPr>
      <w:pStyle w:val="Header"/>
      <w:spacing w:after="0"/>
      <w:rPr>
        <w:b w:val="0"/>
        <w:bCs/>
        <w:color w:val="auto"/>
      </w:rPr>
    </w:pPr>
    <w:r>
      <w:rPr>
        <w:noProof/>
        <w:lang w:eastAsia="en-AU"/>
      </w:rPr>
      <mc:AlternateContent>
        <mc:Choice Requires="wps">
          <w:drawing>
            <wp:anchor distT="0" distB="0" distL="114300" distR="114300" simplePos="0" relativeHeight="251663872" behindDoc="0" locked="0" layoutInCell="0" allowOverlap="1" wp14:anchorId="51A324C6" wp14:editId="025442BC">
              <wp:simplePos x="0" y="0"/>
              <wp:positionH relativeFrom="page">
                <wp:posOffset>-4166</wp:posOffset>
              </wp:positionH>
              <wp:positionV relativeFrom="page">
                <wp:posOffset>10236302</wp:posOffset>
              </wp:positionV>
              <wp:extent cx="7560310" cy="190500"/>
              <wp:effectExtent l="0" t="0" r="0" b="0"/>
              <wp:wrapNone/>
              <wp:docPr id="13"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DC64D"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1A324C6" id="_x0000_t202" coordsize="21600,21600" o:spt="202" path="m,l,21600r21600,l21600,xe">
              <v:stroke joinstyle="miter"/>
              <v:path gradientshapeok="t" o:connecttype="rect"/>
            </v:shapetype>
            <v:shape id="_x0000_s1040" type="#_x0000_t202" alt="{&quot;HashCode&quot;:904758361,&quot;Height&quot;:841.0,&quot;Width&quot;:595.0,&quot;Placement&quot;:&quot;Footer&quot;,&quot;Index&quot;:&quot;OddAndEven&quot;,&quot;Section&quot;:3,&quot;Top&quot;:0.0,&quot;Left&quot;:0.0}" style="position:absolute;margin-left:-.35pt;margin-top:806pt;width:595.3pt;height:15pt;z-index:251663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" o:allowincell="f" filled="f" stroked="f" strokeweight=".5pt">
              <v:textbox inset=",0,,0">
                <w:txbxContent>
                  <w:p w14:paraId="61BDC64D"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AC0F" w14:textId="4684C471" w:rsidR="00E10A76" w:rsidRDefault="00E10A76" w:rsidP="00AE6427">
    <w:pPr>
      <w:pStyle w:val="DHHSfooter"/>
      <w:jc w:val="both"/>
    </w:pPr>
    <w:r>
      <w:rPr>
        <w:noProof/>
        <w:lang w:eastAsia="en-AU"/>
      </w:rPr>
      <mc:AlternateContent>
        <mc:Choice Requires="wps">
          <w:drawing>
            <wp:anchor distT="0" distB="0" distL="114300" distR="114300" simplePos="0" relativeHeight="251656192" behindDoc="0" locked="0" layoutInCell="0" allowOverlap="1" wp14:anchorId="33629B82" wp14:editId="7590C803">
              <wp:simplePos x="0" y="0"/>
              <wp:positionH relativeFrom="margin">
                <wp:posOffset>1526540</wp:posOffset>
              </wp:positionH>
              <wp:positionV relativeFrom="page">
                <wp:posOffset>10113747</wp:posOffset>
              </wp:positionV>
              <wp:extent cx="2762250" cy="266700"/>
              <wp:effectExtent l="0" t="0" r="0" b="0"/>
              <wp:wrapNone/>
              <wp:docPr id="26"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27622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43AD4" w14:textId="77777777" w:rsidR="00E10A76" w:rsidRPr="002C5B7C" w:rsidRDefault="00E10A76"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29B82" id="_x0000_t202" coordsize="21600,21600" o:spt="202" path="m,l,21600r21600,l21600,xe">
              <v:stroke joinstyle="miter"/>
              <v:path gradientshapeok="t" o:connecttype="rect"/>
            </v:shapetype>
            <v:shape id="_x0000_s1041" type="#_x0000_t202" alt="{&quot;HashCode&quot;:904758361,&quot;Height&quot;:841.0,&quot;Width&quot;:595.0,&quot;Placement&quot;:&quot;Footer&quot;,&quot;Index&quot;:&quot;OddAndEven&quot;,&quot;Section&quot;:3,&quot;Top&quot;:0.0,&quot;Left&quot;:0.0}" style="position:absolute;left:0;text-align:left;margin-left:120.2pt;margin-top:796.35pt;width:217.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" o:allowincell="f" filled="f" stroked="f" strokeweight=".5pt">
              <v:textbox inset=",0,,0">
                <w:txbxContent>
                  <w:p w14:paraId="31243AD4" w14:textId="77777777" w:rsidR="00E10A76" w:rsidRPr="002C5B7C" w:rsidRDefault="00E10A76"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margin"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573A" w14:textId="2157C5E3" w:rsidR="00695D13" w:rsidRPr="0031305A" w:rsidRDefault="00695D13" w:rsidP="001923F4">
    <w:pPr>
      <w:pStyle w:val="Header"/>
      <w:spacing w:after="0"/>
      <w:rPr>
        <w:b w:val="0"/>
        <w:bCs/>
        <w:color w:val="auto"/>
      </w:rPr>
    </w:pPr>
    <w:r>
      <w:rPr>
        <w:noProof/>
        <w:lang w:eastAsia="en-AU"/>
      </w:rPr>
      <mc:AlternateContent>
        <mc:Choice Requires="wps">
          <w:drawing>
            <wp:anchor distT="0" distB="0" distL="114300" distR="114300" simplePos="0" relativeHeight="251661312" behindDoc="0" locked="0" layoutInCell="0" allowOverlap="1" wp14:anchorId="26F8FE33" wp14:editId="4E561141">
              <wp:simplePos x="0" y="0"/>
              <wp:positionH relativeFrom="page">
                <wp:posOffset>-4166</wp:posOffset>
              </wp:positionH>
              <wp:positionV relativeFrom="page">
                <wp:posOffset>10236302</wp:posOffset>
              </wp:positionV>
              <wp:extent cx="7560310" cy="190500"/>
              <wp:effectExtent l="0" t="0" r="0" b="0"/>
              <wp:wrapNone/>
              <wp:docPr id="15"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F645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6F8FE33" id="_x0000_t202" coordsize="21600,21600" o:spt="202" path="m,l,21600r21600,l21600,xe">
              <v:stroke joinstyle="miter"/>
              <v:path gradientshapeok="t" o:connecttype="rect"/>
            </v:shapetype>
            <v:shape id="_x0000_s1042" type="#_x0000_t202" alt="{&quot;HashCode&quot;:904758361,&quot;Height&quot;:841.0,&quot;Width&quot;:595.0,&quot;Placement&quot;:&quot;Footer&quot;,&quot;Index&quot;:&quot;OddAndEven&quot;,&quot;Section&quot;:3,&quot;Top&quot;:0.0,&quot;Left&quot;:0.0}" style="position:absolute;margin-left:-.35pt;margin-top:806pt;width:595.3pt;height:1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" o:allowincell="f" filled="f" stroked="f" strokeweight=".5pt">
              <v:textbox inset=",0,,0">
                <w:txbxContent>
                  <w:p w14:paraId="131F645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8B97" w14:textId="54900990" w:rsidR="006A7B86" w:rsidRDefault="00E24EF9">
    <w:pPr>
      <w:pStyle w:val="Footer"/>
    </w:pPr>
    <w:r>
      <w:rPr>
        <w:noProof/>
      </w:rPr>
      <mc:AlternateContent>
        <mc:Choice Requires="wps">
          <w:drawing>
            <wp:anchor distT="0" distB="0" distL="114300" distR="114300" simplePos="0" relativeHeight="251648512" behindDoc="0" locked="0" layoutInCell="0" allowOverlap="1" wp14:anchorId="3042A8D7" wp14:editId="7A7A9DB9">
              <wp:simplePos x="0" y="0"/>
              <wp:positionH relativeFrom="page">
                <wp:align>center</wp:align>
              </wp:positionH>
              <wp:positionV relativeFrom="page">
                <wp:align>bottom</wp:align>
              </wp:positionV>
              <wp:extent cx="7772400" cy="502285"/>
              <wp:effectExtent l="0" t="0" r="0" b="12065"/>
              <wp:wrapNone/>
              <wp:docPr id="1" name="MSIPCM093c41d18f7afdf28e46923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DC91C" w14:textId="78C8C4DA" w:rsidR="006A7B86"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42A8D7" id="_x0000_t202" coordsize="21600,21600" o:spt="202" path="m,l,21600r21600,l21600,xe">
              <v:stroke joinstyle="miter"/>
              <v:path gradientshapeok="t" o:connecttype="rect"/>
            </v:shapetype>
            <v:shape id="MSIPCM093c41d18f7afdf28e469234"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485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ACDC91C" w14:textId="78C8C4DA" w:rsidR="006A7B86"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C13D" w14:textId="67AD9046" w:rsidR="006A7B86" w:rsidRDefault="009A0215" w:rsidP="00AA0AEC">
    <w:pPr>
      <w:pStyle w:val="DHHSfooter"/>
    </w:pPr>
    <w:r>
      <w:rPr>
        <w:bCs/>
        <w:noProof/>
      </w:rPr>
      <mc:AlternateContent>
        <mc:Choice Requires="wps">
          <w:drawing>
            <wp:anchor distT="0" distB="0" distL="114300" distR="114300" simplePos="0" relativeHeight="251654656" behindDoc="0" locked="0" layoutInCell="0" allowOverlap="1" wp14:anchorId="0884C684" wp14:editId="7F819286">
              <wp:simplePos x="0" y="0"/>
              <wp:positionH relativeFrom="page">
                <wp:align>center</wp:align>
              </wp:positionH>
              <wp:positionV relativeFrom="page">
                <wp:align>bottom</wp:align>
              </wp:positionV>
              <wp:extent cx="7772400" cy="502285"/>
              <wp:effectExtent l="0" t="0" r="0" b="12065"/>
              <wp:wrapNone/>
              <wp:docPr id="2" name="MSIPCMd25b497183633cca59fa85c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00C81" w14:textId="77170A8E" w:rsidR="009A0215"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84C684" id="_x0000_t202" coordsize="21600,21600" o:spt="202" path="m,l,21600r21600,l21600,xe">
              <v:stroke joinstyle="miter"/>
              <v:path gradientshapeok="t" o:connecttype="rect"/>
            </v:shapetype>
            <v:shape id="MSIPCMd25b497183633cca59fa85c9" o:spid="_x0000_s1028" type="#_x0000_t202" alt="{&quot;HashCode&quot;:904758361,&quot;Height&quot;:9999999.0,&quot;Width&quot;:9999999.0,&quot;Placement&quot;:&quot;Footer&quot;,&quot;Index&quot;:&quot;FirstPage&quot;,&quot;Section&quot;:1,&quot;Top&quot;:0.0,&quot;Left&quot;:0.0}" style="position:absolute;margin-left:0;margin-top:0;width:612pt;height:39.55pt;z-index:2516546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CA00C81" w14:textId="77170A8E" w:rsidR="009A0215"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v:textbox>
              <w10:wrap anchorx="page" anchory="page"/>
            </v:shape>
          </w:pict>
        </mc:Fallback>
      </mc:AlternateContent>
    </w:r>
    <w:r w:rsidR="00C30CBC" w:rsidRPr="00BC3B9D" w:rsidDel="00C30CBC">
      <w:rPr>
        <w:bCs/>
      </w:rPr>
      <w:t xml:space="preserve"> </w:t>
    </w:r>
    <w:r w:rsidR="00F966F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490" w14:textId="2674446D" w:rsidR="00E24EF9" w:rsidRDefault="00A8578B" w:rsidP="007E543F">
    <w:pPr>
      <w:pStyle w:val="DHHSfooter"/>
    </w:pPr>
    <w:r>
      <w:rPr>
        <w:noProof/>
        <w:lang w:eastAsia="en-AU"/>
      </w:rPr>
      <mc:AlternateContent>
        <mc:Choice Requires="wps">
          <w:drawing>
            <wp:anchor distT="0" distB="0" distL="114300" distR="114300" simplePos="0" relativeHeight="251655168" behindDoc="0" locked="0" layoutInCell="0" allowOverlap="1" wp14:anchorId="3B772BC9" wp14:editId="5F98074D">
              <wp:simplePos x="0" y="0"/>
              <wp:positionH relativeFrom="page">
                <wp:posOffset>0</wp:posOffset>
              </wp:positionH>
              <wp:positionV relativeFrom="page">
                <wp:posOffset>10210800</wp:posOffset>
              </wp:positionV>
              <wp:extent cx="7560310" cy="190500"/>
              <wp:effectExtent l="0" t="0" r="0" b="0"/>
              <wp:wrapNone/>
              <wp:docPr id="6"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CC088" w14:textId="35729B6B" w:rsidR="00E24EF9" w:rsidRPr="002C5B7C" w:rsidRDefault="00E24EF9"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B772BC9"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margin-left:0;margin-top:804pt;width:595.3pt;height:15pt;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" o:allowincell="f" filled="f" stroked="f" strokeweight=".5pt">
              <v:textbox inset=",0,,0">
                <w:txbxContent>
                  <w:p w14:paraId="187CC088" w14:textId="35729B6B" w:rsidR="00E24EF9" w:rsidRPr="002C5B7C" w:rsidRDefault="00E24EF9"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A8D0" w14:textId="7C97D2C6" w:rsidR="00E24EF9" w:rsidRPr="00BC3B9D" w:rsidRDefault="00B87388" w:rsidP="00B00C58">
    <w:pPr>
      <w:pStyle w:val="Header"/>
      <w:spacing w:after="0"/>
      <w:rPr>
        <w:b w:val="0"/>
        <w:bCs/>
        <w:color w:val="auto"/>
      </w:rPr>
    </w:pPr>
    <w:r>
      <w:rPr>
        <w:b w:val="0"/>
        <w:bCs/>
        <w:noProof/>
        <w:color w:val="auto"/>
      </w:rPr>
      <mc:AlternateContent>
        <mc:Choice Requires="wps">
          <w:drawing>
            <wp:anchor distT="0" distB="0" distL="114300" distR="114300" simplePos="0" relativeHeight="251665919" behindDoc="0" locked="0" layoutInCell="0" allowOverlap="1" wp14:anchorId="7B5A68BA" wp14:editId="0816DC10">
              <wp:simplePos x="0" y="0"/>
              <wp:positionH relativeFrom="page">
                <wp:align>center</wp:align>
              </wp:positionH>
              <wp:positionV relativeFrom="page">
                <wp:align>bottom</wp:align>
              </wp:positionV>
              <wp:extent cx="7772400" cy="502285"/>
              <wp:effectExtent l="0" t="0" r="0" b="12065"/>
              <wp:wrapNone/>
              <wp:docPr id="7" name="MSIPCM504f47538ff7d37c75034308"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CFF2E" w14:textId="2AC76E43" w:rsidR="00B87388"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5A68BA" id="_x0000_t202" coordsize="21600,21600" o:spt="202" path="m,l,21600r21600,l21600,xe">
              <v:stroke joinstyle="miter"/>
              <v:path gradientshapeok="t" o:connecttype="rect"/>
            </v:shapetype>
            <v:shape id="MSIPCM504f47538ff7d37c75034308" o:spid="_x0000_s1030" type="#_x0000_t202" alt="{&quot;HashCode&quot;:904758361,&quot;Height&quot;:9999999.0,&quot;Width&quot;:9999999.0,&quot;Placement&quot;:&quot;Footer&quot;,&quot;Index&quot;:&quot;Primary&quot;,&quot;Section&quot;:2,&quot;Top&quot;:0.0,&quot;Left&quot;:0.0}" style="position:absolute;margin-left:0;margin-top:0;width:612pt;height:39.55pt;z-index:25166591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38ECFF2E" w14:textId="2AC76E43" w:rsidR="00B87388"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034C" w14:textId="1FE8BE64" w:rsidR="00342BA9" w:rsidRDefault="00342BA9" w:rsidP="007E543F">
    <w:pPr>
      <w:pStyle w:val="DHHSfooter"/>
    </w:pPr>
    <w:r>
      <w:rPr>
        <w:noProof/>
        <w:lang w:eastAsia="en-AU"/>
      </w:rPr>
      <mc:AlternateContent>
        <mc:Choice Requires="wps">
          <w:drawing>
            <wp:anchor distT="0" distB="0" distL="114300" distR="114300" simplePos="0" relativeHeight="251664896" behindDoc="0" locked="0" layoutInCell="0" allowOverlap="1" wp14:anchorId="73483606" wp14:editId="1B641823">
              <wp:simplePos x="0" y="0"/>
              <wp:positionH relativeFrom="page">
                <wp:posOffset>0</wp:posOffset>
              </wp:positionH>
              <wp:positionV relativeFrom="page">
                <wp:posOffset>10210800</wp:posOffset>
              </wp:positionV>
              <wp:extent cx="7560310" cy="190500"/>
              <wp:effectExtent l="0" t="0" r="0" b="0"/>
              <wp:wrapNone/>
              <wp:docPr id="20"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228B8" w14:textId="77777777" w:rsidR="00342BA9" w:rsidRPr="002C5B7C" w:rsidRDefault="00342BA9"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3483606" id="_x0000_t202" coordsize="21600,21600" o:spt="202" path="m,l,21600r21600,l21600,xe">
              <v:stroke joinstyle="miter"/>
              <v:path gradientshapeok="t" o:connecttype="rect"/>
            </v:shapetype>
            <v:shape id="_x0000_s1031" type="#_x0000_t202" alt="{&quot;HashCode&quot;:904758361,&quot;Height&quot;:841.0,&quot;Width&quot;:595.0,&quot;Placement&quot;:&quot;Footer&quot;,&quot;Index&quot;:&quot;OddAndEven&quot;,&quot;Section&quot;:3,&quot;Top&quot;:0.0,&quot;Left&quot;:0.0}" style="position:absolute;margin-left:0;margin-top:804pt;width:595.3pt;height:15pt;z-index:251664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" o:allowincell="f" filled="f" stroked="f" strokeweight=".5pt">
              <v:textbox inset=",0,,0">
                <w:txbxContent>
                  <w:p w14:paraId="4F0228B8" w14:textId="77777777" w:rsidR="00342BA9" w:rsidRPr="002C5B7C" w:rsidRDefault="00342BA9"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ADB3" w14:textId="203D995B" w:rsidR="00D00A67" w:rsidRPr="00112A3C" w:rsidRDefault="00B61D26" w:rsidP="00112A3C">
    <w:pPr>
      <w:pStyle w:val="Header"/>
      <w:rPr>
        <w:b w:val="0"/>
        <w:bCs/>
        <w:color w:val="auto"/>
      </w:rPr>
    </w:pPr>
    <w:r>
      <w:rPr>
        <w:noProof/>
        <w:lang w:eastAsia="en-AU"/>
      </w:rPr>
      <mc:AlternateContent>
        <mc:Choice Requires="wps">
          <w:drawing>
            <wp:anchor distT="0" distB="0" distL="114300" distR="114300" simplePos="0" relativeHeight="251665920" behindDoc="0" locked="0" layoutInCell="0" allowOverlap="1" wp14:anchorId="7630F07A" wp14:editId="54DC97A0">
              <wp:simplePos x="0" y="0"/>
              <wp:positionH relativeFrom="page">
                <wp:align>center</wp:align>
              </wp:positionH>
              <wp:positionV relativeFrom="page">
                <wp:align>bottom</wp:align>
              </wp:positionV>
              <wp:extent cx="7772400" cy="502285"/>
              <wp:effectExtent l="0" t="0" r="0" b="12065"/>
              <wp:wrapNone/>
              <wp:docPr id="4" name="MSIPCMa08049c3b4777d6256551678" descr="{&quot;HashCode&quot;:904758361,&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C8AA9" w14:textId="614E835C" w:rsidR="00B61D26"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30F07A" id="_x0000_t202" coordsize="21600,21600" o:spt="202" path="m,l,21600r21600,l21600,xe">
              <v:stroke joinstyle="miter"/>
              <v:path gradientshapeok="t" o:connecttype="rect"/>
            </v:shapetype>
            <v:shape id="MSIPCMa08049c3b4777d6256551678" o:spid="_x0000_s1032" type="#_x0000_t202" alt="{&quot;HashCode&quot;:904758361,&quot;Height&quot;:9999999.0,&quot;Width&quot;:9999999.0,&quot;Placement&quot;:&quot;Footer&quot;,&quot;Index&quot;:&quot;Primary&quot;,&quot;Section&quot;:8,&quot;Top&quot;:0.0,&quot;Left&quot;:0.0}" style="position:absolute;margin-left:0;margin-top:0;width:612pt;height:39.55pt;z-index:251665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44BC8AA9" w14:textId="614E835C" w:rsidR="00B61D26" w:rsidRPr="00D36400" w:rsidRDefault="00D36400" w:rsidP="00D36400">
                    <w:pPr>
                      <w:spacing w:after="0"/>
                      <w:jc w:val="center"/>
                      <w:rPr>
                        <w:rFonts w:ascii="Arial Black" w:hAnsi="Arial Black"/>
                        <w:color w:val="000000"/>
                        <w:sz w:val="20"/>
                      </w:rPr>
                    </w:pPr>
                    <w:r w:rsidRPr="00D36400">
                      <w:rPr>
                        <w:rFonts w:ascii="Arial Black" w:hAnsi="Arial Black"/>
                        <w:color w:val="000000"/>
                        <w:sz w:val="20"/>
                      </w:rPr>
                      <w:t>OFFICIAL</w:t>
                    </w:r>
                  </w:p>
                </w:txbxContent>
              </v:textbox>
              <w10:wrap anchorx="page" anchory="page"/>
            </v:shape>
          </w:pict>
        </mc:Fallback>
      </mc:AlternateContent>
    </w:r>
    <w:r w:rsidR="00342BA9">
      <w:rPr>
        <w:noProof/>
        <w:lang w:eastAsia="en-AU"/>
      </w:rPr>
      <mc:AlternateContent>
        <mc:Choice Requires="wps">
          <w:drawing>
            <wp:anchor distT="0" distB="0" distL="114300" distR="114300" simplePos="0" relativeHeight="251661824" behindDoc="0" locked="0" layoutInCell="0" allowOverlap="1" wp14:anchorId="68EB0E25" wp14:editId="693B9253">
              <wp:simplePos x="0" y="0"/>
              <wp:positionH relativeFrom="page">
                <wp:posOffset>0</wp:posOffset>
              </wp:positionH>
              <wp:positionV relativeFrom="page">
                <wp:posOffset>10182225</wp:posOffset>
              </wp:positionV>
              <wp:extent cx="7560310" cy="241199"/>
              <wp:effectExtent l="0" t="0" r="0" b="635"/>
              <wp:wrapNone/>
              <wp:docPr id="19"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4119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183DCD" w14:textId="77777777" w:rsidR="00394B19" w:rsidRPr="002C5B7C" w:rsidRDefault="00394B19" w:rsidP="00394B19">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8EB0E25" id="_x0000_s1033" type="#_x0000_t202" alt="{&quot;HashCode&quot;:904758361,&quot;Height&quot;:841.0,&quot;Width&quot;:595.0,&quot;Placement&quot;:&quot;Footer&quot;,&quot;Index&quot;:&quot;OddAndEven&quot;,&quot;Section&quot;:3,&quot;Top&quot;:0.0,&quot;Left&quot;:0.0}" style="position:absolute;margin-left:0;margin-top:801.75pt;width:595.3pt;height:19pt;z-index:2516618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" o:allowincell="f" filled="f" stroked="f" strokeweight=".5pt">
              <v:textbox inset=",0,,0">
                <w:txbxContent>
                  <w:p w14:paraId="43183DCD" w14:textId="77777777" w:rsidR="00394B19" w:rsidRPr="002C5B7C" w:rsidRDefault="00394B19" w:rsidP="00394B19">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sidR="00695D13" w:rsidRPr="00BC3B9D" w:rsidDel="00695D13">
      <w:rPr>
        <w:b w:val="0"/>
        <w:bCs/>
        <w:color w:val="auto"/>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3B52" w14:textId="3FB119D0" w:rsidR="00D00A67" w:rsidRDefault="00D53593" w:rsidP="00432751">
    <w:pPr>
      <w:pStyle w:val="DHHSfooter"/>
    </w:pPr>
    <w:r>
      <w:rPr>
        <w:noProof/>
        <w:lang w:eastAsia="en-AU"/>
      </w:rPr>
      <mc:AlternateContent>
        <mc:Choice Requires="wps">
          <w:drawing>
            <wp:anchor distT="0" distB="0" distL="114300" distR="114300" simplePos="0" relativeHeight="251660800" behindDoc="0" locked="0" layoutInCell="0" allowOverlap="1" wp14:anchorId="2352F532" wp14:editId="2D696E25">
              <wp:simplePos x="0" y="0"/>
              <wp:positionH relativeFrom="margin">
                <wp:posOffset>-712470</wp:posOffset>
              </wp:positionH>
              <wp:positionV relativeFrom="page">
                <wp:posOffset>7066280</wp:posOffset>
              </wp:positionV>
              <wp:extent cx="10683875" cy="190500"/>
              <wp:effectExtent l="0" t="0" r="0" b="0"/>
              <wp:wrapNone/>
              <wp:docPr id="5"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10683875"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C569D" w14:textId="77777777" w:rsidR="00432751" w:rsidRPr="002C5B7C" w:rsidRDefault="00432751" w:rsidP="00432751">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2F532" id="_x0000_t202" coordsize="21600,21600" o:spt="202" path="m,l,21600r21600,l21600,xe">
              <v:stroke joinstyle="miter"/>
              <v:path gradientshapeok="t" o:connecttype="rect"/>
            </v:shapetype>
            <v:shape id="_x0000_s1034" type="#_x0000_t202" alt="{&quot;HashCode&quot;:904758361,&quot;Height&quot;:841.0,&quot;Width&quot;:595.0,&quot;Placement&quot;:&quot;Footer&quot;,&quot;Index&quot;:&quot;OddAndEven&quot;,&quot;Section&quot;:3,&quot;Top&quot;:0.0,&quot;Left&quot;:0.0}" style="position:absolute;margin-left:-56.1pt;margin-top:556.4pt;width:841.25pt;height: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" o:allowincell="f" filled="f" stroked="f" strokeweight=".5pt">
              <v:textbox inset=",0,,0">
                <w:txbxContent>
                  <w:p w14:paraId="68CC569D" w14:textId="77777777" w:rsidR="00432751" w:rsidRPr="002C5B7C" w:rsidRDefault="00432751" w:rsidP="00432751">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margin" anchory="page"/>
            </v:shape>
          </w:pict>
        </mc:Fallback>
      </mc:AlternateContent>
    </w:r>
    <w:r w:rsidR="00B54045">
      <w:rPr>
        <w:noProof/>
        <w:lang w:eastAsia="en-AU"/>
      </w:rPr>
      <mc:AlternateContent>
        <mc:Choice Requires="wps">
          <w:drawing>
            <wp:anchor distT="0" distB="0" distL="114300" distR="114300" simplePos="0" relativeHeight="251657728" behindDoc="0" locked="0" layoutInCell="0" allowOverlap="1" wp14:anchorId="53169B52" wp14:editId="40B33BD0">
              <wp:simplePos x="0" y="0"/>
              <wp:positionH relativeFrom="page">
                <wp:align>right</wp:align>
              </wp:positionH>
              <wp:positionV relativeFrom="page">
                <wp:posOffset>10401300</wp:posOffset>
              </wp:positionV>
              <wp:extent cx="7560310" cy="190500"/>
              <wp:effectExtent l="0" t="0" r="0" b="0"/>
              <wp:wrapNone/>
              <wp:docPr id="12"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4B332"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3169B52" id="_x0000_s1035" type="#_x0000_t202" alt="{&quot;HashCode&quot;:904758361,&quot;Height&quot;:841.0,&quot;Width&quot;:595.0,&quot;Placement&quot;:&quot;Footer&quot;,&quot;Index&quot;:&quot;OddAndEven&quot;,&quot;Section&quot;:3,&quot;Top&quot;:0.0,&quot;Left&quot;:0.0}" style="position:absolute;margin-left:544.1pt;margin-top:819pt;width:595.3pt;height:15pt;z-index:251657728;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" o:allowincell="f" filled="f" stroked="f" strokeweight=".5pt">
              <v:textbox inset=",0,,0">
                <w:txbxContent>
                  <w:p w14:paraId="2E84B332"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736" w14:textId="138D70EC" w:rsidR="00D00A67" w:rsidRDefault="00B54045" w:rsidP="00A93481">
    <w:pPr>
      <w:pStyle w:val="DHHSfooter"/>
    </w:pPr>
    <w:r>
      <w:rPr>
        <w:noProof/>
        <w:lang w:eastAsia="en-AU"/>
      </w:rPr>
      <mc:AlternateContent>
        <mc:Choice Requires="wps">
          <w:drawing>
            <wp:anchor distT="0" distB="0" distL="114300" distR="114300" simplePos="0" relativeHeight="251658752" behindDoc="0" locked="0" layoutInCell="0" allowOverlap="1" wp14:anchorId="260353A7" wp14:editId="370A6125">
              <wp:simplePos x="0" y="0"/>
              <wp:positionH relativeFrom="page">
                <wp:posOffset>0</wp:posOffset>
              </wp:positionH>
              <wp:positionV relativeFrom="page">
                <wp:posOffset>10202342</wp:posOffset>
              </wp:positionV>
              <wp:extent cx="7560310" cy="190500"/>
              <wp:effectExtent l="0" t="0" r="0" b="0"/>
              <wp:wrapNone/>
              <wp:docPr id="1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D626"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60353A7" id="_x0000_t202" coordsize="21600,21600" o:spt="202" path="m,l,21600r21600,l21600,xe">
              <v:stroke joinstyle="miter"/>
              <v:path gradientshapeok="t" o:connecttype="rect"/>
            </v:shapetype>
            <v:shape id="_x0000_s1036" type="#_x0000_t202" alt="{&quot;HashCode&quot;:904758361,&quot;Height&quot;:841.0,&quot;Width&quot;:595.0,&quot;Placement&quot;:&quot;Footer&quot;,&quot;Index&quot;:&quot;OddAndEven&quot;,&quot;Section&quot;:3,&quot;Top&quot;:0.0,&quot;Left&quot;:0.0}" style="position:absolute;margin-left:0;margin-top:803.35pt;width:595.3pt;height:15pt;z-index:2516587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" o:allowincell="f" filled="f" stroked="f" strokeweight=".5pt">
              <v:textbox inset=",0,,0">
                <w:txbxContent>
                  <w:p w14:paraId="7C57D626"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6578" w14:textId="77777777" w:rsidR="007014BF" w:rsidRDefault="007014BF" w:rsidP="00207717">
      <w:pPr>
        <w:spacing w:before="120"/>
      </w:pPr>
      <w:r>
        <w:separator/>
      </w:r>
    </w:p>
  </w:footnote>
  <w:footnote w:type="continuationSeparator" w:id="0">
    <w:p w14:paraId="0E3C2F65" w14:textId="77777777" w:rsidR="007014BF" w:rsidRDefault="007014BF">
      <w:r>
        <w:continuationSeparator/>
      </w:r>
    </w:p>
    <w:p w14:paraId="35F2DD68" w14:textId="77777777" w:rsidR="007014BF" w:rsidRDefault="007014BF"/>
  </w:footnote>
  <w:footnote w:type="continuationNotice" w:id="1">
    <w:p w14:paraId="34986DCD" w14:textId="77777777" w:rsidR="007014BF" w:rsidRDefault="007014BF">
      <w:pPr>
        <w:spacing w:after="0" w:line="240" w:lineRule="auto"/>
      </w:pPr>
    </w:p>
  </w:footnote>
  <w:footnote w:id="2">
    <w:p w14:paraId="633257B2" w14:textId="154B7B64" w:rsidR="0071740D" w:rsidRDefault="0071740D">
      <w:pPr>
        <w:pStyle w:val="FootnoteText"/>
      </w:pPr>
      <w:r>
        <w:rPr>
          <w:rStyle w:val="FootnoteReference"/>
        </w:rPr>
        <w:footnoteRef/>
      </w:r>
      <w:r>
        <w:t xml:space="preserve"> C</w:t>
      </w:r>
      <w:r w:rsidRPr="00384F5E">
        <w:t>alculated using higher values for projects with range</w:t>
      </w:r>
      <w:r>
        <w:t>.</w:t>
      </w:r>
    </w:p>
  </w:footnote>
  <w:footnote w:id="3">
    <w:p w14:paraId="5DFBB9DC" w14:textId="77777777" w:rsidR="00E12A69" w:rsidRDefault="00E12A69" w:rsidP="00251E95">
      <w:pPr>
        <w:pStyle w:val="FootnoteText"/>
      </w:pPr>
      <w:r w:rsidRPr="00171B3C">
        <w:rPr>
          <w:rStyle w:val="FootnoteReference"/>
        </w:rPr>
        <w:footnoteRef/>
      </w:r>
      <w:r>
        <w:t xml:space="preserve"> Urgent care centres also provide minor injury/illness service</w:t>
      </w:r>
      <w:r w:rsidRPr="219655F1">
        <w:t xml:space="preserve">s after hours when </w:t>
      </w:r>
      <w:r>
        <w:rPr>
          <w:rFonts w:eastAsia="MS Mincho"/>
        </w:rPr>
        <w:t xml:space="preserve">general practitioner </w:t>
      </w:r>
      <w:r w:rsidRPr="219655F1">
        <w:t>ser</w:t>
      </w:r>
      <w:r w:rsidRPr="6EBD175B">
        <w:t>vi</w:t>
      </w:r>
      <w:r w:rsidRPr="219655F1">
        <w:t>ces are not available.</w:t>
      </w:r>
    </w:p>
  </w:footnote>
  <w:footnote w:id="4">
    <w:p w14:paraId="769481C2" w14:textId="67C47D22" w:rsidR="00E24EF9" w:rsidRDefault="00E24EF9">
      <w:pPr>
        <w:pStyle w:val="FootnoteText"/>
      </w:pPr>
      <w:r>
        <w:rPr>
          <w:rStyle w:val="FootnoteReference"/>
        </w:rPr>
        <w:footnoteRef/>
      </w:r>
      <w:r>
        <w:t xml:space="preserve"> A registered account with login and password is required to access the portal. </w:t>
      </w:r>
    </w:p>
  </w:footnote>
  <w:footnote w:id="5">
    <w:p w14:paraId="305434D8" w14:textId="7081FE04" w:rsidR="00E24EF9" w:rsidRDefault="00E24EF9">
      <w:pPr>
        <w:pStyle w:val="FootnoteText"/>
      </w:pPr>
      <w:r>
        <w:rPr>
          <w:rStyle w:val="FootnoteReference"/>
        </w:rPr>
        <w:footnoteRef/>
      </w:r>
      <w:r>
        <w:t xml:space="preserve"> A registered account with login and password is required to access the portal.</w:t>
      </w:r>
    </w:p>
  </w:footnote>
  <w:footnote w:id="6">
    <w:p w14:paraId="436EA915" w14:textId="77777777" w:rsidR="001B1D6D" w:rsidRDefault="001B1D6D" w:rsidP="001B1D6D">
      <w:pPr>
        <w:pStyle w:val="FootnoteText"/>
      </w:pPr>
      <w:r>
        <w:rPr>
          <w:rStyle w:val="FootnoteReference"/>
        </w:rPr>
        <w:footnoteRef/>
      </w:r>
      <w:r>
        <w:t xml:space="preserve"> Biannual in this instance refers to twice yearly. </w:t>
      </w:r>
    </w:p>
  </w:footnote>
  <w:footnote w:id="7">
    <w:p w14:paraId="09A969EB" w14:textId="7C746168" w:rsidR="00AD74CD" w:rsidRDefault="00AD74CD" w:rsidP="00AD74CD">
      <w:pPr>
        <w:pStyle w:val="FootnoteText"/>
      </w:pPr>
      <w:r>
        <w:rPr>
          <w:rStyle w:val="FootnoteReference"/>
        </w:rPr>
        <w:footnoteRef/>
      </w:r>
      <w:r w:rsidR="00B20B99">
        <w:t xml:space="preserve"> Further work will be undertaken on leave event measures terminology that better captures patient experience and Aboriginal community’s holistic understanding of health and wellbeing.</w:t>
      </w:r>
      <w:r>
        <w:t xml:space="preserve"> </w:t>
      </w:r>
    </w:p>
  </w:footnote>
  <w:footnote w:id="8">
    <w:p w14:paraId="5C17A9C7" w14:textId="4731260D" w:rsidR="005A4D8B" w:rsidRDefault="005A4D8B">
      <w:pPr>
        <w:pStyle w:val="FootnoteText"/>
      </w:pPr>
      <w:r>
        <w:rPr>
          <w:rStyle w:val="FootnoteReference"/>
        </w:rPr>
        <w:footnoteRef/>
      </w:r>
      <w:r>
        <w:t xml:space="preserve"> </w:t>
      </w:r>
      <w:r w:rsidR="00580C84">
        <w:t>Distributed</w:t>
      </w:r>
      <w:r>
        <w:t xml:space="preserve"> to relevant health services.</w:t>
      </w:r>
    </w:p>
  </w:footnote>
  <w:footnote w:id="9">
    <w:p w14:paraId="5FEB7CA4" w14:textId="77777777" w:rsidR="00B53A8B" w:rsidRDefault="00B53A8B" w:rsidP="00B53A8B">
      <w:pPr>
        <w:pStyle w:val="FootnoteText"/>
        <w:rPr>
          <w:lang w:val="en-US"/>
        </w:rPr>
      </w:pPr>
      <w:r>
        <w:rPr>
          <w:rStyle w:val="FootnoteReference"/>
        </w:rPr>
        <w:footnoteRef/>
      </w:r>
      <w:r>
        <w:t xml:space="preserve"> </w:t>
      </w:r>
      <w:r>
        <w:rPr>
          <w:rFonts w:eastAsia="Arial"/>
        </w:rPr>
        <w:t>State component only.</w:t>
      </w:r>
    </w:p>
  </w:footnote>
  <w:footnote w:id="10">
    <w:p w14:paraId="5D3E4C31" w14:textId="77777777" w:rsidR="006A7B86" w:rsidRPr="00B00930" w:rsidRDefault="006A7B86" w:rsidP="0064265C">
      <w:pPr>
        <w:pStyle w:val="FootnoteText"/>
      </w:pPr>
      <w:r w:rsidRPr="00B46238">
        <w:rPr>
          <w:vertAlign w:val="superscript"/>
        </w:rPr>
        <w:footnoteRef/>
      </w:r>
      <w:r w:rsidRPr="0048769F">
        <w:t xml:space="preserve"> </w:t>
      </w:r>
      <w:r w:rsidRPr="00B00930">
        <w:t>Where ‘HACC’ is referred to, the service relates to the Home and Community Care Program for Younger People (HACC-PYP).</w:t>
      </w:r>
    </w:p>
  </w:footnote>
  <w:footnote w:id="11">
    <w:p w14:paraId="544EBC6D" w14:textId="77777777" w:rsidR="002E0941" w:rsidRDefault="002E0941" w:rsidP="002E0941">
      <w:pPr>
        <w:pStyle w:val="FootnoteText"/>
      </w:pPr>
      <w:r>
        <w:rPr>
          <w:rStyle w:val="FootnoteReference"/>
        </w:rPr>
        <w:footnoteRef/>
      </w:r>
      <w:r>
        <w:t xml:space="preserve"> Annual funding is generally calculated as follows:</w:t>
      </w:r>
    </w:p>
    <w:p w14:paraId="6B9F8A6C" w14:textId="45DD902F" w:rsidR="002E0941" w:rsidRDefault="002E0941" w:rsidP="002E0941">
      <w:pPr>
        <w:pStyle w:val="FootnoteText"/>
        <w:ind w:left="170"/>
      </w:pPr>
      <w:r>
        <w:t>Number of operational places × 365.25 days per year × 99</w:t>
      </w:r>
      <w:r w:rsidR="002027F2">
        <w:t>%</w:t>
      </w:r>
      <w:r>
        <w:t xml:space="preserve"> occupancy factor × relevant unit price. Places that are not operational (for a time-limited period or ongoing), or used for any other purpose, will not attract state government PSRACS supplements.</w:t>
      </w:r>
    </w:p>
  </w:footnote>
  <w:footnote w:id="12">
    <w:p w14:paraId="628E2F7E" w14:textId="77777777" w:rsidR="002E0941" w:rsidRDefault="002E0941" w:rsidP="002E0941">
      <w:pPr>
        <w:pStyle w:val="FootnoteText"/>
      </w:pPr>
      <w:r>
        <w:rPr>
          <w:rStyle w:val="FootnoteReference"/>
        </w:rPr>
        <w:footnoteRef/>
      </w:r>
      <w:r>
        <w:t xml:space="preserve"> This supplement was previously referred to as HSUA 1 EBA – hostel.</w:t>
      </w:r>
    </w:p>
  </w:footnote>
  <w:footnote w:id="13">
    <w:p w14:paraId="6469141A" w14:textId="77777777" w:rsidR="009A1786" w:rsidRDefault="009A1786" w:rsidP="009A1786">
      <w:pPr>
        <w:pStyle w:val="FootnoteText"/>
      </w:pPr>
      <w:r>
        <w:rPr>
          <w:rStyle w:val="FootnoteReference"/>
        </w:rPr>
        <w:footnoteRef/>
      </w:r>
      <w:r>
        <w:t xml:space="preserve"> Annual funding is generally calculated as follows:</w:t>
      </w:r>
    </w:p>
    <w:p w14:paraId="2E350ADA" w14:textId="289F2BA4" w:rsidR="009A1786" w:rsidRDefault="009A1786" w:rsidP="009A1786">
      <w:pPr>
        <w:pStyle w:val="FootnoteText"/>
        <w:ind w:left="170"/>
      </w:pPr>
      <w:r>
        <w:t>Number of operational places × 365.25 days per year × 99</w:t>
      </w:r>
      <w:r w:rsidR="002027F2">
        <w:t xml:space="preserve">% </w:t>
      </w:r>
      <w:r>
        <w:t>occupancy factor × relevant unit price. Places that are not operational (for a time-limited period or ongoing), or used for any other purpose, will not attract state government PSRACS supplements.</w:t>
      </w:r>
    </w:p>
  </w:footnote>
  <w:footnote w:id="14">
    <w:p w14:paraId="43EE2C21" w14:textId="77777777" w:rsidR="009A1786" w:rsidRDefault="009A1786" w:rsidP="009A1786">
      <w:pPr>
        <w:pStyle w:val="FootnoteText"/>
      </w:pPr>
      <w:r>
        <w:rPr>
          <w:rStyle w:val="FootnoteReference"/>
        </w:rPr>
        <w:footnoteRef/>
      </w:r>
      <w:r>
        <w:t xml:space="preserve"> This supplement was previously referred to as HSUA 1 EBA – hostel.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39AD" w14:textId="77777777" w:rsidR="00D36400" w:rsidRDefault="00D364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FF8E" w14:textId="4CB55883" w:rsidR="00D00A67" w:rsidRPr="0037564B" w:rsidRDefault="00695D13" w:rsidP="00AE6427">
    <w:pPr>
      <w:pStyle w:val="Header"/>
      <w:tabs>
        <w:tab w:val="left" w:pos="8789"/>
        <w:tab w:val="left" w:pos="9072"/>
        <w:tab w:val="left" w:pos="13750"/>
        <w:tab w:val="left" w:pos="13892"/>
      </w:tabs>
      <w:rPr>
        <w:b w:val="0"/>
        <w:color w:val="auto"/>
      </w:rPr>
    </w:pPr>
    <w:r w:rsidRPr="007B446A">
      <w:t xml:space="preserve">Policy and </w:t>
    </w:r>
    <w:r w:rsidR="0021165E">
      <w:t>F</w:t>
    </w:r>
    <w:r w:rsidRPr="007B446A">
      <w:t xml:space="preserve">unding </w:t>
    </w:r>
    <w:r w:rsidR="0021165E">
      <w:t>G</w:t>
    </w:r>
    <w:r w:rsidRPr="007B446A">
      <w:t xml:space="preserve">uidelines 2022–23: Funding </w:t>
    </w:r>
    <w:r w:rsidR="0021165E">
      <w:t>R</w:t>
    </w:r>
    <w:r w:rsidRPr="007B446A">
      <w:t>ules</w:t>
    </w:r>
    <w:r w:rsidR="00F73199">
      <w:tab/>
    </w:r>
    <w:r w:rsidR="00F73199">
      <w:tab/>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142</w:t>
    </w:r>
    <w:r w:rsidRPr="00DE6C85">
      <w:rPr>
        <w:b w:val="0"/>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4E6D" w14:textId="226E6646" w:rsidR="00695D13" w:rsidRDefault="00695D13" w:rsidP="006C3D9A">
    <w:pPr>
      <w:pStyle w:val="Header"/>
      <w:tabs>
        <w:tab w:val="left" w:pos="13750"/>
        <w:tab w:val="left" w:pos="13892"/>
      </w:tabs>
    </w:pPr>
    <w:r w:rsidRPr="00695D13">
      <w:t xml:space="preserve">Policy and </w:t>
    </w:r>
    <w:r w:rsidR="0021165E">
      <w:t>F</w:t>
    </w:r>
    <w:r w:rsidRPr="00695D13">
      <w:t xml:space="preserve">unding </w:t>
    </w:r>
    <w:r w:rsidR="0021165E">
      <w:t>G</w:t>
    </w:r>
    <w:r w:rsidRPr="00695D13">
      <w:t xml:space="preserve">uidelines 2022–23: Funding </w:t>
    </w:r>
    <w:r w:rsidR="0021165E">
      <w:t>R</w:t>
    </w:r>
    <w:r w:rsidRPr="00695D13">
      <w:t>ules</w:t>
    </w:r>
    <w:r w:rsidR="0021165E">
      <w:t xml:space="preserve">                    </w:t>
    </w:r>
    <w:r w:rsidR="005F3A05">
      <w:t xml:space="preserve">                                                  </w:t>
    </w:r>
    <w:r w:rsidR="0021165E">
      <w:t xml:space="preserve">      </w:t>
    </w:r>
    <w:r w:rsidRPr="006C3D9A">
      <w:fldChar w:fldCharType="begin"/>
    </w:r>
    <w:r w:rsidRPr="006C3D9A">
      <w:instrText xml:space="preserve"> PAGE </w:instrText>
    </w:r>
    <w:r w:rsidRPr="006C3D9A">
      <w:fldChar w:fldCharType="separate"/>
    </w:r>
    <w:r w:rsidRPr="006C3D9A">
      <w:t>7</w:t>
    </w:r>
    <w:r w:rsidRPr="006C3D9A">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BC1" w14:textId="4C7D284C" w:rsidR="00695D13" w:rsidRPr="0037564B" w:rsidRDefault="00695D13" w:rsidP="00C4616E">
    <w:pPr>
      <w:pStyle w:val="Header"/>
      <w:tabs>
        <w:tab w:val="left" w:pos="6120"/>
      </w:tabs>
      <w:rPr>
        <w:b w:val="0"/>
        <w:color w:val="auto"/>
      </w:rPr>
    </w:pPr>
    <w:r w:rsidRPr="007B446A">
      <w:t xml:space="preserve">Policy and funding guidelines 2022–23: Funding </w:t>
    </w:r>
    <w:r w:rsidR="003D39E9">
      <w:t>R</w:t>
    </w:r>
    <w:r w:rsidRPr="007B446A">
      <w:t>ules</w:t>
    </w:r>
    <w:r w:rsidR="009463CA">
      <w:tab/>
    </w:r>
    <w:r w:rsidR="00C4616E">
      <w:tab/>
    </w:r>
    <w:r w:rsidR="00C4616E">
      <w:tab/>
    </w:r>
    <w:r w:rsidR="00C4616E">
      <w:tab/>
    </w:r>
    <w:r w:rsidR="00C4616E">
      <w:tab/>
    </w:r>
    <w:r w:rsidR="00C4616E">
      <w:tab/>
    </w:r>
    <w:r w:rsidR="009463CA">
      <w:tab/>
    </w:r>
    <w:r w:rsidR="009463CA">
      <w:tab/>
    </w:r>
    <w:r w:rsidR="009463CA">
      <w:tab/>
    </w:r>
    <w:r w:rsidR="009463CA">
      <w:tab/>
    </w:r>
    <w:r w:rsidR="003D39E9">
      <w:t xml:space="preserve"> </w:t>
    </w:r>
    <w:r w:rsidRPr="00DE6C85">
      <w:rPr>
        <w:b w:val="0"/>
        <w:bCs/>
      </w:rPr>
      <w:fldChar w:fldCharType="begin"/>
    </w:r>
    <w:r w:rsidRPr="00DE6C85">
      <w:rPr>
        <w:bCs/>
      </w:rPr>
      <w:instrText xml:space="preserve"> PAGE </w:instrText>
    </w:r>
    <w:r w:rsidRPr="00DE6C85">
      <w:rPr>
        <w:b w:val="0"/>
        <w:bCs/>
      </w:rPr>
      <w:fldChar w:fldCharType="separate"/>
    </w:r>
    <w:r>
      <w:rPr>
        <w:b w:val="0"/>
        <w:bCs/>
      </w:rPr>
      <w:t>142</w:t>
    </w:r>
    <w:r w:rsidRPr="00DE6C85">
      <w:rPr>
        <w:b w:val="0"/>
        <w:bCs/>
      </w:rPr>
      <w:fldChar w:fldCharType="end"/>
    </w:r>
    <w:r w:rsidR="009463CA">
      <w:rPr>
        <w:b w:val="0"/>
        <w:bCs/>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FD75" w14:textId="509600E3" w:rsidR="002C4DD5" w:rsidRPr="002705DA" w:rsidRDefault="00695D13" w:rsidP="00AE6427">
    <w:pPr>
      <w:pStyle w:val="Header"/>
      <w:tabs>
        <w:tab w:val="left" w:pos="8931"/>
        <w:tab w:val="left" w:pos="13750"/>
        <w:tab w:val="left" w:pos="13892"/>
      </w:tabs>
    </w:pPr>
    <w:r w:rsidRPr="007B446A">
      <w:t>Policy and funding guidelines 2022–23: Funding rules – Part 2: Funding and activity levels</w:t>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151</w:t>
    </w:r>
    <w:r w:rsidRPr="00DE6C85">
      <w:rPr>
        <w:b w:val="0"/>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1439" w14:textId="79FF9A07" w:rsidR="00AC6620" w:rsidRPr="00732DE2" w:rsidRDefault="00695D13" w:rsidP="00AE6427">
    <w:pPr>
      <w:pStyle w:val="Header"/>
      <w:tabs>
        <w:tab w:val="left" w:pos="8931"/>
      </w:tabs>
    </w:pPr>
    <w:r w:rsidRPr="007B446A">
      <w:t>Policy and funding guidelines 2022–23: Funding rules – Part 2: Funding and activity levels</w:t>
    </w:r>
    <w:r>
      <w:rPr>
        <w:color w:val="auto"/>
      </w:rPr>
      <w:tab/>
    </w:r>
    <w:r w:rsidRPr="00DE6C85">
      <w:rPr>
        <w:bCs/>
      </w:rPr>
      <w:fldChar w:fldCharType="begin"/>
    </w:r>
    <w:r w:rsidRPr="00DE6C85">
      <w:rPr>
        <w:bCs/>
      </w:rPr>
      <w:instrText xml:space="preserve"> PAGE </w:instrText>
    </w:r>
    <w:r w:rsidRPr="00DE6C85">
      <w:rPr>
        <w:bCs/>
      </w:rPr>
      <w:fldChar w:fldCharType="separate"/>
    </w:r>
    <w:r>
      <w:rPr>
        <w:b w:val="0"/>
        <w:bCs/>
      </w:rPr>
      <w:t>152</w:t>
    </w:r>
    <w:r w:rsidRPr="00DE6C85">
      <w:rPr>
        <w:bC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5B45" w14:textId="3F4F5C0C" w:rsidR="00D00A67" w:rsidRDefault="00695D13" w:rsidP="00AE6427">
    <w:pPr>
      <w:pStyle w:val="Header"/>
      <w:tabs>
        <w:tab w:val="left" w:pos="8931"/>
      </w:tabs>
    </w:pPr>
    <w:r w:rsidRPr="007B446A">
      <w:t>Policy and funding guidelines 2022–23: Funding rules – Part 2: Funding and activity levels</w:t>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153</w:t>
    </w:r>
    <w:r w:rsidRPr="00DE6C85">
      <w:rPr>
        <w:b w:val="0"/>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2E44" w14:textId="50B55F3E" w:rsidR="00D00A67" w:rsidRDefault="00695D13" w:rsidP="00AE6427">
    <w:pPr>
      <w:pStyle w:val="Header"/>
      <w:tabs>
        <w:tab w:val="left" w:pos="8931"/>
      </w:tabs>
    </w:pPr>
    <w:r w:rsidRPr="007B446A">
      <w:t>Policy and funding guidelines 2022–23: Funding rules – Part 2: Funding and activity levels</w:t>
    </w:r>
    <w:r>
      <w:rPr>
        <w:color w:val="auto"/>
      </w:rPr>
      <w:tab/>
    </w:r>
    <w:r w:rsidRPr="00DE6C85">
      <w:rPr>
        <w:bCs/>
      </w:rPr>
      <w:fldChar w:fldCharType="begin"/>
    </w:r>
    <w:r w:rsidRPr="00DE6C85">
      <w:rPr>
        <w:bCs/>
      </w:rPr>
      <w:instrText xml:space="preserve"> PAGE </w:instrText>
    </w:r>
    <w:r w:rsidRPr="00DE6C85">
      <w:rPr>
        <w:bCs/>
      </w:rPr>
      <w:fldChar w:fldCharType="separate"/>
    </w:r>
    <w:r>
      <w:rPr>
        <w:b w:val="0"/>
        <w:bCs/>
      </w:rPr>
      <w:t>153</w:t>
    </w:r>
    <w:r w:rsidRPr="00DE6C85">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23E9" w14:textId="77777777" w:rsidR="00D36400" w:rsidRDefault="00D36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9EAF" w14:textId="77777777" w:rsidR="00D36400" w:rsidRDefault="00D364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85F" w14:textId="4F78E831" w:rsidR="00E24EF9" w:rsidRPr="00AE6427" w:rsidRDefault="00342BA9" w:rsidP="00AE6427">
    <w:pPr>
      <w:pStyle w:val="Header"/>
      <w:tabs>
        <w:tab w:val="left" w:pos="8931"/>
      </w:tabs>
    </w:pPr>
    <w:r w:rsidRPr="00342BA9">
      <w:t xml:space="preserve">Policy and </w:t>
    </w:r>
    <w:r w:rsidR="003C5876">
      <w:t>F</w:t>
    </w:r>
    <w:r w:rsidRPr="00342BA9">
      <w:t xml:space="preserve">unding </w:t>
    </w:r>
    <w:r w:rsidR="003C5876">
      <w:t>G</w:t>
    </w:r>
    <w:r w:rsidRPr="00342BA9">
      <w:t xml:space="preserve">uidelines 2022–23: Funding </w:t>
    </w:r>
    <w:r w:rsidR="003C5876">
      <w:t>R</w:t>
    </w:r>
    <w:r w:rsidRPr="00342BA9">
      <w:t>ules</w:t>
    </w:r>
    <w:r>
      <w:tab/>
    </w:r>
    <w:r w:rsidRPr="00AE6427">
      <w:fldChar w:fldCharType="begin"/>
    </w:r>
    <w:r w:rsidRPr="00AE6427">
      <w:instrText xml:space="preserve"> PAGE </w:instrText>
    </w:r>
    <w:r w:rsidRPr="00AE6427">
      <w:fldChar w:fldCharType="separate"/>
    </w:r>
    <w:r w:rsidRPr="00AE6427">
      <w:t>105</w:t>
    </w:r>
    <w:r w:rsidRPr="00AE642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A3E9" w14:textId="6D0D63C2" w:rsidR="00E24EF9" w:rsidRPr="00815E2D" w:rsidRDefault="00342BA9" w:rsidP="00AE6427">
    <w:pPr>
      <w:pStyle w:val="Header"/>
      <w:tabs>
        <w:tab w:val="left" w:pos="8931"/>
      </w:tabs>
      <w:rPr>
        <w:b w:val="0"/>
        <w:bCs/>
        <w:color w:val="auto"/>
      </w:rPr>
    </w:pPr>
    <w:r w:rsidRPr="00342BA9">
      <w:t xml:space="preserve">Policy and </w:t>
    </w:r>
    <w:r w:rsidR="002B043F">
      <w:t>F</w:t>
    </w:r>
    <w:r w:rsidRPr="00342BA9">
      <w:t xml:space="preserve">unding </w:t>
    </w:r>
    <w:r w:rsidR="002B043F">
      <w:t>G</w:t>
    </w:r>
    <w:r w:rsidRPr="00342BA9">
      <w:t xml:space="preserve">uidelines 2022–23: Funding </w:t>
    </w:r>
    <w:r w:rsidR="002B043F">
      <w:t>R</w:t>
    </w:r>
    <w:r w:rsidRPr="00342BA9">
      <w:t>ules</w:t>
    </w:r>
    <w:r>
      <w:tab/>
    </w:r>
    <w:r w:rsidRPr="00AE6427">
      <w:fldChar w:fldCharType="begin"/>
    </w:r>
    <w:r w:rsidRPr="00AE6427">
      <w:instrText xml:space="preserve"> PAGE </w:instrText>
    </w:r>
    <w:r w:rsidRPr="00AE6427">
      <w:fldChar w:fldCharType="separate"/>
    </w:r>
    <w:r w:rsidRPr="00AE6427">
      <w:t>106</w:t>
    </w:r>
    <w:r w:rsidRPr="00AE642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0AD8" w14:textId="677DFB73" w:rsidR="00C30CBC" w:rsidRDefault="00C30CBC" w:rsidP="00AE6427">
    <w:pPr>
      <w:pStyle w:val="Header"/>
      <w:tabs>
        <w:tab w:val="left" w:pos="8931"/>
      </w:tabs>
    </w:pPr>
    <w:r w:rsidRPr="00342BA9">
      <w:t xml:space="preserve">Policy and funding guidelines 2022–23: Funding rules </w:t>
    </w:r>
    <w:r>
      <w:tab/>
    </w:r>
    <w:r w:rsidRPr="007B446A">
      <w:fldChar w:fldCharType="begin"/>
    </w:r>
    <w:r w:rsidRPr="007B446A">
      <w:instrText xml:space="preserve"> PAGE </w:instrText>
    </w:r>
    <w:r w:rsidRPr="007B446A">
      <w:fldChar w:fldCharType="separate"/>
    </w:r>
    <w:r>
      <w:t>6</w:t>
    </w:r>
    <w:r w:rsidRPr="007B446A">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326" w14:textId="6B3C3518" w:rsidR="00D00A67" w:rsidRDefault="00D00A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F8D2" w14:textId="77777777" w:rsidR="00D00A67" w:rsidRPr="00815E2D" w:rsidRDefault="00815E2D" w:rsidP="00815E2D">
    <w:pPr>
      <w:pStyle w:val="Header"/>
      <w:jc w:val="right"/>
      <w:rPr>
        <w:b w:val="0"/>
        <w:color w:val="auto"/>
      </w:rPr>
    </w:pPr>
    <w:r>
      <w:tab/>
    </w:r>
    <w:r w:rsidRPr="00AC6620">
      <w:rPr>
        <w:color w:val="auto"/>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A5AD" w14:textId="5B3AFEBF" w:rsidR="00D00A67" w:rsidRDefault="00695D13" w:rsidP="00AE6427">
    <w:pPr>
      <w:pStyle w:val="Header"/>
      <w:tabs>
        <w:tab w:val="left" w:pos="8931"/>
        <w:tab w:val="left" w:pos="13892"/>
      </w:tabs>
    </w:pPr>
    <w:r w:rsidRPr="00695D13">
      <w:t>Policy and funding guidelines 2022–23: Funding rules</w:t>
    </w:r>
    <w:r>
      <w:rPr>
        <w:color w:val="auto"/>
      </w:rPr>
      <w:tab/>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7</w:t>
    </w:r>
    <w:r w:rsidRPr="00DE6C85">
      <w:rPr>
        <w:b w:val="0"/>
        <w:bCs/>
      </w:rPr>
      <w:fldChar w:fldCharType="end"/>
    </w:r>
  </w:p>
</w:hdr>
</file>

<file path=word/intelligence.xml><?xml version="1.0" encoding="utf-8"?>
<int:Intelligence xmlns:int="http://schemas.microsoft.com/office/intelligence/2019/intelligence">
  <int:IntelligenceSettings/>
  <int:Manifest>
    <int:ParagraphRange paragraphId="908910515" textId="1645894392" start="19" length="9" invalidationStart="19" invalidationLength="9" id="N5AyTPfN"/>
  </int:Manifest>
  <int:Observations>
    <int:Content id="N5AyTPf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111111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51768AE"/>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8BA0720"/>
    <w:multiLevelType w:val="multilevel"/>
    <w:tmpl w:val="CFB85346"/>
    <w:lvl w:ilvl="0">
      <w:start w:val="8"/>
      <w:numFmt w:val="decimal"/>
      <w:lvlText w:val="Table 1.%1"/>
      <w:lvlJc w:val="left"/>
      <w:pPr>
        <w:ind w:left="0" w:firstLine="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33475D"/>
    <w:multiLevelType w:val="multilevel"/>
    <w:tmpl w:val="98E63D10"/>
    <w:styleLink w:val="ZZBoxnumbersroman"/>
    <w:lvl w:ilvl="0">
      <w:start w:val="1"/>
      <w:numFmt w:val="lowerRoman"/>
      <w:pStyle w:val="Boxnumberroman"/>
      <w:lvlText w:val="%1."/>
      <w:lvlJc w:val="left"/>
      <w:pPr>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B8D43DB"/>
    <w:multiLevelType w:val="multilevel"/>
    <w:tmpl w:val="8A86A6B0"/>
    <w:styleLink w:val="1ai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BAD2E30"/>
    <w:multiLevelType w:val="multilevel"/>
    <w:tmpl w:val="08D8B31C"/>
    <w:styleLink w:val="ZZNumbersloweralph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0C583BE1"/>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D5064E3"/>
    <w:multiLevelType w:val="hybridMultilevel"/>
    <w:tmpl w:val="CB80740C"/>
    <w:lvl w:ilvl="0" w:tplc="37E231C0">
      <w:start w:val="1"/>
      <w:numFmt w:val="lowerRoman"/>
      <w:lvlText w:val="%1."/>
      <w:lvlJc w:val="left"/>
      <w:pPr>
        <w:tabs>
          <w:tab w:val="num" w:pos="397"/>
        </w:tabs>
        <w:ind w:left="397" w:hanging="397"/>
      </w:pPr>
      <w:rPr>
        <w:rFonts w:hint="default"/>
      </w:rPr>
    </w:lvl>
    <w:lvl w:ilvl="1" w:tplc="1C4606A6">
      <w:start w:val="1"/>
      <w:numFmt w:val="none"/>
      <w:lvlRestart w:val="0"/>
      <w:lvlText w:val=""/>
      <w:lvlJc w:val="left"/>
      <w:pPr>
        <w:ind w:left="0" w:firstLine="0"/>
      </w:pPr>
      <w:rPr>
        <w:rFonts w:hint="default"/>
      </w:rPr>
    </w:lvl>
    <w:lvl w:ilvl="2" w:tplc="822671B6">
      <w:start w:val="1"/>
      <w:numFmt w:val="none"/>
      <w:lvlRestart w:val="0"/>
      <w:lvlText w:val=""/>
      <w:lvlJc w:val="left"/>
      <w:pPr>
        <w:ind w:left="0" w:firstLine="0"/>
      </w:pPr>
      <w:rPr>
        <w:rFonts w:hint="default"/>
      </w:rPr>
    </w:lvl>
    <w:lvl w:ilvl="3" w:tplc="EB2699F4">
      <w:start w:val="1"/>
      <w:numFmt w:val="none"/>
      <w:lvlRestart w:val="0"/>
      <w:lvlText w:val=""/>
      <w:lvlJc w:val="left"/>
      <w:pPr>
        <w:ind w:left="0" w:firstLine="0"/>
      </w:pPr>
      <w:rPr>
        <w:rFonts w:hint="default"/>
      </w:rPr>
    </w:lvl>
    <w:lvl w:ilvl="4" w:tplc="96AE3716">
      <w:start w:val="1"/>
      <w:numFmt w:val="none"/>
      <w:lvlRestart w:val="0"/>
      <w:lvlText w:val=""/>
      <w:lvlJc w:val="left"/>
      <w:pPr>
        <w:ind w:left="0" w:firstLine="0"/>
      </w:pPr>
      <w:rPr>
        <w:rFonts w:hint="default"/>
      </w:rPr>
    </w:lvl>
    <w:lvl w:ilvl="5" w:tplc="D85CE09A">
      <w:start w:val="1"/>
      <w:numFmt w:val="none"/>
      <w:lvlRestart w:val="0"/>
      <w:lvlText w:val=""/>
      <w:lvlJc w:val="left"/>
      <w:pPr>
        <w:ind w:left="0" w:firstLine="0"/>
      </w:pPr>
      <w:rPr>
        <w:rFonts w:hint="default"/>
      </w:rPr>
    </w:lvl>
    <w:lvl w:ilvl="6" w:tplc="F0C0B2E4">
      <w:start w:val="1"/>
      <w:numFmt w:val="none"/>
      <w:lvlRestart w:val="0"/>
      <w:lvlText w:val=""/>
      <w:lvlJc w:val="left"/>
      <w:pPr>
        <w:ind w:left="0" w:firstLine="0"/>
      </w:pPr>
      <w:rPr>
        <w:rFonts w:hint="default"/>
      </w:rPr>
    </w:lvl>
    <w:lvl w:ilvl="7" w:tplc="49AA5176">
      <w:start w:val="1"/>
      <w:numFmt w:val="none"/>
      <w:lvlRestart w:val="0"/>
      <w:lvlText w:val=""/>
      <w:lvlJc w:val="left"/>
      <w:pPr>
        <w:ind w:left="0" w:firstLine="0"/>
      </w:pPr>
      <w:rPr>
        <w:rFonts w:hint="default"/>
      </w:rPr>
    </w:lvl>
    <w:lvl w:ilvl="8" w:tplc="89BEA340">
      <w:start w:val="1"/>
      <w:numFmt w:val="none"/>
      <w:lvlRestart w:val="0"/>
      <w:lvlText w:val=""/>
      <w:lvlJc w:val="left"/>
      <w:pPr>
        <w:ind w:left="0" w:firstLine="0"/>
      </w:pPr>
      <w:rPr>
        <w:rFonts w:hint="default"/>
      </w:rPr>
    </w:lvl>
  </w:abstractNum>
  <w:abstractNum w:abstractNumId="8" w15:restartNumberingAfterBreak="0">
    <w:nsid w:val="0E6A3DA8"/>
    <w:multiLevelType w:val="multilevel"/>
    <w:tmpl w:val="2746F2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964" w:hanging="964"/>
      </w:pPr>
      <w:rPr>
        <w:rFonts w:hint="default"/>
      </w:rPr>
    </w:lvl>
    <w:lvl w:ilvl="4">
      <w:start w:val="1"/>
      <w:numFmt w:val="decimal"/>
      <w:pStyle w:val="Heading5"/>
      <w:lvlText w:val="%1.%2.%3.%4.%5"/>
      <w:lvlJc w:val="left"/>
      <w:pPr>
        <w:ind w:left="964" w:hanging="96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F073EDA"/>
    <w:multiLevelType w:val="multilevel"/>
    <w:tmpl w:val="B2D87F10"/>
    <w:styleLink w:val="ZZNumberedheadingsaddendums"/>
    <w:lvl w:ilvl="0">
      <w:start w:val="1"/>
      <w:numFmt w:val="decimal"/>
      <w:pStyle w:val="Heading2Addendums"/>
      <w:suff w:val="space"/>
      <w:lvlText w:val="Addendum 1.%1:"/>
      <w:lvlJc w:val="left"/>
      <w:pPr>
        <w:ind w:left="0" w:firstLine="0"/>
      </w:pPr>
      <w:rPr>
        <w:rFonts w:hint="default"/>
      </w:rPr>
    </w:lvl>
    <w:lvl w:ilvl="1">
      <w:start w:val="1"/>
      <w:numFmt w:val="decimal"/>
      <w:pStyle w:val="Heading3Addendums"/>
      <w:lvlText w:val="A1.%1.%2"/>
      <w:lvlJc w:val="left"/>
      <w:pPr>
        <w:tabs>
          <w:tab w:val="num" w:pos="1361"/>
        </w:tabs>
        <w:ind w:left="1361" w:hanging="1361"/>
      </w:pPr>
      <w:rPr>
        <w:rFonts w:hint="default"/>
      </w:rPr>
    </w:lvl>
    <w:lvl w:ilvl="2">
      <w:start w:val="1"/>
      <w:numFmt w:val="decimal"/>
      <w:pStyle w:val="Heading4Addendums"/>
      <w:lvlText w:val="A1.%1.%2.%3"/>
      <w:lvlJc w:val="left"/>
      <w:pPr>
        <w:tabs>
          <w:tab w:val="num" w:pos="1361"/>
        </w:tabs>
        <w:ind w:left="1361" w:hanging="136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07D3252"/>
    <w:multiLevelType w:val="hybridMultilevel"/>
    <w:tmpl w:val="CB80740C"/>
    <w:lvl w:ilvl="0" w:tplc="79F8C2E6">
      <w:start w:val="1"/>
      <w:numFmt w:val="lowerRoman"/>
      <w:lvlText w:val="%1."/>
      <w:lvlJc w:val="left"/>
      <w:pPr>
        <w:tabs>
          <w:tab w:val="num" w:pos="397"/>
        </w:tabs>
        <w:ind w:left="397" w:hanging="397"/>
      </w:pPr>
      <w:rPr>
        <w:rFonts w:hint="default"/>
      </w:rPr>
    </w:lvl>
    <w:lvl w:ilvl="1" w:tplc="A782B744">
      <w:start w:val="1"/>
      <w:numFmt w:val="none"/>
      <w:lvlRestart w:val="0"/>
      <w:lvlText w:val=""/>
      <w:lvlJc w:val="left"/>
      <w:pPr>
        <w:ind w:left="0" w:firstLine="0"/>
      </w:pPr>
      <w:rPr>
        <w:rFonts w:hint="default"/>
      </w:rPr>
    </w:lvl>
    <w:lvl w:ilvl="2" w:tplc="60AC19D6">
      <w:start w:val="1"/>
      <w:numFmt w:val="none"/>
      <w:lvlRestart w:val="0"/>
      <w:lvlText w:val=""/>
      <w:lvlJc w:val="left"/>
      <w:pPr>
        <w:ind w:left="0" w:firstLine="0"/>
      </w:pPr>
      <w:rPr>
        <w:rFonts w:hint="default"/>
      </w:rPr>
    </w:lvl>
    <w:lvl w:ilvl="3" w:tplc="86CE221C">
      <w:start w:val="1"/>
      <w:numFmt w:val="none"/>
      <w:lvlRestart w:val="0"/>
      <w:lvlText w:val=""/>
      <w:lvlJc w:val="left"/>
      <w:pPr>
        <w:ind w:left="0" w:firstLine="0"/>
      </w:pPr>
      <w:rPr>
        <w:rFonts w:hint="default"/>
      </w:rPr>
    </w:lvl>
    <w:lvl w:ilvl="4" w:tplc="F43667D2">
      <w:start w:val="1"/>
      <w:numFmt w:val="none"/>
      <w:lvlRestart w:val="0"/>
      <w:lvlText w:val=""/>
      <w:lvlJc w:val="left"/>
      <w:pPr>
        <w:ind w:left="0" w:firstLine="0"/>
      </w:pPr>
      <w:rPr>
        <w:rFonts w:hint="default"/>
      </w:rPr>
    </w:lvl>
    <w:lvl w:ilvl="5" w:tplc="4ACCD0F6">
      <w:start w:val="1"/>
      <w:numFmt w:val="none"/>
      <w:lvlRestart w:val="0"/>
      <w:lvlText w:val=""/>
      <w:lvlJc w:val="left"/>
      <w:pPr>
        <w:ind w:left="0" w:firstLine="0"/>
      </w:pPr>
      <w:rPr>
        <w:rFonts w:hint="default"/>
      </w:rPr>
    </w:lvl>
    <w:lvl w:ilvl="6" w:tplc="1A20A432">
      <w:start w:val="1"/>
      <w:numFmt w:val="none"/>
      <w:lvlRestart w:val="0"/>
      <w:lvlText w:val=""/>
      <w:lvlJc w:val="left"/>
      <w:pPr>
        <w:ind w:left="0" w:firstLine="0"/>
      </w:pPr>
      <w:rPr>
        <w:rFonts w:hint="default"/>
      </w:rPr>
    </w:lvl>
    <w:lvl w:ilvl="7" w:tplc="89E6E0D8">
      <w:start w:val="1"/>
      <w:numFmt w:val="none"/>
      <w:lvlRestart w:val="0"/>
      <w:lvlText w:val=""/>
      <w:lvlJc w:val="left"/>
      <w:pPr>
        <w:ind w:left="0" w:firstLine="0"/>
      </w:pPr>
      <w:rPr>
        <w:rFonts w:hint="default"/>
      </w:rPr>
    </w:lvl>
    <w:lvl w:ilvl="8" w:tplc="6B480F8C">
      <w:start w:val="1"/>
      <w:numFmt w:val="none"/>
      <w:lvlRestart w:val="0"/>
      <w:lvlText w:val=""/>
      <w:lvlJc w:val="left"/>
      <w:pPr>
        <w:ind w:left="0" w:firstLine="0"/>
      </w:pPr>
      <w:rPr>
        <w:rFonts w:hint="default"/>
      </w:rPr>
    </w:lvl>
  </w:abstractNum>
  <w:abstractNum w:abstractNumId="11" w15:restartNumberingAfterBreak="0">
    <w:nsid w:val="14AA7129"/>
    <w:multiLevelType w:val="multilevel"/>
    <w:tmpl w:val="54468906"/>
    <w:styleLink w:val="ZZBoxbullets"/>
    <w:lvl w:ilvl="0">
      <w:start w:val="1"/>
      <w:numFmt w:val="bullet"/>
      <w:pStyle w:val="Boxbullet1"/>
      <w:lvlText w:val="•"/>
      <w:lvlJc w:val="left"/>
      <w:pPr>
        <w:ind w:left="227" w:hanging="227"/>
      </w:pPr>
      <w:rPr>
        <w:rFonts w:ascii="Calibri" w:hAnsi="Calibri" w:hint="default"/>
      </w:rPr>
    </w:lvl>
    <w:lvl w:ilvl="1">
      <w:start w:val="1"/>
      <w:numFmt w:val="bullet"/>
      <w:lvlRestart w:val="0"/>
      <w:pStyle w:val="Boxbullet2"/>
      <w:lvlText w:val="–"/>
      <w:lvlJc w:val="left"/>
      <w:pPr>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10730E"/>
    <w:multiLevelType w:val="hybridMultilevel"/>
    <w:tmpl w:val="FFFFFFFF"/>
    <w:lvl w:ilvl="0" w:tplc="9E92AF08">
      <w:start w:val="1"/>
      <w:numFmt w:val="bullet"/>
      <w:lvlText w:val=""/>
      <w:lvlJc w:val="left"/>
      <w:pPr>
        <w:ind w:left="720" w:hanging="360"/>
      </w:pPr>
      <w:rPr>
        <w:rFonts w:ascii="Symbol" w:hAnsi="Symbol" w:hint="default"/>
      </w:rPr>
    </w:lvl>
    <w:lvl w:ilvl="1" w:tplc="36BEA9FC">
      <w:start w:val="1"/>
      <w:numFmt w:val="bullet"/>
      <w:lvlText w:val="o"/>
      <w:lvlJc w:val="left"/>
      <w:pPr>
        <w:ind w:left="1440" w:hanging="360"/>
      </w:pPr>
      <w:rPr>
        <w:rFonts w:ascii="Courier New" w:hAnsi="Courier New" w:hint="default"/>
      </w:rPr>
    </w:lvl>
    <w:lvl w:ilvl="2" w:tplc="97808E82">
      <w:start w:val="1"/>
      <w:numFmt w:val="bullet"/>
      <w:lvlText w:val=""/>
      <w:lvlJc w:val="left"/>
      <w:pPr>
        <w:ind w:left="2160" w:hanging="360"/>
      </w:pPr>
      <w:rPr>
        <w:rFonts w:ascii="Wingdings" w:hAnsi="Wingdings" w:hint="default"/>
      </w:rPr>
    </w:lvl>
    <w:lvl w:ilvl="3" w:tplc="826287C6">
      <w:start w:val="1"/>
      <w:numFmt w:val="bullet"/>
      <w:lvlText w:val=""/>
      <w:lvlJc w:val="left"/>
      <w:pPr>
        <w:ind w:left="2880" w:hanging="360"/>
      </w:pPr>
      <w:rPr>
        <w:rFonts w:ascii="Symbol" w:hAnsi="Symbol" w:hint="default"/>
      </w:rPr>
    </w:lvl>
    <w:lvl w:ilvl="4" w:tplc="4ADC5492">
      <w:start w:val="1"/>
      <w:numFmt w:val="bullet"/>
      <w:lvlText w:val="o"/>
      <w:lvlJc w:val="left"/>
      <w:pPr>
        <w:ind w:left="3600" w:hanging="360"/>
      </w:pPr>
      <w:rPr>
        <w:rFonts w:ascii="Courier New" w:hAnsi="Courier New" w:hint="default"/>
      </w:rPr>
    </w:lvl>
    <w:lvl w:ilvl="5" w:tplc="B74C726A">
      <w:start w:val="1"/>
      <w:numFmt w:val="bullet"/>
      <w:lvlText w:val=""/>
      <w:lvlJc w:val="left"/>
      <w:pPr>
        <w:ind w:left="4320" w:hanging="360"/>
      </w:pPr>
      <w:rPr>
        <w:rFonts w:ascii="Wingdings" w:hAnsi="Wingdings" w:hint="default"/>
      </w:rPr>
    </w:lvl>
    <w:lvl w:ilvl="6" w:tplc="E3DC2862">
      <w:start w:val="1"/>
      <w:numFmt w:val="bullet"/>
      <w:lvlText w:val=""/>
      <w:lvlJc w:val="left"/>
      <w:pPr>
        <w:ind w:left="5040" w:hanging="360"/>
      </w:pPr>
      <w:rPr>
        <w:rFonts w:ascii="Symbol" w:hAnsi="Symbol" w:hint="default"/>
      </w:rPr>
    </w:lvl>
    <w:lvl w:ilvl="7" w:tplc="919CBA54">
      <w:start w:val="1"/>
      <w:numFmt w:val="bullet"/>
      <w:lvlText w:val="o"/>
      <w:lvlJc w:val="left"/>
      <w:pPr>
        <w:ind w:left="5760" w:hanging="360"/>
      </w:pPr>
      <w:rPr>
        <w:rFonts w:ascii="Courier New" w:hAnsi="Courier New" w:hint="default"/>
      </w:rPr>
    </w:lvl>
    <w:lvl w:ilvl="8" w:tplc="99CA7E04">
      <w:start w:val="1"/>
      <w:numFmt w:val="bullet"/>
      <w:lvlText w:val=""/>
      <w:lvlJc w:val="left"/>
      <w:pPr>
        <w:ind w:left="6480" w:hanging="360"/>
      </w:pPr>
      <w:rPr>
        <w:rFonts w:ascii="Wingdings" w:hAnsi="Wingdings" w:hint="default"/>
      </w:rPr>
    </w:lvl>
  </w:abstractNum>
  <w:abstractNum w:abstractNumId="13" w15:restartNumberingAfterBreak="0">
    <w:nsid w:val="200A68EB"/>
    <w:multiLevelType w:val="multilevel"/>
    <w:tmpl w:val="BF2A32CC"/>
    <w:styleLink w:val="CurrentList1"/>
    <w:lvl w:ilvl="0">
      <w:start w:val="1"/>
      <w:numFmt w:val="decimal"/>
      <w:suff w:val="space"/>
      <w:lvlText w:val="Part %1:"/>
      <w:lvlJc w:val="left"/>
      <w:pPr>
        <w:ind w:left="1701" w:firstLine="0"/>
      </w:pPr>
    </w:lvl>
    <w:lvl w:ilvl="1">
      <w:start w:val="1"/>
      <w:numFmt w:val="decimal"/>
      <w:lvlText w:val="%1.%2"/>
      <w:lvlJc w:val="left"/>
      <w:pPr>
        <w:tabs>
          <w:tab w:val="num" w:pos="1673"/>
        </w:tabs>
        <w:ind w:left="1673" w:hanging="1247"/>
      </w:pPr>
    </w:lvl>
    <w:lvl w:ilvl="2">
      <w:start w:val="1"/>
      <w:numFmt w:val="decimal"/>
      <w:lvlText w:val="%1.%2.%3"/>
      <w:lvlJc w:val="left"/>
      <w:pPr>
        <w:tabs>
          <w:tab w:val="num" w:pos="1814"/>
        </w:tabs>
        <w:ind w:left="1814" w:hanging="1247"/>
      </w:pPr>
    </w:lvl>
    <w:lvl w:ilvl="3">
      <w:start w:val="1"/>
      <w:numFmt w:val="decimal"/>
      <w:lvlText w:val="%1.%2.%3.%4"/>
      <w:lvlJc w:val="left"/>
      <w:pPr>
        <w:tabs>
          <w:tab w:val="num" w:pos="1247"/>
        </w:tabs>
        <w:ind w:left="1247" w:hanging="1247"/>
      </w:pPr>
    </w:lvl>
    <w:lvl w:ilvl="4">
      <w:start w:val="1"/>
      <w:numFmt w:val="decimal"/>
      <w:lvlRestart w:val="0"/>
      <w:lvlText w:val=""/>
      <w:lvlJc w:val="left"/>
      <w:pPr>
        <w:ind w:left="0" w:firstLine="0"/>
      </w:pPr>
    </w:lvl>
    <w:lvl w:ilvl="5">
      <w:start w:val="1"/>
      <w:numFmt w:val="decimal"/>
      <w:lvlRestart w:val="0"/>
      <w:lvlText w:val=""/>
      <w:lvlJc w:val="left"/>
      <w:pPr>
        <w:ind w:left="0" w:firstLine="0"/>
      </w:pPr>
    </w:lvl>
    <w:lvl w:ilvl="6">
      <w:start w:val="1"/>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14" w15:restartNumberingAfterBreak="0">
    <w:nsid w:val="23B642F1"/>
    <w:multiLevelType w:val="multilevel"/>
    <w:tmpl w:val="DDC6AC54"/>
    <w:styleLink w:val="ZZTablebullets105pt"/>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28AA2B11"/>
    <w:multiLevelType w:val="hybridMultilevel"/>
    <w:tmpl w:val="8A94ED12"/>
    <w:lvl w:ilvl="0" w:tplc="3E06BF8C">
      <w:start w:val="1"/>
      <w:numFmt w:val="decimal"/>
      <w:suff w:val="nothing"/>
      <w:lvlText w:val=""/>
      <w:lvlJc w:val="left"/>
      <w:pPr>
        <w:ind w:left="0" w:firstLine="0"/>
      </w:pPr>
    </w:lvl>
    <w:lvl w:ilvl="1" w:tplc="FE36FEAC">
      <w:start w:val="1"/>
      <w:numFmt w:val="bullet"/>
      <w:lvlRestart w:val="0"/>
      <w:lvlText w:val="•"/>
      <w:lvlJc w:val="left"/>
      <w:pPr>
        <w:ind w:left="284" w:hanging="284"/>
      </w:pPr>
      <w:rPr>
        <w:rFonts w:hint="default"/>
      </w:rPr>
    </w:lvl>
    <w:lvl w:ilvl="2" w:tplc="92CAF36A">
      <w:start w:val="1"/>
      <w:numFmt w:val="decimal"/>
      <w:lvlRestart w:val="1"/>
      <w:lvlText w:val="%3."/>
      <w:lvlJc w:val="left"/>
      <w:pPr>
        <w:tabs>
          <w:tab w:val="num" w:pos="397"/>
        </w:tabs>
        <w:ind w:left="397" w:hanging="397"/>
      </w:pPr>
    </w:lvl>
    <w:lvl w:ilvl="3" w:tplc="B1DE03C4">
      <w:start w:val="1"/>
      <w:numFmt w:val="lowerRoman"/>
      <w:lvlRestart w:val="1"/>
      <w:lvlText w:val="%4."/>
      <w:lvlJc w:val="left"/>
      <w:pPr>
        <w:tabs>
          <w:tab w:val="num" w:pos="397"/>
        </w:tabs>
        <w:ind w:left="397" w:hanging="397"/>
      </w:pPr>
    </w:lvl>
    <w:lvl w:ilvl="4" w:tplc="C9BCA8F8">
      <w:start w:val="1"/>
      <w:numFmt w:val="decimal"/>
      <w:lvlRestart w:val="0"/>
      <w:lvlText w:val=""/>
      <w:lvlJc w:val="left"/>
      <w:pPr>
        <w:ind w:left="0" w:firstLine="0"/>
      </w:pPr>
    </w:lvl>
    <w:lvl w:ilvl="5" w:tplc="B02E8214">
      <w:start w:val="1"/>
      <w:numFmt w:val="decimal"/>
      <w:lvlRestart w:val="0"/>
      <w:lvlText w:val=""/>
      <w:lvlJc w:val="left"/>
      <w:pPr>
        <w:ind w:left="0" w:firstLine="0"/>
      </w:pPr>
    </w:lvl>
    <w:lvl w:ilvl="6" w:tplc="9E163FBA">
      <w:start w:val="1"/>
      <w:numFmt w:val="decimal"/>
      <w:lvlRestart w:val="0"/>
      <w:lvlText w:val=""/>
      <w:lvlJc w:val="left"/>
      <w:pPr>
        <w:ind w:left="0" w:firstLine="0"/>
      </w:pPr>
    </w:lvl>
    <w:lvl w:ilvl="7" w:tplc="40BE326A">
      <w:start w:val="1"/>
      <w:numFmt w:val="decimal"/>
      <w:lvlRestart w:val="0"/>
      <w:lvlText w:val=""/>
      <w:lvlJc w:val="left"/>
      <w:pPr>
        <w:ind w:left="0" w:firstLine="0"/>
      </w:pPr>
    </w:lvl>
    <w:lvl w:ilvl="8" w:tplc="59081CD0">
      <w:start w:val="1"/>
      <w:numFmt w:val="decimal"/>
      <w:lvlRestart w:val="0"/>
      <w:lvlText w:val=""/>
      <w:lvlJc w:val="left"/>
      <w:pPr>
        <w:ind w:left="0" w:firstLine="0"/>
      </w:pPr>
    </w:lvl>
  </w:abstractNum>
  <w:abstractNum w:abstractNumId="16" w15:restartNumberingAfterBreak="0">
    <w:nsid w:val="2B047A91"/>
    <w:multiLevelType w:val="hybridMultilevel"/>
    <w:tmpl w:val="AD2A97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4C2B0E"/>
    <w:multiLevelType w:val="multilevel"/>
    <w:tmpl w:val="F2F438EA"/>
    <w:lvl w:ilvl="0">
      <w:start w:val="1"/>
      <w:numFmt w:val="none"/>
      <w:suff w:val="nothing"/>
      <w:lvlText w:val=""/>
      <w:lvlJc w:val="left"/>
      <w:pPr>
        <w:ind w:left="0" w:firstLine="0"/>
      </w:pPr>
      <w:rPr>
        <w:rFonts w:hint="default"/>
      </w:rPr>
    </w:lvl>
    <w:lvl w:ilvl="1">
      <w:start w:val="1"/>
      <w:numFmt w:val="bullet"/>
      <w:lvlRestart w:val="0"/>
      <w:lvlText w:val="•"/>
      <w:lvlJc w:val="left"/>
      <w:pPr>
        <w:ind w:left="284" w:hanging="284"/>
      </w:pPr>
      <w:rPr>
        <w:rFonts w:hint="default"/>
      </w:rPr>
    </w:lvl>
    <w:lvl w:ilvl="2">
      <w:start w:val="1"/>
      <w:numFmt w:val="decimal"/>
      <w:lvlRestart w:val="1"/>
      <w:lvlText w:val="%3."/>
      <w:lvlJc w:val="left"/>
      <w:pPr>
        <w:tabs>
          <w:tab w:val="num" w:pos="397"/>
        </w:tabs>
        <w:ind w:left="397" w:hanging="397"/>
      </w:pPr>
      <w:rPr>
        <w:rFonts w:hint="default"/>
      </w:rPr>
    </w:lvl>
    <w:lvl w:ilvl="3">
      <w:start w:val="1"/>
      <w:numFmt w:val="lowerRoman"/>
      <w:lvlRestart w:val="1"/>
      <w:lvlText w:val="%4."/>
      <w:lvlJc w:val="left"/>
      <w:pPr>
        <w:tabs>
          <w:tab w:val="num" w:pos="397"/>
        </w:tabs>
        <w:ind w:left="397" w:hanging="397"/>
      </w:pPr>
      <w:rPr>
        <w:rFonts w:hint="default"/>
      </w:rPr>
    </w:lvl>
    <w:lvl w:ilvl="4">
      <w:start w:val="1"/>
      <w:numFmt w:val="lowerLetter"/>
      <w:lvlRestart w:val="1"/>
      <w:lvlText w:val="(%5)"/>
      <w:lvlJc w:val="left"/>
      <w:pPr>
        <w:tabs>
          <w:tab w:val="num" w:pos="397"/>
        </w:tabs>
        <w:ind w:left="397" w:hanging="397"/>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1C39EA"/>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1537D2D"/>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2AA5FA9"/>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2B34794"/>
    <w:multiLevelType w:val="hybridMultilevel"/>
    <w:tmpl w:val="82ACA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5853A6"/>
    <w:multiLevelType w:val="hybridMultilevel"/>
    <w:tmpl w:val="FFFFFFFF"/>
    <w:lvl w:ilvl="0" w:tplc="8BBE6E74">
      <w:start w:val="1"/>
      <w:numFmt w:val="bullet"/>
      <w:lvlText w:val=""/>
      <w:lvlJc w:val="left"/>
      <w:pPr>
        <w:ind w:left="360" w:hanging="360"/>
      </w:pPr>
      <w:rPr>
        <w:rFonts w:ascii="Symbol" w:hAnsi="Symbol" w:hint="default"/>
      </w:rPr>
    </w:lvl>
    <w:lvl w:ilvl="1" w:tplc="D3FE52E4">
      <w:start w:val="1"/>
      <w:numFmt w:val="bullet"/>
      <w:lvlText w:val="o"/>
      <w:lvlJc w:val="left"/>
      <w:pPr>
        <w:ind w:left="1080" w:hanging="360"/>
      </w:pPr>
      <w:rPr>
        <w:rFonts w:ascii="Courier New" w:hAnsi="Courier New" w:hint="default"/>
      </w:rPr>
    </w:lvl>
    <w:lvl w:ilvl="2" w:tplc="6F6E6DAE">
      <w:start w:val="1"/>
      <w:numFmt w:val="bullet"/>
      <w:lvlText w:val=""/>
      <w:lvlJc w:val="left"/>
      <w:pPr>
        <w:ind w:left="1800" w:hanging="360"/>
      </w:pPr>
      <w:rPr>
        <w:rFonts w:ascii="Wingdings" w:hAnsi="Wingdings" w:hint="default"/>
      </w:rPr>
    </w:lvl>
    <w:lvl w:ilvl="3" w:tplc="1A823066">
      <w:start w:val="1"/>
      <w:numFmt w:val="bullet"/>
      <w:lvlText w:val=""/>
      <w:lvlJc w:val="left"/>
      <w:pPr>
        <w:ind w:left="2520" w:hanging="360"/>
      </w:pPr>
      <w:rPr>
        <w:rFonts w:ascii="Symbol" w:hAnsi="Symbol" w:hint="default"/>
      </w:rPr>
    </w:lvl>
    <w:lvl w:ilvl="4" w:tplc="3AAE90EA">
      <w:start w:val="1"/>
      <w:numFmt w:val="bullet"/>
      <w:lvlText w:val="o"/>
      <w:lvlJc w:val="left"/>
      <w:pPr>
        <w:ind w:left="3240" w:hanging="360"/>
      </w:pPr>
      <w:rPr>
        <w:rFonts w:ascii="Courier New" w:hAnsi="Courier New" w:hint="default"/>
      </w:rPr>
    </w:lvl>
    <w:lvl w:ilvl="5" w:tplc="CD98E630">
      <w:start w:val="1"/>
      <w:numFmt w:val="bullet"/>
      <w:lvlText w:val=""/>
      <w:lvlJc w:val="left"/>
      <w:pPr>
        <w:ind w:left="3960" w:hanging="360"/>
      </w:pPr>
      <w:rPr>
        <w:rFonts w:ascii="Wingdings" w:hAnsi="Wingdings" w:hint="default"/>
      </w:rPr>
    </w:lvl>
    <w:lvl w:ilvl="6" w:tplc="55D07FAA">
      <w:start w:val="1"/>
      <w:numFmt w:val="bullet"/>
      <w:lvlText w:val=""/>
      <w:lvlJc w:val="left"/>
      <w:pPr>
        <w:ind w:left="4680" w:hanging="360"/>
      </w:pPr>
      <w:rPr>
        <w:rFonts w:ascii="Symbol" w:hAnsi="Symbol" w:hint="default"/>
      </w:rPr>
    </w:lvl>
    <w:lvl w:ilvl="7" w:tplc="1048DC80">
      <w:start w:val="1"/>
      <w:numFmt w:val="bullet"/>
      <w:lvlText w:val="o"/>
      <w:lvlJc w:val="left"/>
      <w:pPr>
        <w:ind w:left="5400" w:hanging="360"/>
      </w:pPr>
      <w:rPr>
        <w:rFonts w:ascii="Courier New" w:hAnsi="Courier New" w:hint="default"/>
      </w:rPr>
    </w:lvl>
    <w:lvl w:ilvl="8" w:tplc="D2081802">
      <w:start w:val="1"/>
      <w:numFmt w:val="bullet"/>
      <w:lvlText w:val=""/>
      <w:lvlJc w:val="left"/>
      <w:pPr>
        <w:ind w:left="6120" w:hanging="360"/>
      </w:pPr>
      <w:rPr>
        <w:rFonts w:ascii="Wingdings" w:hAnsi="Wingdings" w:hint="default"/>
      </w:rPr>
    </w:lvl>
  </w:abstractNum>
  <w:abstractNum w:abstractNumId="23" w15:restartNumberingAfterBreak="0">
    <w:nsid w:val="3E6C68D4"/>
    <w:multiLevelType w:val="multilevel"/>
    <w:tmpl w:val="B33A2DBC"/>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3D44A9FC"/>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12B548A"/>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2A742DA"/>
    <w:multiLevelType w:val="hybridMultilevel"/>
    <w:tmpl w:val="4B22ADE6"/>
    <w:styleLink w:val="111111"/>
    <w:lvl w:ilvl="0" w:tplc="69041426">
      <w:start w:val="1"/>
      <w:numFmt w:val="bullet"/>
      <w:lvlText w:val="•"/>
      <w:lvlJc w:val="left"/>
      <w:pPr>
        <w:tabs>
          <w:tab w:val="num" w:pos="0"/>
        </w:tabs>
        <w:ind w:left="284" w:hanging="284"/>
      </w:pPr>
      <w:rPr>
        <w:rFonts w:ascii="Times New Roman" w:hAnsi="Times New Roman" w:hint="default"/>
        <w:b w:val="0"/>
        <w:i w:val="0"/>
        <w:color w:val="auto"/>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B4020C"/>
    <w:multiLevelType w:val="multilevel"/>
    <w:tmpl w:val="61D0003A"/>
    <w:lvl w:ilvl="0">
      <w:start w:val="1"/>
      <w:numFmt w:val="decimal"/>
      <w:lvlText w:val="Table 1.%1"/>
      <w:lvlJc w:val="left"/>
      <w:pPr>
        <w:ind w:left="0" w:firstLine="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1611C2"/>
    <w:multiLevelType w:val="multilevel"/>
    <w:tmpl w:val="350ED9F2"/>
    <w:styleLink w:val="ZZTablebullets"/>
    <w:lvl w:ilvl="0">
      <w:start w:val="1"/>
      <w:numFmt w:val="bullet"/>
      <w:lvlText w:val="•"/>
      <w:lvlJc w:val="left"/>
      <w:pPr>
        <w:ind w:left="227" w:hanging="227"/>
      </w:pPr>
      <w:rPr>
        <w:rFonts w:ascii="Calibri" w:hAnsi="Calibri" w:cs="Times New Roman" w:hint="default"/>
      </w:rPr>
    </w:lvl>
    <w:lvl w:ilvl="1">
      <w:start w:val="1"/>
      <w:numFmt w:val="bullet"/>
      <w:lvlRestart w:val="0"/>
      <w:lvlText w:val="–"/>
      <w:lvlJc w:val="left"/>
      <w:pPr>
        <w:tabs>
          <w:tab w:val="num" w:pos="227"/>
        </w:tabs>
        <w:ind w:left="454" w:hanging="227"/>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9" w15:restartNumberingAfterBreak="0">
    <w:nsid w:val="549C29AB"/>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AB1142E"/>
    <w:multiLevelType w:val="hybridMultilevel"/>
    <w:tmpl w:val="C1F8E890"/>
    <w:lvl w:ilvl="0" w:tplc="DC729974">
      <w:start w:val="1"/>
      <w:numFmt w:val="bullet"/>
      <w:pStyle w:val="TableFotternotewith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CF2CBD"/>
    <w:multiLevelType w:val="hybridMultilevel"/>
    <w:tmpl w:val="8A94ED12"/>
    <w:lvl w:ilvl="0" w:tplc="3E06BF8C">
      <w:start w:val="1"/>
      <w:numFmt w:val="decimal"/>
      <w:suff w:val="nothing"/>
      <w:lvlText w:val=""/>
      <w:lvlJc w:val="left"/>
      <w:pPr>
        <w:ind w:left="0" w:firstLine="0"/>
      </w:pPr>
    </w:lvl>
    <w:lvl w:ilvl="1" w:tplc="FE36FEAC">
      <w:start w:val="1"/>
      <w:numFmt w:val="bullet"/>
      <w:lvlRestart w:val="0"/>
      <w:lvlText w:val="•"/>
      <w:lvlJc w:val="left"/>
      <w:pPr>
        <w:ind w:left="284" w:hanging="284"/>
      </w:pPr>
      <w:rPr>
        <w:rFonts w:hint="default"/>
      </w:rPr>
    </w:lvl>
    <w:lvl w:ilvl="2" w:tplc="92CAF36A">
      <w:start w:val="1"/>
      <w:numFmt w:val="decimal"/>
      <w:lvlRestart w:val="1"/>
      <w:lvlText w:val="%3."/>
      <w:lvlJc w:val="left"/>
      <w:pPr>
        <w:tabs>
          <w:tab w:val="num" w:pos="397"/>
        </w:tabs>
        <w:ind w:left="397" w:hanging="397"/>
      </w:pPr>
    </w:lvl>
    <w:lvl w:ilvl="3" w:tplc="B1DE03C4">
      <w:start w:val="1"/>
      <w:numFmt w:val="lowerRoman"/>
      <w:lvlRestart w:val="1"/>
      <w:lvlText w:val="%4."/>
      <w:lvlJc w:val="left"/>
      <w:pPr>
        <w:tabs>
          <w:tab w:val="num" w:pos="397"/>
        </w:tabs>
        <w:ind w:left="397" w:hanging="397"/>
      </w:pPr>
    </w:lvl>
    <w:lvl w:ilvl="4" w:tplc="C9BCA8F8">
      <w:start w:val="1"/>
      <w:numFmt w:val="decimal"/>
      <w:lvlRestart w:val="0"/>
      <w:lvlText w:val=""/>
      <w:lvlJc w:val="left"/>
      <w:pPr>
        <w:ind w:left="0" w:firstLine="0"/>
      </w:pPr>
    </w:lvl>
    <w:lvl w:ilvl="5" w:tplc="B02E8214">
      <w:start w:val="1"/>
      <w:numFmt w:val="decimal"/>
      <w:lvlRestart w:val="0"/>
      <w:lvlText w:val=""/>
      <w:lvlJc w:val="left"/>
      <w:pPr>
        <w:ind w:left="0" w:firstLine="0"/>
      </w:pPr>
    </w:lvl>
    <w:lvl w:ilvl="6" w:tplc="9E163FBA">
      <w:start w:val="1"/>
      <w:numFmt w:val="decimal"/>
      <w:lvlRestart w:val="0"/>
      <w:lvlText w:val=""/>
      <w:lvlJc w:val="left"/>
      <w:pPr>
        <w:ind w:left="0" w:firstLine="0"/>
      </w:pPr>
    </w:lvl>
    <w:lvl w:ilvl="7" w:tplc="40BE326A">
      <w:start w:val="1"/>
      <w:numFmt w:val="decimal"/>
      <w:lvlRestart w:val="0"/>
      <w:lvlText w:val=""/>
      <w:lvlJc w:val="left"/>
      <w:pPr>
        <w:ind w:left="0" w:firstLine="0"/>
      </w:pPr>
    </w:lvl>
    <w:lvl w:ilvl="8" w:tplc="59081CD0">
      <w:start w:val="1"/>
      <w:numFmt w:val="decimal"/>
      <w:lvlRestart w:val="0"/>
      <w:lvlText w:val=""/>
      <w:lvlJc w:val="left"/>
      <w:pPr>
        <w:ind w:left="0" w:firstLine="0"/>
      </w:pPr>
    </w:lvl>
  </w:abstractNum>
  <w:abstractNum w:abstractNumId="33" w15:restartNumberingAfterBreak="0">
    <w:nsid w:val="5E782F99"/>
    <w:multiLevelType w:val="hybridMultilevel"/>
    <w:tmpl w:val="FFFFFFFF"/>
    <w:lvl w:ilvl="0" w:tplc="D2E64ADE">
      <w:start w:val="1"/>
      <w:numFmt w:val="bullet"/>
      <w:lvlText w:val=""/>
      <w:lvlJc w:val="left"/>
      <w:pPr>
        <w:ind w:left="720" w:hanging="360"/>
      </w:pPr>
      <w:rPr>
        <w:rFonts w:ascii="Symbol" w:hAnsi="Symbol" w:hint="default"/>
      </w:rPr>
    </w:lvl>
    <w:lvl w:ilvl="1" w:tplc="908CD230">
      <w:start w:val="1"/>
      <w:numFmt w:val="bullet"/>
      <w:lvlText w:val="o"/>
      <w:lvlJc w:val="left"/>
      <w:pPr>
        <w:ind w:left="1440" w:hanging="360"/>
      </w:pPr>
      <w:rPr>
        <w:rFonts w:ascii="Courier New" w:hAnsi="Courier New" w:hint="default"/>
      </w:rPr>
    </w:lvl>
    <w:lvl w:ilvl="2" w:tplc="02FCCF10">
      <w:start w:val="1"/>
      <w:numFmt w:val="bullet"/>
      <w:lvlText w:val=""/>
      <w:lvlJc w:val="left"/>
      <w:pPr>
        <w:ind w:left="2160" w:hanging="360"/>
      </w:pPr>
      <w:rPr>
        <w:rFonts w:ascii="Wingdings" w:hAnsi="Wingdings" w:hint="default"/>
      </w:rPr>
    </w:lvl>
    <w:lvl w:ilvl="3" w:tplc="11A89754">
      <w:start w:val="1"/>
      <w:numFmt w:val="bullet"/>
      <w:lvlText w:val=""/>
      <w:lvlJc w:val="left"/>
      <w:pPr>
        <w:ind w:left="2880" w:hanging="360"/>
      </w:pPr>
      <w:rPr>
        <w:rFonts w:ascii="Symbol" w:hAnsi="Symbol" w:hint="default"/>
      </w:rPr>
    </w:lvl>
    <w:lvl w:ilvl="4" w:tplc="164CC638">
      <w:start w:val="1"/>
      <w:numFmt w:val="bullet"/>
      <w:lvlText w:val="o"/>
      <w:lvlJc w:val="left"/>
      <w:pPr>
        <w:ind w:left="3600" w:hanging="360"/>
      </w:pPr>
      <w:rPr>
        <w:rFonts w:ascii="Courier New" w:hAnsi="Courier New" w:hint="default"/>
      </w:rPr>
    </w:lvl>
    <w:lvl w:ilvl="5" w:tplc="06543872">
      <w:start w:val="1"/>
      <w:numFmt w:val="bullet"/>
      <w:lvlText w:val=""/>
      <w:lvlJc w:val="left"/>
      <w:pPr>
        <w:ind w:left="4320" w:hanging="360"/>
      </w:pPr>
      <w:rPr>
        <w:rFonts w:ascii="Wingdings" w:hAnsi="Wingdings" w:hint="default"/>
      </w:rPr>
    </w:lvl>
    <w:lvl w:ilvl="6" w:tplc="B76AF484">
      <w:start w:val="1"/>
      <w:numFmt w:val="bullet"/>
      <w:lvlText w:val=""/>
      <w:lvlJc w:val="left"/>
      <w:pPr>
        <w:ind w:left="5040" w:hanging="360"/>
      </w:pPr>
      <w:rPr>
        <w:rFonts w:ascii="Symbol" w:hAnsi="Symbol" w:hint="default"/>
      </w:rPr>
    </w:lvl>
    <w:lvl w:ilvl="7" w:tplc="FB3E1800">
      <w:start w:val="1"/>
      <w:numFmt w:val="bullet"/>
      <w:lvlText w:val="o"/>
      <w:lvlJc w:val="left"/>
      <w:pPr>
        <w:ind w:left="5760" w:hanging="360"/>
      </w:pPr>
      <w:rPr>
        <w:rFonts w:ascii="Courier New" w:hAnsi="Courier New" w:hint="default"/>
      </w:rPr>
    </w:lvl>
    <w:lvl w:ilvl="8" w:tplc="354A9E6C">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multilevel"/>
    <w:tmpl w:val="46C4612E"/>
    <w:styleLink w:val="ZZQuotebullets"/>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3824692"/>
    <w:multiLevelType w:val="hybridMultilevel"/>
    <w:tmpl w:val="CB80740C"/>
    <w:lvl w:ilvl="0" w:tplc="9E44193A">
      <w:start w:val="1"/>
      <w:numFmt w:val="lowerRoman"/>
      <w:lvlText w:val="%1."/>
      <w:lvlJc w:val="left"/>
      <w:pPr>
        <w:tabs>
          <w:tab w:val="num" w:pos="397"/>
        </w:tabs>
        <w:ind w:left="397" w:hanging="397"/>
      </w:pPr>
      <w:rPr>
        <w:rFonts w:hint="default"/>
      </w:rPr>
    </w:lvl>
    <w:lvl w:ilvl="1" w:tplc="04F81F48">
      <w:start w:val="1"/>
      <w:numFmt w:val="none"/>
      <w:lvlRestart w:val="0"/>
      <w:lvlText w:val=""/>
      <w:lvlJc w:val="left"/>
      <w:pPr>
        <w:ind w:left="0" w:firstLine="0"/>
      </w:pPr>
      <w:rPr>
        <w:rFonts w:hint="default"/>
      </w:rPr>
    </w:lvl>
    <w:lvl w:ilvl="2" w:tplc="5C6CF822">
      <w:start w:val="1"/>
      <w:numFmt w:val="none"/>
      <w:lvlRestart w:val="0"/>
      <w:lvlText w:val=""/>
      <w:lvlJc w:val="left"/>
      <w:pPr>
        <w:ind w:left="0" w:firstLine="0"/>
      </w:pPr>
      <w:rPr>
        <w:rFonts w:hint="default"/>
      </w:rPr>
    </w:lvl>
    <w:lvl w:ilvl="3" w:tplc="B5028B04">
      <w:start w:val="1"/>
      <w:numFmt w:val="none"/>
      <w:lvlRestart w:val="0"/>
      <w:lvlText w:val=""/>
      <w:lvlJc w:val="left"/>
      <w:pPr>
        <w:ind w:left="0" w:firstLine="0"/>
      </w:pPr>
      <w:rPr>
        <w:rFonts w:hint="default"/>
      </w:rPr>
    </w:lvl>
    <w:lvl w:ilvl="4" w:tplc="7ECAA206">
      <w:start w:val="1"/>
      <w:numFmt w:val="none"/>
      <w:lvlRestart w:val="0"/>
      <w:lvlText w:val=""/>
      <w:lvlJc w:val="left"/>
      <w:pPr>
        <w:ind w:left="0" w:firstLine="0"/>
      </w:pPr>
      <w:rPr>
        <w:rFonts w:hint="default"/>
      </w:rPr>
    </w:lvl>
    <w:lvl w:ilvl="5" w:tplc="316EC4BA">
      <w:start w:val="1"/>
      <w:numFmt w:val="none"/>
      <w:lvlRestart w:val="0"/>
      <w:lvlText w:val=""/>
      <w:lvlJc w:val="left"/>
      <w:pPr>
        <w:ind w:left="0" w:firstLine="0"/>
      </w:pPr>
      <w:rPr>
        <w:rFonts w:hint="default"/>
      </w:rPr>
    </w:lvl>
    <w:lvl w:ilvl="6" w:tplc="8F7E4B76">
      <w:start w:val="1"/>
      <w:numFmt w:val="none"/>
      <w:lvlRestart w:val="0"/>
      <w:lvlText w:val=""/>
      <w:lvlJc w:val="left"/>
      <w:pPr>
        <w:ind w:left="0" w:firstLine="0"/>
      </w:pPr>
      <w:rPr>
        <w:rFonts w:hint="default"/>
      </w:rPr>
    </w:lvl>
    <w:lvl w:ilvl="7" w:tplc="75A6F528">
      <w:start w:val="1"/>
      <w:numFmt w:val="none"/>
      <w:lvlRestart w:val="0"/>
      <w:lvlText w:val=""/>
      <w:lvlJc w:val="left"/>
      <w:pPr>
        <w:ind w:left="0" w:firstLine="0"/>
      </w:pPr>
      <w:rPr>
        <w:rFonts w:hint="default"/>
      </w:rPr>
    </w:lvl>
    <w:lvl w:ilvl="8" w:tplc="89DAE1B4">
      <w:start w:val="1"/>
      <w:numFmt w:val="none"/>
      <w:lvlRestart w:val="0"/>
      <w:lvlText w:val=""/>
      <w:lvlJc w:val="left"/>
      <w:pPr>
        <w:ind w:left="0" w:firstLine="0"/>
      </w:pPr>
      <w:rPr>
        <w:rFonts w:hint="default"/>
      </w:rPr>
    </w:lvl>
  </w:abstractNum>
  <w:abstractNum w:abstractNumId="36" w15:restartNumberingAfterBreak="0">
    <w:nsid w:val="70247698"/>
    <w:multiLevelType w:val="multilevel"/>
    <w:tmpl w:val="1398EF24"/>
    <w:lvl w:ilvl="0">
      <w:start w:val="1"/>
      <w:numFmt w:val="bullet"/>
      <w:pStyle w:val="Tablebullet9pt"/>
      <w:lvlText w:val="•"/>
      <w:lvlJc w:val="left"/>
      <w:pPr>
        <w:ind w:left="227" w:hanging="227"/>
      </w:pPr>
      <w:rPr>
        <w:rFonts w:ascii="Calibri" w:hAnsi="Calibri"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703E4E57"/>
    <w:multiLevelType w:val="multilevel"/>
    <w:tmpl w:val="809ED530"/>
    <w:styleLink w:val="ZZTablenoteroman"/>
    <w:lvl w:ilvl="0">
      <w:start w:val="1"/>
      <w:numFmt w:val="lowerRoman"/>
      <w:pStyle w:val="Tablenote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75242448"/>
    <w:multiLevelType w:val="hybridMultilevel"/>
    <w:tmpl w:val="2A72A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93C4C7B"/>
    <w:multiLevelType w:val="hybridMultilevel"/>
    <w:tmpl w:val="BEFEB8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9837120">
    <w:abstractNumId w:val="14"/>
  </w:num>
  <w:num w:numId="2" w16cid:durableId="1144472789">
    <w:abstractNumId w:val="31"/>
  </w:num>
  <w:num w:numId="3" w16cid:durableId="505092373">
    <w:abstractNumId w:val="17"/>
  </w:num>
  <w:num w:numId="4" w16cid:durableId="114373276">
    <w:abstractNumId w:val="18"/>
  </w:num>
  <w:num w:numId="5" w16cid:durableId="175537732">
    <w:abstractNumId w:val="19"/>
  </w:num>
  <w:num w:numId="6" w16cid:durableId="1083717710">
    <w:abstractNumId w:val="6"/>
  </w:num>
  <w:num w:numId="7" w16cid:durableId="1588924766">
    <w:abstractNumId w:val="35"/>
  </w:num>
  <w:num w:numId="8" w16cid:durableId="1989700118">
    <w:abstractNumId w:val="20"/>
  </w:num>
  <w:num w:numId="9" w16cid:durableId="1864780678">
    <w:abstractNumId w:val="1"/>
  </w:num>
  <w:num w:numId="10" w16cid:durableId="2000496870">
    <w:abstractNumId w:val="25"/>
  </w:num>
  <w:num w:numId="11" w16cid:durableId="1894540776">
    <w:abstractNumId w:val="10"/>
  </w:num>
  <w:num w:numId="12" w16cid:durableId="1318068750">
    <w:abstractNumId w:val="7"/>
  </w:num>
  <w:num w:numId="13" w16cid:durableId="2141536474">
    <w:abstractNumId w:val="11"/>
  </w:num>
  <w:num w:numId="14" w16cid:durableId="1530492008">
    <w:abstractNumId w:val="3"/>
  </w:num>
  <w:num w:numId="15" w16cid:durableId="803043767">
    <w:abstractNumId w:val="0"/>
  </w:num>
  <w:num w:numId="16" w16cid:durableId="1840536388">
    <w:abstractNumId w:val="4"/>
  </w:num>
  <w:num w:numId="17" w16cid:durableId="1209338515">
    <w:abstractNumId w:val="26"/>
  </w:num>
  <w:num w:numId="18" w16cid:durableId="873037218">
    <w:abstractNumId w:val="30"/>
  </w:num>
  <w:num w:numId="19" w16cid:durableId="1271933411">
    <w:abstractNumId w:val="9"/>
  </w:num>
  <w:num w:numId="20" w16cid:durableId="1561289049">
    <w:abstractNumId w:val="5"/>
  </w:num>
  <w:num w:numId="21" w16cid:durableId="207887534">
    <w:abstractNumId w:val="34"/>
  </w:num>
  <w:num w:numId="22" w16cid:durableId="2046903037">
    <w:abstractNumId w:val="24"/>
  </w:num>
  <w:num w:numId="23" w16cid:durableId="453712392">
    <w:abstractNumId w:val="37"/>
  </w:num>
  <w:num w:numId="24" w16cid:durableId="2315005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568343">
    <w:abstractNumId w:val="9"/>
    <w:lvlOverride w:ilvl="0">
      <w:lvl w:ilvl="0">
        <w:start w:val="1"/>
        <w:numFmt w:val="decimal"/>
        <w:pStyle w:val="Heading2Addendums"/>
        <w:suff w:val="space"/>
        <w:lvlText w:val="Addendum 1.%1:"/>
        <w:lvlJc w:val="left"/>
        <w:pPr>
          <w:ind w:left="0" w:firstLine="0"/>
        </w:pPr>
        <w:rPr>
          <w:rFonts w:hint="default"/>
        </w:rPr>
      </w:lvl>
    </w:lvlOverride>
  </w:num>
  <w:num w:numId="26" w16cid:durableId="202821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03587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03924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990495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6396118">
    <w:abstractNumId w:val="32"/>
  </w:num>
  <w:num w:numId="31" w16cid:durableId="1480537312">
    <w:abstractNumId w:val="27"/>
  </w:num>
  <w:num w:numId="32" w16cid:durableId="165860550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3247238">
    <w:abstractNumId w:val="28"/>
  </w:num>
  <w:num w:numId="34" w16cid:durableId="1091512867">
    <w:abstractNumId w:val="13"/>
  </w:num>
  <w:num w:numId="35" w16cid:durableId="20200376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959476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7955857">
    <w:abstractNumId w:val="22"/>
  </w:num>
  <w:num w:numId="38" w16cid:durableId="1812752432">
    <w:abstractNumId w:val="33"/>
  </w:num>
  <w:num w:numId="39" w16cid:durableId="1875313490">
    <w:abstractNumId w:val="12"/>
  </w:num>
  <w:num w:numId="40" w16cid:durableId="98912377">
    <w:abstractNumId w:val="2"/>
  </w:num>
  <w:num w:numId="41" w16cid:durableId="296642415">
    <w:abstractNumId w:val="30"/>
  </w:num>
  <w:num w:numId="42" w16cid:durableId="716272578">
    <w:abstractNumId w:val="23"/>
  </w:num>
  <w:num w:numId="43" w16cid:durableId="1065299483">
    <w:abstractNumId w:val="29"/>
  </w:num>
  <w:num w:numId="44" w16cid:durableId="1618677651">
    <w:abstractNumId w:val="8"/>
  </w:num>
  <w:num w:numId="45" w16cid:durableId="10665641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57074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5779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65141825">
    <w:abstractNumId w:val="16"/>
  </w:num>
  <w:num w:numId="49" w16cid:durableId="318270053">
    <w:abstractNumId w:val="39"/>
  </w:num>
  <w:num w:numId="50" w16cid:durableId="759907688">
    <w:abstractNumId w:val="8"/>
  </w:num>
  <w:num w:numId="51" w16cid:durableId="410466865">
    <w:abstractNumId w:val="38"/>
  </w:num>
  <w:num w:numId="52" w16cid:durableId="6689440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23076964">
    <w:abstractNumId w:val="21"/>
  </w:num>
  <w:num w:numId="54" w16cid:durableId="132407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comments" w:formatting="1" w:enforcement="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2"/>
    <w:rsid w:val="0000036D"/>
    <w:rsid w:val="0000042A"/>
    <w:rsid w:val="00000719"/>
    <w:rsid w:val="00000848"/>
    <w:rsid w:val="00000971"/>
    <w:rsid w:val="00000DA0"/>
    <w:rsid w:val="000012F8"/>
    <w:rsid w:val="00001319"/>
    <w:rsid w:val="0000184E"/>
    <w:rsid w:val="00001C48"/>
    <w:rsid w:val="00001DC1"/>
    <w:rsid w:val="00002057"/>
    <w:rsid w:val="000021A3"/>
    <w:rsid w:val="00002540"/>
    <w:rsid w:val="00002CFD"/>
    <w:rsid w:val="00002D68"/>
    <w:rsid w:val="000031C3"/>
    <w:rsid w:val="00003355"/>
    <w:rsid w:val="000033F7"/>
    <w:rsid w:val="00003403"/>
    <w:rsid w:val="000034EC"/>
    <w:rsid w:val="0000435A"/>
    <w:rsid w:val="00004DC6"/>
    <w:rsid w:val="000050F7"/>
    <w:rsid w:val="00005347"/>
    <w:rsid w:val="0000549E"/>
    <w:rsid w:val="0000558A"/>
    <w:rsid w:val="00005A07"/>
    <w:rsid w:val="00005D56"/>
    <w:rsid w:val="00005E4B"/>
    <w:rsid w:val="00005EC0"/>
    <w:rsid w:val="00005F5D"/>
    <w:rsid w:val="00006086"/>
    <w:rsid w:val="0000617B"/>
    <w:rsid w:val="000063B2"/>
    <w:rsid w:val="000063FF"/>
    <w:rsid w:val="00006A56"/>
    <w:rsid w:val="0000717D"/>
    <w:rsid w:val="000071C6"/>
    <w:rsid w:val="000072B6"/>
    <w:rsid w:val="00007561"/>
    <w:rsid w:val="0000756E"/>
    <w:rsid w:val="000075CE"/>
    <w:rsid w:val="000075E4"/>
    <w:rsid w:val="0000796A"/>
    <w:rsid w:val="00007C6C"/>
    <w:rsid w:val="00007E42"/>
    <w:rsid w:val="00007F6F"/>
    <w:rsid w:val="0001021B"/>
    <w:rsid w:val="00010294"/>
    <w:rsid w:val="0001029C"/>
    <w:rsid w:val="000104B0"/>
    <w:rsid w:val="0001051E"/>
    <w:rsid w:val="00010C77"/>
    <w:rsid w:val="00010CC7"/>
    <w:rsid w:val="00010D2D"/>
    <w:rsid w:val="0001107E"/>
    <w:rsid w:val="000110A1"/>
    <w:rsid w:val="00011671"/>
    <w:rsid w:val="000117B9"/>
    <w:rsid w:val="00011C5E"/>
    <w:rsid w:val="00011D89"/>
    <w:rsid w:val="00011FEB"/>
    <w:rsid w:val="000124B7"/>
    <w:rsid w:val="00012B2C"/>
    <w:rsid w:val="000130C5"/>
    <w:rsid w:val="000132AF"/>
    <w:rsid w:val="00013554"/>
    <w:rsid w:val="000137C5"/>
    <w:rsid w:val="00013835"/>
    <w:rsid w:val="00014917"/>
    <w:rsid w:val="00014A3F"/>
    <w:rsid w:val="00014BB2"/>
    <w:rsid w:val="00014D0C"/>
    <w:rsid w:val="000153FE"/>
    <w:rsid w:val="000154FD"/>
    <w:rsid w:val="0001570E"/>
    <w:rsid w:val="00015BCA"/>
    <w:rsid w:val="00015F7D"/>
    <w:rsid w:val="00016158"/>
    <w:rsid w:val="000163B7"/>
    <w:rsid w:val="00016517"/>
    <w:rsid w:val="00016836"/>
    <w:rsid w:val="00016A79"/>
    <w:rsid w:val="00016A88"/>
    <w:rsid w:val="000175BB"/>
    <w:rsid w:val="00017BE0"/>
    <w:rsid w:val="00017FFC"/>
    <w:rsid w:val="000201BC"/>
    <w:rsid w:val="0002020A"/>
    <w:rsid w:val="00020A6E"/>
    <w:rsid w:val="00020D84"/>
    <w:rsid w:val="00021245"/>
    <w:rsid w:val="00021963"/>
    <w:rsid w:val="00022271"/>
    <w:rsid w:val="00022376"/>
    <w:rsid w:val="000226D9"/>
    <w:rsid w:val="000228A3"/>
    <w:rsid w:val="00022AA2"/>
    <w:rsid w:val="00022B6A"/>
    <w:rsid w:val="00022E60"/>
    <w:rsid w:val="000235E8"/>
    <w:rsid w:val="00023AF1"/>
    <w:rsid w:val="00023D38"/>
    <w:rsid w:val="00023D60"/>
    <w:rsid w:val="00023D85"/>
    <w:rsid w:val="00023DA5"/>
    <w:rsid w:val="000246E8"/>
    <w:rsid w:val="000247A6"/>
    <w:rsid w:val="000247C3"/>
    <w:rsid w:val="00024D89"/>
    <w:rsid w:val="000250B6"/>
    <w:rsid w:val="000258D0"/>
    <w:rsid w:val="0002613C"/>
    <w:rsid w:val="0002664B"/>
    <w:rsid w:val="0002684A"/>
    <w:rsid w:val="00026CD8"/>
    <w:rsid w:val="000272E4"/>
    <w:rsid w:val="00027E41"/>
    <w:rsid w:val="00030065"/>
    <w:rsid w:val="0003007E"/>
    <w:rsid w:val="000302CB"/>
    <w:rsid w:val="000307BC"/>
    <w:rsid w:val="000308FF"/>
    <w:rsid w:val="00030CDD"/>
    <w:rsid w:val="00030E59"/>
    <w:rsid w:val="00030F06"/>
    <w:rsid w:val="00031323"/>
    <w:rsid w:val="000313EE"/>
    <w:rsid w:val="000316F8"/>
    <w:rsid w:val="00032759"/>
    <w:rsid w:val="000332B2"/>
    <w:rsid w:val="00033A28"/>
    <w:rsid w:val="00033D81"/>
    <w:rsid w:val="00033DC9"/>
    <w:rsid w:val="00033F8B"/>
    <w:rsid w:val="000342A8"/>
    <w:rsid w:val="0003441E"/>
    <w:rsid w:val="00034497"/>
    <w:rsid w:val="00034981"/>
    <w:rsid w:val="00034B74"/>
    <w:rsid w:val="00034BFB"/>
    <w:rsid w:val="000350A2"/>
    <w:rsid w:val="00036378"/>
    <w:rsid w:val="00036878"/>
    <w:rsid w:val="000369AF"/>
    <w:rsid w:val="00036AB6"/>
    <w:rsid w:val="00036AE8"/>
    <w:rsid w:val="00036F13"/>
    <w:rsid w:val="00036F32"/>
    <w:rsid w:val="00037366"/>
    <w:rsid w:val="000375F7"/>
    <w:rsid w:val="00037B77"/>
    <w:rsid w:val="00037D8B"/>
    <w:rsid w:val="00037E11"/>
    <w:rsid w:val="00040714"/>
    <w:rsid w:val="00040E54"/>
    <w:rsid w:val="00041433"/>
    <w:rsid w:val="00041BF0"/>
    <w:rsid w:val="00042001"/>
    <w:rsid w:val="000425A1"/>
    <w:rsid w:val="0004276C"/>
    <w:rsid w:val="0004278D"/>
    <w:rsid w:val="00042833"/>
    <w:rsid w:val="000428FF"/>
    <w:rsid w:val="00042954"/>
    <w:rsid w:val="00042C8A"/>
    <w:rsid w:val="00042EF0"/>
    <w:rsid w:val="000434EB"/>
    <w:rsid w:val="000439B4"/>
    <w:rsid w:val="000439E5"/>
    <w:rsid w:val="00043ACD"/>
    <w:rsid w:val="00043CAC"/>
    <w:rsid w:val="00044326"/>
    <w:rsid w:val="00044943"/>
    <w:rsid w:val="00044D47"/>
    <w:rsid w:val="0004536B"/>
    <w:rsid w:val="000456C7"/>
    <w:rsid w:val="00045A97"/>
    <w:rsid w:val="000462CF"/>
    <w:rsid w:val="000466A2"/>
    <w:rsid w:val="00046B68"/>
    <w:rsid w:val="0004700C"/>
    <w:rsid w:val="000471E2"/>
    <w:rsid w:val="000473FF"/>
    <w:rsid w:val="00047503"/>
    <w:rsid w:val="00047A7E"/>
    <w:rsid w:val="00050838"/>
    <w:rsid w:val="00050DD4"/>
    <w:rsid w:val="00050E4C"/>
    <w:rsid w:val="000511A4"/>
    <w:rsid w:val="0005217F"/>
    <w:rsid w:val="000522FF"/>
    <w:rsid w:val="0005242D"/>
    <w:rsid w:val="000527DD"/>
    <w:rsid w:val="000528E1"/>
    <w:rsid w:val="00052B11"/>
    <w:rsid w:val="00052FE7"/>
    <w:rsid w:val="00053F8A"/>
    <w:rsid w:val="0005411E"/>
    <w:rsid w:val="00054683"/>
    <w:rsid w:val="000549DE"/>
    <w:rsid w:val="00054A38"/>
    <w:rsid w:val="00054BA7"/>
    <w:rsid w:val="00054DDD"/>
    <w:rsid w:val="00054F39"/>
    <w:rsid w:val="0005584E"/>
    <w:rsid w:val="00055B51"/>
    <w:rsid w:val="00055C34"/>
    <w:rsid w:val="00055FD1"/>
    <w:rsid w:val="00056B13"/>
    <w:rsid w:val="00056EC4"/>
    <w:rsid w:val="00057200"/>
    <w:rsid w:val="000578B2"/>
    <w:rsid w:val="00057AC5"/>
    <w:rsid w:val="00057CBB"/>
    <w:rsid w:val="0006039C"/>
    <w:rsid w:val="0006049D"/>
    <w:rsid w:val="00060565"/>
    <w:rsid w:val="00060959"/>
    <w:rsid w:val="00060989"/>
    <w:rsid w:val="00060C8F"/>
    <w:rsid w:val="00060E48"/>
    <w:rsid w:val="0006113D"/>
    <w:rsid w:val="00061EE0"/>
    <w:rsid w:val="00062169"/>
    <w:rsid w:val="000627E5"/>
    <w:rsid w:val="0006298A"/>
    <w:rsid w:val="00062C01"/>
    <w:rsid w:val="00062DBC"/>
    <w:rsid w:val="0006352D"/>
    <w:rsid w:val="00063594"/>
    <w:rsid w:val="00064249"/>
    <w:rsid w:val="00064369"/>
    <w:rsid w:val="00064EEC"/>
    <w:rsid w:val="00065719"/>
    <w:rsid w:val="00065900"/>
    <w:rsid w:val="00065C57"/>
    <w:rsid w:val="00065D05"/>
    <w:rsid w:val="000663CD"/>
    <w:rsid w:val="0006693E"/>
    <w:rsid w:val="00066A7D"/>
    <w:rsid w:val="00066C4A"/>
    <w:rsid w:val="00066E06"/>
    <w:rsid w:val="000672BA"/>
    <w:rsid w:val="000673C8"/>
    <w:rsid w:val="0006764A"/>
    <w:rsid w:val="000679EF"/>
    <w:rsid w:val="00067B76"/>
    <w:rsid w:val="00067F1D"/>
    <w:rsid w:val="00070419"/>
    <w:rsid w:val="000709F3"/>
    <w:rsid w:val="00070CC3"/>
    <w:rsid w:val="00070DA7"/>
    <w:rsid w:val="00071A45"/>
    <w:rsid w:val="00071BF0"/>
    <w:rsid w:val="00071BF5"/>
    <w:rsid w:val="00071E0E"/>
    <w:rsid w:val="00071EB4"/>
    <w:rsid w:val="0007216C"/>
    <w:rsid w:val="0007248C"/>
    <w:rsid w:val="00072543"/>
    <w:rsid w:val="00072747"/>
    <w:rsid w:val="000727BF"/>
    <w:rsid w:val="00072B67"/>
    <w:rsid w:val="00073096"/>
    <w:rsid w:val="000733FE"/>
    <w:rsid w:val="000734F8"/>
    <w:rsid w:val="0007399A"/>
    <w:rsid w:val="00073CFE"/>
    <w:rsid w:val="00073D0A"/>
    <w:rsid w:val="00073E0B"/>
    <w:rsid w:val="00074219"/>
    <w:rsid w:val="00074DE3"/>
    <w:rsid w:val="00074ED5"/>
    <w:rsid w:val="00074FF3"/>
    <w:rsid w:val="0007536B"/>
    <w:rsid w:val="00075672"/>
    <w:rsid w:val="000756DD"/>
    <w:rsid w:val="000758A9"/>
    <w:rsid w:val="00075C38"/>
    <w:rsid w:val="00076133"/>
    <w:rsid w:val="000769E8"/>
    <w:rsid w:val="0007719C"/>
    <w:rsid w:val="000771F2"/>
    <w:rsid w:val="00077745"/>
    <w:rsid w:val="00077FFD"/>
    <w:rsid w:val="00080DD0"/>
    <w:rsid w:val="0008143A"/>
    <w:rsid w:val="0008177A"/>
    <w:rsid w:val="00081962"/>
    <w:rsid w:val="00081A9E"/>
    <w:rsid w:val="00081AED"/>
    <w:rsid w:val="0008204A"/>
    <w:rsid w:val="00082483"/>
    <w:rsid w:val="00082F60"/>
    <w:rsid w:val="00083E95"/>
    <w:rsid w:val="00084061"/>
    <w:rsid w:val="00084698"/>
    <w:rsid w:val="00084706"/>
    <w:rsid w:val="000849B7"/>
    <w:rsid w:val="00084A83"/>
    <w:rsid w:val="00084C01"/>
    <w:rsid w:val="00084C04"/>
    <w:rsid w:val="0008508E"/>
    <w:rsid w:val="000859C8"/>
    <w:rsid w:val="00085BD4"/>
    <w:rsid w:val="00085C3D"/>
    <w:rsid w:val="00086F57"/>
    <w:rsid w:val="0008726A"/>
    <w:rsid w:val="000878F4"/>
    <w:rsid w:val="00087951"/>
    <w:rsid w:val="00090391"/>
    <w:rsid w:val="000907BE"/>
    <w:rsid w:val="00090A48"/>
    <w:rsid w:val="0009113B"/>
    <w:rsid w:val="0009124B"/>
    <w:rsid w:val="00091651"/>
    <w:rsid w:val="000916E2"/>
    <w:rsid w:val="0009182F"/>
    <w:rsid w:val="00091B24"/>
    <w:rsid w:val="0009202A"/>
    <w:rsid w:val="0009230A"/>
    <w:rsid w:val="00092420"/>
    <w:rsid w:val="000929DC"/>
    <w:rsid w:val="00092C46"/>
    <w:rsid w:val="00092D83"/>
    <w:rsid w:val="00092DC6"/>
    <w:rsid w:val="00092F0D"/>
    <w:rsid w:val="00093033"/>
    <w:rsid w:val="0009332A"/>
    <w:rsid w:val="00093402"/>
    <w:rsid w:val="0009371E"/>
    <w:rsid w:val="000937E5"/>
    <w:rsid w:val="00093DBC"/>
    <w:rsid w:val="000949F9"/>
    <w:rsid w:val="00094C50"/>
    <w:rsid w:val="00094DA3"/>
    <w:rsid w:val="00095518"/>
    <w:rsid w:val="00095875"/>
    <w:rsid w:val="00095E3C"/>
    <w:rsid w:val="000963E5"/>
    <w:rsid w:val="0009682C"/>
    <w:rsid w:val="00096B23"/>
    <w:rsid w:val="00096CD1"/>
    <w:rsid w:val="00096F19"/>
    <w:rsid w:val="00096F35"/>
    <w:rsid w:val="000973C9"/>
    <w:rsid w:val="0009801D"/>
    <w:rsid w:val="000A012C"/>
    <w:rsid w:val="000A032E"/>
    <w:rsid w:val="000A087A"/>
    <w:rsid w:val="000A0DAE"/>
    <w:rsid w:val="000A0EB9"/>
    <w:rsid w:val="000A14AB"/>
    <w:rsid w:val="000A186C"/>
    <w:rsid w:val="000A1BBC"/>
    <w:rsid w:val="000A1EA4"/>
    <w:rsid w:val="000A2355"/>
    <w:rsid w:val="000A2476"/>
    <w:rsid w:val="000A29E3"/>
    <w:rsid w:val="000A2E87"/>
    <w:rsid w:val="000A355B"/>
    <w:rsid w:val="000A3D3C"/>
    <w:rsid w:val="000A3FB3"/>
    <w:rsid w:val="000A4606"/>
    <w:rsid w:val="000A46B4"/>
    <w:rsid w:val="000A4C93"/>
    <w:rsid w:val="000A4DD2"/>
    <w:rsid w:val="000A5053"/>
    <w:rsid w:val="000A51EB"/>
    <w:rsid w:val="000A5750"/>
    <w:rsid w:val="000A5F11"/>
    <w:rsid w:val="000A5F49"/>
    <w:rsid w:val="000A6328"/>
    <w:rsid w:val="000A641A"/>
    <w:rsid w:val="000A64DB"/>
    <w:rsid w:val="000A653F"/>
    <w:rsid w:val="000A67A5"/>
    <w:rsid w:val="000A6FD6"/>
    <w:rsid w:val="000A76BC"/>
    <w:rsid w:val="000B0164"/>
    <w:rsid w:val="000B0656"/>
    <w:rsid w:val="000B0BAB"/>
    <w:rsid w:val="000B1705"/>
    <w:rsid w:val="000B1A75"/>
    <w:rsid w:val="000B1C45"/>
    <w:rsid w:val="000B2226"/>
    <w:rsid w:val="000B26F5"/>
    <w:rsid w:val="000B2771"/>
    <w:rsid w:val="000B27B9"/>
    <w:rsid w:val="000B2822"/>
    <w:rsid w:val="000B2F9A"/>
    <w:rsid w:val="000B3002"/>
    <w:rsid w:val="000B30E0"/>
    <w:rsid w:val="000B34DF"/>
    <w:rsid w:val="000B35B7"/>
    <w:rsid w:val="000B35F3"/>
    <w:rsid w:val="000B3831"/>
    <w:rsid w:val="000B3EDB"/>
    <w:rsid w:val="000B3F10"/>
    <w:rsid w:val="000B4241"/>
    <w:rsid w:val="000B4B67"/>
    <w:rsid w:val="000B4F26"/>
    <w:rsid w:val="000B4F2D"/>
    <w:rsid w:val="000B543D"/>
    <w:rsid w:val="000B55F9"/>
    <w:rsid w:val="000B5A61"/>
    <w:rsid w:val="000B5A64"/>
    <w:rsid w:val="000B5BF7"/>
    <w:rsid w:val="000B6307"/>
    <w:rsid w:val="000B66C0"/>
    <w:rsid w:val="000B6BC8"/>
    <w:rsid w:val="000B7900"/>
    <w:rsid w:val="000B7932"/>
    <w:rsid w:val="000B79A0"/>
    <w:rsid w:val="000B7CD2"/>
    <w:rsid w:val="000C0303"/>
    <w:rsid w:val="000C03F7"/>
    <w:rsid w:val="000C0478"/>
    <w:rsid w:val="000C0539"/>
    <w:rsid w:val="000C0A55"/>
    <w:rsid w:val="000C158A"/>
    <w:rsid w:val="000C1AC8"/>
    <w:rsid w:val="000C3167"/>
    <w:rsid w:val="000C324B"/>
    <w:rsid w:val="000C3267"/>
    <w:rsid w:val="000C34BF"/>
    <w:rsid w:val="000C387C"/>
    <w:rsid w:val="000C3CC0"/>
    <w:rsid w:val="000C42EA"/>
    <w:rsid w:val="000C4546"/>
    <w:rsid w:val="000C4670"/>
    <w:rsid w:val="000C4B40"/>
    <w:rsid w:val="000C4D27"/>
    <w:rsid w:val="000C5186"/>
    <w:rsid w:val="000C5270"/>
    <w:rsid w:val="000C5322"/>
    <w:rsid w:val="000C5392"/>
    <w:rsid w:val="000C54E9"/>
    <w:rsid w:val="000C565E"/>
    <w:rsid w:val="000C57F2"/>
    <w:rsid w:val="000C621B"/>
    <w:rsid w:val="000C62D8"/>
    <w:rsid w:val="000C6B20"/>
    <w:rsid w:val="000C7701"/>
    <w:rsid w:val="000D02B0"/>
    <w:rsid w:val="000D02FE"/>
    <w:rsid w:val="000D0419"/>
    <w:rsid w:val="000D055B"/>
    <w:rsid w:val="000D0D29"/>
    <w:rsid w:val="000D102D"/>
    <w:rsid w:val="000D11F9"/>
    <w:rsid w:val="000D1242"/>
    <w:rsid w:val="000D142C"/>
    <w:rsid w:val="000D1B3D"/>
    <w:rsid w:val="000D1E5B"/>
    <w:rsid w:val="000D22F8"/>
    <w:rsid w:val="000D276B"/>
    <w:rsid w:val="000D286E"/>
    <w:rsid w:val="000D2ABA"/>
    <w:rsid w:val="000D2E3D"/>
    <w:rsid w:val="000D2F76"/>
    <w:rsid w:val="000D3718"/>
    <w:rsid w:val="000D3B0D"/>
    <w:rsid w:val="000D4205"/>
    <w:rsid w:val="000D4437"/>
    <w:rsid w:val="000D467A"/>
    <w:rsid w:val="000D4B62"/>
    <w:rsid w:val="000D501F"/>
    <w:rsid w:val="000D60A2"/>
    <w:rsid w:val="000D6507"/>
    <w:rsid w:val="000D6836"/>
    <w:rsid w:val="000D6A18"/>
    <w:rsid w:val="000D6B56"/>
    <w:rsid w:val="000D6E36"/>
    <w:rsid w:val="000D7F1B"/>
    <w:rsid w:val="000E0280"/>
    <w:rsid w:val="000E08EF"/>
    <w:rsid w:val="000E0970"/>
    <w:rsid w:val="000E0B1C"/>
    <w:rsid w:val="000E0E8F"/>
    <w:rsid w:val="000E0F40"/>
    <w:rsid w:val="000E169E"/>
    <w:rsid w:val="000E226D"/>
    <w:rsid w:val="000E26A0"/>
    <w:rsid w:val="000E3126"/>
    <w:rsid w:val="000E3563"/>
    <w:rsid w:val="000E3CC7"/>
    <w:rsid w:val="000E3D98"/>
    <w:rsid w:val="000E43AF"/>
    <w:rsid w:val="000E4AD0"/>
    <w:rsid w:val="000E4B38"/>
    <w:rsid w:val="000E4B56"/>
    <w:rsid w:val="000E52B1"/>
    <w:rsid w:val="000E5ABF"/>
    <w:rsid w:val="000E606C"/>
    <w:rsid w:val="000E63FC"/>
    <w:rsid w:val="000E64EB"/>
    <w:rsid w:val="000E6563"/>
    <w:rsid w:val="000E66F1"/>
    <w:rsid w:val="000E6BD4"/>
    <w:rsid w:val="000E6D6D"/>
    <w:rsid w:val="000E7929"/>
    <w:rsid w:val="000F009C"/>
    <w:rsid w:val="000F0470"/>
    <w:rsid w:val="000F0F36"/>
    <w:rsid w:val="000F1413"/>
    <w:rsid w:val="000F1556"/>
    <w:rsid w:val="000F1A24"/>
    <w:rsid w:val="000F1AC3"/>
    <w:rsid w:val="000F1F1E"/>
    <w:rsid w:val="000F2259"/>
    <w:rsid w:val="000F2283"/>
    <w:rsid w:val="000F22A3"/>
    <w:rsid w:val="000F24C4"/>
    <w:rsid w:val="000F2DDA"/>
    <w:rsid w:val="000F2EA0"/>
    <w:rsid w:val="000F3347"/>
    <w:rsid w:val="000F3996"/>
    <w:rsid w:val="000F3F7F"/>
    <w:rsid w:val="000F471E"/>
    <w:rsid w:val="000F4860"/>
    <w:rsid w:val="000F5213"/>
    <w:rsid w:val="000F56A6"/>
    <w:rsid w:val="000F5A38"/>
    <w:rsid w:val="000F68BB"/>
    <w:rsid w:val="000F6A5B"/>
    <w:rsid w:val="000F6E8E"/>
    <w:rsid w:val="000F70FB"/>
    <w:rsid w:val="000F762B"/>
    <w:rsid w:val="000F7780"/>
    <w:rsid w:val="000F7A15"/>
    <w:rsid w:val="000F7DD7"/>
    <w:rsid w:val="000F7E66"/>
    <w:rsid w:val="00100394"/>
    <w:rsid w:val="001003C5"/>
    <w:rsid w:val="0010068D"/>
    <w:rsid w:val="001006B0"/>
    <w:rsid w:val="001007D9"/>
    <w:rsid w:val="00101001"/>
    <w:rsid w:val="001014F8"/>
    <w:rsid w:val="00101528"/>
    <w:rsid w:val="001018E6"/>
    <w:rsid w:val="00101D9E"/>
    <w:rsid w:val="0010260A"/>
    <w:rsid w:val="00102619"/>
    <w:rsid w:val="00102BAB"/>
    <w:rsid w:val="00102C07"/>
    <w:rsid w:val="00103103"/>
    <w:rsid w:val="00103276"/>
    <w:rsid w:val="001034AF"/>
    <w:rsid w:val="0010392D"/>
    <w:rsid w:val="00103D2D"/>
    <w:rsid w:val="0010432E"/>
    <w:rsid w:val="0010447F"/>
    <w:rsid w:val="001045BD"/>
    <w:rsid w:val="001049D5"/>
    <w:rsid w:val="00104C08"/>
    <w:rsid w:val="00104ECF"/>
    <w:rsid w:val="00104FE3"/>
    <w:rsid w:val="001051D8"/>
    <w:rsid w:val="00105459"/>
    <w:rsid w:val="0010549D"/>
    <w:rsid w:val="001057AF"/>
    <w:rsid w:val="00105D16"/>
    <w:rsid w:val="001066C1"/>
    <w:rsid w:val="00106F91"/>
    <w:rsid w:val="00107030"/>
    <w:rsid w:val="0010714F"/>
    <w:rsid w:val="00107636"/>
    <w:rsid w:val="00107809"/>
    <w:rsid w:val="00110642"/>
    <w:rsid w:val="00110BD8"/>
    <w:rsid w:val="00110D8D"/>
    <w:rsid w:val="00110E15"/>
    <w:rsid w:val="001119AC"/>
    <w:rsid w:val="00111D81"/>
    <w:rsid w:val="00112096"/>
    <w:rsid w:val="001120C5"/>
    <w:rsid w:val="001122F2"/>
    <w:rsid w:val="00112472"/>
    <w:rsid w:val="00112A3C"/>
    <w:rsid w:val="00112C99"/>
    <w:rsid w:val="00112E45"/>
    <w:rsid w:val="001131C8"/>
    <w:rsid w:val="00113956"/>
    <w:rsid w:val="00113C5E"/>
    <w:rsid w:val="00114467"/>
    <w:rsid w:val="00114C42"/>
    <w:rsid w:val="00114CB0"/>
    <w:rsid w:val="00115126"/>
    <w:rsid w:val="001159EA"/>
    <w:rsid w:val="00115C01"/>
    <w:rsid w:val="0011603E"/>
    <w:rsid w:val="00116696"/>
    <w:rsid w:val="001169BF"/>
    <w:rsid w:val="00116B3B"/>
    <w:rsid w:val="001170F3"/>
    <w:rsid w:val="001172B5"/>
    <w:rsid w:val="00117767"/>
    <w:rsid w:val="00117F65"/>
    <w:rsid w:val="00120115"/>
    <w:rsid w:val="001201FA"/>
    <w:rsid w:val="00120692"/>
    <w:rsid w:val="0012072D"/>
    <w:rsid w:val="00120741"/>
    <w:rsid w:val="00120BD3"/>
    <w:rsid w:val="00120CCF"/>
    <w:rsid w:val="00120EF5"/>
    <w:rsid w:val="00120FC8"/>
    <w:rsid w:val="00121C3E"/>
    <w:rsid w:val="00121F7F"/>
    <w:rsid w:val="00122137"/>
    <w:rsid w:val="00122AE4"/>
    <w:rsid w:val="00122FEA"/>
    <w:rsid w:val="001232BD"/>
    <w:rsid w:val="001236DC"/>
    <w:rsid w:val="00123850"/>
    <w:rsid w:val="00123B04"/>
    <w:rsid w:val="00123B40"/>
    <w:rsid w:val="001248C4"/>
    <w:rsid w:val="00124B71"/>
    <w:rsid w:val="00124E75"/>
    <w:rsid w:val="00124ED5"/>
    <w:rsid w:val="00124FB1"/>
    <w:rsid w:val="0012521C"/>
    <w:rsid w:val="001258AE"/>
    <w:rsid w:val="00125DAF"/>
    <w:rsid w:val="00125E99"/>
    <w:rsid w:val="001260B5"/>
    <w:rsid w:val="00126107"/>
    <w:rsid w:val="00126C1D"/>
    <w:rsid w:val="0012704E"/>
    <w:rsid w:val="00127360"/>
    <w:rsid w:val="001276FA"/>
    <w:rsid w:val="00130012"/>
    <w:rsid w:val="001302C0"/>
    <w:rsid w:val="00130AC0"/>
    <w:rsid w:val="001315CE"/>
    <w:rsid w:val="0013261D"/>
    <w:rsid w:val="00132855"/>
    <w:rsid w:val="00132882"/>
    <w:rsid w:val="001329F9"/>
    <w:rsid w:val="00132A1B"/>
    <w:rsid w:val="00133167"/>
    <w:rsid w:val="001332E8"/>
    <w:rsid w:val="001338CC"/>
    <w:rsid w:val="00133927"/>
    <w:rsid w:val="00133E3A"/>
    <w:rsid w:val="00133EF1"/>
    <w:rsid w:val="00134417"/>
    <w:rsid w:val="00134837"/>
    <w:rsid w:val="00134DF1"/>
    <w:rsid w:val="00134F50"/>
    <w:rsid w:val="00135290"/>
    <w:rsid w:val="00135FA5"/>
    <w:rsid w:val="00135FE9"/>
    <w:rsid w:val="00136032"/>
    <w:rsid w:val="0013611D"/>
    <w:rsid w:val="00136407"/>
    <w:rsid w:val="00136567"/>
    <w:rsid w:val="001371F2"/>
    <w:rsid w:val="00137583"/>
    <w:rsid w:val="001377EC"/>
    <w:rsid w:val="00137E5A"/>
    <w:rsid w:val="00140257"/>
    <w:rsid w:val="001407F7"/>
    <w:rsid w:val="0014080A"/>
    <w:rsid w:val="0014086E"/>
    <w:rsid w:val="00140C93"/>
    <w:rsid w:val="00140E01"/>
    <w:rsid w:val="00140E35"/>
    <w:rsid w:val="00140E54"/>
    <w:rsid w:val="00141618"/>
    <w:rsid w:val="0014173D"/>
    <w:rsid w:val="001419FF"/>
    <w:rsid w:val="00141FC3"/>
    <w:rsid w:val="00142085"/>
    <w:rsid w:val="001421E0"/>
    <w:rsid w:val="00142953"/>
    <w:rsid w:val="00143740"/>
    <w:rsid w:val="0014375E"/>
    <w:rsid w:val="001438B7"/>
    <w:rsid w:val="00143ED9"/>
    <w:rsid w:val="001443A1"/>
    <w:rsid w:val="001446E3"/>
    <w:rsid w:val="001447B3"/>
    <w:rsid w:val="00144965"/>
    <w:rsid w:val="001456F1"/>
    <w:rsid w:val="00145971"/>
    <w:rsid w:val="00145DB2"/>
    <w:rsid w:val="001461F5"/>
    <w:rsid w:val="0014658E"/>
    <w:rsid w:val="0014693F"/>
    <w:rsid w:val="001472D4"/>
    <w:rsid w:val="00147CDF"/>
    <w:rsid w:val="00147EF8"/>
    <w:rsid w:val="00147FD0"/>
    <w:rsid w:val="0015079F"/>
    <w:rsid w:val="00150818"/>
    <w:rsid w:val="00150A58"/>
    <w:rsid w:val="00150D8B"/>
    <w:rsid w:val="00150DC3"/>
    <w:rsid w:val="001518C2"/>
    <w:rsid w:val="00151D08"/>
    <w:rsid w:val="00152071"/>
    <w:rsid w:val="00152073"/>
    <w:rsid w:val="00152329"/>
    <w:rsid w:val="00152DD0"/>
    <w:rsid w:val="00153365"/>
    <w:rsid w:val="00153C85"/>
    <w:rsid w:val="00154457"/>
    <w:rsid w:val="00154DDC"/>
    <w:rsid w:val="00154ECC"/>
    <w:rsid w:val="001553C9"/>
    <w:rsid w:val="0015561E"/>
    <w:rsid w:val="00155961"/>
    <w:rsid w:val="00155F15"/>
    <w:rsid w:val="00156598"/>
    <w:rsid w:val="00156A93"/>
    <w:rsid w:val="001572AE"/>
    <w:rsid w:val="0015770C"/>
    <w:rsid w:val="00157963"/>
    <w:rsid w:val="0015796F"/>
    <w:rsid w:val="00157EED"/>
    <w:rsid w:val="0016001F"/>
    <w:rsid w:val="001601CE"/>
    <w:rsid w:val="001605B9"/>
    <w:rsid w:val="001608A1"/>
    <w:rsid w:val="001611D9"/>
    <w:rsid w:val="001613ED"/>
    <w:rsid w:val="001616DA"/>
    <w:rsid w:val="0016171C"/>
    <w:rsid w:val="00161819"/>
    <w:rsid w:val="00161939"/>
    <w:rsid w:val="00161AA0"/>
    <w:rsid w:val="00161D2E"/>
    <w:rsid w:val="00161F3E"/>
    <w:rsid w:val="00162093"/>
    <w:rsid w:val="001626B5"/>
    <w:rsid w:val="00162CA9"/>
    <w:rsid w:val="00163497"/>
    <w:rsid w:val="00163CD0"/>
    <w:rsid w:val="0016459D"/>
    <w:rsid w:val="00164C3C"/>
    <w:rsid w:val="00164F1A"/>
    <w:rsid w:val="001652EC"/>
    <w:rsid w:val="00165314"/>
    <w:rsid w:val="00165459"/>
    <w:rsid w:val="00165735"/>
    <w:rsid w:val="001657CC"/>
    <w:rsid w:val="00165A49"/>
    <w:rsid w:val="00165A57"/>
    <w:rsid w:val="00165D8D"/>
    <w:rsid w:val="00166653"/>
    <w:rsid w:val="0016699E"/>
    <w:rsid w:val="00166A68"/>
    <w:rsid w:val="00166B85"/>
    <w:rsid w:val="00166C62"/>
    <w:rsid w:val="00167017"/>
    <w:rsid w:val="00167198"/>
    <w:rsid w:val="00167496"/>
    <w:rsid w:val="001674C7"/>
    <w:rsid w:val="00167509"/>
    <w:rsid w:val="00167734"/>
    <w:rsid w:val="00167867"/>
    <w:rsid w:val="00167AEE"/>
    <w:rsid w:val="00167C47"/>
    <w:rsid w:val="00167EAD"/>
    <w:rsid w:val="00167F6B"/>
    <w:rsid w:val="001703E5"/>
    <w:rsid w:val="00170523"/>
    <w:rsid w:val="00170CEB"/>
    <w:rsid w:val="00171292"/>
    <w:rsid w:val="001712C2"/>
    <w:rsid w:val="0017140F"/>
    <w:rsid w:val="0017194D"/>
    <w:rsid w:val="00171AD8"/>
    <w:rsid w:val="00171F51"/>
    <w:rsid w:val="001725DF"/>
    <w:rsid w:val="00172BAF"/>
    <w:rsid w:val="00172DAF"/>
    <w:rsid w:val="00173167"/>
    <w:rsid w:val="001734BF"/>
    <w:rsid w:val="00173D2A"/>
    <w:rsid w:val="001746CC"/>
    <w:rsid w:val="001748BC"/>
    <w:rsid w:val="00174905"/>
    <w:rsid w:val="00175162"/>
    <w:rsid w:val="00175272"/>
    <w:rsid w:val="00175388"/>
    <w:rsid w:val="00175A8F"/>
    <w:rsid w:val="00175B50"/>
    <w:rsid w:val="00175F68"/>
    <w:rsid w:val="00176240"/>
    <w:rsid w:val="0017674D"/>
    <w:rsid w:val="00176862"/>
    <w:rsid w:val="00176CED"/>
    <w:rsid w:val="00177074"/>
    <w:rsid w:val="001771DD"/>
    <w:rsid w:val="001774CC"/>
    <w:rsid w:val="001777C8"/>
    <w:rsid w:val="00177894"/>
    <w:rsid w:val="0017796D"/>
    <w:rsid w:val="00177995"/>
    <w:rsid w:val="00177A8C"/>
    <w:rsid w:val="00177E48"/>
    <w:rsid w:val="00177F64"/>
    <w:rsid w:val="00180B1A"/>
    <w:rsid w:val="00180EE4"/>
    <w:rsid w:val="00180EF2"/>
    <w:rsid w:val="00181686"/>
    <w:rsid w:val="0018188A"/>
    <w:rsid w:val="001818B6"/>
    <w:rsid w:val="00181DA2"/>
    <w:rsid w:val="001822CC"/>
    <w:rsid w:val="00182444"/>
    <w:rsid w:val="0018244E"/>
    <w:rsid w:val="001825B8"/>
    <w:rsid w:val="001829BD"/>
    <w:rsid w:val="00182B30"/>
    <w:rsid w:val="00182D3B"/>
    <w:rsid w:val="00182D66"/>
    <w:rsid w:val="00182DCC"/>
    <w:rsid w:val="00183746"/>
    <w:rsid w:val="00183A34"/>
    <w:rsid w:val="00183C35"/>
    <w:rsid w:val="00183C74"/>
    <w:rsid w:val="00183DC4"/>
    <w:rsid w:val="001841EE"/>
    <w:rsid w:val="00184749"/>
    <w:rsid w:val="00184838"/>
    <w:rsid w:val="00184D47"/>
    <w:rsid w:val="00184E1E"/>
    <w:rsid w:val="0018575C"/>
    <w:rsid w:val="00185C7B"/>
    <w:rsid w:val="00185DAF"/>
    <w:rsid w:val="00185E2D"/>
    <w:rsid w:val="0018634F"/>
    <w:rsid w:val="0018678D"/>
    <w:rsid w:val="00186B33"/>
    <w:rsid w:val="00186BC8"/>
    <w:rsid w:val="001879E3"/>
    <w:rsid w:val="00187E8C"/>
    <w:rsid w:val="00190282"/>
    <w:rsid w:val="00190830"/>
    <w:rsid w:val="00190B0B"/>
    <w:rsid w:val="00190E7E"/>
    <w:rsid w:val="001910CD"/>
    <w:rsid w:val="00191B62"/>
    <w:rsid w:val="00191B87"/>
    <w:rsid w:val="00191BD9"/>
    <w:rsid w:val="00191DAC"/>
    <w:rsid w:val="001923E7"/>
    <w:rsid w:val="001923F4"/>
    <w:rsid w:val="001925AA"/>
    <w:rsid w:val="00192AA6"/>
    <w:rsid w:val="00192EBF"/>
    <w:rsid w:val="00192F9D"/>
    <w:rsid w:val="0019326D"/>
    <w:rsid w:val="00193592"/>
    <w:rsid w:val="00193D98"/>
    <w:rsid w:val="00193FE4"/>
    <w:rsid w:val="00194F05"/>
    <w:rsid w:val="001955BB"/>
    <w:rsid w:val="001957E6"/>
    <w:rsid w:val="00195923"/>
    <w:rsid w:val="00195A81"/>
    <w:rsid w:val="00196C74"/>
    <w:rsid w:val="00196EB8"/>
    <w:rsid w:val="00196EFB"/>
    <w:rsid w:val="0019791D"/>
    <w:rsid w:val="001979FF"/>
    <w:rsid w:val="00197B17"/>
    <w:rsid w:val="00197BEE"/>
    <w:rsid w:val="00197EA3"/>
    <w:rsid w:val="00197F9E"/>
    <w:rsid w:val="001A042A"/>
    <w:rsid w:val="001A0EAF"/>
    <w:rsid w:val="001A1535"/>
    <w:rsid w:val="001A192A"/>
    <w:rsid w:val="001A1950"/>
    <w:rsid w:val="001A1A2B"/>
    <w:rsid w:val="001A1C54"/>
    <w:rsid w:val="001A1D74"/>
    <w:rsid w:val="001A247B"/>
    <w:rsid w:val="001A284F"/>
    <w:rsid w:val="001A29AF"/>
    <w:rsid w:val="001A29B0"/>
    <w:rsid w:val="001A2CA8"/>
    <w:rsid w:val="001A30B0"/>
    <w:rsid w:val="001A31AC"/>
    <w:rsid w:val="001A3ACE"/>
    <w:rsid w:val="001A3BA3"/>
    <w:rsid w:val="001A466F"/>
    <w:rsid w:val="001A4731"/>
    <w:rsid w:val="001A4A54"/>
    <w:rsid w:val="001A4C81"/>
    <w:rsid w:val="001A6272"/>
    <w:rsid w:val="001A666A"/>
    <w:rsid w:val="001A68D4"/>
    <w:rsid w:val="001A69AE"/>
    <w:rsid w:val="001A7217"/>
    <w:rsid w:val="001A774E"/>
    <w:rsid w:val="001B0113"/>
    <w:rsid w:val="001B0410"/>
    <w:rsid w:val="001B0489"/>
    <w:rsid w:val="001B058F"/>
    <w:rsid w:val="001B0E42"/>
    <w:rsid w:val="001B111E"/>
    <w:rsid w:val="001B12BC"/>
    <w:rsid w:val="001B1577"/>
    <w:rsid w:val="001B175A"/>
    <w:rsid w:val="001B1D6D"/>
    <w:rsid w:val="001B201B"/>
    <w:rsid w:val="001B21CF"/>
    <w:rsid w:val="001B255B"/>
    <w:rsid w:val="001B25EF"/>
    <w:rsid w:val="001B264E"/>
    <w:rsid w:val="001B270F"/>
    <w:rsid w:val="001B2729"/>
    <w:rsid w:val="001B27E5"/>
    <w:rsid w:val="001B2F83"/>
    <w:rsid w:val="001B302D"/>
    <w:rsid w:val="001B3281"/>
    <w:rsid w:val="001B377E"/>
    <w:rsid w:val="001B38D6"/>
    <w:rsid w:val="001B42AF"/>
    <w:rsid w:val="001B436A"/>
    <w:rsid w:val="001B44D2"/>
    <w:rsid w:val="001B542D"/>
    <w:rsid w:val="001B56E2"/>
    <w:rsid w:val="001B572D"/>
    <w:rsid w:val="001B5AF2"/>
    <w:rsid w:val="001B5D9E"/>
    <w:rsid w:val="001B5F64"/>
    <w:rsid w:val="001B658E"/>
    <w:rsid w:val="001B65FE"/>
    <w:rsid w:val="001B6B96"/>
    <w:rsid w:val="001B6CAD"/>
    <w:rsid w:val="001B6DE0"/>
    <w:rsid w:val="001B7029"/>
    <w:rsid w:val="001B738B"/>
    <w:rsid w:val="001B74E8"/>
    <w:rsid w:val="001B755F"/>
    <w:rsid w:val="001B7A04"/>
    <w:rsid w:val="001B7CF6"/>
    <w:rsid w:val="001C01E0"/>
    <w:rsid w:val="001C031F"/>
    <w:rsid w:val="001C0678"/>
    <w:rsid w:val="001C07F8"/>
    <w:rsid w:val="001C09DB"/>
    <w:rsid w:val="001C1056"/>
    <w:rsid w:val="001C1091"/>
    <w:rsid w:val="001C182D"/>
    <w:rsid w:val="001C20DE"/>
    <w:rsid w:val="001C20EF"/>
    <w:rsid w:val="001C21DD"/>
    <w:rsid w:val="001C2354"/>
    <w:rsid w:val="001C2597"/>
    <w:rsid w:val="001C26CC"/>
    <w:rsid w:val="001C277E"/>
    <w:rsid w:val="001C2A72"/>
    <w:rsid w:val="001C2D11"/>
    <w:rsid w:val="001C31B7"/>
    <w:rsid w:val="001C3A49"/>
    <w:rsid w:val="001C47E4"/>
    <w:rsid w:val="001C5B62"/>
    <w:rsid w:val="001C5C09"/>
    <w:rsid w:val="001C5C33"/>
    <w:rsid w:val="001C6095"/>
    <w:rsid w:val="001C652B"/>
    <w:rsid w:val="001C664D"/>
    <w:rsid w:val="001C6940"/>
    <w:rsid w:val="001C698F"/>
    <w:rsid w:val="001C6A24"/>
    <w:rsid w:val="001C6C25"/>
    <w:rsid w:val="001C6C57"/>
    <w:rsid w:val="001C7022"/>
    <w:rsid w:val="001C7143"/>
    <w:rsid w:val="001C7531"/>
    <w:rsid w:val="001C79DD"/>
    <w:rsid w:val="001C7A40"/>
    <w:rsid w:val="001C7F8D"/>
    <w:rsid w:val="001D0021"/>
    <w:rsid w:val="001D0B75"/>
    <w:rsid w:val="001D0D79"/>
    <w:rsid w:val="001D0D9A"/>
    <w:rsid w:val="001D10B4"/>
    <w:rsid w:val="001D1791"/>
    <w:rsid w:val="001D1DF1"/>
    <w:rsid w:val="001D2128"/>
    <w:rsid w:val="001D2384"/>
    <w:rsid w:val="001D2727"/>
    <w:rsid w:val="001D289E"/>
    <w:rsid w:val="001D2AD0"/>
    <w:rsid w:val="001D2C1E"/>
    <w:rsid w:val="001D33BF"/>
    <w:rsid w:val="001D379D"/>
    <w:rsid w:val="001D39A5"/>
    <w:rsid w:val="001D3C09"/>
    <w:rsid w:val="001D3D93"/>
    <w:rsid w:val="001D3E55"/>
    <w:rsid w:val="001D44C2"/>
    <w:rsid w:val="001D44E8"/>
    <w:rsid w:val="001D4B6C"/>
    <w:rsid w:val="001D4EC6"/>
    <w:rsid w:val="001D4FAB"/>
    <w:rsid w:val="001D537D"/>
    <w:rsid w:val="001D577F"/>
    <w:rsid w:val="001D5818"/>
    <w:rsid w:val="001D5D89"/>
    <w:rsid w:val="001D5DF8"/>
    <w:rsid w:val="001D5E87"/>
    <w:rsid w:val="001D60EC"/>
    <w:rsid w:val="001D6C0F"/>
    <w:rsid w:val="001D6C49"/>
    <w:rsid w:val="001D6F59"/>
    <w:rsid w:val="001D72F3"/>
    <w:rsid w:val="001D76E8"/>
    <w:rsid w:val="001D7808"/>
    <w:rsid w:val="001D780D"/>
    <w:rsid w:val="001D7A36"/>
    <w:rsid w:val="001D7E98"/>
    <w:rsid w:val="001E0008"/>
    <w:rsid w:val="001E0159"/>
    <w:rsid w:val="001E0230"/>
    <w:rsid w:val="001E05D2"/>
    <w:rsid w:val="001E0708"/>
    <w:rsid w:val="001E0814"/>
    <w:rsid w:val="001E0B7F"/>
    <w:rsid w:val="001E1D78"/>
    <w:rsid w:val="001E2EC1"/>
    <w:rsid w:val="001E2F87"/>
    <w:rsid w:val="001E2FE7"/>
    <w:rsid w:val="001E31CC"/>
    <w:rsid w:val="001E3300"/>
    <w:rsid w:val="001E44DF"/>
    <w:rsid w:val="001E4BA6"/>
    <w:rsid w:val="001E4F4A"/>
    <w:rsid w:val="001E4F6F"/>
    <w:rsid w:val="001E525E"/>
    <w:rsid w:val="001E54DC"/>
    <w:rsid w:val="001E594D"/>
    <w:rsid w:val="001E5C64"/>
    <w:rsid w:val="001E663D"/>
    <w:rsid w:val="001E68A5"/>
    <w:rsid w:val="001E6B23"/>
    <w:rsid w:val="001E6BB0"/>
    <w:rsid w:val="001E7282"/>
    <w:rsid w:val="001E7984"/>
    <w:rsid w:val="001E7B02"/>
    <w:rsid w:val="001F04FA"/>
    <w:rsid w:val="001F07B3"/>
    <w:rsid w:val="001F12A0"/>
    <w:rsid w:val="001F155D"/>
    <w:rsid w:val="001F1698"/>
    <w:rsid w:val="001F1AE4"/>
    <w:rsid w:val="001F1E6A"/>
    <w:rsid w:val="001F1F73"/>
    <w:rsid w:val="001F2645"/>
    <w:rsid w:val="001F28A1"/>
    <w:rsid w:val="001F2C44"/>
    <w:rsid w:val="001F2D87"/>
    <w:rsid w:val="001F3142"/>
    <w:rsid w:val="001F35E7"/>
    <w:rsid w:val="001F365E"/>
    <w:rsid w:val="001F3826"/>
    <w:rsid w:val="001F3A6E"/>
    <w:rsid w:val="001F3E9F"/>
    <w:rsid w:val="001F3F44"/>
    <w:rsid w:val="001F505A"/>
    <w:rsid w:val="001F51D8"/>
    <w:rsid w:val="001F5307"/>
    <w:rsid w:val="001F532C"/>
    <w:rsid w:val="001F549C"/>
    <w:rsid w:val="001F5ACC"/>
    <w:rsid w:val="001F5EDA"/>
    <w:rsid w:val="001F5EE4"/>
    <w:rsid w:val="001F6028"/>
    <w:rsid w:val="001F628C"/>
    <w:rsid w:val="001F6734"/>
    <w:rsid w:val="001F6C0C"/>
    <w:rsid w:val="001F6C30"/>
    <w:rsid w:val="001F6E46"/>
    <w:rsid w:val="001F72E0"/>
    <w:rsid w:val="001F74CE"/>
    <w:rsid w:val="001F75FE"/>
    <w:rsid w:val="001F797E"/>
    <w:rsid w:val="001F7C91"/>
    <w:rsid w:val="001F7CEF"/>
    <w:rsid w:val="001F7E2C"/>
    <w:rsid w:val="001F7F23"/>
    <w:rsid w:val="0020004D"/>
    <w:rsid w:val="002000DD"/>
    <w:rsid w:val="0020029B"/>
    <w:rsid w:val="002002B1"/>
    <w:rsid w:val="0020034C"/>
    <w:rsid w:val="0020132C"/>
    <w:rsid w:val="002017EC"/>
    <w:rsid w:val="00201952"/>
    <w:rsid w:val="00201DBE"/>
    <w:rsid w:val="00202050"/>
    <w:rsid w:val="002027F2"/>
    <w:rsid w:val="00202934"/>
    <w:rsid w:val="00202FD8"/>
    <w:rsid w:val="00202FFD"/>
    <w:rsid w:val="00203137"/>
    <w:rsid w:val="0020323C"/>
    <w:rsid w:val="002033B7"/>
    <w:rsid w:val="0020371D"/>
    <w:rsid w:val="00203975"/>
    <w:rsid w:val="00203A56"/>
    <w:rsid w:val="00203A5A"/>
    <w:rsid w:val="00203B0C"/>
    <w:rsid w:val="00204374"/>
    <w:rsid w:val="00204416"/>
    <w:rsid w:val="002046D3"/>
    <w:rsid w:val="00205400"/>
    <w:rsid w:val="00205BE9"/>
    <w:rsid w:val="002061EB"/>
    <w:rsid w:val="00206463"/>
    <w:rsid w:val="0020684A"/>
    <w:rsid w:val="002068DB"/>
    <w:rsid w:val="00206F2F"/>
    <w:rsid w:val="002071CD"/>
    <w:rsid w:val="00207717"/>
    <w:rsid w:val="00207AB6"/>
    <w:rsid w:val="00207B33"/>
    <w:rsid w:val="002100FD"/>
    <w:rsid w:val="0021028F"/>
    <w:rsid w:val="0021053D"/>
    <w:rsid w:val="002109DC"/>
    <w:rsid w:val="00210A92"/>
    <w:rsid w:val="00210B38"/>
    <w:rsid w:val="00210E1A"/>
    <w:rsid w:val="002112B0"/>
    <w:rsid w:val="0021165E"/>
    <w:rsid w:val="002119EC"/>
    <w:rsid w:val="00211BF6"/>
    <w:rsid w:val="00211FAA"/>
    <w:rsid w:val="00212B95"/>
    <w:rsid w:val="00212BC7"/>
    <w:rsid w:val="00213411"/>
    <w:rsid w:val="002134F0"/>
    <w:rsid w:val="00213539"/>
    <w:rsid w:val="00213666"/>
    <w:rsid w:val="00213D0B"/>
    <w:rsid w:val="00213E15"/>
    <w:rsid w:val="00214266"/>
    <w:rsid w:val="00214546"/>
    <w:rsid w:val="0021474E"/>
    <w:rsid w:val="00214956"/>
    <w:rsid w:val="00214993"/>
    <w:rsid w:val="00214AEC"/>
    <w:rsid w:val="00215127"/>
    <w:rsid w:val="00215150"/>
    <w:rsid w:val="00215537"/>
    <w:rsid w:val="00215C2C"/>
    <w:rsid w:val="00215CC8"/>
    <w:rsid w:val="0021623D"/>
    <w:rsid w:val="002162F2"/>
    <w:rsid w:val="00216340"/>
    <w:rsid w:val="002164BA"/>
    <w:rsid w:val="002168C0"/>
    <w:rsid w:val="00216A2F"/>
    <w:rsid w:val="00216C03"/>
    <w:rsid w:val="00216EF2"/>
    <w:rsid w:val="002173E7"/>
    <w:rsid w:val="002177FC"/>
    <w:rsid w:val="002204C0"/>
    <w:rsid w:val="00220900"/>
    <w:rsid w:val="002209C1"/>
    <w:rsid w:val="00220A1A"/>
    <w:rsid w:val="00220C04"/>
    <w:rsid w:val="00221201"/>
    <w:rsid w:val="00221A6E"/>
    <w:rsid w:val="002225F9"/>
    <w:rsid w:val="0022278D"/>
    <w:rsid w:val="002233AB"/>
    <w:rsid w:val="0022392F"/>
    <w:rsid w:val="00224445"/>
    <w:rsid w:val="002247A2"/>
    <w:rsid w:val="002249BA"/>
    <w:rsid w:val="00225202"/>
    <w:rsid w:val="00225572"/>
    <w:rsid w:val="00225596"/>
    <w:rsid w:val="0022592F"/>
    <w:rsid w:val="00225AB4"/>
    <w:rsid w:val="0022667E"/>
    <w:rsid w:val="002268F6"/>
    <w:rsid w:val="0022701F"/>
    <w:rsid w:val="0022767F"/>
    <w:rsid w:val="00227C2E"/>
    <w:rsid w:val="00227C39"/>
    <w:rsid w:val="00227C68"/>
    <w:rsid w:val="00227E14"/>
    <w:rsid w:val="00227E7D"/>
    <w:rsid w:val="00227EAF"/>
    <w:rsid w:val="00227F52"/>
    <w:rsid w:val="00230095"/>
    <w:rsid w:val="00230593"/>
    <w:rsid w:val="00230D6A"/>
    <w:rsid w:val="00230E90"/>
    <w:rsid w:val="002313C8"/>
    <w:rsid w:val="00231684"/>
    <w:rsid w:val="00231B6D"/>
    <w:rsid w:val="00231EC1"/>
    <w:rsid w:val="00232179"/>
    <w:rsid w:val="002323E9"/>
    <w:rsid w:val="002323FA"/>
    <w:rsid w:val="00232570"/>
    <w:rsid w:val="00232C0C"/>
    <w:rsid w:val="002333F5"/>
    <w:rsid w:val="0023369D"/>
    <w:rsid w:val="00233724"/>
    <w:rsid w:val="00233DA1"/>
    <w:rsid w:val="00233E9A"/>
    <w:rsid w:val="00233F66"/>
    <w:rsid w:val="00234DC8"/>
    <w:rsid w:val="00235155"/>
    <w:rsid w:val="002355CB"/>
    <w:rsid w:val="002355E8"/>
    <w:rsid w:val="00235B2F"/>
    <w:rsid w:val="0023608A"/>
    <w:rsid w:val="002365B4"/>
    <w:rsid w:val="002367EB"/>
    <w:rsid w:val="00236947"/>
    <w:rsid w:val="002370C8"/>
    <w:rsid w:val="00237797"/>
    <w:rsid w:val="002378F5"/>
    <w:rsid w:val="00240590"/>
    <w:rsid w:val="00240691"/>
    <w:rsid w:val="002406C5"/>
    <w:rsid w:val="00240833"/>
    <w:rsid w:val="00240881"/>
    <w:rsid w:val="00240891"/>
    <w:rsid w:val="00240C3C"/>
    <w:rsid w:val="00240DAF"/>
    <w:rsid w:val="002411D2"/>
    <w:rsid w:val="00242952"/>
    <w:rsid w:val="002432E1"/>
    <w:rsid w:val="00243E3C"/>
    <w:rsid w:val="00244369"/>
    <w:rsid w:val="0024443E"/>
    <w:rsid w:val="0024490C"/>
    <w:rsid w:val="00244D1B"/>
    <w:rsid w:val="0024549E"/>
    <w:rsid w:val="00245D8E"/>
    <w:rsid w:val="00246165"/>
    <w:rsid w:val="00246207"/>
    <w:rsid w:val="00246276"/>
    <w:rsid w:val="002464A2"/>
    <w:rsid w:val="002464B6"/>
    <w:rsid w:val="00246A1D"/>
    <w:rsid w:val="00246C5E"/>
    <w:rsid w:val="0024714B"/>
    <w:rsid w:val="00247382"/>
    <w:rsid w:val="002477F4"/>
    <w:rsid w:val="00247925"/>
    <w:rsid w:val="00247B71"/>
    <w:rsid w:val="00247C9C"/>
    <w:rsid w:val="00247EA7"/>
    <w:rsid w:val="0024A492"/>
    <w:rsid w:val="0025070D"/>
    <w:rsid w:val="00250720"/>
    <w:rsid w:val="002507A6"/>
    <w:rsid w:val="00250960"/>
    <w:rsid w:val="00250BAA"/>
    <w:rsid w:val="00250C69"/>
    <w:rsid w:val="00250E3A"/>
    <w:rsid w:val="00251343"/>
    <w:rsid w:val="00251725"/>
    <w:rsid w:val="00251766"/>
    <w:rsid w:val="0025189A"/>
    <w:rsid w:val="00251E95"/>
    <w:rsid w:val="002521AC"/>
    <w:rsid w:val="002525E6"/>
    <w:rsid w:val="0025291B"/>
    <w:rsid w:val="00252924"/>
    <w:rsid w:val="00252A31"/>
    <w:rsid w:val="00252FCF"/>
    <w:rsid w:val="0025325A"/>
    <w:rsid w:val="002536A4"/>
    <w:rsid w:val="002537E4"/>
    <w:rsid w:val="002538D5"/>
    <w:rsid w:val="0025422C"/>
    <w:rsid w:val="0025423F"/>
    <w:rsid w:val="002549C7"/>
    <w:rsid w:val="00254B41"/>
    <w:rsid w:val="00254F58"/>
    <w:rsid w:val="0025559E"/>
    <w:rsid w:val="002559F6"/>
    <w:rsid w:val="00255A9F"/>
    <w:rsid w:val="00255B51"/>
    <w:rsid w:val="00255F7A"/>
    <w:rsid w:val="002563F0"/>
    <w:rsid w:val="0025653D"/>
    <w:rsid w:val="002565E6"/>
    <w:rsid w:val="0025668E"/>
    <w:rsid w:val="002569F7"/>
    <w:rsid w:val="002572D3"/>
    <w:rsid w:val="0025731D"/>
    <w:rsid w:val="0025743C"/>
    <w:rsid w:val="00260B10"/>
    <w:rsid w:val="00260E70"/>
    <w:rsid w:val="00260F93"/>
    <w:rsid w:val="00261282"/>
    <w:rsid w:val="00261420"/>
    <w:rsid w:val="002614BD"/>
    <w:rsid w:val="0026155E"/>
    <w:rsid w:val="00261D76"/>
    <w:rsid w:val="00261E45"/>
    <w:rsid w:val="00261F02"/>
    <w:rsid w:val="002620BC"/>
    <w:rsid w:val="002623CB"/>
    <w:rsid w:val="0026258C"/>
    <w:rsid w:val="0026260A"/>
    <w:rsid w:val="00262802"/>
    <w:rsid w:val="00262999"/>
    <w:rsid w:val="00262F36"/>
    <w:rsid w:val="0026321F"/>
    <w:rsid w:val="0026387A"/>
    <w:rsid w:val="002638A9"/>
    <w:rsid w:val="00263A90"/>
    <w:rsid w:val="0026408B"/>
    <w:rsid w:val="002647C0"/>
    <w:rsid w:val="002650CA"/>
    <w:rsid w:val="002650D2"/>
    <w:rsid w:val="00265553"/>
    <w:rsid w:val="002655A4"/>
    <w:rsid w:val="002657EB"/>
    <w:rsid w:val="00265A6A"/>
    <w:rsid w:val="00265A9D"/>
    <w:rsid w:val="00266325"/>
    <w:rsid w:val="002664F2"/>
    <w:rsid w:val="00266A92"/>
    <w:rsid w:val="00266E99"/>
    <w:rsid w:val="00266F26"/>
    <w:rsid w:val="0026757E"/>
    <w:rsid w:val="00267A24"/>
    <w:rsid w:val="00267C3E"/>
    <w:rsid w:val="00267E32"/>
    <w:rsid w:val="002705DA"/>
    <w:rsid w:val="002706E3"/>
    <w:rsid w:val="002709BB"/>
    <w:rsid w:val="0027131C"/>
    <w:rsid w:val="00271A82"/>
    <w:rsid w:val="00271D4A"/>
    <w:rsid w:val="00271D90"/>
    <w:rsid w:val="00272351"/>
    <w:rsid w:val="002723F7"/>
    <w:rsid w:val="00272D99"/>
    <w:rsid w:val="0027308D"/>
    <w:rsid w:val="0027325D"/>
    <w:rsid w:val="002732D5"/>
    <w:rsid w:val="002732F9"/>
    <w:rsid w:val="0027369B"/>
    <w:rsid w:val="002736DD"/>
    <w:rsid w:val="002736E2"/>
    <w:rsid w:val="00273727"/>
    <w:rsid w:val="00273A06"/>
    <w:rsid w:val="00273BAC"/>
    <w:rsid w:val="00273D0A"/>
    <w:rsid w:val="00273EDB"/>
    <w:rsid w:val="0027449B"/>
    <w:rsid w:val="00274C2E"/>
    <w:rsid w:val="00274DA1"/>
    <w:rsid w:val="00274E37"/>
    <w:rsid w:val="00274EAD"/>
    <w:rsid w:val="00275432"/>
    <w:rsid w:val="002757D7"/>
    <w:rsid w:val="00275D8E"/>
    <w:rsid w:val="00275F03"/>
    <w:rsid w:val="00276004"/>
    <w:rsid w:val="002763B3"/>
    <w:rsid w:val="00276B24"/>
    <w:rsid w:val="002777F8"/>
    <w:rsid w:val="00277932"/>
    <w:rsid w:val="00277A44"/>
    <w:rsid w:val="00277CB5"/>
    <w:rsid w:val="00277E36"/>
    <w:rsid w:val="002802A3"/>
    <w:rsid w:val="002802E3"/>
    <w:rsid w:val="00280372"/>
    <w:rsid w:val="00280947"/>
    <w:rsid w:val="00280AC9"/>
    <w:rsid w:val="00280D50"/>
    <w:rsid w:val="00281239"/>
    <w:rsid w:val="002812F8"/>
    <w:rsid w:val="00281318"/>
    <w:rsid w:val="0028153E"/>
    <w:rsid w:val="0028213D"/>
    <w:rsid w:val="0028231D"/>
    <w:rsid w:val="00282976"/>
    <w:rsid w:val="00282E65"/>
    <w:rsid w:val="0028351D"/>
    <w:rsid w:val="00283607"/>
    <w:rsid w:val="00283772"/>
    <w:rsid w:val="002837D7"/>
    <w:rsid w:val="002838F0"/>
    <w:rsid w:val="00284238"/>
    <w:rsid w:val="00284832"/>
    <w:rsid w:val="0028508D"/>
    <w:rsid w:val="00285667"/>
    <w:rsid w:val="00285B63"/>
    <w:rsid w:val="00285E8F"/>
    <w:rsid w:val="00285F0A"/>
    <w:rsid w:val="00286149"/>
    <w:rsid w:val="002862F1"/>
    <w:rsid w:val="00286BF0"/>
    <w:rsid w:val="00286D9B"/>
    <w:rsid w:val="00287195"/>
    <w:rsid w:val="002871BE"/>
    <w:rsid w:val="0028720A"/>
    <w:rsid w:val="00287747"/>
    <w:rsid w:val="00287A58"/>
    <w:rsid w:val="00287BB3"/>
    <w:rsid w:val="00290126"/>
    <w:rsid w:val="00290272"/>
    <w:rsid w:val="00290388"/>
    <w:rsid w:val="00290AB6"/>
    <w:rsid w:val="0029125C"/>
    <w:rsid w:val="00291287"/>
    <w:rsid w:val="00291373"/>
    <w:rsid w:val="00291887"/>
    <w:rsid w:val="00292987"/>
    <w:rsid w:val="00292D91"/>
    <w:rsid w:val="00293098"/>
    <w:rsid w:val="00293429"/>
    <w:rsid w:val="002938B7"/>
    <w:rsid w:val="00293C9F"/>
    <w:rsid w:val="0029426E"/>
    <w:rsid w:val="00294F0A"/>
    <w:rsid w:val="002953AE"/>
    <w:rsid w:val="00295439"/>
    <w:rsid w:val="0029597D"/>
    <w:rsid w:val="002962C3"/>
    <w:rsid w:val="00296999"/>
    <w:rsid w:val="00296B6B"/>
    <w:rsid w:val="00296C16"/>
    <w:rsid w:val="00296C26"/>
    <w:rsid w:val="00297367"/>
    <w:rsid w:val="0029752B"/>
    <w:rsid w:val="0029788F"/>
    <w:rsid w:val="00297DDA"/>
    <w:rsid w:val="002A0A9C"/>
    <w:rsid w:val="002A13A8"/>
    <w:rsid w:val="002A14CC"/>
    <w:rsid w:val="002A1965"/>
    <w:rsid w:val="002A2C65"/>
    <w:rsid w:val="002A2FFF"/>
    <w:rsid w:val="002A3373"/>
    <w:rsid w:val="002A3470"/>
    <w:rsid w:val="002A3C59"/>
    <w:rsid w:val="002A3CBB"/>
    <w:rsid w:val="002A3D69"/>
    <w:rsid w:val="002A3D75"/>
    <w:rsid w:val="002A4466"/>
    <w:rsid w:val="002A483C"/>
    <w:rsid w:val="002A49F3"/>
    <w:rsid w:val="002A4F62"/>
    <w:rsid w:val="002A4F80"/>
    <w:rsid w:val="002A517C"/>
    <w:rsid w:val="002A5375"/>
    <w:rsid w:val="002A53EE"/>
    <w:rsid w:val="002A549D"/>
    <w:rsid w:val="002A54F5"/>
    <w:rsid w:val="002A551A"/>
    <w:rsid w:val="002A5529"/>
    <w:rsid w:val="002A56AF"/>
    <w:rsid w:val="002A58B8"/>
    <w:rsid w:val="002A5AD7"/>
    <w:rsid w:val="002A6123"/>
    <w:rsid w:val="002A621C"/>
    <w:rsid w:val="002A7707"/>
    <w:rsid w:val="002A7B73"/>
    <w:rsid w:val="002B0135"/>
    <w:rsid w:val="002B043F"/>
    <w:rsid w:val="002B0C7C"/>
    <w:rsid w:val="002B10A2"/>
    <w:rsid w:val="002B165A"/>
    <w:rsid w:val="002B1729"/>
    <w:rsid w:val="002B2616"/>
    <w:rsid w:val="002B2701"/>
    <w:rsid w:val="002B29E7"/>
    <w:rsid w:val="002B3066"/>
    <w:rsid w:val="002B30D8"/>
    <w:rsid w:val="002B36C7"/>
    <w:rsid w:val="002B36DF"/>
    <w:rsid w:val="002B3713"/>
    <w:rsid w:val="002B4603"/>
    <w:rsid w:val="002B468C"/>
    <w:rsid w:val="002B46EE"/>
    <w:rsid w:val="002B48E9"/>
    <w:rsid w:val="002B4C10"/>
    <w:rsid w:val="002B4DD4"/>
    <w:rsid w:val="002B5277"/>
    <w:rsid w:val="002B5375"/>
    <w:rsid w:val="002B59DB"/>
    <w:rsid w:val="002B5B1C"/>
    <w:rsid w:val="002B5CB8"/>
    <w:rsid w:val="002B6089"/>
    <w:rsid w:val="002B65B5"/>
    <w:rsid w:val="002B6659"/>
    <w:rsid w:val="002B70FC"/>
    <w:rsid w:val="002B71E2"/>
    <w:rsid w:val="002B77C1"/>
    <w:rsid w:val="002B7965"/>
    <w:rsid w:val="002B7B24"/>
    <w:rsid w:val="002B7BCB"/>
    <w:rsid w:val="002B7F08"/>
    <w:rsid w:val="002C01DA"/>
    <w:rsid w:val="002C0373"/>
    <w:rsid w:val="002C05C9"/>
    <w:rsid w:val="002C0894"/>
    <w:rsid w:val="002C0ECE"/>
    <w:rsid w:val="002C0ED7"/>
    <w:rsid w:val="002C185F"/>
    <w:rsid w:val="002C2728"/>
    <w:rsid w:val="002C2B2D"/>
    <w:rsid w:val="002C2FF4"/>
    <w:rsid w:val="002C343D"/>
    <w:rsid w:val="002C35B9"/>
    <w:rsid w:val="002C37D6"/>
    <w:rsid w:val="002C387D"/>
    <w:rsid w:val="002C3993"/>
    <w:rsid w:val="002C3A92"/>
    <w:rsid w:val="002C3D3F"/>
    <w:rsid w:val="002C3F39"/>
    <w:rsid w:val="002C42B4"/>
    <w:rsid w:val="002C48C5"/>
    <w:rsid w:val="002C4AB5"/>
    <w:rsid w:val="002C4AF7"/>
    <w:rsid w:val="002C4DD5"/>
    <w:rsid w:val="002C518A"/>
    <w:rsid w:val="002C5725"/>
    <w:rsid w:val="002C5B7C"/>
    <w:rsid w:val="002C5E2A"/>
    <w:rsid w:val="002C5F95"/>
    <w:rsid w:val="002C5FA9"/>
    <w:rsid w:val="002C63F8"/>
    <w:rsid w:val="002C64C5"/>
    <w:rsid w:val="002C6621"/>
    <w:rsid w:val="002C731C"/>
    <w:rsid w:val="002C7919"/>
    <w:rsid w:val="002C7BCE"/>
    <w:rsid w:val="002D046A"/>
    <w:rsid w:val="002D06BA"/>
    <w:rsid w:val="002D0A01"/>
    <w:rsid w:val="002D0FA0"/>
    <w:rsid w:val="002D0FC8"/>
    <w:rsid w:val="002D0FF2"/>
    <w:rsid w:val="002D12FF"/>
    <w:rsid w:val="002D19A5"/>
    <w:rsid w:val="002D1E0D"/>
    <w:rsid w:val="002D2CF9"/>
    <w:rsid w:val="002D35AC"/>
    <w:rsid w:val="002D36AF"/>
    <w:rsid w:val="002D3CE9"/>
    <w:rsid w:val="002D4604"/>
    <w:rsid w:val="002D4932"/>
    <w:rsid w:val="002D4A4B"/>
    <w:rsid w:val="002D5006"/>
    <w:rsid w:val="002D552B"/>
    <w:rsid w:val="002D5673"/>
    <w:rsid w:val="002D58D7"/>
    <w:rsid w:val="002D6A3E"/>
    <w:rsid w:val="002D7302"/>
    <w:rsid w:val="002D741E"/>
    <w:rsid w:val="002D7940"/>
    <w:rsid w:val="002D7B67"/>
    <w:rsid w:val="002D7C61"/>
    <w:rsid w:val="002D7C85"/>
    <w:rsid w:val="002D7FED"/>
    <w:rsid w:val="002D7FEE"/>
    <w:rsid w:val="002E01D0"/>
    <w:rsid w:val="002E056E"/>
    <w:rsid w:val="002E06AE"/>
    <w:rsid w:val="002E06EA"/>
    <w:rsid w:val="002E0941"/>
    <w:rsid w:val="002E1137"/>
    <w:rsid w:val="002E147F"/>
    <w:rsid w:val="002E15EE"/>
    <w:rsid w:val="002E161D"/>
    <w:rsid w:val="002E1861"/>
    <w:rsid w:val="002E1A38"/>
    <w:rsid w:val="002E1D3A"/>
    <w:rsid w:val="002E2193"/>
    <w:rsid w:val="002E24E1"/>
    <w:rsid w:val="002E265C"/>
    <w:rsid w:val="002E268D"/>
    <w:rsid w:val="002E27BF"/>
    <w:rsid w:val="002E28A2"/>
    <w:rsid w:val="002E2B5A"/>
    <w:rsid w:val="002E3100"/>
    <w:rsid w:val="002E392A"/>
    <w:rsid w:val="002E3B05"/>
    <w:rsid w:val="002E3C22"/>
    <w:rsid w:val="002E3DDA"/>
    <w:rsid w:val="002E43ED"/>
    <w:rsid w:val="002E4446"/>
    <w:rsid w:val="002E4A9F"/>
    <w:rsid w:val="002E4AA5"/>
    <w:rsid w:val="002E5054"/>
    <w:rsid w:val="002E51FC"/>
    <w:rsid w:val="002E54C3"/>
    <w:rsid w:val="002E5EDE"/>
    <w:rsid w:val="002E60BC"/>
    <w:rsid w:val="002E6B07"/>
    <w:rsid w:val="002E6C95"/>
    <w:rsid w:val="002E6E27"/>
    <w:rsid w:val="002E7C36"/>
    <w:rsid w:val="002E7C54"/>
    <w:rsid w:val="002E7C8A"/>
    <w:rsid w:val="002E7EEF"/>
    <w:rsid w:val="002E7FEB"/>
    <w:rsid w:val="002F002C"/>
    <w:rsid w:val="002F01E4"/>
    <w:rsid w:val="002F0F9C"/>
    <w:rsid w:val="002F1331"/>
    <w:rsid w:val="002F1B60"/>
    <w:rsid w:val="002F204E"/>
    <w:rsid w:val="002F20C9"/>
    <w:rsid w:val="002F2326"/>
    <w:rsid w:val="002F2517"/>
    <w:rsid w:val="002F306D"/>
    <w:rsid w:val="002F3362"/>
    <w:rsid w:val="002F35A1"/>
    <w:rsid w:val="002F39E6"/>
    <w:rsid w:val="002F3D28"/>
    <w:rsid w:val="002F3D32"/>
    <w:rsid w:val="002F45CA"/>
    <w:rsid w:val="002F4D1D"/>
    <w:rsid w:val="002F5632"/>
    <w:rsid w:val="002F5A58"/>
    <w:rsid w:val="002F5D34"/>
    <w:rsid w:val="002F5D61"/>
    <w:rsid w:val="002F5F31"/>
    <w:rsid w:val="002F5F46"/>
    <w:rsid w:val="002F5FA3"/>
    <w:rsid w:val="002F6357"/>
    <w:rsid w:val="002F68C0"/>
    <w:rsid w:val="002F6DB9"/>
    <w:rsid w:val="002F797C"/>
    <w:rsid w:val="002F7A10"/>
    <w:rsid w:val="002F7D58"/>
    <w:rsid w:val="002F7F48"/>
    <w:rsid w:val="0030087F"/>
    <w:rsid w:val="00300AD4"/>
    <w:rsid w:val="00301733"/>
    <w:rsid w:val="00301909"/>
    <w:rsid w:val="00301C93"/>
    <w:rsid w:val="00301E60"/>
    <w:rsid w:val="00301E9B"/>
    <w:rsid w:val="00302216"/>
    <w:rsid w:val="00302267"/>
    <w:rsid w:val="00302A58"/>
    <w:rsid w:val="00302A90"/>
    <w:rsid w:val="00302A94"/>
    <w:rsid w:val="003033DB"/>
    <w:rsid w:val="00303635"/>
    <w:rsid w:val="00303693"/>
    <w:rsid w:val="00303B89"/>
    <w:rsid w:val="00303E53"/>
    <w:rsid w:val="00303ED6"/>
    <w:rsid w:val="00304522"/>
    <w:rsid w:val="003049C7"/>
    <w:rsid w:val="0030543A"/>
    <w:rsid w:val="0030548A"/>
    <w:rsid w:val="0030584C"/>
    <w:rsid w:val="0030594D"/>
    <w:rsid w:val="00305963"/>
    <w:rsid w:val="00305A7B"/>
    <w:rsid w:val="00305CC1"/>
    <w:rsid w:val="00305EED"/>
    <w:rsid w:val="00305FB2"/>
    <w:rsid w:val="003063BF"/>
    <w:rsid w:val="00306C25"/>
    <w:rsid w:val="00306E5F"/>
    <w:rsid w:val="00307332"/>
    <w:rsid w:val="00307D99"/>
    <w:rsid w:val="00307E14"/>
    <w:rsid w:val="00307E72"/>
    <w:rsid w:val="00310174"/>
    <w:rsid w:val="00310241"/>
    <w:rsid w:val="00310297"/>
    <w:rsid w:val="003107E5"/>
    <w:rsid w:val="003108BA"/>
    <w:rsid w:val="00310A1E"/>
    <w:rsid w:val="00310BCB"/>
    <w:rsid w:val="0031114F"/>
    <w:rsid w:val="00311226"/>
    <w:rsid w:val="003113F5"/>
    <w:rsid w:val="003114BF"/>
    <w:rsid w:val="003119E1"/>
    <w:rsid w:val="003119F6"/>
    <w:rsid w:val="00311A75"/>
    <w:rsid w:val="00311E74"/>
    <w:rsid w:val="00312012"/>
    <w:rsid w:val="003123C3"/>
    <w:rsid w:val="0031264C"/>
    <w:rsid w:val="00312FD0"/>
    <w:rsid w:val="0031305A"/>
    <w:rsid w:val="00313142"/>
    <w:rsid w:val="00314054"/>
    <w:rsid w:val="0031408C"/>
    <w:rsid w:val="00314093"/>
    <w:rsid w:val="003141E9"/>
    <w:rsid w:val="003142F2"/>
    <w:rsid w:val="00314492"/>
    <w:rsid w:val="003145F8"/>
    <w:rsid w:val="003148AE"/>
    <w:rsid w:val="00314A49"/>
    <w:rsid w:val="00314C5A"/>
    <w:rsid w:val="00315017"/>
    <w:rsid w:val="00315340"/>
    <w:rsid w:val="0031604C"/>
    <w:rsid w:val="0031656F"/>
    <w:rsid w:val="00316A66"/>
    <w:rsid w:val="00316AD9"/>
    <w:rsid w:val="00316B77"/>
    <w:rsid w:val="00316F27"/>
    <w:rsid w:val="00316FF2"/>
    <w:rsid w:val="0031749E"/>
    <w:rsid w:val="0031766F"/>
    <w:rsid w:val="003176D0"/>
    <w:rsid w:val="00317805"/>
    <w:rsid w:val="003178DF"/>
    <w:rsid w:val="00317A32"/>
    <w:rsid w:val="003214F1"/>
    <w:rsid w:val="00321503"/>
    <w:rsid w:val="003218BC"/>
    <w:rsid w:val="003218C7"/>
    <w:rsid w:val="00321B13"/>
    <w:rsid w:val="00321BB4"/>
    <w:rsid w:val="00322070"/>
    <w:rsid w:val="003222AC"/>
    <w:rsid w:val="0032265C"/>
    <w:rsid w:val="00322E4B"/>
    <w:rsid w:val="00323179"/>
    <w:rsid w:val="003231B1"/>
    <w:rsid w:val="0032371A"/>
    <w:rsid w:val="003239C4"/>
    <w:rsid w:val="00324770"/>
    <w:rsid w:val="003247D7"/>
    <w:rsid w:val="00324835"/>
    <w:rsid w:val="00324C15"/>
    <w:rsid w:val="00324FA8"/>
    <w:rsid w:val="003252B5"/>
    <w:rsid w:val="003255E7"/>
    <w:rsid w:val="00325FC5"/>
    <w:rsid w:val="00326253"/>
    <w:rsid w:val="00326500"/>
    <w:rsid w:val="003273AC"/>
    <w:rsid w:val="00327870"/>
    <w:rsid w:val="0032792F"/>
    <w:rsid w:val="00327952"/>
    <w:rsid w:val="00327C5F"/>
    <w:rsid w:val="003302C7"/>
    <w:rsid w:val="003307B4"/>
    <w:rsid w:val="00330D5B"/>
    <w:rsid w:val="00330EF3"/>
    <w:rsid w:val="00330F70"/>
    <w:rsid w:val="00331D5D"/>
    <w:rsid w:val="00331E68"/>
    <w:rsid w:val="00331ECF"/>
    <w:rsid w:val="0033259D"/>
    <w:rsid w:val="00332DDB"/>
    <w:rsid w:val="003330E2"/>
    <w:rsid w:val="00333357"/>
    <w:rsid w:val="003333D2"/>
    <w:rsid w:val="003334F7"/>
    <w:rsid w:val="00333941"/>
    <w:rsid w:val="00334240"/>
    <w:rsid w:val="003342F3"/>
    <w:rsid w:val="003344E1"/>
    <w:rsid w:val="00334686"/>
    <w:rsid w:val="00334EFA"/>
    <w:rsid w:val="00335213"/>
    <w:rsid w:val="003353D8"/>
    <w:rsid w:val="00336102"/>
    <w:rsid w:val="003366A0"/>
    <w:rsid w:val="0033682C"/>
    <w:rsid w:val="00336A56"/>
    <w:rsid w:val="00337339"/>
    <w:rsid w:val="0034010A"/>
    <w:rsid w:val="00340345"/>
    <w:rsid w:val="0034059D"/>
    <w:rsid w:val="003405D2"/>
    <w:rsid w:val="003406C6"/>
    <w:rsid w:val="00340815"/>
    <w:rsid w:val="00340B41"/>
    <w:rsid w:val="00340E3C"/>
    <w:rsid w:val="00340FA7"/>
    <w:rsid w:val="003411EF"/>
    <w:rsid w:val="003418CC"/>
    <w:rsid w:val="00342BA9"/>
    <w:rsid w:val="00342E1C"/>
    <w:rsid w:val="003432C4"/>
    <w:rsid w:val="003434EE"/>
    <w:rsid w:val="0034364C"/>
    <w:rsid w:val="00343E4F"/>
    <w:rsid w:val="0034463D"/>
    <w:rsid w:val="003447BF"/>
    <w:rsid w:val="00344AC1"/>
    <w:rsid w:val="003453BF"/>
    <w:rsid w:val="003454F7"/>
    <w:rsid w:val="003459BD"/>
    <w:rsid w:val="00345AF8"/>
    <w:rsid w:val="00345BE1"/>
    <w:rsid w:val="00346328"/>
    <w:rsid w:val="0034685B"/>
    <w:rsid w:val="00347144"/>
    <w:rsid w:val="0034731D"/>
    <w:rsid w:val="0034782A"/>
    <w:rsid w:val="00347B2D"/>
    <w:rsid w:val="00347BE9"/>
    <w:rsid w:val="0035032D"/>
    <w:rsid w:val="003504D1"/>
    <w:rsid w:val="00350B15"/>
    <w:rsid w:val="00350D38"/>
    <w:rsid w:val="0035141D"/>
    <w:rsid w:val="00351A8C"/>
    <w:rsid w:val="00351B36"/>
    <w:rsid w:val="00352213"/>
    <w:rsid w:val="003526EC"/>
    <w:rsid w:val="00352709"/>
    <w:rsid w:val="00352785"/>
    <w:rsid w:val="00352B64"/>
    <w:rsid w:val="00352EC1"/>
    <w:rsid w:val="00352F72"/>
    <w:rsid w:val="003534EC"/>
    <w:rsid w:val="003540C1"/>
    <w:rsid w:val="00354280"/>
    <w:rsid w:val="0035453F"/>
    <w:rsid w:val="00354A67"/>
    <w:rsid w:val="00354E23"/>
    <w:rsid w:val="00355011"/>
    <w:rsid w:val="003550DF"/>
    <w:rsid w:val="00355381"/>
    <w:rsid w:val="003554D9"/>
    <w:rsid w:val="00355E65"/>
    <w:rsid w:val="003562C7"/>
    <w:rsid w:val="00356515"/>
    <w:rsid w:val="003567AC"/>
    <w:rsid w:val="003570AC"/>
    <w:rsid w:val="00357291"/>
    <w:rsid w:val="00357964"/>
    <w:rsid w:val="00357B4E"/>
    <w:rsid w:val="00357E0B"/>
    <w:rsid w:val="00360C38"/>
    <w:rsid w:val="00360E0C"/>
    <w:rsid w:val="003613BF"/>
    <w:rsid w:val="00361CAC"/>
    <w:rsid w:val="003620CB"/>
    <w:rsid w:val="00362525"/>
    <w:rsid w:val="0036252F"/>
    <w:rsid w:val="00362928"/>
    <w:rsid w:val="003631C5"/>
    <w:rsid w:val="00363234"/>
    <w:rsid w:val="003632B9"/>
    <w:rsid w:val="003632BE"/>
    <w:rsid w:val="00363E2F"/>
    <w:rsid w:val="00363ED1"/>
    <w:rsid w:val="003640F3"/>
    <w:rsid w:val="003641AA"/>
    <w:rsid w:val="003645D5"/>
    <w:rsid w:val="00364AFF"/>
    <w:rsid w:val="00364EBD"/>
    <w:rsid w:val="003651B1"/>
    <w:rsid w:val="003656CF"/>
    <w:rsid w:val="003658EA"/>
    <w:rsid w:val="003659F2"/>
    <w:rsid w:val="00365AD2"/>
    <w:rsid w:val="00366046"/>
    <w:rsid w:val="00366AC9"/>
    <w:rsid w:val="003677CC"/>
    <w:rsid w:val="00367A3C"/>
    <w:rsid w:val="00367BE7"/>
    <w:rsid w:val="00367EAA"/>
    <w:rsid w:val="00367EBD"/>
    <w:rsid w:val="0037004D"/>
    <w:rsid w:val="003704C6"/>
    <w:rsid w:val="0037062D"/>
    <w:rsid w:val="003708E6"/>
    <w:rsid w:val="0037095A"/>
    <w:rsid w:val="00370A03"/>
    <w:rsid w:val="00370A86"/>
    <w:rsid w:val="00370B5F"/>
    <w:rsid w:val="003712D4"/>
    <w:rsid w:val="00371427"/>
    <w:rsid w:val="003716FD"/>
    <w:rsid w:val="003717C2"/>
    <w:rsid w:val="0037204B"/>
    <w:rsid w:val="00372287"/>
    <w:rsid w:val="003727A6"/>
    <w:rsid w:val="003728B4"/>
    <w:rsid w:val="0037342F"/>
    <w:rsid w:val="003738CC"/>
    <w:rsid w:val="00373C44"/>
    <w:rsid w:val="00374296"/>
    <w:rsid w:val="00374345"/>
    <w:rsid w:val="003743C8"/>
    <w:rsid w:val="003744CF"/>
    <w:rsid w:val="00374660"/>
    <w:rsid w:val="003746C9"/>
    <w:rsid w:val="00374717"/>
    <w:rsid w:val="003749C1"/>
    <w:rsid w:val="00374FE2"/>
    <w:rsid w:val="0037501F"/>
    <w:rsid w:val="003751E8"/>
    <w:rsid w:val="003752F7"/>
    <w:rsid w:val="00375371"/>
    <w:rsid w:val="003755AE"/>
    <w:rsid w:val="0037563A"/>
    <w:rsid w:val="0037564B"/>
    <w:rsid w:val="00375A41"/>
    <w:rsid w:val="00375B05"/>
    <w:rsid w:val="0037676C"/>
    <w:rsid w:val="0037698D"/>
    <w:rsid w:val="00376AC7"/>
    <w:rsid w:val="0037755D"/>
    <w:rsid w:val="00377B14"/>
    <w:rsid w:val="00377DD5"/>
    <w:rsid w:val="00377F2B"/>
    <w:rsid w:val="0038018F"/>
    <w:rsid w:val="003803D3"/>
    <w:rsid w:val="00380486"/>
    <w:rsid w:val="00380721"/>
    <w:rsid w:val="00380FC5"/>
    <w:rsid w:val="00381043"/>
    <w:rsid w:val="00381257"/>
    <w:rsid w:val="003815B6"/>
    <w:rsid w:val="00381711"/>
    <w:rsid w:val="0038274C"/>
    <w:rsid w:val="003829E5"/>
    <w:rsid w:val="00382CFB"/>
    <w:rsid w:val="00383318"/>
    <w:rsid w:val="00383368"/>
    <w:rsid w:val="003834C4"/>
    <w:rsid w:val="00383716"/>
    <w:rsid w:val="00383B29"/>
    <w:rsid w:val="00383EE3"/>
    <w:rsid w:val="00384489"/>
    <w:rsid w:val="00384761"/>
    <w:rsid w:val="0038485A"/>
    <w:rsid w:val="00384F5E"/>
    <w:rsid w:val="0038509A"/>
    <w:rsid w:val="00385B8F"/>
    <w:rsid w:val="00386109"/>
    <w:rsid w:val="0038665F"/>
    <w:rsid w:val="0038671F"/>
    <w:rsid w:val="00386873"/>
    <w:rsid w:val="0038691C"/>
    <w:rsid w:val="00386944"/>
    <w:rsid w:val="00386A57"/>
    <w:rsid w:val="00386C83"/>
    <w:rsid w:val="0038738A"/>
    <w:rsid w:val="0038752D"/>
    <w:rsid w:val="003875B7"/>
    <w:rsid w:val="003875E2"/>
    <w:rsid w:val="00387A7C"/>
    <w:rsid w:val="00387FDA"/>
    <w:rsid w:val="00389A50"/>
    <w:rsid w:val="0039019B"/>
    <w:rsid w:val="00391009"/>
    <w:rsid w:val="00391491"/>
    <w:rsid w:val="003914B9"/>
    <w:rsid w:val="00391AA1"/>
    <w:rsid w:val="00391AFC"/>
    <w:rsid w:val="00391F74"/>
    <w:rsid w:val="003922A8"/>
    <w:rsid w:val="00392BAB"/>
    <w:rsid w:val="00392E2D"/>
    <w:rsid w:val="00392EF1"/>
    <w:rsid w:val="003935B9"/>
    <w:rsid w:val="003940C2"/>
    <w:rsid w:val="00394161"/>
    <w:rsid w:val="0039467C"/>
    <w:rsid w:val="00394870"/>
    <w:rsid w:val="00394B19"/>
    <w:rsid w:val="00394B3C"/>
    <w:rsid w:val="00394C01"/>
    <w:rsid w:val="00394D47"/>
    <w:rsid w:val="00395464"/>
    <w:rsid w:val="003956CC"/>
    <w:rsid w:val="003957A4"/>
    <w:rsid w:val="00395BE2"/>
    <w:rsid w:val="00395C0C"/>
    <w:rsid w:val="00395C9A"/>
    <w:rsid w:val="003964AA"/>
    <w:rsid w:val="003966F8"/>
    <w:rsid w:val="003968B1"/>
    <w:rsid w:val="00396BB0"/>
    <w:rsid w:val="00396EA4"/>
    <w:rsid w:val="0039760F"/>
    <w:rsid w:val="003977A6"/>
    <w:rsid w:val="003977D1"/>
    <w:rsid w:val="003979DA"/>
    <w:rsid w:val="00397F1F"/>
    <w:rsid w:val="003A072A"/>
    <w:rsid w:val="003A0853"/>
    <w:rsid w:val="003A1276"/>
    <w:rsid w:val="003A15BC"/>
    <w:rsid w:val="003A1E38"/>
    <w:rsid w:val="003A210E"/>
    <w:rsid w:val="003A27C7"/>
    <w:rsid w:val="003A2A05"/>
    <w:rsid w:val="003A2C78"/>
    <w:rsid w:val="003A30F9"/>
    <w:rsid w:val="003A355C"/>
    <w:rsid w:val="003A359D"/>
    <w:rsid w:val="003A3D5F"/>
    <w:rsid w:val="003A3E30"/>
    <w:rsid w:val="003A462B"/>
    <w:rsid w:val="003A478C"/>
    <w:rsid w:val="003A47E9"/>
    <w:rsid w:val="003A491E"/>
    <w:rsid w:val="003A49F8"/>
    <w:rsid w:val="003A516F"/>
    <w:rsid w:val="003A5598"/>
    <w:rsid w:val="003A57CA"/>
    <w:rsid w:val="003A61F3"/>
    <w:rsid w:val="003A634F"/>
    <w:rsid w:val="003A657E"/>
    <w:rsid w:val="003A68DA"/>
    <w:rsid w:val="003A6910"/>
    <w:rsid w:val="003A6B67"/>
    <w:rsid w:val="003A7413"/>
    <w:rsid w:val="003A7936"/>
    <w:rsid w:val="003B02C3"/>
    <w:rsid w:val="003B09AE"/>
    <w:rsid w:val="003B0DFD"/>
    <w:rsid w:val="003B0E3B"/>
    <w:rsid w:val="003B0F8B"/>
    <w:rsid w:val="003B11DE"/>
    <w:rsid w:val="003B13B6"/>
    <w:rsid w:val="003B14C3"/>
    <w:rsid w:val="003B14D4"/>
    <w:rsid w:val="003B15E6"/>
    <w:rsid w:val="003B2035"/>
    <w:rsid w:val="003B22EF"/>
    <w:rsid w:val="003B236C"/>
    <w:rsid w:val="003B23FC"/>
    <w:rsid w:val="003B2AD7"/>
    <w:rsid w:val="003B2CE4"/>
    <w:rsid w:val="003B2DB4"/>
    <w:rsid w:val="003B33F5"/>
    <w:rsid w:val="003B408A"/>
    <w:rsid w:val="003B4436"/>
    <w:rsid w:val="003B4563"/>
    <w:rsid w:val="003B4CE3"/>
    <w:rsid w:val="003B5014"/>
    <w:rsid w:val="003B50A6"/>
    <w:rsid w:val="003B5170"/>
    <w:rsid w:val="003B694F"/>
    <w:rsid w:val="003B6BAB"/>
    <w:rsid w:val="003B6C0C"/>
    <w:rsid w:val="003B6D0C"/>
    <w:rsid w:val="003B7174"/>
    <w:rsid w:val="003B71CF"/>
    <w:rsid w:val="003B75B9"/>
    <w:rsid w:val="003B78CC"/>
    <w:rsid w:val="003B841A"/>
    <w:rsid w:val="003C004B"/>
    <w:rsid w:val="003C0158"/>
    <w:rsid w:val="003C01AD"/>
    <w:rsid w:val="003C08A2"/>
    <w:rsid w:val="003C098E"/>
    <w:rsid w:val="003C0B8F"/>
    <w:rsid w:val="003C0EE5"/>
    <w:rsid w:val="003C13E5"/>
    <w:rsid w:val="003C18E5"/>
    <w:rsid w:val="003C1A08"/>
    <w:rsid w:val="003C1A26"/>
    <w:rsid w:val="003C1AD9"/>
    <w:rsid w:val="003C2045"/>
    <w:rsid w:val="003C28F9"/>
    <w:rsid w:val="003C298A"/>
    <w:rsid w:val="003C2B16"/>
    <w:rsid w:val="003C2F1D"/>
    <w:rsid w:val="003C2FEF"/>
    <w:rsid w:val="003C344B"/>
    <w:rsid w:val="003C3500"/>
    <w:rsid w:val="003C36F6"/>
    <w:rsid w:val="003C39D3"/>
    <w:rsid w:val="003C3C92"/>
    <w:rsid w:val="003C3E6F"/>
    <w:rsid w:val="003C43A1"/>
    <w:rsid w:val="003C487B"/>
    <w:rsid w:val="003C4FC0"/>
    <w:rsid w:val="003C510E"/>
    <w:rsid w:val="003C52C1"/>
    <w:rsid w:val="003C55F4"/>
    <w:rsid w:val="003C5876"/>
    <w:rsid w:val="003C5C9F"/>
    <w:rsid w:val="003C605E"/>
    <w:rsid w:val="003C65E0"/>
    <w:rsid w:val="003C71F1"/>
    <w:rsid w:val="003C7782"/>
    <w:rsid w:val="003C7897"/>
    <w:rsid w:val="003C7A3F"/>
    <w:rsid w:val="003C7D7C"/>
    <w:rsid w:val="003D0237"/>
    <w:rsid w:val="003D0EDD"/>
    <w:rsid w:val="003D1465"/>
    <w:rsid w:val="003D1879"/>
    <w:rsid w:val="003D1BA8"/>
    <w:rsid w:val="003D2519"/>
    <w:rsid w:val="003D2766"/>
    <w:rsid w:val="003D29B7"/>
    <w:rsid w:val="003D2A74"/>
    <w:rsid w:val="003D2D4E"/>
    <w:rsid w:val="003D2FD9"/>
    <w:rsid w:val="003D3441"/>
    <w:rsid w:val="003D35A9"/>
    <w:rsid w:val="003D39E9"/>
    <w:rsid w:val="003D39EF"/>
    <w:rsid w:val="003D3BF5"/>
    <w:rsid w:val="003D3D88"/>
    <w:rsid w:val="003D3E8F"/>
    <w:rsid w:val="003D3F7A"/>
    <w:rsid w:val="003D42EA"/>
    <w:rsid w:val="003D433E"/>
    <w:rsid w:val="003D4D1E"/>
    <w:rsid w:val="003D504F"/>
    <w:rsid w:val="003D518F"/>
    <w:rsid w:val="003D51C1"/>
    <w:rsid w:val="003D5A77"/>
    <w:rsid w:val="003D5EDC"/>
    <w:rsid w:val="003D608B"/>
    <w:rsid w:val="003D60F3"/>
    <w:rsid w:val="003D62E5"/>
    <w:rsid w:val="003D6381"/>
    <w:rsid w:val="003D6475"/>
    <w:rsid w:val="003D6568"/>
    <w:rsid w:val="003D6ACF"/>
    <w:rsid w:val="003D6D6B"/>
    <w:rsid w:val="003D6EE6"/>
    <w:rsid w:val="003D6EEE"/>
    <w:rsid w:val="003D7087"/>
    <w:rsid w:val="003D7299"/>
    <w:rsid w:val="003D7A2C"/>
    <w:rsid w:val="003D7F9E"/>
    <w:rsid w:val="003E0563"/>
    <w:rsid w:val="003E0B2C"/>
    <w:rsid w:val="003E0CCD"/>
    <w:rsid w:val="003E0DDC"/>
    <w:rsid w:val="003E1061"/>
    <w:rsid w:val="003E1E6B"/>
    <w:rsid w:val="003E20C8"/>
    <w:rsid w:val="003E27FE"/>
    <w:rsid w:val="003E2848"/>
    <w:rsid w:val="003E375C"/>
    <w:rsid w:val="003E3829"/>
    <w:rsid w:val="003E3E56"/>
    <w:rsid w:val="003E4086"/>
    <w:rsid w:val="003E43B2"/>
    <w:rsid w:val="003E4BD9"/>
    <w:rsid w:val="003E4C34"/>
    <w:rsid w:val="003E53E2"/>
    <w:rsid w:val="003E5522"/>
    <w:rsid w:val="003E5805"/>
    <w:rsid w:val="003E5A36"/>
    <w:rsid w:val="003E5C49"/>
    <w:rsid w:val="003E5CE6"/>
    <w:rsid w:val="003E5DF9"/>
    <w:rsid w:val="003E5E4F"/>
    <w:rsid w:val="003E639E"/>
    <w:rsid w:val="003E65B5"/>
    <w:rsid w:val="003E6704"/>
    <w:rsid w:val="003E6974"/>
    <w:rsid w:val="003E711C"/>
    <w:rsid w:val="003E71E5"/>
    <w:rsid w:val="003E760A"/>
    <w:rsid w:val="003E781B"/>
    <w:rsid w:val="003E7D28"/>
    <w:rsid w:val="003F0445"/>
    <w:rsid w:val="003F053F"/>
    <w:rsid w:val="003F0816"/>
    <w:rsid w:val="003F0CF0"/>
    <w:rsid w:val="003F0D8E"/>
    <w:rsid w:val="003F12A0"/>
    <w:rsid w:val="003F13E1"/>
    <w:rsid w:val="003F14B1"/>
    <w:rsid w:val="003F1587"/>
    <w:rsid w:val="003F18CA"/>
    <w:rsid w:val="003F1920"/>
    <w:rsid w:val="003F1A1D"/>
    <w:rsid w:val="003F2312"/>
    <w:rsid w:val="003F2881"/>
    <w:rsid w:val="003F2B20"/>
    <w:rsid w:val="003F2E55"/>
    <w:rsid w:val="003F307A"/>
    <w:rsid w:val="003F3289"/>
    <w:rsid w:val="003F35E2"/>
    <w:rsid w:val="003F3690"/>
    <w:rsid w:val="003F3AF0"/>
    <w:rsid w:val="003F3B5E"/>
    <w:rsid w:val="003F3C62"/>
    <w:rsid w:val="003F3D40"/>
    <w:rsid w:val="003F3F5A"/>
    <w:rsid w:val="003F3FF3"/>
    <w:rsid w:val="003F4940"/>
    <w:rsid w:val="003F4C5C"/>
    <w:rsid w:val="003F4CD8"/>
    <w:rsid w:val="003F51C1"/>
    <w:rsid w:val="003F53C6"/>
    <w:rsid w:val="003F55D5"/>
    <w:rsid w:val="003F5CB9"/>
    <w:rsid w:val="003F5D9D"/>
    <w:rsid w:val="003F60DB"/>
    <w:rsid w:val="003F629C"/>
    <w:rsid w:val="003F65A2"/>
    <w:rsid w:val="003F6663"/>
    <w:rsid w:val="003F68B5"/>
    <w:rsid w:val="003F6B38"/>
    <w:rsid w:val="003F73EF"/>
    <w:rsid w:val="003F7C8B"/>
    <w:rsid w:val="003F7EBE"/>
    <w:rsid w:val="00400157"/>
    <w:rsid w:val="0040078F"/>
    <w:rsid w:val="00400C0B"/>
    <w:rsid w:val="00400D3A"/>
    <w:rsid w:val="00400FF8"/>
    <w:rsid w:val="004013C7"/>
    <w:rsid w:val="0040168F"/>
    <w:rsid w:val="00401FCF"/>
    <w:rsid w:val="00402788"/>
    <w:rsid w:val="00402BF3"/>
    <w:rsid w:val="00402D96"/>
    <w:rsid w:val="00402EEC"/>
    <w:rsid w:val="00403212"/>
    <w:rsid w:val="00403449"/>
    <w:rsid w:val="00403694"/>
    <w:rsid w:val="004046B5"/>
    <w:rsid w:val="00404755"/>
    <w:rsid w:val="00405381"/>
    <w:rsid w:val="00406190"/>
    <w:rsid w:val="00406285"/>
    <w:rsid w:val="004069B0"/>
    <w:rsid w:val="004071F7"/>
    <w:rsid w:val="00407720"/>
    <w:rsid w:val="004077B1"/>
    <w:rsid w:val="00407DDE"/>
    <w:rsid w:val="0041102E"/>
    <w:rsid w:val="0041139E"/>
    <w:rsid w:val="004114C3"/>
    <w:rsid w:val="004115A2"/>
    <w:rsid w:val="00411FEC"/>
    <w:rsid w:val="00412435"/>
    <w:rsid w:val="00412644"/>
    <w:rsid w:val="00412A40"/>
    <w:rsid w:val="00412C0F"/>
    <w:rsid w:val="00413FD5"/>
    <w:rsid w:val="00413FEF"/>
    <w:rsid w:val="00414681"/>
    <w:rsid w:val="004148F9"/>
    <w:rsid w:val="00414939"/>
    <w:rsid w:val="00414CE0"/>
    <w:rsid w:val="00414E4B"/>
    <w:rsid w:val="00415060"/>
    <w:rsid w:val="00415241"/>
    <w:rsid w:val="0041652B"/>
    <w:rsid w:val="004166E9"/>
    <w:rsid w:val="00416B12"/>
    <w:rsid w:val="00416C13"/>
    <w:rsid w:val="00416E07"/>
    <w:rsid w:val="00417477"/>
    <w:rsid w:val="00417933"/>
    <w:rsid w:val="0042084E"/>
    <w:rsid w:val="00420BE7"/>
    <w:rsid w:val="00421954"/>
    <w:rsid w:val="00421C45"/>
    <w:rsid w:val="00421EEF"/>
    <w:rsid w:val="0042213B"/>
    <w:rsid w:val="004222E2"/>
    <w:rsid w:val="0042251A"/>
    <w:rsid w:val="0042257E"/>
    <w:rsid w:val="004228D6"/>
    <w:rsid w:val="00422D5E"/>
    <w:rsid w:val="00423AF0"/>
    <w:rsid w:val="004245C1"/>
    <w:rsid w:val="004246D8"/>
    <w:rsid w:val="00424D65"/>
    <w:rsid w:val="00424F92"/>
    <w:rsid w:val="00425B0D"/>
    <w:rsid w:val="00425C59"/>
    <w:rsid w:val="00425D30"/>
    <w:rsid w:val="00426367"/>
    <w:rsid w:val="00426546"/>
    <w:rsid w:val="00426C95"/>
    <w:rsid w:val="00426E39"/>
    <w:rsid w:val="0042753C"/>
    <w:rsid w:val="00427CA4"/>
    <w:rsid w:val="00427D29"/>
    <w:rsid w:val="00427DB2"/>
    <w:rsid w:val="00427FCC"/>
    <w:rsid w:val="00430393"/>
    <w:rsid w:val="004308F5"/>
    <w:rsid w:val="004309D7"/>
    <w:rsid w:val="00430B30"/>
    <w:rsid w:val="004317DF"/>
    <w:rsid w:val="00431806"/>
    <w:rsid w:val="00431908"/>
    <w:rsid w:val="00431A70"/>
    <w:rsid w:val="00431B88"/>
    <w:rsid w:val="00431EA3"/>
    <w:rsid w:val="00431F42"/>
    <w:rsid w:val="004322A6"/>
    <w:rsid w:val="00432751"/>
    <w:rsid w:val="00432D49"/>
    <w:rsid w:val="00432ED5"/>
    <w:rsid w:val="0043315F"/>
    <w:rsid w:val="004331BD"/>
    <w:rsid w:val="004332C1"/>
    <w:rsid w:val="00434458"/>
    <w:rsid w:val="00434512"/>
    <w:rsid w:val="00434B21"/>
    <w:rsid w:val="00434EF8"/>
    <w:rsid w:val="004359E4"/>
    <w:rsid w:val="0043625D"/>
    <w:rsid w:val="0043627E"/>
    <w:rsid w:val="004374A2"/>
    <w:rsid w:val="004379D4"/>
    <w:rsid w:val="004404AF"/>
    <w:rsid w:val="00440B43"/>
    <w:rsid w:val="00440F60"/>
    <w:rsid w:val="00441702"/>
    <w:rsid w:val="0044173C"/>
    <w:rsid w:val="004417A7"/>
    <w:rsid w:val="004419E9"/>
    <w:rsid w:val="004421E6"/>
    <w:rsid w:val="00442C6C"/>
    <w:rsid w:val="00442D3E"/>
    <w:rsid w:val="00442E04"/>
    <w:rsid w:val="00442E0E"/>
    <w:rsid w:val="00442F4D"/>
    <w:rsid w:val="00443252"/>
    <w:rsid w:val="0044334C"/>
    <w:rsid w:val="00443A94"/>
    <w:rsid w:val="00443C36"/>
    <w:rsid w:val="00443CBE"/>
    <w:rsid w:val="00443E8A"/>
    <w:rsid w:val="004441BC"/>
    <w:rsid w:val="00444208"/>
    <w:rsid w:val="004449C9"/>
    <w:rsid w:val="00444CE6"/>
    <w:rsid w:val="004454CA"/>
    <w:rsid w:val="004457CD"/>
    <w:rsid w:val="00445885"/>
    <w:rsid w:val="00445EF7"/>
    <w:rsid w:val="004460FC"/>
    <w:rsid w:val="0044622C"/>
    <w:rsid w:val="00446284"/>
    <w:rsid w:val="0044644E"/>
    <w:rsid w:val="00446665"/>
    <w:rsid w:val="0044667B"/>
    <w:rsid w:val="0044684B"/>
    <w:rsid w:val="0044689C"/>
    <w:rsid w:val="004468B4"/>
    <w:rsid w:val="00446D86"/>
    <w:rsid w:val="0045041D"/>
    <w:rsid w:val="00450EA6"/>
    <w:rsid w:val="0045105B"/>
    <w:rsid w:val="0045112F"/>
    <w:rsid w:val="00451329"/>
    <w:rsid w:val="004518F6"/>
    <w:rsid w:val="00451C46"/>
    <w:rsid w:val="00451C85"/>
    <w:rsid w:val="0045230A"/>
    <w:rsid w:val="00452708"/>
    <w:rsid w:val="00452D9A"/>
    <w:rsid w:val="00453320"/>
    <w:rsid w:val="00453FD4"/>
    <w:rsid w:val="004541BE"/>
    <w:rsid w:val="004546F4"/>
    <w:rsid w:val="0045477D"/>
    <w:rsid w:val="004547FE"/>
    <w:rsid w:val="0045487E"/>
    <w:rsid w:val="00454A7D"/>
    <w:rsid w:val="00454AA1"/>
    <w:rsid w:val="00454AD0"/>
    <w:rsid w:val="00454E50"/>
    <w:rsid w:val="00455345"/>
    <w:rsid w:val="004554A9"/>
    <w:rsid w:val="00455B83"/>
    <w:rsid w:val="00455F8E"/>
    <w:rsid w:val="0045624A"/>
    <w:rsid w:val="00456435"/>
    <w:rsid w:val="0045655C"/>
    <w:rsid w:val="004568FD"/>
    <w:rsid w:val="00457055"/>
    <w:rsid w:val="004572C0"/>
    <w:rsid w:val="00457337"/>
    <w:rsid w:val="00457C0E"/>
    <w:rsid w:val="00460100"/>
    <w:rsid w:val="0046019E"/>
    <w:rsid w:val="004603A7"/>
    <w:rsid w:val="0046087D"/>
    <w:rsid w:val="004609B6"/>
    <w:rsid w:val="00460C32"/>
    <w:rsid w:val="00460D7E"/>
    <w:rsid w:val="004611CC"/>
    <w:rsid w:val="00461AB3"/>
    <w:rsid w:val="00461F11"/>
    <w:rsid w:val="00462338"/>
    <w:rsid w:val="00462770"/>
    <w:rsid w:val="00462A8C"/>
    <w:rsid w:val="00462E3D"/>
    <w:rsid w:val="00463033"/>
    <w:rsid w:val="00463496"/>
    <w:rsid w:val="00463710"/>
    <w:rsid w:val="004648B9"/>
    <w:rsid w:val="00464A9B"/>
    <w:rsid w:val="00464B7E"/>
    <w:rsid w:val="00464D64"/>
    <w:rsid w:val="004651A9"/>
    <w:rsid w:val="0046599D"/>
    <w:rsid w:val="004659A1"/>
    <w:rsid w:val="00465CDE"/>
    <w:rsid w:val="00465E0A"/>
    <w:rsid w:val="00465FEE"/>
    <w:rsid w:val="004663FA"/>
    <w:rsid w:val="004669D0"/>
    <w:rsid w:val="00466E79"/>
    <w:rsid w:val="00466F43"/>
    <w:rsid w:val="00467FA5"/>
    <w:rsid w:val="00470D7D"/>
    <w:rsid w:val="00470E84"/>
    <w:rsid w:val="00471063"/>
    <w:rsid w:val="004710D4"/>
    <w:rsid w:val="0047116D"/>
    <w:rsid w:val="004713B4"/>
    <w:rsid w:val="00471661"/>
    <w:rsid w:val="00471C2C"/>
    <w:rsid w:val="00472B51"/>
    <w:rsid w:val="00472DAF"/>
    <w:rsid w:val="004732EB"/>
    <w:rsid w:val="0047372D"/>
    <w:rsid w:val="00473BA3"/>
    <w:rsid w:val="00473C0F"/>
    <w:rsid w:val="004743AB"/>
    <w:rsid w:val="004743DD"/>
    <w:rsid w:val="00474498"/>
    <w:rsid w:val="00474647"/>
    <w:rsid w:val="004747E0"/>
    <w:rsid w:val="0047491A"/>
    <w:rsid w:val="004749DF"/>
    <w:rsid w:val="00474CEA"/>
    <w:rsid w:val="004750DD"/>
    <w:rsid w:val="004754F8"/>
    <w:rsid w:val="004755F5"/>
    <w:rsid w:val="004756B4"/>
    <w:rsid w:val="00475712"/>
    <w:rsid w:val="0047582F"/>
    <w:rsid w:val="004761B5"/>
    <w:rsid w:val="00476310"/>
    <w:rsid w:val="004764FC"/>
    <w:rsid w:val="0047653F"/>
    <w:rsid w:val="00476649"/>
    <w:rsid w:val="00476F7A"/>
    <w:rsid w:val="00477120"/>
    <w:rsid w:val="004774A8"/>
    <w:rsid w:val="004776F9"/>
    <w:rsid w:val="00477DA1"/>
    <w:rsid w:val="00477DD4"/>
    <w:rsid w:val="00477E2D"/>
    <w:rsid w:val="00477F1B"/>
    <w:rsid w:val="00480273"/>
    <w:rsid w:val="0048052F"/>
    <w:rsid w:val="00480537"/>
    <w:rsid w:val="00480627"/>
    <w:rsid w:val="0048094C"/>
    <w:rsid w:val="00480CA3"/>
    <w:rsid w:val="0048169A"/>
    <w:rsid w:val="00481D85"/>
    <w:rsid w:val="00482002"/>
    <w:rsid w:val="00482391"/>
    <w:rsid w:val="004823E0"/>
    <w:rsid w:val="00482471"/>
    <w:rsid w:val="00482642"/>
    <w:rsid w:val="00482D0F"/>
    <w:rsid w:val="00482FB0"/>
    <w:rsid w:val="004837FA"/>
    <w:rsid w:val="00483968"/>
    <w:rsid w:val="004841BE"/>
    <w:rsid w:val="00484278"/>
    <w:rsid w:val="004845B3"/>
    <w:rsid w:val="004847B0"/>
    <w:rsid w:val="00484ABF"/>
    <w:rsid w:val="00484B21"/>
    <w:rsid w:val="00484C75"/>
    <w:rsid w:val="00484EBF"/>
    <w:rsid w:val="00484EDE"/>
    <w:rsid w:val="00484F86"/>
    <w:rsid w:val="0048516E"/>
    <w:rsid w:val="0048539A"/>
    <w:rsid w:val="00485416"/>
    <w:rsid w:val="004855D4"/>
    <w:rsid w:val="00485899"/>
    <w:rsid w:val="00485BD2"/>
    <w:rsid w:val="00486205"/>
    <w:rsid w:val="0048625F"/>
    <w:rsid w:val="004866D3"/>
    <w:rsid w:val="00486798"/>
    <w:rsid w:val="00486870"/>
    <w:rsid w:val="004868C2"/>
    <w:rsid w:val="00486D53"/>
    <w:rsid w:val="004871D0"/>
    <w:rsid w:val="00487844"/>
    <w:rsid w:val="004900EB"/>
    <w:rsid w:val="0049024E"/>
    <w:rsid w:val="00490746"/>
    <w:rsid w:val="00490852"/>
    <w:rsid w:val="00491C9C"/>
    <w:rsid w:val="004929E7"/>
    <w:rsid w:val="00492AB5"/>
    <w:rsid w:val="00492B77"/>
    <w:rsid w:val="00492CE8"/>
    <w:rsid w:val="00492F30"/>
    <w:rsid w:val="004940D7"/>
    <w:rsid w:val="004941F6"/>
    <w:rsid w:val="004945BB"/>
    <w:rsid w:val="004946F4"/>
    <w:rsid w:val="00494760"/>
    <w:rsid w:val="0049487E"/>
    <w:rsid w:val="00494A49"/>
    <w:rsid w:val="00494D61"/>
    <w:rsid w:val="00494FEA"/>
    <w:rsid w:val="0049554C"/>
    <w:rsid w:val="004958D7"/>
    <w:rsid w:val="004958E0"/>
    <w:rsid w:val="00495EC0"/>
    <w:rsid w:val="00496595"/>
    <w:rsid w:val="00496AA5"/>
    <w:rsid w:val="00497E65"/>
    <w:rsid w:val="004A023C"/>
    <w:rsid w:val="004A0389"/>
    <w:rsid w:val="004A095E"/>
    <w:rsid w:val="004A160D"/>
    <w:rsid w:val="004A1A60"/>
    <w:rsid w:val="004A237F"/>
    <w:rsid w:val="004A25E5"/>
    <w:rsid w:val="004A293A"/>
    <w:rsid w:val="004A2B70"/>
    <w:rsid w:val="004A2BD0"/>
    <w:rsid w:val="004A3E3D"/>
    <w:rsid w:val="004A3E81"/>
    <w:rsid w:val="004A3ECF"/>
    <w:rsid w:val="004A3F81"/>
    <w:rsid w:val="004A4195"/>
    <w:rsid w:val="004A43B5"/>
    <w:rsid w:val="004A4C8C"/>
    <w:rsid w:val="004A5138"/>
    <w:rsid w:val="004A53BD"/>
    <w:rsid w:val="004A5895"/>
    <w:rsid w:val="004A5B73"/>
    <w:rsid w:val="004A5C62"/>
    <w:rsid w:val="004A5CE5"/>
    <w:rsid w:val="004A5E99"/>
    <w:rsid w:val="004A60A9"/>
    <w:rsid w:val="004A627F"/>
    <w:rsid w:val="004A6503"/>
    <w:rsid w:val="004A6B05"/>
    <w:rsid w:val="004A6CD0"/>
    <w:rsid w:val="004A6FD2"/>
    <w:rsid w:val="004A7019"/>
    <w:rsid w:val="004A707D"/>
    <w:rsid w:val="004A7A99"/>
    <w:rsid w:val="004A7C1C"/>
    <w:rsid w:val="004A7F23"/>
    <w:rsid w:val="004A7F9B"/>
    <w:rsid w:val="004B0801"/>
    <w:rsid w:val="004B0974"/>
    <w:rsid w:val="004B0D46"/>
    <w:rsid w:val="004B173A"/>
    <w:rsid w:val="004B195C"/>
    <w:rsid w:val="004B269F"/>
    <w:rsid w:val="004B2BBB"/>
    <w:rsid w:val="004B3499"/>
    <w:rsid w:val="004B34B4"/>
    <w:rsid w:val="004B35CA"/>
    <w:rsid w:val="004B3E81"/>
    <w:rsid w:val="004B4185"/>
    <w:rsid w:val="004B42CA"/>
    <w:rsid w:val="004B45E8"/>
    <w:rsid w:val="004B4C5A"/>
    <w:rsid w:val="004B4E29"/>
    <w:rsid w:val="004B52A6"/>
    <w:rsid w:val="004B536D"/>
    <w:rsid w:val="004B6159"/>
    <w:rsid w:val="004B6611"/>
    <w:rsid w:val="004B706D"/>
    <w:rsid w:val="004B7C0B"/>
    <w:rsid w:val="004B7CAD"/>
    <w:rsid w:val="004C0429"/>
    <w:rsid w:val="004C05B2"/>
    <w:rsid w:val="004C0842"/>
    <w:rsid w:val="004C0DF8"/>
    <w:rsid w:val="004C13E4"/>
    <w:rsid w:val="004C1722"/>
    <w:rsid w:val="004C17F0"/>
    <w:rsid w:val="004C1E93"/>
    <w:rsid w:val="004C2482"/>
    <w:rsid w:val="004C2B64"/>
    <w:rsid w:val="004C2BB7"/>
    <w:rsid w:val="004C2DFF"/>
    <w:rsid w:val="004C2E14"/>
    <w:rsid w:val="004C3E3B"/>
    <w:rsid w:val="004C3FE5"/>
    <w:rsid w:val="004C54E2"/>
    <w:rsid w:val="004C5541"/>
    <w:rsid w:val="004C579F"/>
    <w:rsid w:val="004C5BCD"/>
    <w:rsid w:val="004C6EEE"/>
    <w:rsid w:val="004C702B"/>
    <w:rsid w:val="004C7246"/>
    <w:rsid w:val="004C7373"/>
    <w:rsid w:val="004C7558"/>
    <w:rsid w:val="004C7C22"/>
    <w:rsid w:val="004C7CEE"/>
    <w:rsid w:val="004C7EAB"/>
    <w:rsid w:val="004D0033"/>
    <w:rsid w:val="004D016B"/>
    <w:rsid w:val="004D08AD"/>
    <w:rsid w:val="004D0950"/>
    <w:rsid w:val="004D0EED"/>
    <w:rsid w:val="004D0FC6"/>
    <w:rsid w:val="004D181E"/>
    <w:rsid w:val="004D1890"/>
    <w:rsid w:val="004D1A16"/>
    <w:rsid w:val="004D1B22"/>
    <w:rsid w:val="004D1C8A"/>
    <w:rsid w:val="004D2146"/>
    <w:rsid w:val="004D23CC"/>
    <w:rsid w:val="004D2877"/>
    <w:rsid w:val="004D34B1"/>
    <w:rsid w:val="004D36A4"/>
    <w:rsid w:val="004D36F2"/>
    <w:rsid w:val="004D3E36"/>
    <w:rsid w:val="004D4517"/>
    <w:rsid w:val="004D54F2"/>
    <w:rsid w:val="004D5544"/>
    <w:rsid w:val="004D5B9E"/>
    <w:rsid w:val="004D5C96"/>
    <w:rsid w:val="004D5E90"/>
    <w:rsid w:val="004D6306"/>
    <w:rsid w:val="004D64D7"/>
    <w:rsid w:val="004D6922"/>
    <w:rsid w:val="004D693A"/>
    <w:rsid w:val="004D764F"/>
    <w:rsid w:val="004D780A"/>
    <w:rsid w:val="004D7C09"/>
    <w:rsid w:val="004D7D24"/>
    <w:rsid w:val="004D7FC5"/>
    <w:rsid w:val="004E037C"/>
    <w:rsid w:val="004E0C73"/>
    <w:rsid w:val="004E0DDB"/>
    <w:rsid w:val="004E1106"/>
    <w:rsid w:val="004E138F"/>
    <w:rsid w:val="004E18B6"/>
    <w:rsid w:val="004E1C0F"/>
    <w:rsid w:val="004E1D82"/>
    <w:rsid w:val="004E227B"/>
    <w:rsid w:val="004E23E6"/>
    <w:rsid w:val="004E281C"/>
    <w:rsid w:val="004E29B6"/>
    <w:rsid w:val="004E2F04"/>
    <w:rsid w:val="004E2F23"/>
    <w:rsid w:val="004E2F58"/>
    <w:rsid w:val="004E33AB"/>
    <w:rsid w:val="004E37D0"/>
    <w:rsid w:val="004E37DA"/>
    <w:rsid w:val="004E396B"/>
    <w:rsid w:val="004E3FCC"/>
    <w:rsid w:val="004E4537"/>
    <w:rsid w:val="004E4649"/>
    <w:rsid w:val="004E4690"/>
    <w:rsid w:val="004E483B"/>
    <w:rsid w:val="004E48B8"/>
    <w:rsid w:val="004E4A45"/>
    <w:rsid w:val="004E4F39"/>
    <w:rsid w:val="004E4FA8"/>
    <w:rsid w:val="004E5466"/>
    <w:rsid w:val="004E579B"/>
    <w:rsid w:val="004E5ADB"/>
    <w:rsid w:val="004E5B0E"/>
    <w:rsid w:val="004E5C2B"/>
    <w:rsid w:val="004E5DA0"/>
    <w:rsid w:val="004E61F4"/>
    <w:rsid w:val="004E65B3"/>
    <w:rsid w:val="004E65BB"/>
    <w:rsid w:val="004E6665"/>
    <w:rsid w:val="004E761C"/>
    <w:rsid w:val="004E7C69"/>
    <w:rsid w:val="004E7DFB"/>
    <w:rsid w:val="004E7F52"/>
    <w:rsid w:val="004F00DD"/>
    <w:rsid w:val="004F0349"/>
    <w:rsid w:val="004F06B4"/>
    <w:rsid w:val="004F0D2C"/>
    <w:rsid w:val="004F104B"/>
    <w:rsid w:val="004F19FB"/>
    <w:rsid w:val="004F2133"/>
    <w:rsid w:val="004F214A"/>
    <w:rsid w:val="004F2337"/>
    <w:rsid w:val="004F239C"/>
    <w:rsid w:val="004F2785"/>
    <w:rsid w:val="004F29D5"/>
    <w:rsid w:val="004F2D28"/>
    <w:rsid w:val="004F3460"/>
    <w:rsid w:val="004F41F5"/>
    <w:rsid w:val="004F4222"/>
    <w:rsid w:val="004F5398"/>
    <w:rsid w:val="004F55DF"/>
    <w:rsid w:val="004F55F1"/>
    <w:rsid w:val="004F59A0"/>
    <w:rsid w:val="004F5BFF"/>
    <w:rsid w:val="004F5EE5"/>
    <w:rsid w:val="004F5FA8"/>
    <w:rsid w:val="004F6027"/>
    <w:rsid w:val="004F6470"/>
    <w:rsid w:val="004F66C4"/>
    <w:rsid w:val="004F67B5"/>
    <w:rsid w:val="004F6936"/>
    <w:rsid w:val="004F6FE1"/>
    <w:rsid w:val="004F744D"/>
    <w:rsid w:val="004F751E"/>
    <w:rsid w:val="004F7D36"/>
    <w:rsid w:val="00500506"/>
    <w:rsid w:val="0050098E"/>
    <w:rsid w:val="00500A7B"/>
    <w:rsid w:val="00500BDB"/>
    <w:rsid w:val="00500F0F"/>
    <w:rsid w:val="00501022"/>
    <w:rsid w:val="00501059"/>
    <w:rsid w:val="00501110"/>
    <w:rsid w:val="00501206"/>
    <w:rsid w:val="005012CD"/>
    <w:rsid w:val="00501A77"/>
    <w:rsid w:val="0050241F"/>
    <w:rsid w:val="00502791"/>
    <w:rsid w:val="00502F0D"/>
    <w:rsid w:val="00503230"/>
    <w:rsid w:val="0050371F"/>
    <w:rsid w:val="00503845"/>
    <w:rsid w:val="00503DC6"/>
    <w:rsid w:val="00503ED1"/>
    <w:rsid w:val="00504638"/>
    <w:rsid w:val="00504928"/>
    <w:rsid w:val="005051F2"/>
    <w:rsid w:val="0050545F"/>
    <w:rsid w:val="005054BD"/>
    <w:rsid w:val="00505CE6"/>
    <w:rsid w:val="00505D89"/>
    <w:rsid w:val="00505ED6"/>
    <w:rsid w:val="00505FCC"/>
    <w:rsid w:val="00506651"/>
    <w:rsid w:val="00506F5D"/>
    <w:rsid w:val="00507089"/>
    <w:rsid w:val="0050752B"/>
    <w:rsid w:val="00507647"/>
    <w:rsid w:val="00507955"/>
    <w:rsid w:val="00507AB2"/>
    <w:rsid w:val="00507C96"/>
    <w:rsid w:val="00507D79"/>
    <w:rsid w:val="00507F06"/>
    <w:rsid w:val="0051015D"/>
    <w:rsid w:val="00510396"/>
    <w:rsid w:val="00510C37"/>
    <w:rsid w:val="00510C76"/>
    <w:rsid w:val="00510C9E"/>
    <w:rsid w:val="00510DCF"/>
    <w:rsid w:val="00512299"/>
    <w:rsid w:val="005126D0"/>
    <w:rsid w:val="00512C7A"/>
    <w:rsid w:val="0051345B"/>
    <w:rsid w:val="005135E1"/>
    <w:rsid w:val="00513955"/>
    <w:rsid w:val="00513B6F"/>
    <w:rsid w:val="00513DEC"/>
    <w:rsid w:val="00514667"/>
    <w:rsid w:val="00514D0B"/>
    <w:rsid w:val="005150EE"/>
    <w:rsid w:val="0051534A"/>
    <w:rsid w:val="0051568D"/>
    <w:rsid w:val="00515AA0"/>
    <w:rsid w:val="00515C54"/>
    <w:rsid w:val="00515D4D"/>
    <w:rsid w:val="00516389"/>
    <w:rsid w:val="0051638C"/>
    <w:rsid w:val="005167FA"/>
    <w:rsid w:val="005169C9"/>
    <w:rsid w:val="00516CC3"/>
    <w:rsid w:val="00516E96"/>
    <w:rsid w:val="00517DF7"/>
    <w:rsid w:val="005201D2"/>
    <w:rsid w:val="005214A9"/>
    <w:rsid w:val="00521F1B"/>
    <w:rsid w:val="00522072"/>
    <w:rsid w:val="005220D6"/>
    <w:rsid w:val="00522B39"/>
    <w:rsid w:val="00523910"/>
    <w:rsid w:val="00523BD0"/>
    <w:rsid w:val="00523CA1"/>
    <w:rsid w:val="00523E26"/>
    <w:rsid w:val="00523F6F"/>
    <w:rsid w:val="00524363"/>
    <w:rsid w:val="00524414"/>
    <w:rsid w:val="005251BC"/>
    <w:rsid w:val="00525361"/>
    <w:rsid w:val="00525749"/>
    <w:rsid w:val="0052589C"/>
    <w:rsid w:val="00525B22"/>
    <w:rsid w:val="00525DCC"/>
    <w:rsid w:val="005260A4"/>
    <w:rsid w:val="00526447"/>
    <w:rsid w:val="00526599"/>
    <w:rsid w:val="00526AC7"/>
    <w:rsid w:val="00526C15"/>
    <w:rsid w:val="00526C89"/>
    <w:rsid w:val="00527155"/>
    <w:rsid w:val="005271E8"/>
    <w:rsid w:val="005277E1"/>
    <w:rsid w:val="005278A7"/>
    <w:rsid w:val="00527DEB"/>
    <w:rsid w:val="005300F7"/>
    <w:rsid w:val="00530529"/>
    <w:rsid w:val="005306DD"/>
    <w:rsid w:val="00530948"/>
    <w:rsid w:val="00530FC5"/>
    <w:rsid w:val="0053153B"/>
    <w:rsid w:val="00531972"/>
    <w:rsid w:val="005319DB"/>
    <w:rsid w:val="005320D2"/>
    <w:rsid w:val="00532468"/>
    <w:rsid w:val="005325A7"/>
    <w:rsid w:val="00532705"/>
    <w:rsid w:val="00532C6B"/>
    <w:rsid w:val="00532C83"/>
    <w:rsid w:val="00534326"/>
    <w:rsid w:val="0053467D"/>
    <w:rsid w:val="00534754"/>
    <w:rsid w:val="0053480D"/>
    <w:rsid w:val="00534917"/>
    <w:rsid w:val="00534B02"/>
    <w:rsid w:val="00534D17"/>
    <w:rsid w:val="005353E5"/>
    <w:rsid w:val="00536499"/>
    <w:rsid w:val="0053701F"/>
    <w:rsid w:val="0053712D"/>
    <w:rsid w:val="005371E6"/>
    <w:rsid w:val="0053753A"/>
    <w:rsid w:val="00537805"/>
    <w:rsid w:val="00537B9A"/>
    <w:rsid w:val="00537DE9"/>
    <w:rsid w:val="0054011D"/>
    <w:rsid w:val="00540D24"/>
    <w:rsid w:val="00540F29"/>
    <w:rsid w:val="00541027"/>
    <w:rsid w:val="0054177F"/>
    <w:rsid w:val="0054195B"/>
    <w:rsid w:val="00541D8D"/>
    <w:rsid w:val="00542325"/>
    <w:rsid w:val="00542415"/>
    <w:rsid w:val="00542A03"/>
    <w:rsid w:val="00542BF3"/>
    <w:rsid w:val="00543089"/>
    <w:rsid w:val="005432D1"/>
    <w:rsid w:val="005433DC"/>
    <w:rsid w:val="0054356C"/>
    <w:rsid w:val="0054358B"/>
    <w:rsid w:val="00543903"/>
    <w:rsid w:val="00543A76"/>
    <w:rsid w:val="00543B50"/>
    <w:rsid w:val="00543BCC"/>
    <w:rsid w:val="00543D79"/>
    <w:rsid w:val="00543F11"/>
    <w:rsid w:val="00544135"/>
    <w:rsid w:val="005445A5"/>
    <w:rsid w:val="0054476B"/>
    <w:rsid w:val="00544B60"/>
    <w:rsid w:val="00544B7D"/>
    <w:rsid w:val="00545302"/>
    <w:rsid w:val="005453CB"/>
    <w:rsid w:val="005456AB"/>
    <w:rsid w:val="00545904"/>
    <w:rsid w:val="00545993"/>
    <w:rsid w:val="00545BA7"/>
    <w:rsid w:val="00545CC9"/>
    <w:rsid w:val="00546305"/>
    <w:rsid w:val="0054662E"/>
    <w:rsid w:val="00546DF1"/>
    <w:rsid w:val="00547320"/>
    <w:rsid w:val="005474A4"/>
    <w:rsid w:val="005476AF"/>
    <w:rsid w:val="00547A95"/>
    <w:rsid w:val="005500A8"/>
    <w:rsid w:val="005504C9"/>
    <w:rsid w:val="005507B3"/>
    <w:rsid w:val="0055119B"/>
    <w:rsid w:val="0055120F"/>
    <w:rsid w:val="00551C5D"/>
    <w:rsid w:val="005523B9"/>
    <w:rsid w:val="0055246C"/>
    <w:rsid w:val="00552D51"/>
    <w:rsid w:val="0055336F"/>
    <w:rsid w:val="0055377E"/>
    <w:rsid w:val="0055386C"/>
    <w:rsid w:val="0055389A"/>
    <w:rsid w:val="00553A3A"/>
    <w:rsid w:val="00553B17"/>
    <w:rsid w:val="00553DD4"/>
    <w:rsid w:val="00553F96"/>
    <w:rsid w:val="0055416B"/>
    <w:rsid w:val="00554607"/>
    <w:rsid w:val="0055462A"/>
    <w:rsid w:val="00554665"/>
    <w:rsid w:val="00554805"/>
    <w:rsid w:val="00554813"/>
    <w:rsid w:val="00554A0A"/>
    <w:rsid w:val="00555153"/>
    <w:rsid w:val="00555702"/>
    <w:rsid w:val="00555F16"/>
    <w:rsid w:val="00556B4C"/>
    <w:rsid w:val="00556DBA"/>
    <w:rsid w:val="00557E4B"/>
    <w:rsid w:val="005600EB"/>
    <w:rsid w:val="00560207"/>
    <w:rsid w:val="00560FAD"/>
    <w:rsid w:val="00561202"/>
    <w:rsid w:val="0056127B"/>
    <w:rsid w:val="00561438"/>
    <w:rsid w:val="00561C3E"/>
    <w:rsid w:val="00562507"/>
    <w:rsid w:val="0056263D"/>
    <w:rsid w:val="005626E6"/>
    <w:rsid w:val="00562811"/>
    <w:rsid w:val="0056294B"/>
    <w:rsid w:val="0056312C"/>
    <w:rsid w:val="005631AA"/>
    <w:rsid w:val="00563A34"/>
    <w:rsid w:val="00563AB6"/>
    <w:rsid w:val="00563C49"/>
    <w:rsid w:val="00564316"/>
    <w:rsid w:val="0056462C"/>
    <w:rsid w:val="00565477"/>
    <w:rsid w:val="00565CEB"/>
    <w:rsid w:val="00565DDB"/>
    <w:rsid w:val="00565DE1"/>
    <w:rsid w:val="00565FCC"/>
    <w:rsid w:val="00566569"/>
    <w:rsid w:val="005665D3"/>
    <w:rsid w:val="00566CBB"/>
    <w:rsid w:val="005670F6"/>
    <w:rsid w:val="005700E7"/>
    <w:rsid w:val="0057030C"/>
    <w:rsid w:val="0057066B"/>
    <w:rsid w:val="00571010"/>
    <w:rsid w:val="005710C3"/>
    <w:rsid w:val="00571160"/>
    <w:rsid w:val="0057118B"/>
    <w:rsid w:val="005719F9"/>
    <w:rsid w:val="00571F71"/>
    <w:rsid w:val="00572031"/>
    <w:rsid w:val="00572282"/>
    <w:rsid w:val="005725A5"/>
    <w:rsid w:val="00572AF9"/>
    <w:rsid w:val="00572CFA"/>
    <w:rsid w:val="00573310"/>
    <w:rsid w:val="00573333"/>
    <w:rsid w:val="00573AF1"/>
    <w:rsid w:val="00573CE3"/>
    <w:rsid w:val="005743DF"/>
    <w:rsid w:val="0057507D"/>
    <w:rsid w:val="0057567D"/>
    <w:rsid w:val="00575AB9"/>
    <w:rsid w:val="00575B9A"/>
    <w:rsid w:val="005765AB"/>
    <w:rsid w:val="00576E84"/>
    <w:rsid w:val="0057702C"/>
    <w:rsid w:val="0057729C"/>
    <w:rsid w:val="00577902"/>
    <w:rsid w:val="00577D3F"/>
    <w:rsid w:val="00577F4A"/>
    <w:rsid w:val="0058004E"/>
    <w:rsid w:val="00580394"/>
    <w:rsid w:val="005809CD"/>
    <w:rsid w:val="00580C84"/>
    <w:rsid w:val="00580CC5"/>
    <w:rsid w:val="0058149C"/>
    <w:rsid w:val="005814C0"/>
    <w:rsid w:val="00581BAC"/>
    <w:rsid w:val="00581EFC"/>
    <w:rsid w:val="00582169"/>
    <w:rsid w:val="005823C5"/>
    <w:rsid w:val="005826E3"/>
    <w:rsid w:val="005827F1"/>
    <w:rsid w:val="00582A2A"/>
    <w:rsid w:val="00582B8C"/>
    <w:rsid w:val="00582D2D"/>
    <w:rsid w:val="00582DB3"/>
    <w:rsid w:val="005833FD"/>
    <w:rsid w:val="005838D2"/>
    <w:rsid w:val="00583F44"/>
    <w:rsid w:val="005841AA"/>
    <w:rsid w:val="00584282"/>
    <w:rsid w:val="00584BA5"/>
    <w:rsid w:val="00584BF7"/>
    <w:rsid w:val="00584D4B"/>
    <w:rsid w:val="00586816"/>
    <w:rsid w:val="00586951"/>
    <w:rsid w:val="00586A3B"/>
    <w:rsid w:val="00586E3F"/>
    <w:rsid w:val="0058714A"/>
    <w:rsid w:val="0058757E"/>
    <w:rsid w:val="00587788"/>
    <w:rsid w:val="00587DEE"/>
    <w:rsid w:val="00590E58"/>
    <w:rsid w:val="00591081"/>
    <w:rsid w:val="00591163"/>
    <w:rsid w:val="0059161C"/>
    <w:rsid w:val="00591CE8"/>
    <w:rsid w:val="005928E9"/>
    <w:rsid w:val="00593133"/>
    <w:rsid w:val="00593970"/>
    <w:rsid w:val="00593998"/>
    <w:rsid w:val="00593C87"/>
    <w:rsid w:val="00593CFA"/>
    <w:rsid w:val="00593E96"/>
    <w:rsid w:val="00594350"/>
    <w:rsid w:val="00594424"/>
    <w:rsid w:val="00594560"/>
    <w:rsid w:val="0059480F"/>
    <w:rsid w:val="00594867"/>
    <w:rsid w:val="005948E8"/>
    <w:rsid w:val="0059569A"/>
    <w:rsid w:val="00595DE2"/>
    <w:rsid w:val="005960F1"/>
    <w:rsid w:val="00596431"/>
    <w:rsid w:val="0059668B"/>
    <w:rsid w:val="00596A4B"/>
    <w:rsid w:val="0059720A"/>
    <w:rsid w:val="00597507"/>
    <w:rsid w:val="005A0403"/>
    <w:rsid w:val="005A088D"/>
    <w:rsid w:val="005A0B02"/>
    <w:rsid w:val="005A0D68"/>
    <w:rsid w:val="005A106A"/>
    <w:rsid w:val="005A1555"/>
    <w:rsid w:val="005A16B5"/>
    <w:rsid w:val="005A17BC"/>
    <w:rsid w:val="005A1855"/>
    <w:rsid w:val="005A1FF8"/>
    <w:rsid w:val="005A23DD"/>
    <w:rsid w:val="005A274C"/>
    <w:rsid w:val="005A280F"/>
    <w:rsid w:val="005A2953"/>
    <w:rsid w:val="005A2B6A"/>
    <w:rsid w:val="005A3253"/>
    <w:rsid w:val="005A3443"/>
    <w:rsid w:val="005A3548"/>
    <w:rsid w:val="005A35A1"/>
    <w:rsid w:val="005A3BBF"/>
    <w:rsid w:val="005A3F8F"/>
    <w:rsid w:val="005A479D"/>
    <w:rsid w:val="005A48AB"/>
    <w:rsid w:val="005A4C1A"/>
    <w:rsid w:val="005A4D8B"/>
    <w:rsid w:val="005A4FA9"/>
    <w:rsid w:val="005A5041"/>
    <w:rsid w:val="005A524D"/>
    <w:rsid w:val="005A5326"/>
    <w:rsid w:val="005A552C"/>
    <w:rsid w:val="005A5865"/>
    <w:rsid w:val="005A5A45"/>
    <w:rsid w:val="005A60BE"/>
    <w:rsid w:val="005A6166"/>
    <w:rsid w:val="005A627E"/>
    <w:rsid w:val="005A6514"/>
    <w:rsid w:val="005A700B"/>
    <w:rsid w:val="005A7892"/>
    <w:rsid w:val="005B07E4"/>
    <w:rsid w:val="005B0860"/>
    <w:rsid w:val="005B0F53"/>
    <w:rsid w:val="005B1054"/>
    <w:rsid w:val="005B1AFE"/>
    <w:rsid w:val="005B1C6D"/>
    <w:rsid w:val="005B1CC1"/>
    <w:rsid w:val="005B20F6"/>
    <w:rsid w:val="005B21B6"/>
    <w:rsid w:val="005B2F0E"/>
    <w:rsid w:val="005B31BC"/>
    <w:rsid w:val="005B3233"/>
    <w:rsid w:val="005B3361"/>
    <w:rsid w:val="005B397E"/>
    <w:rsid w:val="005B39AA"/>
    <w:rsid w:val="005B3A08"/>
    <w:rsid w:val="005B3B44"/>
    <w:rsid w:val="005B3CFA"/>
    <w:rsid w:val="005B3E57"/>
    <w:rsid w:val="005B3F15"/>
    <w:rsid w:val="005B43D0"/>
    <w:rsid w:val="005B4D83"/>
    <w:rsid w:val="005B5087"/>
    <w:rsid w:val="005B5364"/>
    <w:rsid w:val="005B542B"/>
    <w:rsid w:val="005B588D"/>
    <w:rsid w:val="005B5F46"/>
    <w:rsid w:val="005B6569"/>
    <w:rsid w:val="005B7035"/>
    <w:rsid w:val="005B715B"/>
    <w:rsid w:val="005B7398"/>
    <w:rsid w:val="005B7652"/>
    <w:rsid w:val="005B7980"/>
    <w:rsid w:val="005B7A63"/>
    <w:rsid w:val="005C0040"/>
    <w:rsid w:val="005C02BA"/>
    <w:rsid w:val="005C041A"/>
    <w:rsid w:val="005C0606"/>
    <w:rsid w:val="005C07DF"/>
    <w:rsid w:val="005C0955"/>
    <w:rsid w:val="005C0A67"/>
    <w:rsid w:val="005C102F"/>
    <w:rsid w:val="005C18F0"/>
    <w:rsid w:val="005C1A18"/>
    <w:rsid w:val="005C1B73"/>
    <w:rsid w:val="005C23A0"/>
    <w:rsid w:val="005C2D96"/>
    <w:rsid w:val="005C3C00"/>
    <w:rsid w:val="005C3CC2"/>
    <w:rsid w:val="005C43B4"/>
    <w:rsid w:val="005C49DA"/>
    <w:rsid w:val="005C5050"/>
    <w:rsid w:val="005C50F3"/>
    <w:rsid w:val="005C52FB"/>
    <w:rsid w:val="005C54B5"/>
    <w:rsid w:val="005C576B"/>
    <w:rsid w:val="005C57D4"/>
    <w:rsid w:val="005C59FD"/>
    <w:rsid w:val="005C5A23"/>
    <w:rsid w:val="005C5D80"/>
    <w:rsid w:val="005C5D91"/>
    <w:rsid w:val="005C5E6F"/>
    <w:rsid w:val="005C603C"/>
    <w:rsid w:val="005C6A91"/>
    <w:rsid w:val="005C6AE9"/>
    <w:rsid w:val="005C6B8C"/>
    <w:rsid w:val="005C6F5B"/>
    <w:rsid w:val="005C7204"/>
    <w:rsid w:val="005C7492"/>
    <w:rsid w:val="005C7549"/>
    <w:rsid w:val="005C7ADE"/>
    <w:rsid w:val="005CB0DB"/>
    <w:rsid w:val="005D010E"/>
    <w:rsid w:val="005D02A7"/>
    <w:rsid w:val="005D0799"/>
    <w:rsid w:val="005D07B8"/>
    <w:rsid w:val="005D0B9C"/>
    <w:rsid w:val="005D0BE3"/>
    <w:rsid w:val="005D0E1F"/>
    <w:rsid w:val="005D1622"/>
    <w:rsid w:val="005D1886"/>
    <w:rsid w:val="005D1A2E"/>
    <w:rsid w:val="005D1C67"/>
    <w:rsid w:val="005D1E9F"/>
    <w:rsid w:val="005D1FCB"/>
    <w:rsid w:val="005D2D11"/>
    <w:rsid w:val="005D327D"/>
    <w:rsid w:val="005D37C5"/>
    <w:rsid w:val="005D3E6C"/>
    <w:rsid w:val="005D3E92"/>
    <w:rsid w:val="005D4DDA"/>
    <w:rsid w:val="005D50D0"/>
    <w:rsid w:val="005D521A"/>
    <w:rsid w:val="005D55E0"/>
    <w:rsid w:val="005D55FD"/>
    <w:rsid w:val="005D5D47"/>
    <w:rsid w:val="005D5EB9"/>
    <w:rsid w:val="005D62C4"/>
    <w:rsid w:val="005D6597"/>
    <w:rsid w:val="005D6663"/>
    <w:rsid w:val="005D6EBB"/>
    <w:rsid w:val="005D6ECB"/>
    <w:rsid w:val="005D6F09"/>
    <w:rsid w:val="005D6F39"/>
    <w:rsid w:val="005D703B"/>
    <w:rsid w:val="005D76E5"/>
    <w:rsid w:val="005D7C7B"/>
    <w:rsid w:val="005E0011"/>
    <w:rsid w:val="005E0665"/>
    <w:rsid w:val="005E0960"/>
    <w:rsid w:val="005E0DCA"/>
    <w:rsid w:val="005E0FB7"/>
    <w:rsid w:val="005E12FC"/>
    <w:rsid w:val="005E147B"/>
    <w:rsid w:val="005E14E7"/>
    <w:rsid w:val="005E1829"/>
    <w:rsid w:val="005E19FF"/>
    <w:rsid w:val="005E1B4B"/>
    <w:rsid w:val="005E1BC3"/>
    <w:rsid w:val="005E26A3"/>
    <w:rsid w:val="005E29A6"/>
    <w:rsid w:val="005E2C0C"/>
    <w:rsid w:val="005E2ECB"/>
    <w:rsid w:val="005E2F51"/>
    <w:rsid w:val="005E2F98"/>
    <w:rsid w:val="005E32C3"/>
    <w:rsid w:val="005E3465"/>
    <w:rsid w:val="005E3562"/>
    <w:rsid w:val="005E3742"/>
    <w:rsid w:val="005E3858"/>
    <w:rsid w:val="005E4099"/>
    <w:rsid w:val="005E4190"/>
    <w:rsid w:val="005E42A6"/>
    <w:rsid w:val="005E447E"/>
    <w:rsid w:val="005E4D02"/>
    <w:rsid w:val="005E4EE5"/>
    <w:rsid w:val="005E4FD1"/>
    <w:rsid w:val="005E5462"/>
    <w:rsid w:val="005E5847"/>
    <w:rsid w:val="005E5AB9"/>
    <w:rsid w:val="005E6070"/>
    <w:rsid w:val="005E651C"/>
    <w:rsid w:val="005E66AF"/>
    <w:rsid w:val="005E6DA0"/>
    <w:rsid w:val="005E6DA7"/>
    <w:rsid w:val="005E7502"/>
    <w:rsid w:val="005E7BE6"/>
    <w:rsid w:val="005E7E60"/>
    <w:rsid w:val="005F056E"/>
    <w:rsid w:val="005F0775"/>
    <w:rsid w:val="005F0993"/>
    <w:rsid w:val="005F0AA3"/>
    <w:rsid w:val="005F0CF5"/>
    <w:rsid w:val="005F0DD8"/>
    <w:rsid w:val="005F0F72"/>
    <w:rsid w:val="005F1900"/>
    <w:rsid w:val="005F191B"/>
    <w:rsid w:val="005F1991"/>
    <w:rsid w:val="005F1994"/>
    <w:rsid w:val="005F1D1A"/>
    <w:rsid w:val="005F21EB"/>
    <w:rsid w:val="005F23C2"/>
    <w:rsid w:val="005F2C7F"/>
    <w:rsid w:val="005F2C83"/>
    <w:rsid w:val="005F2CDB"/>
    <w:rsid w:val="005F2E5A"/>
    <w:rsid w:val="005F33B2"/>
    <w:rsid w:val="005F3606"/>
    <w:rsid w:val="005F3704"/>
    <w:rsid w:val="005F3A05"/>
    <w:rsid w:val="005F3A60"/>
    <w:rsid w:val="005F4044"/>
    <w:rsid w:val="005F40C8"/>
    <w:rsid w:val="005F4161"/>
    <w:rsid w:val="005F4212"/>
    <w:rsid w:val="005F424B"/>
    <w:rsid w:val="005F4BF5"/>
    <w:rsid w:val="005F4F0D"/>
    <w:rsid w:val="005F52CB"/>
    <w:rsid w:val="005F5A11"/>
    <w:rsid w:val="005F622E"/>
    <w:rsid w:val="005F64CF"/>
    <w:rsid w:val="005F67FD"/>
    <w:rsid w:val="005F6CB7"/>
    <w:rsid w:val="005F7012"/>
    <w:rsid w:val="005F7369"/>
    <w:rsid w:val="005F77AC"/>
    <w:rsid w:val="005F7826"/>
    <w:rsid w:val="005F7AF1"/>
    <w:rsid w:val="005F7F31"/>
    <w:rsid w:val="00600007"/>
    <w:rsid w:val="006002A6"/>
    <w:rsid w:val="00600494"/>
    <w:rsid w:val="00600C3F"/>
    <w:rsid w:val="00600ED4"/>
    <w:rsid w:val="00601236"/>
    <w:rsid w:val="00601DED"/>
    <w:rsid w:val="0060206E"/>
    <w:rsid w:val="006024C5"/>
    <w:rsid w:val="00602631"/>
    <w:rsid w:val="0060274B"/>
    <w:rsid w:val="00602F4A"/>
    <w:rsid w:val="00603395"/>
    <w:rsid w:val="00603549"/>
    <w:rsid w:val="00603AD1"/>
    <w:rsid w:val="00603B8C"/>
    <w:rsid w:val="00603F06"/>
    <w:rsid w:val="006041AD"/>
    <w:rsid w:val="006046DC"/>
    <w:rsid w:val="00605290"/>
    <w:rsid w:val="006054A0"/>
    <w:rsid w:val="00605908"/>
    <w:rsid w:val="006059A9"/>
    <w:rsid w:val="00605F0F"/>
    <w:rsid w:val="00605F45"/>
    <w:rsid w:val="00606811"/>
    <w:rsid w:val="00606B93"/>
    <w:rsid w:val="00606CBA"/>
    <w:rsid w:val="00607850"/>
    <w:rsid w:val="00607AAC"/>
    <w:rsid w:val="00607C1E"/>
    <w:rsid w:val="00607EF7"/>
    <w:rsid w:val="00610094"/>
    <w:rsid w:val="00610878"/>
    <w:rsid w:val="00610D7C"/>
    <w:rsid w:val="00610E0F"/>
    <w:rsid w:val="00611079"/>
    <w:rsid w:val="006113E5"/>
    <w:rsid w:val="006116A1"/>
    <w:rsid w:val="00611B1B"/>
    <w:rsid w:val="006124A8"/>
    <w:rsid w:val="00612DA7"/>
    <w:rsid w:val="0061316E"/>
    <w:rsid w:val="00613414"/>
    <w:rsid w:val="00613DA0"/>
    <w:rsid w:val="006142ED"/>
    <w:rsid w:val="00614501"/>
    <w:rsid w:val="0061462B"/>
    <w:rsid w:val="006146AA"/>
    <w:rsid w:val="00614706"/>
    <w:rsid w:val="00614892"/>
    <w:rsid w:val="00614C8A"/>
    <w:rsid w:val="00614FA8"/>
    <w:rsid w:val="00614FB6"/>
    <w:rsid w:val="00615049"/>
    <w:rsid w:val="00615908"/>
    <w:rsid w:val="00615B34"/>
    <w:rsid w:val="0061618C"/>
    <w:rsid w:val="0061649F"/>
    <w:rsid w:val="00616583"/>
    <w:rsid w:val="00616C57"/>
    <w:rsid w:val="00616D8C"/>
    <w:rsid w:val="00616F6E"/>
    <w:rsid w:val="0061746B"/>
    <w:rsid w:val="006176E6"/>
    <w:rsid w:val="00617818"/>
    <w:rsid w:val="00617E99"/>
    <w:rsid w:val="00620154"/>
    <w:rsid w:val="00620267"/>
    <w:rsid w:val="0062066F"/>
    <w:rsid w:val="006207D4"/>
    <w:rsid w:val="00620861"/>
    <w:rsid w:val="00620874"/>
    <w:rsid w:val="006208C1"/>
    <w:rsid w:val="00620DE3"/>
    <w:rsid w:val="006210F9"/>
    <w:rsid w:val="006214A1"/>
    <w:rsid w:val="00621C7A"/>
    <w:rsid w:val="00621CD8"/>
    <w:rsid w:val="0062269D"/>
    <w:rsid w:val="00623DDF"/>
    <w:rsid w:val="00623E3F"/>
    <w:rsid w:val="0062408D"/>
    <w:rsid w:val="006240CC"/>
    <w:rsid w:val="006243AB"/>
    <w:rsid w:val="0062473C"/>
    <w:rsid w:val="00624940"/>
    <w:rsid w:val="00624C06"/>
    <w:rsid w:val="00624C35"/>
    <w:rsid w:val="00624CD3"/>
    <w:rsid w:val="006254F8"/>
    <w:rsid w:val="00625819"/>
    <w:rsid w:val="0062696A"/>
    <w:rsid w:val="00626ED4"/>
    <w:rsid w:val="006273FA"/>
    <w:rsid w:val="00627DA7"/>
    <w:rsid w:val="006304C5"/>
    <w:rsid w:val="00630BEE"/>
    <w:rsid w:val="00630DA4"/>
    <w:rsid w:val="00630F92"/>
    <w:rsid w:val="006315B9"/>
    <w:rsid w:val="00631CD4"/>
    <w:rsid w:val="00631FD5"/>
    <w:rsid w:val="00632087"/>
    <w:rsid w:val="00632342"/>
    <w:rsid w:val="006323FA"/>
    <w:rsid w:val="006324B6"/>
    <w:rsid w:val="00632574"/>
    <w:rsid w:val="00632597"/>
    <w:rsid w:val="00632C3F"/>
    <w:rsid w:val="00632F85"/>
    <w:rsid w:val="00633328"/>
    <w:rsid w:val="0063396E"/>
    <w:rsid w:val="00633BFD"/>
    <w:rsid w:val="00633CFE"/>
    <w:rsid w:val="00633DEC"/>
    <w:rsid w:val="00634156"/>
    <w:rsid w:val="006346E4"/>
    <w:rsid w:val="006346FD"/>
    <w:rsid w:val="0063473E"/>
    <w:rsid w:val="00634A45"/>
    <w:rsid w:val="00634D13"/>
    <w:rsid w:val="0063519C"/>
    <w:rsid w:val="006358B4"/>
    <w:rsid w:val="00635EB4"/>
    <w:rsid w:val="006361CD"/>
    <w:rsid w:val="00636374"/>
    <w:rsid w:val="00636DBB"/>
    <w:rsid w:val="00636DC1"/>
    <w:rsid w:val="00636F7E"/>
    <w:rsid w:val="006370F8"/>
    <w:rsid w:val="00637A61"/>
    <w:rsid w:val="00637C74"/>
    <w:rsid w:val="006406E5"/>
    <w:rsid w:val="0064070B"/>
    <w:rsid w:val="00640794"/>
    <w:rsid w:val="00640838"/>
    <w:rsid w:val="006408AB"/>
    <w:rsid w:val="00640BDF"/>
    <w:rsid w:val="00641724"/>
    <w:rsid w:val="00641725"/>
    <w:rsid w:val="006419AA"/>
    <w:rsid w:val="00642430"/>
    <w:rsid w:val="006425BE"/>
    <w:rsid w:val="0064265C"/>
    <w:rsid w:val="00642AAB"/>
    <w:rsid w:val="00642CAA"/>
    <w:rsid w:val="00642D5C"/>
    <w:rsid w:val="00642E58"/>
    <w:rsid w:val="006437B3"/>
    <w:rsid w:val="00643B89"/>
    <w:rsid w:val="0064401D"/>
    <w:rsid w:val="0064421A"/>
    <w:rsid w:val="0064493B"/>
    <w:rsid w:val="00644B1F"/>
    <w:rsid w:val="00644B7E"/>
    <w:rsid w:val="00644CC8"/>
    <w:rsid w:val="00644D4C"/>
    <w:rsid w:val="00644F9B"/>
    <w:rsid w:val="0064535C"/>
    <w:rsid w:val="006454E6"/>
    <w:rsid w:val="00645861"/>
    <w:rsid w:val="00645B1C"/>
    <w:rsid w:val="00645DFA"/>
    <w:rsid w:val="00646235"/>
    <w:rsid w:val="00646527"/>
    <w:rsid w:val="00646A68"/>
    <w:rsid w:val="00646C35"/>
    <w:rsid w:val="00646F25"/>
    <w:rsid w:val="00646F45"/>
    <w:rsid w:val="006470F1"/>
    <w:rsid w:val="006474F5"/>
    <w:rsid w:val="00647607"/>
    <w:rsid w:val="00647B42"/>
    <w:rsid w:val="00647E06"/>
    <w:rsid w:val="006505BD"/>
    <w:rsid w:val="0065086B"/>
    <w:rsid w:val="006508EA"/>
    <w:rsid w:val="0065092E"/>
    <w:rsid w:val="00650FEB"/>
    <w:rsid w:val="00651329"/>
    <w:rsid w:val="0065198F"/>
    <w:rsid w:val="00651AEC"/>
    <w:rsid w:val="00651BD7"/>
    <w:rsid w:val="006520BC"/>
    <w:rsid w:val="00652652"/>
    <w:rsid w:val="00652FF0"/>
    <w:rsid w:val="00652FF9"/>
    <w:rsid w:val="0065318B"/>
    <w:rsid w:val="0065374A"/>
    <w:rsid w:val="00653893"/>
    <w:rsid w:val="00653CDA"/>
    <w:rsid w:val="00653D53"/>
    <w:rsid w:val="00653DEF"/>
    <w:rsid w:val="00654088"/>
    <w:rsid w:val="00654585"/>
    <w:rsid w:val="006548D4"/>
    <w:rsid w:val="00654A17"/>
    <w:rsid w:val="00654CE3"/>
    <w:rsid w:val="00655251"/>
    <w:rsid w:val="006553D3"/>
    <w:rsid w:val="006557A7"/>
    <w:rsid w:val="006557C8"/>
    <w:rsid w:val="006559C8"/>
    <w:rsid w:val="00656290"/>
    <w:rsid w:val="0065660E"/>
    <w:rsid w:val="006567FC"/>
    <w:rsid w:val="00656DE5"/>
    <w:rsid w:val="006572C2"/>
    <w:rsid w:val="0065733E"/>
    <w:rsid w:val="00657A41"/>
    <w:rsid w:val="006601C9"/>
    <w:rsid w:val="006604E8"/>
    <w:rsid w:val="006608D8"/>
    <w:rsid w:val="0066091A"/>
    <w:rsid w:val="00660E06"/>
    <w:rsid w:val="00661250"/>
    <w:rsid w:val="006613FD"/>
    <w:rsid w:val="00661426"/>
    <w:rsid w:val="00661AB7"/>
    <w:rsid w:val="00661AC0"/>
    <w:rsid w:val="00661C41"/>
    <w:rsid w:val="00661C8D"/>
    <w:rsid w:val="00661EA6"/>
    <w:rsid w:val="00661FCC"/>
    <w:rsid w:val="006621D7"/>
    <w:rsid w:val="00662EFA"/>
    <w:rsid w:val="0066302A"/>
    <w:rsid w:val="00663216"/>
    <w:rsid w:val="0066326D"/>
    <w:rsid w:val="00663821"/>
    <w:rsid w:val="00663CAE"/>
    <w:rsid w:val="00663DE7"/>
    <w:rsid w:val="00663E66"/>
    <w:rsid w:val="00663FE4"/>
    <w:rsid w:val="006643B6"/>
    <w:rsid w:val="00664524"/>
    <w:rsid w:val="00664736"/>
    <w:rsid w:val="0066485F"/>
    <w:rsid w:val="0066563F"/>
    <w:rsid w:val="0066567A"/>
    <w:rsid w:val="00665A9A"/>
    <w:rsid w:val="00665EA4"/>
    <w:rsid w:val="00666234"/>
    <w:rsid w:val="00666440"/>
    <w:rsid w:val="0066657A"/>
    <w:rsid w:val="00666B2D"/>
    <w:rsid w:val="00666BFD"/>
    <w:rsid w:val="00666D2D"/>
    <w:rsid w:val="00667660"/>
    <w:rsid w:val="006676CE"/>
    <w:rsid w:val="00667770"/>
    <w:rsid w:val="00667B66"/>
    <w:rsid w:val="00667CB1"/>
    <w:rsid w:val="0067005F"/>
    <w:rsid w:val="00670597"/>
    <w:rsid w:val="006706D0"/>
    <w:rsid w:val="00670A79"/>
    <w:rsid w:val="00670FB0"/>
    <w:rsid w:val="006712F8"/>
    <w:rsid w:val="0067258C"/>
    <w:rsid w:val="006725D0"/>
    <w:rsid w:val="00672640"/>
    <w:rsid w:val="006727C5"/>
    <w:rsid w:val="00672BCF"/>
    <w:rsid w:val="0067401A"/>
    <w:rsid w:val="006740ED"/>
    <w:rsid w:val="00674665"/>
    <w:rsid w:val="00674A86"/>
    <w:rsid w:val="00674C4B"/>
    <w:rsid w:val="006756DB"/>
    <w:rsid w:val="00675978"/>
    <w:rsid w:val="0067659F"/>
    <w:rsid w:val="00676644"/>
    <w:rsid w:val="00676655"/>
    <w:rsid w:val="00676860"/>
    <w:rsid w:val="00676CD2"/>
    <w:rsid w:val="00677574"/>
    <w:rsid w:val="00677A4E"/>
    <w:rsid w:val="00677E1E"/>
    <w:rsid w:val="006802F8"/>
    <w:rsid w:val="006803D2"/>
    <w:rsid w:val="00680603"/>
    <w:rsid w:val="006812ED"/>
    <w:rsid w:val="00681333"/>
    <w:rsid w:val="00681567"/>
    <w:rsid w:val="00681735"/>
    <w:rsid w:val="0068208B"/>
    <w:rsid w:val="006820DE"/>
    <w:rsid w:val="00682365"/>
    <w:rsid w:val="00682661"/>
    <w:rsid w:val="00682850"/>
    <w:rsid w:val="0068298D"/>
    <w:rsid w:val="00682A4D"/>
    <w:rsid w:val="006831DD"/>
    <w:rsid w:val="006832EE"/>
    <w:rsid w:val="00683878"/>
    <w:rsid w:val="00683A61"/>
    <w:rsid w:val="00683B96"/>
    <w:rsid w:val="0068401A"/>
    <w:rsid w:val="00684380"/>
    <w:rsid w:val="0068454C"/>
    <w:rsid w:val="00684591"/>
    <w:rsid w:val="00684BC3"/>
    <w:rsid w:val="00684C8C"/>
    <w:rsid w:val="00684CDF"/>
    <w:rsid w:val="00684EFA"/>
    <w:rsid w:val="00685DFE"/>
    <w:rsid w:val="006867C6"/>
    <w:rsid w:val="00687432"/>
    <w:rsid w:val="00687476"/>
    <w:rsid w:val="00687562"/>
    <w:rsid w:val="00687AEE"/>
    <w:rsid w:val="00690441"/>
    <w:rsid w:val="006905F8"/>
    <w:rsid w:val="00690AA3"/>
    <w:rsid w:val="00690BF4"/>
    <w:rsid w:val="0069185C"/>
    <w:rsid w:val="006918C8"/>
    <w:rsid w:val="00691B62"/>
    <w:rsid w:val="00691FCE"/>
    <w:rsid w:val="0069277E"/>
    <w:rsid w:val="00692A73"/>
    <w:rsid w:val="00693090"/>
    <w:rsid w:val="006933B5"/>
    <w:rsid w:val="0069355C"/>
    <w:rsid w:val="00693D14"/>
    <w:rsid w:val="006946CE"/>
    <w:rsid w:val="006948F6"/>
    <w:rsid w:val="006952D5"/>
    <w:rsid w:val="0069540E"/>
    <w:rsid w:val="00695717"/>
    <w:rsid w:val="00695740"/>
    <w:rsid w:val="00695D13"/>
    <w:rsid w:val="00695D14"/>
    <w:rsid w:val="00695D58"/>
    <w:rsid w:val="00696184"/>
    <w:rsid w:val="00696AE1"/>
    <w:rsid w:val="00696F27"/>
    <w:rsid w:val="00697369"/>
    <w:rsid w:val="006979E1"/>
    <w:rsid w:val="006979F4"/>
    <w:rsid w:val="00697CBC"/>
    <w:rsid w:val="00697F7C"/>
    <w:rsid w:val="006A015D"/>
    <w:rsid w:val="006A020C"/>
    <w:rsid w:val="006A0D68"/>
    <w:rsid w:val="006A1198"/>
    <w:rsid w:val="006A11F8"/>
    <w:rsid w:val="006A1368"/>
    <w:rsid w:val="006A13D9"/>
    <w:rsid w:val="006A1665"/>
    <w:rsid w:val="006A18C2"/>
    <w:rsid w:val="006A1A53"/>
    <w:rsid w:val="006A1AAC"/>
    <w:rsid w:val="006A1D9B"/>
    <w:rsid w:val="006A291A"/>
    <w:rsid w:val="006A29BA"/>
    <w:rsid w:val="006A3383"/>
    <w:rsid w:val="006A37A6"/>
    <w:rsid w:val="006A39E9"/>
    <w:rsid w:val="006A3C96"/>
    <w:rsid w:val="006A3F60"/>
    <w:rsid w:val="006A4101"/>
    <w:rsid w:val="006A418D"/>
    <w:rsid w:val="006A428E"/>
    <w:rsid w:val="006A45AA"/>
    <w:rsid w:val="006A4667"/>
    <w:rsid w:val="006A4F03"/>
    <w:rsid w:val="006A4FF9"/>
    <w:rsid w:val="006A5424"/>
    <w:rsid w:val="006A593A"/>
    <w:rsid w:val="006A59A3"/>
    <w:rsid w:val="006A5ACF"/>
    <w:rsid w:val="006A5C6F"/>
    <w:rsid w:val="006A5CE2"/>
    <w:rsid w:val="006A6297"/>
    <w:rsid w:val="006A6417"/>
    <w:rsid w:val="006A6BD9"/>
    <w:rsid w:val="006A70C2"/>
    <w:rsid w:val="006A7535"/>
    <w:rsid w:val="006A7A21"/>
    <w:rsid w:val="006A7B86"/>
    <w:rsid w:val="006A7BC2"/>
    <w:rsid w:val="006A7FA6"/>
    <w:rsid w:val="006A7FD5"/>
    <w:rsid w:val="006B005B"/>
    <w:rsid w:val="006B077C"/>
    <w:rsid w:val="006B0A22"/>
    <w:rsid w:val="006B10B0"/>
    <w:rsid w:val="006B1152"/>
    <w:rsid w:val="006B13F7"/>
    <w:rsid w:val="006B165C"/>
    <w:rsid w:val="006B18AF"/>
    <w:rsid w:val="006B2815"/>
    <w:rsid w:val="006B30D4"/>
    <w:rsid w:val="006B3107"/>
    <w:rsid w:val="006B310B"/>
    <w:rsid w:val="006B31FB"/>
    <w:rsid w:val="006B3449"/>
    <w:rsid w:val="006B41F6"/>
    <w:rsid w:val="006B477B"/>
    <w:rsid w:val="006B4DBF"/>
    <w:rsid w:val="006B524A"/>
    <w:rsid w:val="006B5714"/>
    <w:rsid w:val="006B5764"/>
    <w:rsid w:val="006B576D"/>
    <w:rsid w:val="006B598E"/>
    <w:rsid w:val="006B5D47"/>
    <w:rsid w:val="006B5EF8"/>
    <w:rsid w:val="006B6126"/>
    <w:rsid w:val="006B6177"/>
    <w:rsid w:val="006B6709"/>
    <w:rsid w:val="006B6803"/>
    <w:rsid w:val="006B680A"/>
    <w:rsid w:val="006B6FBE"/>
    <w:rsid w:val="006B7269"/>
    <w:rsid w:val="006B731F"/>
    <w:rsid w:val="006B7939"/>
    <w:rsid w:val="006C067C"/>
    <w:rsid w:val="006C0A72"/>
    <w:rsid w:val="006C0F61"/>
    <w:rsid w:val="006C18FF"/>
    <w:rsid w:val="006C1922"/>
    <w:rsid w:val="006C204B"/>
    <w:rsid w:val="006C2057"/>
    <w:rsid w:val="006C2355"/>
    <w:rsid w:val="006C251D"/>
    <w:rsid w:val="006C2B43"/>
    <w:rsid w:val="006C2F97"/>
    <w:rsid w:val="006C335A"/>
    <w:rsid w:val="006C35D6"/>
    <w:rsid w:val="006C3786"/>
    <w:rsid w:val="006C3D9A"/>
    <w:rsid w:val="006C4215"/>
    <w:rsid w:val="006C45CA"/>
    <w:rsid w:val="006C4AEC"/>
    <w:rsid w:val="006C5B02"/>
    <w:rsid w:val="006C66B1"/>
    <w:rsid w:val="006C6DB4"/>
    <w:rsid w:val="006C6E31"/>
    <w:rsid w:val="006C72BE"/>
    <w:rsid w:val="006C740F"/>
    <w:rsid w:val="006C7855"/>
    <w:rsid w:val="006C79BD"/>
    <w:rsid w:val="006C79D9"/>
    <w:rsid w:val="006C7D41"/>
    <w:rsid w:val="006C7E00"/>
    <w:rsid w:val="006C7FB6"/>
    <w:rsid w:val="006D01C4"/>
    <w:rsid w:val="006D0756"/>
    <w:rsid w:val="006D086C"/>
    <w:rsid w:val="006D0900"/>
    <w:rsid w:val="006D0DEA"/>
    <w:rsid w:val="006D0F16"/>
    <w:rsid w:val="006D153B"/>
    <w:rsid w:val="006D179F"/>
    <w:rsid w:val="006D1922"/>
    <w:rsid w:val="006D1C69"/>
    <w:rsid w:val="006D1D6B"/>
    <w:rsid w:val="006D1ED4"/>
    <w:rsid w:val="006D2A3F"/>
    <w:rsid w:val="006D2FBC"/>
    <w:rsid w:val="006D307A"/>
    <w:rsid w:val="006D32B7"/>
    <w:rsid w:val="006D3831"/>
    <w:rsid w:val="006D422C"/>
    <w:rsid w:val="006D45CC"/>
    <w:rsid w:val="006D45E3"/>
    <w:rsid w:val="006D4600"/>
    <w:rsid w:val="006D48F1"/>
    <w:rsid w:val="006D4CD5"/>
    <w:rsid w:val="006D574D"/>
    <w:rsid w:val="006D5E0E"/>
    <w:rsid w:val="006D6049"/>
    <w:rsid w:val="006D649A"/>
    <w:rsid w:val="006D6623"/>
    <w:rsid w:val="006D670D"/>
    <w:rsid w:val="006D6741"/>
    <w:rsid w:val="006D6E34"/>
    <w:rsid w:val="006D70D0"/>
    <w:rsid w:val="006D754C"/>
    <w:rsid w:val="006D786C"/>
    <w:rsid w:val="006D7B2D"/>
    <w:rsid w:val="006E00DE"/>
    <w:rsid w:val="006E08C5"/>
    <w:rsid w:val="006E091F"/>
    <w:rsid w:val="006E0A85"/>
    <w:rsid w:val="006E10F7"/>
    <w:rsid w:val="006E138B"/>
    <w:rsid w:val="006E1867"/>
    <w:rsid w:val="006E1DC8"/>
    <w:rsid w:val="006E208C"/>
    <w:rsid w:val="006E2328"/>
    <w:rsid w:val="006E23A7"/>
    <w:rsid w:val="006E293F"/>
    <w:rsid w:val="006E2B0E"/>
    <w:rsid w:val="006E2E0E"/>
    <w:rsid w:val="006E31F6"/>
    <w:rsid w:val="006E3375"/>
    <w:rsid w:val="006E348B"/>
    <w:rsid w:val="006E3E26"/>
    <w:rsid w:val="006E5093"/>
    <w:rsid w:val="006E5645"/>
    <w:rsid w:val="006E5B18"/>
    <w:rsid w:val="006E775C"/>
    <w:rsid w:val="006E79D7"/>
    <w:rsid w:val="006E7A8A"/>
    <w:rsid w:val="006F0330"/>
    <w:rsid w:val="006F05BF"/>
    <w:rsid w:val="006F0A56"/>
    <w:rsid w:val="006F0DC3"/>
    <w:rsid w:val="006F1197"/>
    <w:rsid w:val="006F1365"/>
    <w:rsid w:val="006F16A9"/>
    <w:rsid w:val="006F1D30"/>
    <w:rsid w:val="006F1E6D"/>
    <w:rsid w:val="006F1F2A"/>
    <w:rsid w:val="006F1FDC"/>
    <w:rsid w:val="006F29F4"/>
    <w:rsid w:val="006F3CD9"/>
    <w:rsid w:val="006F3DD4"/>
    <w:rsid w:val="006F3F8C"/>
    <w:rsid w:val="006F40B7"/>
    <w:rsid w:val="006F422C"/>
    <w:rsid w:val="006F4A98"/>
    <w:rsid w:val="006F4A9A"/>
    <w:rsid w:val="006F522F"/>
    <w:rsid w:val="006F567D"/>
    <w:rsid w:val="006F5A06"/>
    <w:rsid w:val="006F5AB1"/>
    <w:rsid w:val="006F5C26"/>
    <w:rsid w:val="006F5D88"/>
    <w:rsid w:val="006F6538"/>
    <w:rsid w:val="006F68B5"/>
    <w:rsid w:val="006F6B8C"/>
    <w:rsid w:val="006F6CBB"/>
    <w:rsid w:val="006F6E89"/>
    <w:rsid w:val="006F70A5"/>
    <w:rsid w:val="006F7328"/>
    <w:rsid w:val="006F76BE"/>
    <w:rsid w:val="006F79FC"/>
    <w:rsid w:val="006F7A6E"/>
    <w:rsid w:val="0070007F"/>
    <w:rsid w:val="007003D1"/>
    <w:rsid w:val="00700AE5"/>
    <w:rsid w:val="00700C9F"/>
    <w:rsid w:val="00700D32"/>
    <w:rsid w:val="007013EF"/>
    <w:rsid w:val="00701483"/>
    <w:rsid w:val="007014BF"/>
    <w:rsid w:val="0070162B"/>
    <w:rsid w:val="007017E9"/>
    <w:rsid w:val="00701844"/>
    <w:rsid w:val="00701D56"/>
    <w:rsid w:val="0070219B"/>
    <w:rsid w:val="0070284B"/>
    <w:rsid w:val="00702EDC"/>
    <w:rsid w:val="00702F77"/>
    <w:rsid w:val="00703268"/>
    <w:rsid w:val="007035E5"/>
    <w:rsid w:val="007035F5"/>
    <w:rsid w:val="00703626"/>
    <w:rsid w:val="00704A67"/>
    <w:rsid w:val="00704FA8"/>
    <w:rsid w:val="00704FB0"/>
    <w:rsid w:val="00705262"/>
    <w:rsid w:val="007055BD"/>
    <w:rsid w:val="007056D6"/>
    <w:rsid w:val="00705DFD"/>
    <w:rsid w:val="007061AC"/>
    <w:rsid w:val="00706500"/>
    <w:rsid w:val="007065CD"/>
    <w:rsid w:val="00707251"/>
    <w:rsid w:val="00707495"/>
    <w:rsid w:val="007076CA"/>
    <w:rsid w:val="00707D53"/>
    <w:rsid w:val="00707F42"/>
    <w:rsid w:val="00710043"/>
    <w:rsid w:val="0071060D"/>
    <w:rsid w:val="007109EB"/>
    <w:rsid w:val="00711F03"/>
    <w:rsid w:val="00712219"/>
    <w:rsid w:val="00712348"/>
    <w:rsid w:val="007123AA"/>
    <w:rsid w:val="0071252B"/>
    <w:rsid w:val="00712709"/>
    <w:rsid w:val="00712CAF"/>
    <w:rsid w:val="00712F26"/>
    <w:rsid w:val="007136CD"/>
    <w:rsid w:val="00714276"/>
    <w:rsid w:val="007146D2"/>
    <w:rsid w:val="00714B02"/>
    <w:rsid w:val="00714B34"/>
    <w:rsid w:val="00714E16"/>
    <w:rsid w:val="00714EC3"/>
    <w:rsid w:val="00714EEC"/>
    <w:rsid w:val="007151D9"/>
    <w:rsid w:val="00715A05"/>
    <w:rsid w:val="0071603A"/>
    <w:rsid w:val="00716209"/>
    <w:rsid w:val="00716405"/>
    <w:rsid w:val="00716735"/>
    <w:rsid w:val="00716BCF"/>
    <w:rsid w:val="007172AA"/>
    <w:rsid w:val="0071731C"/>
    <w:rsid w:val="007173CA"/>
    <w:rsid w:val="0071740D"/>
    <w:rsid w:val="00717B17"/>
    <w:rsid w:val="007202D0"/>
    <w:rsid w:val="00720392"/>
    <w:rsid w:val="007203E7"/>
    <w:rsid w:val="0072041A"/>
    <w:rsid w:val="007204D2"/>
    <w:rsid w:val="0072058A"/>
    <w:rsid w:val="007207A2"/>
    <w:rsid w:val="00720E37"/>
    <w:rsid w:val="00720EA6"/>
    <w:rsid w:val="00720F99"/>
    <w:rsid w:val="007213D4"/>
    <w:rsid w:val="007216AA"/>
    <w:rsid w:val="00721AB5"/>
    <w:rsid w:val="00721CFB"/>
    <w:rsid w:val="00721DEF"/>
    <w:rsid w:val="0072220F"/>
    <w:rsid w:val="00722372"/>
    <w:rsid w:val="007229CD"/>
    <w:rsid w:val="00722B33"/>
    <w:rsid w:val="00722F9B"/>
    <w:rsid w:val="0072311A"/>
    <w:rsid w:val="00723514"/>
    <w:rsid w:val="00723668"/>
    <w:rsid w:val="007238CA"/>
    <w:rsid w:val="00723B3E"/>
    <w:rsid w:val="00723E77"/>
    <w:rsid w:val="00723E7D"/>
    <w:rsid w:val="00724A43"/>
    <w:rsid w:val="00724BD5"/>
    <w:rsid w:val="007253BD"/>
    <w:rsid w:val="007254BF"/>
    <w:rsid w:val="007262DF"/>
    <w:rsid w:val="00726676"/>
    <w:rsid w:val="0072679C"/>
    <w:rsid w:val="00726983"/>
    <w:rsid w:val="00726E4E"/>
    <w:rsid w:val="00727341"/>
    <w:rsid w:val="007273AC"/>
    <w:rsid w:val="00727854"/>
    <w:rsid w:val="00727A06"/>
    <w:rsid w:val="00730330"/>
    <w:rsid w:val="007307E4"/>
    <w:rsid w:val="00730BD5"/>
    <w:rsid w:val="00730D0A"/>
    <w:rsid w:val="00731828"/>
    <w:rsid w:val="007318CD"/>
    <w:rsid w:val="0073198C"/>
    <w:rsid w:val="00731AD4"/>
    <w:rsid w:val="00731E13"/>
    <w:rsid w:val="00731ECD"/>
    <w:rsid w:val="00732785"/>
    <w:rsid w:val="00732A6A"/>
    <w:rsid w:val="00732DE2"/>
    <w:rsid w:val="00732EAA"/>
    <w:rsid w:val="00733071"/>
    <w:rsid w:val="00733173"/>
    <w:rsid w:val="007331BA"/>
    <w:rsid w:val="00733AE0"/>
    <w:rsid w:val="00733BCA"/>
    <w:rsid w:val="007340C3"/>
    <w:rsid w:val="007341E0"/>
    <w:rsid w:val="00734320"/>
    <w:rsid w:val="007346E4"/>
    <w:rsid w:val="00734C82"/>
    <w:rsid w:val="00735564"/>
    <w:rsid w:val="00735998"/>
    <w:rsid w:val="00735EF9"/>
    <w:rsid w:val="00735EFB"/>
    <w:rsid w:val="007362D4"/>
    <w:rsid w:val="0073698F"/>
    <w:rsid w:val="007369E9"/>
    <w:rsid w:val="007373F5"/>
    <w:rsid w:val="007377A5"/>
    <w:rsid w:val="0073793A"/>
    <w:rsid w:val="00737B1C"/>
    <w:rsid w:val="00737D42"/>
    <w:rsid w:val="00737DC2"/>
    <w:rsid w:val="007400B8"/>
    <w:rsid w:val="007404CC"/>
    <w:rsid w:val="00740682"/>
    <w:rsid w:val="00740756"/>
    <w:rsid w:val="0074078B"/>
    <w:rsid w:val="007409F6"/>
    <w:rsid w:val="00740C5A"/>
    <w:rsid w:val="00740CB6"/>
    <w:rsid w:val="00740CE9"/>
    <w:rsid w:val="00740CEE"/>
    <w:rsid w:val="00740F22"/>
    <w:rsid w:val="00740F60"/>
    <w:rsid w:val="00741059"/>
    <w:rsid w:val="0074118E"/>
    <w:rsid w:val="00741234"/>
    <w:rsid w:val="0074176B"/>
    <w:rsid w:val="00741904"/>
    <w:rsid w:val="00741BB6"/>
    <w:rsid w:val="00741C5A"/>
    <w:rsid w:val="00741CF0"/>
    <w:rsid w:val="00741F1A"/>
    <w:rsid w:val="00742AE6"/>
    <w:rsid w:val="00743CB1"/>
    <w:rsid w:val="00743FFB"/>
    <w:rsid w:val="007444CC"/>
    <w:rsid w:val="007447DA"/>
    <w:rsid w:val="00744D4C"/>
    <w:rsid w:val="007450F8"/>
    <w:rsid w:val="0074523E"/>
    <w:rsid w:val="007453E2"/>
    <w:rsid w:val="0074573F"/>
    <w:rsid w:val="007460E3"/>
    <w:rsid w:val="0074628D"/>
    <w:rsid w:val="00746371"/>
    <w:rsid w:val="007464DC"/>
    <w:rsid w:val="0074689E"/>
    <w:rsid w:val="0074696E"/>
    <w:rsid w:val="00746A79"/>
    <w:rsid w:val="00746FD0"/>
    <w:rsid w:val="007472FC"/>
    <w:rsid w:val="007477FA"/>
    <w:rsid w:val="00747C27"/>
    <w:rsid w:val="00750135"/>
    <w:rsid w:val="007505F2"/>
    <w:rsid w:val="00750D2D"/>
    <w:rsid w:val="00750DA6"/>
    <w:rsid w:val="00750EC2"/>
    <w:rsid w:val="007519B9"/>
    <w:rsid w:val="00751C2F"/>
    <w:rsid w:val="00751CA4"/>
    <w:rsid w:val="0075209C"/>
    <w:rsid w:val="007520B8"/>
    <w:rsid w:val="007521B3"/>
    <w:rsid w:val="0075237A"/>
    <w:rsid w:val="007525D5"/>
    <w:rsid w:val="00752B28"/>
    <w:rsid w:val="00752F0A"/>
    <w:rsid w:val="007530CB"/>
    <w:rsid w:val="00753593"/>
    <w:rsid w:val="007536BC"/>
    <w:rsid w:val="00753D17"/>
    <w:rsid w:val="007541A9"/>
    <w:rsid w:val="00754735"/>
    <w:rsid w:val="00754BA9"/>
    <w:rsid w:val="00754E36"/>
    <w:rsid w:val="00754E64"/>
    <w:rsid w:val="00754F43"/>
    <w:rsid w:val="0075571E"/>
    <w:rsid w:val="0075595A"/>
    <w:rsid w:val="00755C50"/>
    <w:rsid w:val="00755CFD"/>
    <w:rsid w:val="0075639C"/>
    <w:rsid w:val="00756F7E"/>
    <w:rsid w:val="0075711F"/>
    <w:rsid w:val="007571DB"/>
    <w:rsid w:val="0075748A"/>
    <w:rsid w:val="00757554"/>
    <w:rsid w:val="00757A05"/>
    <w:rsid w:val="00760262"/>
    <w:rsid w:val="00760A17"/>
    <w:rsid w:val="00760DBA"/>
    <w:rsid w:val="00760F34"/>
    <w:rsid w:val="00760F54"/>
    <w:rsid w:val="007613A3"/>
    <w:rsid w:val="0076157F"/>
    <w:rsid w:val="007615EC"/>
    <w:rsid w:val="00761697"/>
    <w:rsid w:val="0076180E"/>
    <w:rsid w:val="00761F3E"/>
    <w:rsid w:val="007622F0"/>
    <w:rsid w:val="0076242E"/>
    <w:rsid w:val="00762BC8"/>
    <w:rsid w:val="00762E3A"/>
    <w:rsid w:val="0076303B"/>
    <w:rsid w:val="00763139"/>
    <w:rsid w:val="00763A20"/>
    <w:rsid w:val="00763AA4"/>
    <w:rsid w:val="007640B6"/>
    <w:rsid w:val="00764398"/>
    <w:rsid w:val="0076455F"/>
    <w:rsid w:val="0076476E"/>
    <w:rsid w:val="00764AE0"/>
    <w:rsid w:val="00764C44"/>
    <w:rsid w:val="007651E8"/>
    <w:rsid w:val="00765762"/>
    <w:rsid w:val="00765938"/>
    <w:rsid w:val="007666AF"/>
    <w:rsid w:val="00766878"/>
    <w:rsid w:val="00767332"/>
    <w:rsid w:val="00767AF6"/>
    <w:rsid w:val="007700BC"/>
    <w:rsid w:val="007706F4"/>
    <w:rsid w:val="00770F37"/>
    <w:rsid w:val="007711A0"/>
    <w:rsid w:val="007715EC"/>
    <w:rsid w:val="0077160E"/>
    <w:rsid w:val="00771C9E"/>
    <w:rsid w:val="0077295B"/>
    <w:rsid w:val="00772D5E"/>
    <w:rsid w:val="00773A12"/>
    <w:rsid w:val="00773C85"/>
    <w:rsid w:val="00773EE2"/>
    <w:rsid w:val="0077418D"/>
    <w:rsid w:val="0077463E"/>
    <w:rsid w:val="007746F2"/>
    <w:rsid w:val="00774811"/>
    <w:rsid w:val="00774AE9"/>
    <w:rsid w:val="00774B3A"/>
    <w:rsid w:val="00775157"/>
    <w:rsid w:val="007753B9"/>
    <w:rsid w:val="00775CC7"/>
    <w:rsid w:val="0077639C"/>
    <w:rsid w:val="0077661C"/>
    <w:rsid w:val="00776928"/>
    <w:rsid w:val="00776D56"/>
    <w:rsid w:val="00776E0F"/>
    <w:rsid w:val="00776E3F"/>
    <w:rsid w:val="00776F95"/>
    <w:rsid w:val="00776FCA"/>
    <w:rsid w:val="007774B1"/>
    <w:rsid w:val="007776C3"/>
    <w:rsid w:val="007776D4"/>
    <w:rsid w:val="00777BDB"/>
    <w:rsid w:val="00777BE1"/>
    <w:rsid w:val="00777E96"/>
    <w:rsid w:val="00777ED3"/>
    <w:rsid w:val="00780310"/>
    <w:rsid w:val="007805B1"/>
    <w:rsid w:val="00780B1C"/>
    <w:rsid w:val="00780F72"/>
    <w:rsid w:val="00781556"/>
    <w:rsid w:val="00781D1F"/>
    <w:rsid w:val="00781E9B"/>
    <w:rsid w:val="00781F17"/>
    <w:rsid w:val="00782127"/>
    <w:rsid w:val="0078219A"/>
    <w:rsid w:val="00782222"/>
    <w:rsid w:val="00782432"/>
    <w:rsid w:val="00782646"/>
    <w:rsid w:val="00782804"/>
    <w:rsid w:val="00782DB1"/>
    <w:rsid w:val="007833D8"/>
    <w:rsid w:val="00783662"/>
    <w:rsid w:val="00783B86"/>
    <w:rsid w:val="007842A8"/>
    <w:rsid w:val="00784622"/>
    <w:rsid w:val="0078530E"/>
    <w:rsid w:val="0078534E"/>
    <w:rsid w:val="00785677"/>
    <w:rsid w:val="00785CBA"/>
    <w:rsid w:val="00785D33"/>
    <w:rsid w:val="00786035"/>
    <w:rsid w:val="00786F16"/>
    <w:rsid w:val="00787776"/>
    <w:rsid w:val="007890BE"/>
    <w:rsid w:val="00790387"/>
    <w:rsid w:val="00790C0B"/>
    <w:rsid w:val="00790E58"/>
    <w:rsid w:val="00790E88"/>
    <w:rsid w:val="00790F74"/>
    <w:rsid w:val="00791320"/>
    <w:rsid w:val="007914BD"/>
    <w:rsid w:val="0079174C"/>
    <w:rsid w:val="007917B0"/>
    <w:rsid w:val="0079181E"/>
    <w:rsid w:val="00791BB5"/>
    <w:rsid w:val="00791BD7"/>
    <w:rsid w:val="00791FD2"/>
    <w:rsid w:val="007928B9"/>
    <w:rsid w:val="00793011"/>
    <w:rsid w:val="007933F7"/>
    <w:rsid w:val="00793A0C"/>
    <w:rsid w:val="00793AD6"/>
    <w:rsid w:val="00793B3B"/>
    <w:rsid w:val="00793F09"/>
    <w:rsid w:val="007942F0"/>
    <w:rsid w:val="0079431A"/>
    <w:rsid w:val="00795055"/>
    <w:rsid w:val="00795057"/>
    <w:rsid w:val="007954F1"/>
    <w:rsid w:val="00795DAF"/>
    <w:rsid w:val="00796009"/>
    <w:rsid w:val="00796707"/>
    <w:rsid w:val="00796B4A"/>
    <w:rsid w:val="00796D1B"/>
    <w:rsid w:val="00796E20"/>
    <w:rsid w:val="00797135"/>
    <w:rsid w:val="007975C9"/>
    <w:rsid w:val="00797C32"/>
    <w:rsid w:val="00797E98"/>
    <w:rsid w:val="007A0335"/>
    <w:rsid w:val="007A09D9"/>
    <w:rsid w:val="007A0A81"/>
    <w:rsid w:val="007A0B8C"/>
    <w:rsid w:val="007A0EDE"/>
    <w:rsid w:val="007A11E8"/>
    <w:rsid w:val="007A12B7"/>
    <w:rsid w:val="007A1A02"/>
    <w:rsid w:val="007A2B12"/>
    <w:rsid w:val="007A2FB2"/>
    <w:rsid w:val="007A370F"/>
    <w:rsid w:val="007A3D14"/>
    <w:rsid w:val="007A418E"/>
    <w:rsid w:val="007A46FF"/>
    <w:rsid w:val="007A49C4"/>
    <w:rsid w:val="007A4A80"/>
    <w:rsid w:val="007A4EAF"/>
    <w:rsid w:val="007A5307"/>
    <w:rsid w:val="007A6644"/>
    <w:rsid w:val="007A66B6"/>
    <w:rsid w:val="007A673C"/>
    <w:rsid w:val="007A6AD2"/>
    <w:rsid w:val="007B0570"/>
    <w:rsid w:val="007B05F2"/>
    <w:rsid w:val="007B0914"/>
    <w:rsid w:val="007B0F8F"/>
    <w:rsid w:val="007B11E8"/>
    <w:rsid w:val="007B11FE"/>
    <w:rsid w:val="007B1374"/>
    <w:rsid w:val="007B13C2"/>
    <w:rsid w:val="007B1698"/>
    <w:rsid w:val="007B1ABB"/>
    <w:rsid w:val="007B1B79"/>
    <w:rsid w:val="007B1DFD"/>
    <w:rsid w:val="007B29CE"/>
    <w:rsid w:val="007B2C33"/>
    <w:rsid w:val="007B30E7"/>
    <w:rsid w:val="007B32E5"/>
    <w:rsid w:val="007B3332"/>
    <w:rsid w:val="007B3560"/>
    <w:rsid w:val="007B3DB9"/>
    <w:rsid w:val="007B4E87"/>
    <w:rsid w:val="007B513C"/>
    <w:rsid w:val="007B5506"/>
    <w:rsid w:val="007B589F"/>
    <w:rsid w:val="007B6186"/>
    <w:rsid w:val="007B6D9F"/>
    <w:rsid w:val="007B73BC"/>
    <w:rsid w:val="007B74FC"/>
    <w:rsid w:val="007C0332"/>
    <w:rsid w:val="007C04BA"/>
    <w:rsid w:val="007C050D"/>
    <w:rsid w:val="007C0543"/>
    <w:rsid w:val="007C05ED"/>
    <w:rsid w:val="007C0C4C"/>
    <w:rsid w:val="007C1155"/>
    <w:rsid w:val="007C124A"/>
    <w:rsid w:val="007C1371"/>
    <w:rsid w:val="007C1571"/>
    <w:rsid w:val="007C163D"/>
    <w:rsid w:val="007C1789"/>
    <w:rsid w:val="007C1838"/>
    <w:rsid w:val="007C1B44"/>
    <w:rsid w:val="007C1FC5"/>
    <w:rsid w:val="007C20B9"/>
    <w:rsid w:val="007C212A"/>
    <w:rsid w:val="007C223B"/>
    <w:rsid w:val="007C27B1"/>
    <w:rsid w:val="007C28C9"/>
    <w:rsid w:val="007C2B6C"/>
    <w:rsid w:val="007C2C46"/>
    <w:rsid w:val="007C2DA1"/>
    <w:rsid w:val="007C3377"/>
    <w:rsid w:val="007C3555"/>
    <w:rsid w:val="007C40A4"/>
    <w:rsid w:val="007C41CD"/>
    <w:rsid w:val="007C424B"/>
    <w:rsid w:val="007C4344"/>
    <w:rsid w:val="007C4BC9"/>
    <w:rsid w:val="007C4D87"/>
    <w:rsid w:val="007C504F"/>
    <w:rsid w:val="007C519E"/>
    <w:rsid w:val="007C535E"/>
    <w:rsid w:val="007C5548"/>
    <w:rsid w:val="007C56CD"/>
    <w:rsid w:val="007C6772"/>
    <w:rsid w:val="007C7301"/>
    <w:rsid w:val="007C7859"/>
    <w:rsid w:val="007C79D8"/>
    <w:rsid w:val="007C7A2A"/>
    <w:rsid w:val="007C7F28"/>
    <w:rsid w:val="007D0737"/>
    <w:rsid w:val="007D0DE3"/>
    <w:rsid w:val="007D1466"/>
    <w:rsid w:val="007D1833"/>
    <w:rsid w:val="007D19DB"/>
    <w:rsid w:val="007D1C3F"/>
    <w:rsid w:val="007D2148"/>
    <w:rsid w:val="007D2325"/>
    <w:rsid w:val="007D2BDE"/>
    <w:rsid w:val="007D2FB6"/>
    <w:rsid w:val="007D3DA9"/>
    <w:rsid w:val="007D3F1B"/>
    <w:rsid w:val="007D409B"/>
    <w:rsid w:val="007D4456"/>
    <w:rsid w:val="007D4871"/>
    <w:rsid w:val="007D49EB"/>
    <w:rsid w:val="007D4F74"/>
    <w:rsid w:val="007D515B"/>
    <w:rsid w:val="007D52D3"/>
    <w:rsid w:val="007D5383"/>
    <w:rsid w:val="007D5C2A"/>
    <w:rsid w:val="007D5E1C"/>
    <w:rsid w:val="007D602E"/>
    <w:rsid w:val="007D6108"/>
    <w:rsid w:val="007D64B5"/>
    <w:rsid w:val="007D6679"/>
    <w:rsid w:val="007D7417"/>
    <w:rsid w:val="007D74BC"/>
    <w:rsid w:val="007D767C"/>
    <w:rsid w:val="007D7A18"/>
    <w:rsid w:val="007D7B30"/>
    <w:rsid w:val="007D7F02"/>
    <w:rsid w:val="007E0335"/>
    <w:rsid w:val="007E040C"/>
    <w:rsid w:val="007E0583"/>
    <w:rsid w:val="007E0934"/>
    <w:rsid w:val="007E0DE2"/>
    <w:rsid w:val="007E108B"/>
    <w:rsid w:val="007E10F3"/>
    <w:rsid w:val="007E156A"/>
    <w:rsid w:val="007E1AE2"/>
    <w:rsid w:val="007E1B7D"/>
    <w:rsid w:val="007E1FFF"/>
    <w:rsid w:val="007E2008"/>
    <w:rsid w:val="007E2107"/>
    <w:rsid w:val="007E2523"/>
    <w:rsid w:val="007E2E99"/>
    <w:rsid w:val="007E318E"/>
    <w:rsid w:val="007E362A"/>
    <w:rsid w:val="007E3667"/>
    <w:rsid w:val="007E3B98"/>
    <w:rsid w:val="007E417A"/>
    <w:rsid w:val="007E4F36"/>
    <w:rsid w:val="007E52B2"/>
    <w:rsid w:val="007E543F"/>
    <w:rsid w:val="007E548D"/>
    <w:rsid w:val="007E5B21"/>
    <w:rsid w:val="007E5BD4"/>
    <w:rsid w:val="007E685C"/>
    <w:rsid w:val="007E68C2"/>
    <w:rsid w:val="007E6B73"/>
    <w:rsid w:val="007E6E59"/>
    <w:rsid w:val="007E79AE"/>
    <w:rsid w:val="007E7A57"/>
    <w:rsid w:val="007E7E87"/>
    <w:rsid w:val="007E7EB1"/>
    <w:rsid w:val="007E7FFE"/>
    <w:rsid w:val="007F0306"/>
    <w:rsid w:val="007F03EF"/>
    <w:rsid w:val="007F04B8"/>
    <w:rsid w:val="007F0955"/>
    <w:rsid w:val="007F0F30"/>
    <w:rsid w:val="007F0F4B"/>
    <w:rsid w:val="007F1675"/>
    <w:rsid w:val="007F1C9D"/>
    <w:rsid w:val="007F2391"/>
    <w:rsid w:val="007F31B6"/>
    <w:rsid w:val="007F31DA"/>
    <w:rsid w:val="007F3232"/>
    <w:rsid w:val="007F3864"/>
    <w:rsid w:val="007F4A70"/>
    <w:rsid w:val="007F4B26"/>
    <w:rsid w:val="007F546C"/>
    <w:rsid w:val="007F5DED"/>
    <w:rsid w:val="007F5F21"/>
    <w:rsid w:val="007F60C7"/>
    <w:rsid w:val="007F6142"/>
    <w:rsid w:val="007F622A"/>
    <w:rsid w:val="007F625F"/>
    <w:rsid w:val="007F665E"/>
    <w:rsid w:val="007F66C5"/>
    <w:rsid w:val="007F6863"/>
    <w:rsid w:val="007F6CC7"/>
    <w:rsid w:val="007F7285"/>
    <w:rsid w:val="00800113"/>
    <w:rsid w:val="008001EE"/>
    <w:rsid w:val="008001F5"/>
    <w:rsid w:val="00800412"/>
    <w:rsid w:val="00800B8E"/>
    <w:rsid w:val="00800C5D"/>
    <w:rsid w:val="008010A7"/>
    <w:rsid w:val="008012AA"/>
    <w:rsid w:val="00801570"/>
    <w:rsid w:val="00801D4E"/>
    <w:rsid w:val="00801E35"/>
    <w:rsid w:val="00802124"/>
    <w:rsid w:val="00802279"/>
    <w:rsid w:val="008022FE"/>
    <w:rsid w:val="008025A1"/>
    <w:rsid w:val="00802A86"/>
    <w:rsid w:val="00802B1A"/>
    <w:rsid w:val="00802C18"/>
    <w:rsid w:val="00802D42"/>
    <w:rsid w:val="00802DAD"/>
    <w:rsid w:val="00803923"/>
    <w:rsid w:val="00803D45"/>
    <w:rsid w:val="008042D9"/>
    <w:rsid w:val="008045BE"/>
    <w:rsid w:val="008049F2"/>
    <w:rsid w:val="00804B39"/>
    <w:rsid w:val="0080571E"/>
    <w:rsid w:val="0080587B"/>
    <w:rsid w:val="00806213"/>
    <w:rsid w:val="00806468"/>
    <w:rsid w:val="00806906"/>
    <w:rsid w:val="00806D26"/>
    <w:rsid w:val="00806EAF"/>
    <w:rsid w:val="00807BDA"/>
    <w:rsid w:val="00807C2F"/>
    <w:rsid w:val="00810E5B"/>
    <w:rsid w:val="00811090"/>
    <w:rsid w:val="00811339"/>
    <w:rsid w:val="00811368"/>
    <w:rsid w:val="008117A2"/>
    <w:rsid w:val="0081198E"/>
    <w:rsid w:val="008119CA"/>
    <w:rsid w:val="00812157"/>
    <w:rsid w:val="008126A8"/>
    <w:rsid w:val="00812A2D"/>
    <w:rsid w:val="00812E09"/>
    <w:rsid w:val="008130C4"/>
    <w:rsid w:val="00813108"/>
    <w:rsid w:val="0081359E"/>
    <w:rsid w:val="008139C0"/>
    <w:rsid w:val="00813C64"/>
    <w:rsid w:val="00813D3C"/>
    <w:rsid w:val="008142CF"/>
    <w:rsid w:val="008146F6"/>
    <w:rsid w:val="008152C3"/>
    <w:rsid w:val="008155F0"/>
    <w:rsid w:val="00815A7A"/>
    <w:rsid w:val="00815E2D"/>
    <w:rsid w:val="00816527"/>
    <w:rsid w:val="00816735"/>
    <w:rsid w:val="008167B6"/>
    <w:rsid w:val="0081694E"/>
    <w:rsid w:val="00816B71"/>
    <w:rsid w:val="00816B81"/>
    <w:rsid w:val="0081734B"/>
    <w:rsid w:val="00817E2F"/>
    <w:rsid w:val="00820141"/>
    <w:rsid w:val="008204F5"/>
    <w:rsid w:val="0082065F"/>
    <w:rsid w:val="008206C2"/>
    <w:rsid w:val="00820B54"/>
    <w:rsid w:val="00820BA6"/>
    <w:rsid w:val="00820E0C"/>
    <w:rsid w:val="00821420"/>
    <w:rsid w:val="008215D1"/>
    <w:rsid w:val="008223EE"/>
    <w:rsid w:val="00822852"/>
    <w:rsid w:val="00822888"/>
    <w:rsid w:val="00822897"/>
    <w:rsid w:val="00822A54"/>
    <w:rsid w:val="00823275"/>
    <w:rsid w:val="0082366F"/>
    <w:rsid w:val="00823733"/>
    <w:rsid w:val="00823D2B"/>
    <w:rsid w:val="0082446E"/>
    <w:rsid w:val="00824C65"/>
    <w:rsid w:val="00824CDA"/>
    <w:rsid w:val="00824E7B"/>
    <w:rsid w:val="0082592B"/>
    <w:rsid w:val="00825D19"/>
    <w:rsid w:val="008263C7"/>
    <w:rsid w:val="0082642C"/>
    <w:rsid w:val="008264B5"/>
    <w:rsid w:val="00826762"/>
    <w:rsid w:val="008269BC"/>
    <w:rsid w:val="0082756B"/>
    <w:rsid w:val="00830966"/>
    <w:rsid w:val="008309FC"/>
    <w:rsid w:val="00830A5A"/>
    <w:rsid w:val="00830AE6"/>
    <w:rsid w:val="00830BBF"/>
    <w:rsid w:val="00830D9C"/>
    <w:rsid w:val="00831420"/>
    <w:rsid w:val="008317F7"/>
    <w:rsid w:val="00831A78"/>
    <w:rsid w:val="008320C1"/>
    <w:rsid w:val="0083239D"/>
    <w:rsid w:val="008323BC"/>
    <w:rsid w:val="008323E2"/>
    <w:rsid w:val="008325A6"/>
    <w:rsid w:val="008325D0"/>
    <w:rsid w:val="008325F7"/>
    <w:rsid w:val="00832927"/>
    <w:rsid w:val="00832A0A"/>
    <w:rsid w:val="00833726"/>
    <w:rsid w:val="0083388C"/>
    <w:rsid w:val="008338A2"/>
    <w:rsid w:val="00833BA0"/>
    <w:rsid w:val="00834220"/>
    <w:rsid w:val="00834282"/>
    <w:rsid w:val="00834B04"/>
    <w:rsid w:val="00834FCB"/>
    <w:rsid w:val="008350F1"/>
    <w:rsid w:val="00835378"/>
    <w:rsid w:val="008354E6"/>
    <w:rsid w:val="008355DD"/>
    <w:rsid w:val="00835648"/>
    <w:rsid w:val="008358CF"/>
    <w:rsid w:val="0084004D"/>
    <w:rsid w:val="00840210"/>
    <w:rsid w:val="0084095E"/>
    <w:rsid w:val="008409ED"/>
    <w:rsid w:val="00840EB6"/>
    <w:rsid w:val="00841205"/>
    <w:rsid w:val="008414C6"/>
    <w:rsid w:val="008415DA"/>
    <w:rsid w:val="00841652"/>
    <w:rsid w:val="00841AA9"/>
    <w:rsid w:val="00841AE7"/>
    <w:rsid w:val="00841C3D"/>
    <w:rsid w:val="00841F3B"/>
    <w:rsid w:val="00842718"/>
    <w:rsid w:val="008428A9"/>
    <w:rsid w:val="00842E2A"/>
    <w:rsid w:val="008431D7"/>
    <w:rsid w:val="00843322"/>
    <w:rsid w:val="00843356"/>
    <w:rsid w:val="00843396"/>
    <w:rsid w:val="00843CF2"/>
    <w:rsid w:val="00844339"/>
    <w:rsid w:val="00844D8E"/>
    <w:rsid w:val="00845331"/>
    <w:rsid w:val="0084541A"/>
    <w:rsid w:val="0084577D"/>
    <w:rsid w:val="00845A4D"/>
    <w:rsid w:val="0084620A"/>
    <w:rsid w:val="00846223"/>
    <w:rsid w:val="00846249"/>
    <w:rsid w:val="008466B4"/>
    <w:rsid w:val="00846975"/>
    <w:rsid w:val="00846BE9"/>
    <w:rsid w:val="008471F0"/>
    <w:rsid w:val="008474FE"/>
    <w:rsid w:val="008476B6"/>
    <w:rsid w:val="00847AE3"/>
    <w:rsid w:val="00847B4C"/>
    <w:rsid w:val="00847C88"/>
    <w:rsid w:val="00847E57"/>
    <w:rsid w:val="00847F26"/>
    <w:rsid w:val="008505A9"/>
    <w:rsid w:val="008509E4"/>
    <w:rsid w:val="00850D2D"/>
    <w:rsid w:val="00850D37"/>
    <w:rsid w:val="00850E23"/>
    <w:rsid w:val="00850F8F"/>
    <w:rsid w:val="00851265"/>
    <w:rsid w:val="008513F8"/>
    <w:rsid w:val="008515E8"/>
    <w:rsid w:val="00851759"/>
    <w:rsid w:val="00851DD8"/>
    <w:rsid w:val="008520C9"/>
    <w:rsid w:val="00852B4F"/>
    <w:rsid w:val="00852DB2"/>
    <w:rsid w:val="00852ED4"/>
    <w:rsid w:val="008539E3"/>
    <w:rsid w:val="00853BE4"/>
    <w:rsid w:val="00853C7F"/>
    <w:rsid w:val="00853ED2"/>
    <w:rsid w:val="00853EE4"/>
    <w:rsid w:val="008540D5"/>
    <w:rsid w:val="00854494"/>
    <w:rsid w:val="00854956"/>
    <w:rsid w:val="00854CDD"/>
    <w:rsid w:val="00854D90"/>
    <w:rsid w:val="00855074"/>
    <w:rsid w:val="00855230"/>
    <w:rsid w:val="00855535"/>
    <w:rsid w:val="0085557B"/>
    <w:rsid w:val="00855CE6"/>
    <w:rsid w:val="0085610F"/>
    <w:rsid w:val="0085734C"/>
    <w:rsid w:val="008573EB"/>
    <w:rsid w:val="008578CA"/>
    <w:rsid w:val="00857A42"/>
    <w:rsid w:val="00857B7E"/>
    <w:rsid w:val="00857C5A"/>
    <w:rsid w:val="00857D60"/>
    <w:rsid w:val="00860197"/>
    <w:rsid w:val="008603A7"/>
    <w:rsid w:val="00860610"/>
    <w:rsid w:val="00860ABF"/>
    <w:rsid w:val="00860CDE"/>
    <w:rsid w:val="008616B4"/>
    <w:rsid w:val="00861788"/>
    <w:rsid w:val="008618F7"/>
    <w:rsid w:val="0086251C"/>
    <w:rsid w:val="0086255E"/>
    <w:rsid w:val="0086308C"/>
    <w:rsid w:val="008633F0"/>
    <w:rsid w:val="00863B2C"/>
    <w:rsid w:val="008641BE"/>
    <w:rsid w:val="00864643"/>
    <w:rsid w:val="00864CFF"/>
    <w:rsid w:val="00864FF9"/>
    <w:rsid w:val="00865276"/>
    <w:rsid w:val="0086561E"/>
    <w:rsid w:val="00865BBC"/>
    <w:rsid w:val="00865C0B"/>
    <w:rsid w:val="00865DF1"/>
    <w:rsid w:val="00866024"/>
    <w:rsid w:val="00866968"/>
    <w:rsid w:val="00866EEF"/>
    <w:rsid w:val="008671F9"/>
    <w:rsid w:val="00867234"/>
    <w:rsid w:val="00867732"/>
    <w:rsid w:val="008678ED"/>
    <w:rsid w:val="00867D9D"/>
    <w:rsid w:val="00870030"/>
    <w:rsid w:val="0087045F"/>
    <w:rsid w:val="00870A91"/>
    <w:rsid w:val="00870C1D"/>
    <w:rsid w:val="00870F9B"/>
    <w:rsid w:val="00871697"/>
    <w:rsid w:val="008716BD"/>
    <w:rsid w:val="00871D84"/>
    <w:rsid w:val="00871E7E"/>
    <w:rsid w:val="00872E0A"/>
    <w:rsid w:val="00872EE7"/>
    <w:rsid w:val="00873030"/>
    <w:rsid w:val="00873230"/>
    <w:rsid w:val="00873338"/>
    <w:rsid w:val="00873594"/>
    <w:rsid w:val="008737DF"/>
    <w:rsid w:val="00875285"/>
    <w:rsid w:val="0087550A"/>
    <w:rsid w:val="00875C77"/>
    <w:rsid w:val="00875C87"/>
    <w:rsid w:val="00875C8B"/>
    <w:rsid w:val="00875D42"/>
    <w:rsid w:val="00875FC7"/>
    <w:rsid w:val="00876F67"/>
    <w:rsid w:val="008776E3"/>
    <w:rsid w:val="00877877"/>
    <w:rsid w:val="008800A6"/>
    <w:rsid w:val="008807AD"/>
    <w:rsid w:val="008809DF"/>
    <w:rsid w:val="00880B51"/>
    <w:rsid w:val="00881D12"/>
    <w:rsid w:val="00881F8D"/>
    <w:rsid w:val="00882096"/>
    <w:rsid w:val="00882215"/>
    <w:rsid w:val="008827ED"/>
    <w:rsid w:val="00882EDB"/>
    <w:rsid w:val="008835F4"/>
    <w:rsid w:val="008836C8"/>
    <w:rsid w:val="0088387B"/>
    <w:rsid w:val="00883AE1"/>
    <w:rsid w:val="0088428A"/>
    <w:rsid w:val="008842BF"/>
    <w:rsid w:val="00884386"/>
    <w:rsid w:val="0088457E"/>
    <w:rsid w:val="00884B62"/>
    <w:rsid w:val="00884F5A"/>
    <w:rsid w:val="0088529C"/>
    <w:rsid w:val="008858B2"/>
    <w:rsid w:val="00885AFD"/>
    <w:rsid w:val="00885C35"/>
    <w:rsid w:val="00885F91"/>
    <w:rsid w:val="00886D86"/>
    <w:rsid w:val="00886E0E"/>
    <w:rsid w:val="00887154"/>
    <w:rsid w:val="00887903"/>
    <w:rsid w:val="00887E93"/>
    <w:rsid w:val="00890175"/>
    <w:rsid w:val="008905A9"/>
    <w:rsid w:val="008908E7"/>
    <w:rsid w:val="00891356"/>
    <w:rsid w:val="00891C3C"/>
    <w:rsid w:val="008921BF"/>
    <w:rsid w:val="0089250D"/>
    <w:rsid w:val="0089270A"/>
    <w:rsid w:val="00892731"/>
    <w:rsid w:val="00893347"/>
    <w:rsid w:val="00893AF6"/>
    <w:rsid w:val="00893E1E"/>
    <w:rsid w:val="00894186"/>
    <w:rsid w:val="0089474D"/>
    <w:rsid w:val="00894BC4"/>
    <w:rsid w:val="0089518A"/>
    <w:rsid w:val="0089583E"/>
    <w:rsid w:val="00895E62"/>
    <w:rsid w:val="00895FDC"/>
    <w:rsid w:val="008960A1"/>
    <w:rsid w:val="0089613A"/>
    <w:rsid w:val="00896890"/>
    <w:rsid w:val="008968FF"/>
    <w:rsid w:val="008969CF"/>
    <w:rsid w:val="008975B4"/>
    <w:rsid w:val="008977D1"/>
    <w:rsid w:val="00897F22"/>
    <w:rsid w:val="008A0489"/>
    <w:rsid w:val="008A129D"/>
    <w:rsid w:val="008A1461"/>
    <w:rsid w:val="008A1F38"/>
    <w:rsid w:val="008A22CB"/>
    <w:rsid w:val="008A28A8"/>
    <w:rsid w:val="008A2FB1"/>
    <w:rsid w:val="008A3A6E"/>
    <w:rsid w:val="008A3D5B"/>
    <w:rsid w:val="008A4353"/>
    <w:rsid w:val="008A4E2B"/>
    <w:rsid w:val="008A54AC"/>
    <w:rsid w:val="008A56BD"/>
    <w:rsid w:val="008A599B"/>
    <w:rsid w:val="008A5B32"/>
    <w:rsid w:val="008A5D5E"/>
    <w:rsid w:val="008A67E4"/>
    <w:rsid w:val="008A68E5"/>
    <w:rsid w:val="008A6BFA"/>
    <w:rsid w:val="008A6E90"/>
    <w:rsid w:val="008A719E"/>
    <w:rsid w:val="008A72DB"/>
    <w:rsid w:val="008A74EC"/>
    <w:rsid w:val="008A76B9"/>
    <w:rsid w:val="008A7AF6"/>
    <w:rsid w:val="008B0D62"/>
    <w:rsid w:val="008B14B5"/>
    <w:rsid w:val="008B1686"/>
    <w:rsid w:val="008B19E4"/>
    <w:rsid w:val="008B1B09"/>
    <w:rsid w:val="008B1B17"/>
    <w:rsid w:val="008B1B99"/>
    <w:rsid w:val="008B1C82"/>
    <w:rsid w:val="008B2029"/>
    <w:rsid w:val="008B228A"/>
    <w:rsid w:val="008B2386"/>
    <w:rsid w:val="008B24F6"/>
    <w:rsid w:val="008B28D0"/>
    <w:rsid w:val="008B2CFB"/>
    <w:rsid w:val="008B2EE4"/>
    <w:rsid w:val="008B2FAB"/>
    <w:rsid w:val="008B324B"/>
    <w:rsid w:val="008B34BE"/>
    <w:rsid w:val="008B3821"/>
    <w:rsid w:val="008B3AEC"/>
    <w:rsid w:val="008B3B08"/>
    <w:rsid w:val="008B3C9C"/>
    <w:rsid w:val="008B3F2E"/>
    <w:rsid w:val="008B416D"/>
    <w:rsid w:val="008B4647"/>
    <w:rsid w:val="008B4A63"/>
    <w:rsid w:val="008B4A80"/>
    <w:rsid w:val="008B4D3D"/>
    <w:rsid w:val="008B57C7"/>
    <w:rsid w:val="008B5D03"/>
    <w:rsid w:val="008B64BB"/>
    <w:rsid w:val="008B69D5"/>
    <w:rsid w:val="008B6BA3"/>
    <w:rsid w:val="008B732E"/>
    <w:rsid w:val="008B7EFC"/>
    <w:rsid w:val="008B7F00"/>
    <w:rsid w:val="008B7F7E"/>
    <w:rsid w:val="008C0270"/>
    <w:rsid w:val="008C07F1"/>
    <w:rsid w:val="008C0A07"/>
    <w:rsid w:val="008C110C"/>
    <w:rsid w:val="008C1201"/>
    <w:rsid w:val="008C1C6F"/>
    <w:rsid w:val="008C1E4E"/>
    <w:rsid w:val="008C23F1"/>
    <w:rsid w:val="008C2422"/>
    <w:rsid w:val="008C2F92"/>
    <w:rsid w:val="008C311E"/>
    <w:rsid w:val="008C3546"/>
    <w:rsid w:val="008C469A"/>
    <w:rsid w:val="008C56F5"/>
    <w:rsid w:val="008C57D6"/>
    <w:rsid w:val="008C589D"/>
    <w:rsid w:val="008C5E16"/>
    <w:rsid w:val="008C663A"/>
    <w:rsid w:val="008C6956"/>
    <w:rsid w:val="008C69FF"/>
    <w:rsid w:val="008C6D51"/>
    <w:rsid w:val="008C7F09"/>
    <w:rsid w:val="008C7F8C"/>
    <w:rsid w:val="008D001D"/>
    <w:rsid w:val="008D0357"/>
    <w:rsid w:val="008D0554"/>
    <w:rsid w:val="008D0564"/>
    <w:rsid w:val="008D09B8"/>
    <w:rsid w:val="008D0A2E"/>
    <w:rsid w:val="008D0C59"/>
    <w:rsid w:val="008D1A82"/>
    <w:rsid w:val="008D20F2"/>
    <w:rsid w:val="008D2304"/>
    <w:rsid w:val="008D2345"/>
    <w:rsid w:val="008D2846"/>
    <w:rsid w:val="008D287C"/>
    <w:rsid w:val="008D3283"/>
    <w:rsid w:val="008D34E8"/>
    <w:rsid w:val="008D3570"/>
    <w:rsid w:val="008D3E26"/>
    <w:rsid w:val="008D4045"/>
    <w:rsid w:val="008D41B6"/>
    <w:rsid w:val="008D4236"/>
    <w:rsid w:val="008D4261"/>
    <w:rsid w:val="008D42D5"/>
    <w:rsid w:val="008D45A5"/>
    <w:rsid w:val="008D462F"/>
    <w:rsid w:val="008D4847"/>
    <w:rsid w:val="008D4D33"/>
    <w:rsid w:val="008D5220"/>
    <w:rsid w:val="008D54EB"/>
    <w:rsid w:val="008D63AB"/>
    <w:rsid w:val="008D6418"/>
    <w:rsid w:val="008D691C"/>
    <w:rsid w:val="008D6DCF"/>
    <w:rsid w:val="008D76B1"/>
    <w:rsid w:val="008E06B9"/>
    <w:rsid w:val="008E0807"/>
    <w:rsid w:val="008E0CE5"/>
    <w:rsid w:val="008E0E6C"/>
    <w:rsid w:val="008E13FE"/>
    <w:rsid w:val="008E1723"/>
    <w:rsid w:val="008E1982"/>
    <w:rsid w:val="008E1C86"/>
    <w:rsid w:val="008E2912"/>
    <w:rsid w:val="008E2DC9"/>
    <w:rsid w:val="008E2E66"/>
    <w:rsid w:val="008E357D"/>
    <w:rsid w:val="008E3B75"/>
    <w:rsid w:val="008E3F1B"/>
    <w:rsid w:val="008E3F57"/>
    <w:rsid w:val="008E4034"/>
    <w:rsid w:val="008E4376"/>
    <w:rsid w:val="008E4640"/>
    <w:rsid w:val="008E48B1"/>
    <w:rsid w:val="008E4E32"/>
    <w:rsid w:val="008E4EAD"/>
    <w:rsid w:val="008E5475"/>
    <w:rsid w:val="008E54D7"/>
    <w:rsid w:val="008E566F"/>
    <w:rsid w:val="008E5809"/>
    <w:rsid w:val="008E5CF2"/>
    <w:rsid w:val="008E5E1C"/>
    <w:rsid w:val="008E604D"/>
    <w:rsid w:val="008E6266"/>
    <w:rsid w:val="008E6406"/>
    <w:rsid w:val="008E680B"/>
    <w:rsid w:val="008E68E2"/>
    <w:rsid w:val="008E6F67"/>
    <w:rsid w:val="008E7016"/>
    <w:rsid w:val="008E78F2"/>
    <w:rsid w:val="008E7A0A"/>
    <w:rsid w:val="008E7B49"/>
    <w:rsid w:val="008E88E0"/>
    <w:rsid w:val="008F0867"/>
    <w:rsid w:val="008F0CA4"/>
    <w:rsid w:val="008F1251"/>
    <w:rsid w:val="008F1386"/>
    <w:rsid w:val="008F144E"/>
    <w:rsid w:val="008F1AFB"/>
    <w:rsid w:val="008F2317"/>
    <w:rsid w:val="008F2782"/>
    <w:rsid w:val="008F2BE6"/>
    <w:rsid w:val="008F2ED0"/>
    <w:rsid w:val="008F302A"/>
    <w:rsid w:val="008F3676"/>
    <w:rsid w:val="008F38DA"/>
    <w:rsid w:val="008F3DE4"/>
    <w:rsid w:val="008F4028"/>
    <w:rsid w:val="008F45AC"/>
    <w:rsid w:val="008F4717"/>
    <w:rsid w:val="008F4B37"/>
    <w:rsid w:val="008F59F6"/>
    <w:rsid w:val="008F6049"/>
    <w:rsid w:val="008F6095"/>
    <w:rsid w:val="008F67A1"/>
    <w:rsid w:val="008F6F71"/>
    <w:rsid w:val="008F7328"/>
    <w:rsid w:val="008F7BE2"/>
    <w:rsid w:val="008F7BFA"/>
    <w:rsid w:val="008F7C04"/>
    <w:rsid w:val="008F7C2F"/>
    <w:rsid w:val="008F7CE5"/>
    <w:rsid w:val="008F7EBB"/>
    <w:rsid w:val="00900022"/>
    <w:rsid w:val="00900215"/>
    <w:rsid w:val="00900719"/>
    <w:rsid w:val="009008FA"/>
    <w:rsid w:val="00900952"/>
    <w:rsid w:val="00900EB7"/>
    <w:rsid w:val="009014BD"/>
    <w:rsid w:val="009016C5"/>
    <w:rsid w:val="009017AC"/>
    <w:rsid w:val="00901AA9"/>
    <w:rsid w:val="0090271B"/>
    <w:rsid w:val="00902A9A"/>
    <w:rsid w:val="00902B7F"/>
    <w:rsid w:val="00903839"/>
    <w:rsid w:val="00903B70"/>
    <w:rsid w:val="0090440A"/>
    <w:rsid w:val="00904A1C"/>
    <w:rsid w:val="00904C01"/>
    <w:rsid w:val="00905030"/>
    <w:rsid w:val="00905087"/>
    <w:rsid w:val="009051D3"/>
    <w:rsid w:val="009053EB"/>
    <w:rsid w:val="00905546"/>
    <w:rsid w:val="00905B11"/>
    <w:rsid w:val="00905CE4"/>
    <w:rsid w:val="0090611D"/>
    <w:rsid w:val="00906319"/>
    <w:rsid w:val="00906490"/>
    <w:rsid w:val="00906968"/>
    <w:rsid w:val="00906D46"/>
    <w:rsid w:val="00906F71"/>
    <w:rsid w:val="009070E6"/>
    <w:rsid w:val="009074EF"/>
    <w:rsid w:val="00907634"/>
    <w:rsid w:val="00907A79"/>
    <w:rsid w:val="0091070C"/>
    <w:rsid w:val="0091093C"/>
    <w:rsid w:val="00910D8D"/>
    <w:rsid w:val="00910F79"/>
    <w:rsid w:val="00911084"/>
    <w:rsid w:val="009111B2"/>
    <w:rsid w:val="00911550"/>
    <w:rsid w:val="009117B6"/>
    <w:rsid w:val="00911B1A"/>
    <w:rsid w:val="00911BD5"/>
    <w:rsid w:val="00911C70"/>
    <w:rsid w:val="00911FBF"/>
    <w:rsid w:val="00912083"/>
    <w:rsid w:val="00912148"/>
    <w:rsid w:val="0091240F"/>
    <w:rsid w:val="009126FD"/>
    <w:rsid w:val="00912BD1"/>
    <w:rsid w:val="00913CC8"/>
    <w:rsid w:val="00913D8E"/>
    <w:rsid w:val="009151F5"/>
    <w:rsid w:val="0091533F"/>
    <w:rsid w:val="009158D0"/>
    <w:rsid w:val="009159A2"/>
    <w:rsid w:val="00915A87"/>
    <w:rsid w:val="00915B26"/>
    <w:rsid w:val="0091604A"/>
    <w:rsid w:val="0091619C"/>
    <w:rsid w:val="009167F5"/>
    <w:rsid w:val="00916A26"/>
    <w:rsid w:val="00916C9F"/>
    <w:rsid w:val="00916FF2"/>
    <w:rsid w:val="00917416"/>
    <w:rsid w:val="00917ADA"/>
    <w:rsid w:val="00917D59"/>
    <w:rsid w:val="009207AD"/>
    <w:rsid w:val="00920811"/>
    <w:rsid w:val="009208DC"/>
    <w:rsid w:val="00920D5A"/>
    <w:rsid w:val="00920EB6"/>
    <w:rsid w:val="009210AB"/>
    <w:rsid w:val="00921BC7"/>
    <w:rsid w:val="00921D1C"/>
    <w:rsid w:val="00921F2C"/>
    <w:rsid w:val="0092239A"/>
    <w:rsid w:val="00922512"/>
    <w:rsid w:val="009226BE"/>
    <w:rsid w:val="009229F8"/>
    <w:rsid w:val="00922F2D"/>
    <w:rsid w:val="00923989"/>
    <w:rsid w:val="00923B64"/>
    <w:rsid w:val="00924237"/>
    <w:rsid w:val="009242A6"/>
    <w:rsid w:val="00924AE1"/>
    <w:rsid w:val="00925D4A"/>
    <w:rsid w:val="00925E8D"/>
    <w:rsid w:val="00925FA3"/>
    <w:rsid w:val="0092674A"/>
    <w:rsid w:val="009269B1"/>
    <w:rsid w:val="00926DC4"/>
    <w:rsid w:val="00926DE8"/>
    <w:rsid w:val="0092724D"/>
    <w:rsid w:val="009272B3"/>
    <w:rsid w:val="009272FA"/>
    <w:rsid w:val="0092765F"/>
    <w:rsid w:val="009279BA"/>
    <w:rsid w:val="00927C08"/>
    <w:rsid w:val="00927D01"/>
    <w:rsid w:val="00927DE9"/>
    <w:rsid w:val="009302CE"/>
    <w:rsid w:val="0093050C"/>
    <w:rsid w:val="00930C71"/>
    <w:rsid w:val="00930DEF"/>
    <w:rsid w:val="00931060"/>
    <w:rsid w:val="009315BE"/>
    <w:rsid w:val="00931ABA"/>
    <w:rsid w:val="00931ACF"/>
    <w:rsid w:val="0093206E"/>
    <w:rsid w:val="009326DD"/>
    <w:rsid w:val="00932823"/>
    <w:rsid w:val="00932CAF"/>
    <w:rsid w:val="00933250"/>
    <w:rsid w:val="0093338F"/>
    <w:rsid w:val="0093364B"/>
    <w:rsid w:val="00933715"/>
    <w:rsid w:val="00933A44"/>
    <w:rsid w:val="0093422E"/>
    <w:rsid w:val="00934685"/>
    <w:rsid w:val="00934DA5"/>
    <w:rsid w:val="0093546A"/>
    <w:rsid w:val="0093576C"/>
    <w:rsid w:val="009359F5"/>
    <w:rsid w:val="00935C3B"/>
    <w:rsid w:val="00935DF0"/>
    <w:rsid w:val="00936002"/>
    <w:rsid w:val="0093621E"/>
    <w:rsid w:val="009371CF"/>
    <w:rsid w:val="009375A9"/>
    <w:rsid w:val="009375E0"/>
    <w:rsid w:val="009377EB"/>
    <w:rsid w:val="00937B59"/>
    <w:rsid w:val="00937BD9"/>
    <w:rsid w:val="00940038"/>
    <w:rsid w:val="0094011F"/>
    <w:rsid w:val="00940EE5"/>
    <w:rsid w:val="00941063"/>
    <w:rsid w:val="00941968"/>
    <w:rsid w:val="00941A98"/>
    <w:rsid w:val="009427F7"/>
    <w:rsid w:val="00943775"/>
    <w:rsid w:val="009447D7"/>
    <w:rsid w:val="00944F7F"/>
    <w:rsid w:val="0094511C"/>
    <w:rsid w:val="009458C1"/>
    <w:rsid w:val="009459EC"/>
    <w:rsid w:val="00945AD7"/>
    <w:rsid w:val="00945B7A"/>
    <w:rsid w:val="00945FA3"/>
    <w:rsid w:val="009463CA"/>
    <w:rsid w:val="00946C90"/>
    <w:rsid w:val="00946F28"/>
    <w:rsid w:val="00946F62"/>
    <w:rsid w:val="00947623"/>
    <w:rsid w:val="00947653"/>
    <w:rsid w:val="00950CFC"/>
    <w:rsid w:val="00950E2C"/>
    <w:rsid w:val="009512AC"/>
    <w:rsid w:val="009518E3"/>
    <w:rsid w:val="00951970"/>
    <w:rsid w:val="0095197B"/>
    <w:rsid w:val="00951AA5"/>
    <w:rsid w:val="00951D50"/>
    <w:rsid w:val="009525EB"/>
    <w:rsid w:val="00952C0E"/>
    <w:rsid w:val="00952D7E"/>
    <w:rsid w:val="00952F4F"/>
    <w:rsid w:val="00952FA4"/>
    <w:rsid w:val="009537EA"/>
    <w:rsid w:val="00953CAC"/>
    <w:rsid w:val="00953FAB"/>
    <w:rsid w:val="00953FE9"/>
    <w:rsid w:val="009541D4"/>
    <w:rsid w:val="0095470B"/>
    <w:rsid w:val="00954874"/>
    <w:rsid w:val="00954A45"/>
    <w:rsid w:val="00954B73"/>
    <w:rsid w:val="009556C2"/>
    <w:rsid w:val="00955937"/>
    <w:rsid w:val="00955E29"/>
    <w:rsid w:val="009560C6"/>
    <w:rsid w:val="0095615A"/>
    <w:rsid w:val="00956749"/>
    <w:rsid w:val="0095698B"/>
    <w:rsid w:val="009569B4"/>
    <w:rsid w:val="00956A8C"/>
    <w:rsid w:val="00956AEF"/>
    <w:rsid w:val="00956C74"/>
    <w:rsid w:val="00957533"/>
    <w:rsid w:val="00957963"/>
    <w:rsid w:val="009602DB"/>
    <w:rsid w:val="009607AA"/>
    <w:rsid w:val="009609B4"/>
    <w:rsid w:val="00960A6E"/>
    <w:rsid w:val="00960B50"/>
    <w:rsid w:val="00960C43"/>
    <w:rsid w:val="00961044"/>
    <w:rsid w:val="00961325"/>
    <w:rsid w:val="00961400"/>
    <w:rsid w:val="00961D05"/>
    <w:rsid w:val="00962909"/>
    <w:rsid w:val="009630D1"/>
    <w:rsid w:val="009634F5"/>
    <w:rsid w:val="00963646"/>
    <w:rsid w:val="00963907"/>
    <w:rsid w:val="00963F12"/>
    <w:rsid w:val="009643F4"/>
    <w:rsid w:val="00964531"/>
    <w:rsid w:val="0096456F"/>
    <w:rsid w:val="00965133"/>
    <w:rsid w:val="0096516E"/>
    <w:rsid w:val="0096585C"/>
    <w:rsid w:val="00965EF5"/>
    <w:rsid w:val="00965FA2"/>
    <w:rsid w:val="0096632D"/>
    <w:rsid w:val="009663FE"/>
    <w:rsid w:val="00966446"/>
    <w:rsid w:val="0096656F"/>
    <w:rsid w:val="009668D4"/>
    <w:rsid w:val="00966AD5"/>
    <w:rsid w:val="00966E81"/>
    <w:rsid w:val="00967124"/>
    <w:rsid w:val="00967227"/>
    <w:rsid w:val="009675F3"/>
    <w:rsid w:val="0096762A"/>
    <w:rsid w:val="0097061D"/>
    <w:rsid w:val="00970962"/>
    <w:rsid w:val="00970A80"/>
    <w:rsid w:val="00970B16"/>
    <w:rsid w:val="00970B32"/>
    <w:rsid w:val="009713D6"/>
    <w:rsid w:val="00971560"/>
    <w:rsid w:val="0097166C"/>
    <w:rsid w:val="00971759"/>
    <w:rsid w:val="009718C7"/>
    <w:rsid w:val="009718D3"/>
    <w:rsid w:val="00971DF7"/>
    <w:rsid w:val="00972093"/>
    <w:rsid w:val="009726D5"/>
    <w:rsid w:val="009729ED"/>
    <w:rsid w:val="00972BD1"/>
    <w:rsid w:val="00972CF7"/>
    <w:rsid w:val="00973A98"/>
    <w:rsid w:val="00973B2D"/>
    <w:rsid w:val="00973F33"/>
    <w:rsid w:val="00973F55"/>
    <w:rsid w:val="00974A5C"/>
    <w:rsid w:val="00974A65"/>
    <w:rsid w:val="00974E51"/>
    <w:rsid w:val="009750CA"/>
    <w:rsid w:val="0097559F"/>
    <w:rsid w:val="0097581B"/>
    <w:rsid w:val="00975C1B"/>
    <w:rsid w:val="00975FF4"/>
    <w:rsid w:val="00976036"/>
    <w:rsid w:val="009761EA"/>
    <w:rsid w:val="00976430"/>
    <w:rsid w:val="0097705A"/>
    <w:rsid w:val="00977381"/>
    <w:rsid w:val="0097761E"/>
    <w:rsid w:val="0097765A"/>
    <w:rsid w:val="00977903"/>
    <w:rsid w:val="00977FCB"/>
    <w:rsid w:val="009812BA"/>
    <w:rsid w:val="0098139F"/>
    <w:rsid w:val="00981ECC"/>
    <w:rsid w:val="00981F36"/>
    <w:rsid w:val="009820E3"/>
    <w:rsid w:val="009822DD"/>
    <w:rsid w:val="0098233D"/>
    <w:rsid w:val="0098233E"/>
    <w:rsid w:val="00982454"/>
    <w:rsid w:val="009825E0"/>
    <w:rsid w:val="00982CF0"/>
    <w:rsid w:val="0098321C"/>
    <w:rsid w:val="00983442"/>
    <w:rsid w:val="009835AD"/>
    <w:rsid w:val="0098398C"/>
    <w:rsid w:val="00983C73"/>
    <w:rsid w:val="00984199"/>
    <w:rsid w:val="00984315"/>
    <w:rsid w:val="009852DF"/>
    <w:rsid w:val="009853E1"/>
    <w:rsid w:val="0098548E"/>
    <w:rsid w:val="00985791"/>
    <w:rsid w:val="00985964"/>
    <w:rsid w:val="00986E6B"/>
    <w:rsid w:val="00986E79"/>
    <w:rsid w:val="00987855"/>
    <w:rsid w:val="00987A68"/>
    <w:rsid w:val="00987D46"/>
    <w:rsid w:val="00990032"/>
    <w:rsid w:val="009900C6"/>
    <w:rsid w:val="009908F5"/>
    <w:rsid w:val="00990B19"/>
    <w:rsid w:val="00990BC5"/>
    <w:rsid w:val="00990FCD"/>
    <w:rsid w:val="00991300"/>
    <w:rsid w:val="00991511"/>
    <w:rsid w:val="0099153B"/>
    <w:rsid w:val="00991769"/>
    <w:rsid w:val="009918E4"/>
    <w:rsid w:val="0099232C"/>
    <w:rsid w:val="009923BA"/>
    <w:rsid w:val="009927C7"/>
    <w:rsid w:val="00992E7B"/>
    <w:rsid w:val="00993611"/>
    <w:rsid w:val="00993802"/>
    <w:rsid w:val="009938F9"/>
    <w:rsid w:val="00993B35"/>
    <w:rsid w:val="00993E33"/>
    <w:rsid w:val="00994386"/>
    <w:rsid w:val="00994F9E"/>
    <w:rsid w:val="00995884"/>
    <w:rsid w:val="00996432"/>
    <w:rsid w:val="00996987"/>
    <w:rsid w:val="00997E54"/>
    <w:rsid w:val="00997FA3"/>
    <w:rsid w:val="009A009A"/>
    <w:rsid w:val="009A0134"/>
    <w:rsid w:val="009A0215"/>
    <w:rsid w:val="009A0D53"/>
    <w:rsid w:val="009A0E7D"/>
    <w:rsid w:val="009A0F3A"/>
    <w:rsid w:val="009A10D8"/>
    <w:rsid w:val="009A1163"/>
    <w:rsid w:val="009A13D8"/>
    <w:rsid w:val="009A1651"/>
    <w:rsid w:val="009A1786"/>
    <w:rsid w:val="009A19D0"/>
    <w:rsid w:val="009A236E"/>
    <w:rsid w:val="009A25C4"/>
    <w:rsid w:val="009A279E"/>
    <w:rsid w:val="009A27E2"/>
    <w:rsid w:val="009A2A54"/>
    <w:rsid w:val="009A2DA1"/>
    <w:rsid w:val="009A3015"/>
    <w:rsid w:val="009A3258"/>
    <w:rsid w:val="009A3347"/>
    <w:rsid w:val="009A3490"/>
    <w:rsid w:val="009A3572"/>
    <w:rsid w:val="009A3765"/>
    <w:rsid w:val="009A3844"/>
    <w:rsid w:val="009A3F04"/>
    <w:rsid w:val="009A4067"/>
    <w:rsid w:val="009A408D"/>
    <w:rsid w:val="009A43D7"/>
    <w:rsid w:val="009A49AE"/>
    <w:rsid w:val="009A4B1F"/>
    <w:rsid w:val="009A4C29"/>
    <w:rsid w:val="009A4D6D"/>
    <w:rsid w:val="009A4D8A"/>
    <w:rsid w:val="009A51EC"/>
    <w:rsid w:val="009A5230"/>
    <w:rsid w:val="009A540E"/>
    <w:rsid w:val="009A57D1"/>
    <w:rsid w:val="009A5DAB"/>
    <w:rsid w:val="009A6114"/>
    <w:rsid w:val="009A6284"/>
    <w:rsid w:val="009A652D"/>
    <w:rsid w:val="009A6535"/>
    <w:rsid w:val="009A66A8"/>
    <w:rsid w:val="009A6A2D"/>
    <w:rsid w:val="009A6B81"/>
    <w:rsid w:val="009A7478"/>
    <w:rsid w:val="009A77CB"/>
    <w:rsid w:val="009A784E"/>
    <w:rsid w:val="009A7C9E"/>
    <w:rsid w:val="009B0058"/>
    <w:rsid w:val="009B00BD"/>
    <w:rsid w:val="009B034B"/>
    <w:rsid w:val="009B0397"/>
    <w:rsid w:val="009B03EB"/>
    <w:rsid w:val="009B04A8"/>
    <w:rsid w:val="009B07C4"/>
    <w:rsid w:val="009B0843"/>
    <w:rsid w:val="009B094E"/>
    <w:rsid w:val="009B0A6F"/>
    <w:rsid w:val="009B0A94"/>
    <w:rsid w:val="009B0AB5"/>
    <w:rsid w:val="009B0C62"/>
    <w:rsid w:val="009B10FE"/>
    <w:rsid w:val="009B11E5"/>
    <w:rsid w:val="009B18BE"/>
    <w:rsid w:val="009B1B62"/>
    <w:rsid w:val="009B1C8E"/>
    <w:rsid w:val="009B2101"/>
    <w:rsid w:val="009B256A"/>
    <w:rsid w:val="009B2887"/>
    <w:rsid w:val="009B295C"/>
    <w:rsid w:val="009B2ACB"/>
    <w:rsid w:val="009B2AE8"/>
    <w:rsid w:val="009B2E53"/>
    <w:rsid w:val="009B3493"/>
    <w:rsid w:val="009B3A40"/>
    <w:rsid w:val="009B4099"/>
    <w:rsid w:val="009B4471"/>
    <w:rsid w:val="009B5398"/>
    <w:rsid w:val="009B5622"/>
    <w:rsid w:val="009B59E9"/>
    <w:rsid w:val="009B5A5D"/>
    <w:rsid w:val="009B5CBD"/>
    <w:rsid w:val="009B5CF7"/>
    <w:rsid w:val="009B5F09"/>
    <w:rsid w:val="009B61BF"/>
    <w:rsid w:val="009B61F6"/>
    <w:rsid w:val="009B686B"/>
    <w:rsid w:val="009B689A"/>
    <w:rsid w:val="009B68A0"/>
    <w:rsid w:val="009B6DB0"/>
    <w:rsid w:val="009B70AA"/>
    <w:rsid w:val="009B7189"/>
    <w:rsid w:val="009B7A1E"/>
    <w:rsid w:val="009C018F"/>
    <w:rsid w:val="009C0248"/>
    <w:rsid w:val="009C0C03"/>
    <w:rsid w:val="009C0D39"/>
    <w:rsid w:val="009C10C2"/>
    <w:rsid w:val="009C11D8"/>
    <w:rsid w:val="009C1815"/>
    <w:rsid w:val="009C1B2B"/>
    <w:rsid w:val="009C1D14"/>
    <w:rsid w:val="009C1E2B"/>
    <w:rsid w:val="009C2010"/>
    <w:rsid w:val="009C244F"/>
    <w:rsid w:val="009C245E"/>
    <w:rsid w:val="009C2834"/>
    <w:rsid w:val="009C31AC"/>
    <w:rsid w:val="009C323C"/>
    <w:rsid w:val="009C3286"/>
    <w:rsid w:val="009C3296"/>
    <w:rsid w:val="009C34CB"/>
    <w:rsid w:val="009C35D2"/>
    <w:rsid w:val="009C4E95"/>
    <w:rsid w:val="009C4F94"/>
    <w:rsid w:val="009C53A0"/>
    <w:rsid w:val="009C5E77"/>
    <w:rsid w:val="009C67FC"/>
    <w:rsid w:val="009C6835"/>
    <w:rsid w:val="009C69B7"/>
    <w:rsid w:val="009C6D8E"/>
    <w:rsid w:val="009C6EA7"/>
    <w:rsid w:val="009C7012"/>
    <w:rsid w:val="009C716B"/>
    <w:rsid w:val="009C7A7E"/>
    <w:rsid w:val="009C7A9C"/>
    <w:rsid w:val="009C7C54"/>
    <w:rsid w:val="009C7D18"/>
    <w:rsid w:val="009C7F15"/>
    <w:rsid w:val="009D00D1"/>
    <w:rsid w:val="009D02E8"/>
    <w:rsid w:val="009D03A6"/>
    <w:rsid w:val="009D0653"/>
    <w:rsid w:val="009D0AF3"/>
    <w:rsid w:val="009D0B27"/>
    <w:rsid w:val="009D0CB7"/>
    <w:rsid w:val="009D1049"/>
    <w:rsid w:val="009D1115"/>
    <w:rsid w:val="009D11C0"/>
    <w:rsid w:val="009D1802"/>
    <w:rsid w:val="009D1A56"/>
    <w:rsid w:val="009D21FF"/>
    <w:rsid w:val="009D2458"/>
    <w:rsid w:val="009D25B5"/>
    <w:rsid w:val="009D3126"/>
    <w:rsid w:val="009D37B9"/>
    <w:rsid w:val="009D3A27"/>
    <w:rsid w:val="009D3D92"/>
    <w:rsid w:val="009D4316"/>
    <w:rsid w:val="009D4973"/>
    <w:rsid w:val="009D49E4"/>
    <w:rsid w:val="009D4ECF"/>
    <w:rsid w:val="009D4FB5"/>
    <w:rsid w:val="009D4FC9"/>
    <w:rsid w:val="009D51D0"/>
    <w:rsid w:val="009D52AD"/>
    <w:rsid w:val="009D52EC"/>
    <w:rsid w:val="009D5777"/>
    <w:rsid w:val="009D5BDD"/>
    <w:rsid w:val="009D5E98"/>
    <w:rsid w:val="009D5F8C"/>
    <w:rsid w:val="009D6828"/>
    <w:rsid w:val="009D6CCF"/>
    <w:rsid w:val="009D70A4"/>
    <w:rsid w:val="009D7B14"/>
    <w:rsid w:val="009D7EFF"/>
    <w:rsid w:val="009E04BE"/>
    <w:rsid w:val="009E0734"/>
    <w:rsid w:val="009E08A6"/>
    <w:rsid w:val="009E08D1"/>
    <w:rsid w:val="009E0950"/>
    <w:rsid w:val="009E0AF6"/>
    <w:rsid w:val="009E0C16"/>
    <w:rsid w:val="009E0D18"/>
    <w:rsid w:val="009E0D96"/>
    <w:rsid w:val="009E0E8F"/>
    <w:rsid w:val="009E144E"/>
    <w:rsid w:val="009E16FF"/>
    <w:rsid w:val="009E1A82"/>
    <w:rsid w:val="009E1B95"/>
    <w:rsid w:val="009E22B8"/>
    <w:rsid w:val="009E257F"/>
    <w:rsid w:val="009E259A"/>
    <w:rsid w:val="009E2F20"/>
    <w:rsid w:val="009E3255"/>
    <w:rsid w:val="009E35F6"/>
    <w:rsid w:val="009E378B"/>
    <w:rsid w:val="009E39DA"/>
    <w:rsid w:val="009E44ED"/>
    <w:rsid w:val="009E496F"/>
    <w:rsid w:val="009E4B0D"/>
    <w:rsid w:val="009E4BDB"/>
    <w:rsid w:val="009E4DA8"/>
    <w:rsid w:val="009E4FDF"/>
    <w:rsid w:val="009E5137"/>
    <w:rsid w:val="009E5250"/>
    <w:rsid w:val="009E5890"/>
    <w:rsid w:val="009E5A21"/>
    <w:rsid w:val="009E5DEF"/>
    <w:rsid w:val="009E6094"/>
    <w:rsid w:val="009E6099"/>
    <w:rsid w:val="009E65D7"/>
    <w:rsid w:val="009E6D97"/>
    <w:rsid w:val="009E6F32"/>
    <w:rsid w:val="009E711F"/>
    <w:rsid w:val="009E78BD"/>
    <w:rsid w:val="009E7961"/>
    <w:rsid w:val="009E7A69"/>
    <w:rsid w:val="009E7BBC"/>
    <w:rsid w:val="009E7F92"/>
    <w:rsid w:val="009F02A3"/>
    <w:rsid w:val="009F0CAC"/>
    <w:rsid w:val="009F1C0B"/>
    <w:rsid w:val="009F2182"/>
    <w:rsid w:val="009F2486"/>
    <w:rsid w:val="009F259A"/>
    <w:rsid w:val="009F272E"/>
    <w:rsid w:val="009F2B02"/>
    <w:rsid w:val="009F2D6B"/>
    <w:rsid w:val="009F2D76"/>
    <w:rsid w:val="009F2F27"/>
    <w:rsid w:val="009F34AA"/>
    <w:rsid w:val="009F3699"/>
    <w:rsid w:val="009F3862"/>
    <w:rsid w:val="009F447F"/>
    <w:rsid w:val="009F4554"/>
    <w:rsid w:val="009F4622"/>
    <w:rsid w:val="009F4B49"/>
    <w:rsid w:val="009F4CBB"/>
    <w:rsid w:val="009F4E6D"/>
    <w:rsid w:val="009F4FE3"/>
    <w:rsid w:val="009F508E"/>
    <w:rsid w:val="009F5535"/>
    <w:rsid w:val="009F572B"/>
    <w:rsid w:val="009F575C"/>
    <w:rsid w:val="009F60E6"/>
    <w:rsid w:val="009F627F"/>
    <w:rsid w:val="009F6BCB"/>
    <w:rsid w:val="009F6D4B"/>
    <w:rsid w:val="009F7068"/>
    <w:rsid w:val="009F7689"/>
    <w:rsid w:val="009F7970"/>
    <w:rsid w:val="009F7B78"/>
    <w:rsid w:val="009F7CA0"/>
    <w:rsid w:val="009F7DD7"/>
    <w:rsid w:val="009FFED1"/>
    <w:rsid w:val="00A001BA"/>
    <w:rsid w:val="00A0023B"/>
    <w:rsid w:val="00A002CB"/>
    <w:rsid w:val="00A00520"/>
    <w:rsid w:val="00A0057A"/>
    <w:rsid w:val="00A00E48"/>
    <w:rsid w:val="00A01B61"/>
    <w:rsid w:val="00A01C3B"/>
    <w:rsid w:val="00A02277"/>
    <w:rsid w:val="00A02345"/>
    <w:rsid w:val="00A02773"/>
    <w:rsid w:val="00A02FA1"/>
    <w:rsid w:val="00A0336D"/>
    <w:rsid w:val="00A036A5"/>
    <w:rsid w:val="00A03DF4"/>
    <w:rsid w:val="00A04117"/>
    <w:rsid w:val="00A04254"/>
    <w:rsid w:val="00A04401"/>
    <w:rsid w:val="00A04ACE"/>
    <w:rsid w:val="00A04CCE"/>
    <w:rsid w:val="00A0533B"/>
    <w:rsid w:val="00A05406"/>
    <w:rsid w:val="00A05587"/>
    <w:rsid w:val="00A056B4"/>
    <w:rsid w:val="00A057BB"/>
    <w:rsid w:val="00A0580A"/>
    <w:rsid w:val="00A05B29"/>
    <w:rsid w:val="00A0611A"/>
    <w:rsid w:val="00A066A2"/>
    <w:rsid w:val="00A06763"/>
    <w:rsid w:val="00A068A2"/>
    <w:rsid w:val="00A069BD"/>
    <w:rsid w:val="00A06D65"/>
    <w:rsid w:val="00A06E2A"/>
    <w:rsid w:val="00A06E4C"/>
    <w:rsid w:val="00A06F35"/>
    <w:rsid w:val="00A070CF"/>
    <w:rsid w:val="00A07290"/>
    <w:rsid w:val="00A07421"/>
    <w:rsid w:val="00A074B1"/>
    <w:rsid w:val="00A076D8"/>
    <w:rsid w:val="00A0776B"/>
    <w:rsid w:val="00A07FA8"/>
    <w:rsid w:val="00A102B2"/>
    <w:rsid w:val="00A10FB9"/>
    <w:rsid w:val="00A11421"/>
    <w:rsid w:val="00A114BA"/>
    <w:rsid w:val="00A11810"/>
    <w:rsid w:val="00A12493"/>
    <w:rsid w:val="00A124E2"/>
    <w:rsid w:val="00A12BB1"/>
    <w:rsid w:val="00A12BE8"/>
    <w:rsid w:val="00A1389F"/>
    <w:rsid w:val="00A138F5"/>
    <w:rsid w:val="00A13AD3"/>
    <w:rsid w:val="00A13B7A"/>
    <w:rsid w:val="00A13D2A"/>
    <w:rsid w:val="00A13D4A"/>
    <w:rsid w:val="00A13F2B"/>
    <w:rsid w:val="00A1406F"/>
    <w:rsid w:val="00A1442A"/>
    <w:rsid w:val="00A145AC"/>
    <w:rsid w:val="00A14CD0"/>
    <w:rsid w:val="00A1506E"/>
    <w:rsid w:val="00A15256"/>
    <w:rsid w:val="00A15639"/>
    <w:rsid w:val="00A157B1"/>
    <w:rsid w:val="00A161F0"/>
    <w:rsid w:val="00A16386"/>
    <w:rsid w:val="00A1695E"/>
    <w:rsid w:val="00A169CC"/>
    <w:rsid w:val="00A16F1A"/>
    <w:rsid w:val="00A17804"/>
    <w:rsid w:val="00A17847"/>
    <w:rsid w:val="00A17A78"/>
    <w:rsid w:val="00A17B28"/>
    <w:rsid w:val="00A17DDF"/>
    <w:rsid w:val="00A2057D"/>
    <w:rsid w:val="00A2070E"/>
    <w:rsid w:val="00A20713"/>
    <w:rsid w:val="00A208D1"/>
    <w:rsid w:val="00A2097F"/>
    <w:rsid w:val="00A20ADA"/>
    <w:rsid w:val="00A20C2C"/>
    <w:rsid w:val="00A21103"/>
    <w:rsid w:val="00A2131C"/>
    <w:rsid w:val="00A22229"/>
    <w:rsid w:val="00A223FE"/>
    <w:rsid w:val="00A22440"/>
    <w:rsid w:val="00A22471"/>
    <w:rsid w:val="00A227BE"/>
    <w:rsid w:val="00A22B55"/>
    <w:rsid w:val="00A22D43"/>
    <w:rsid w:val="00A22EA4"/>
    <w:rsid w:val="00A23314"/>
    <w:rsid w:val="00A236E9"/>
    <w:rsid w:val="00A238C1"/>
    <w:rsid w:val="00A239EA"/>
    <w:rsid w:val="00A23C7D"/>
    <w:rsid w:val="00A24442"/>
    <w:rsid w:val="00A248E7"/>
    <w:rsid w:val="00A24ADA"/>
    <w:rsid w:val="00A24CE6"/>
    <w:rsid w:val="00A24D63"/>
    <w:rsid w:val="00A2548E"/>
    <w:rsid w:val="00A255D6"/>
    <w:rsid w:val="00A25871"/>
    <w:rsid w:val="00A25990"/>
    <w:rsid w:val="00A25D85"/>
    <w:rsid w:val="00A26030"/>
    <w:rsid w:val="00A262C0"/>
    <w:rsid w:val="00A26DE8"/>
    <w:rsid w:val="00A27562"/>
    <w:rsid w:val="00A27DE8"/>
    <w:rsid w:val="00A3019D"/>
    <w:rsid w:val="00A306D4"/>
    <w:rsid w:val="00A313DB"/>
    <w:rsid w:val="00A3180C"/>
    <w:rsid w:val="00A31B0B"/>
    <w:rsid w:val="00A3205A"/>
    <w:rsid w:val="00A32577"/>
    <w:rsid w:val="00A32DD6"/>
    <w:rsid w:val="00A32E86"/>
    <w:rsid w:val="00A330BB"/>
    <w:rsid w:val="00A33E86"/>
    <w:rsid w:val="00A33F6D"/>
    <w:rsid w:val="00A34054"/>
    <w:rsid w:val="00A353C7"/>
    <w:rsid w:val="00A35421"/>
    <w:rsid w:val="00A3593C"/>
    <w:rsid w:val="00A35BD9"/>
    <w:rsid w:val="00A362A4"/>
    <w:rsid w:val="00A365BA"/>
    <w:rsid w:val="00A370C5"/>
    <w:rsid w:val="00A374D6"/>
    <w:rsid w:val="00A3756A"/>
    <w:rsid w:val="00A3775A"/>
    <w:rsid w:val="00A3785E"/>
    <w:rsid w:val="00A37CCA"/>
    <w:rsid w:val="00A4019F"/>
    <w:rsid w:val="00A40787"/>
    <w:rsid w:val="00A407D2"/>
    <w:rsid w:val="00A40F31"/>
    <w:rsid w:val="00A410F6"/>
    <w:rsid w:val="00A413E2"/>
    <w:rsid w:val="00A41644"/>
    <w:rsid w:val="00A42789"/>
    <w:rsid w:val="00A42EF6"/>
    <w:rsid w:val="00A4329D"/>
    <w:rsid w:val="00A4381D"/>
    <w:rsid w:val="00A43DAF"/>
    <w:rsid w:val="00A444C2"/>
    <w:rsid w:val="00A446F5"/>
    <w:rsid w:val="00A44882"/>
    <w:rsid w:val="00A44EA1"/>
    <w:rsid w:val="00A44F7F"/>
    <w:rsid w:val="00A44FA1"/>
    <w:rsid w:val="00A45125"/>
    <w:rsid w:val="00A45583"/>
    <w:rsid w:val="00A4563D"/>
    <w:rsid w:val="00A4578B"/>
    <w:rsid w:val="00A45C31"/>
    <w:rsid w:val="00A466F7"/>
    <w:rsid w:val="00A46AE9"/>
    <w:rsid w:val="00A47B06"/>
    <w:rsid w:val="00A47EEA"/>
    <w:rsid w:val="00A5047B"/>
    <w:rsid w:val="00A50DA3"/>
    <w:rsid w:val="00A50F48"/>
    <w:rsid w:val="00A50F7F"/>
    <w:rsid w:val="00A510B3"/>
    <w:rsid w:val="00A513F5"/>
    <w:rsid w:val="00A51425"/>
    <w:rsid w:val="00A51EF9"/>
    <w:rsid w:val="00A52878"/>
    <w:rsid w:val="00A52F41"/>
    <w:rsid w:val="00A52FFC"/>
    <w:rsid w:val="00A531D9"/>
    <w:rsid w:val="00A5335C"/>
    <w:rsid w:val="00A5356D"/>
    <w:rsid w:val="00A53933"/>
    <w:rsid w:val="00A53A01"/>
    <w:rsid w:val="00A53FBA"/>
    <w:rsid w:val="00A53FE7"/>
    <w:rsid w:val="00A546ED"/>
    <w:rsid w:val="00A54715"/>
    <w:rsid w:val="00A54B51"/>
    <w:rsid w:val="00A54E41"/>
    <w:rsid w:val="00A54F64"/>
    <w:rsid w:val="00A55618"/>
    <w:rsid w:val="00A55638"/>
    <w:rsid w:val="00A5572F"/>
    <w:rsid w:val="00A558EF"/>
    <w:rsid w:val="00A55CF4"/>
    <w:rsid w:val="00A55F76"/>
    <w:rsid w:val="00A56069"/>
    <w:rsid w:val="00A56165"/>
    <w:rsid w:val="00A5616E"/>
    <w:rsid w:val="00A56A8F"/>
    <w:rsid w:val="00A56AC9"/>
    <w:rsid w:val="00A56DA3"/>
    <w:rsid w:val="00A570E8"/>
    <w:rsid w:val="00A57406"/>
    <w:rsid w:val="00A5759D"/>
    <w:rsid w:val="00A577A2"/>
    <w:rsid w:val="00A579BB"/>
    <w:rsid w:val="00A57B17"/>
    <w:rsid w:val="00A57D78"/>
    <w:rsid w:val="00A57DC7"/>
    <w:rsid w:val="00A57DF7"/>
    <w:rsid w:val="00A60166"/>
    <w:rsid w:val="00A60353"/>
    <w:rsid w:val="00A6061C"/>
    <w:rsid w:val="00A60D21"/>
    <w:rsid w:val="00A61228"/>
    <w:rsid w:val="00A61B03"/>
    <w:rsid w:val="00A61C3B"/>
    <w:rsid w:val="00A61CEF"/>
    <w:rsid w:val="00A61E0F"/>
    <w:rsid w:val="00A628B6"/>
    <w:rsid w:val="00A62960"/>
    <w:rsid w:val="00A62CBF"/>
    <w:rsid w:val="00A62D44"/>
    <w:rsid w:val="00A63231"/>
    <w:rsid w:val="00A6478D"/>
    <w:rsid w:val="00A64896"/>
    <w:rsid w:val="00A65006"/>
    <w:rsid w:val="00A65377"/>
    <w:rsid w:val="00A65EB1"/>
    <w:rsid w:val="00A66281"/>
    <w:rsid w:val="00A66833"/>
    <w:rsid w:val="00A67263"/>
    <w:rsid w:val="00A67608"/>
    <w:rsid w:val="00A67ABC"/>
    <w:rsid w:val="00A67DB3"/>
    <w:rsid w:val="00A67DC2"/>
    <w:rsid w:val="00A70305"/>
    <w:rsid w:val="00A70351"/>
    <w:rsid w:val="00A70A3E"/>
    <w:rsid w:val="00A710F3"/>
    <w:rsid w:val="00A713D2"/>
    <w:rsid w:val="00A7161C"/>
    <w:rsid w:val="00A71CE4"/>
    <w:rsid w:val="00A72464"/>
    <w:rsid w:val="00A72896"/>
    <w:rsid w:val="00A731D4"/>
    <w:rsid w:val="00A733EC"/>
    <w:rsid w:val="00A73553"/>
    <w:rsid w:val="00A736AB"/>
    <w:rsid w:val="00A73C68"/>
    <w:rsid w:val="00A74296"/>
    <w:rsid w:val="00A75A25"/>
    <w:rsid w:val="00A75B07"/>
    <w:rsid w:val="00A75C1E"/>
    <w:rsid w:val="00A75C99"/>
    <w:rsid w:val="00A75CB0"/>
    <w:rsid w:val="00A7633C"/>
    <w:rsid w:val="00A763AA"/>
    <w:rsid w:val="00A77076"/>
    <w:rsid w:val="00A771E9"/>
    <w:rsid w:val="00A77407"/>
    <w:rsid w:val="00A77869"/>
    <w:rsid w:val="00A77A3F"/>
    <w:rsid w:val="00A77AA3"/>
    <w:rsid w:val="00A80167"/>
    <w:rsid w:val="00A803F3"/>
    <w:rsid w:val="00A806B3"/>
    <w:rsid w:val="00A80976"/>
    <w:rsid w:val="00A81491"/>
    <w:rsid w:val="00A8166A"/>
    <w:rsid w:val="00A81C88"/>
    <w:rsid w:val="00A8236D"/>
    <w:rsid w:val="00A82C07"/>
    <w:rsid w:val="00A83090"/>
    <w:rsid w:val="00A83472"/>
    <w:rsid w:val="00A8352A"/>
    <w:rsid w:val="00A83A58"/>
    <w:rsid w:val="00A83A84"/>
    <w:rsid w:val="00A83C29"/>
    <w:rsid w:val="00A83C46"/>
    <w:rsid w:val="00A84049"/>
    <w:rsid w:val="00A840F1"/>
    <w:rsid w:val="00A8493A"/>
    <w:rsid w:val="00A8503C"/>
    <w:rsid w:val="00A85092"/>
    <w:rsid w:val="00A85131"/>
    <w:rsid w:val="00A854EB"/>
    <w:rsid w:val="00A8578B"/>
    <w:rsid w:val="00A859C9"/>
    <w:rsid w:val="00A85EED"/>
    <w:rsid w:val="00A86542"/>
    <w:rsid w:val="00A86CAA"/>
    <w:rsid w:val="00A86CC2"/>
    <w:rsid w:val="00A86D14"/>
    <w:rsid w:val="00A8700A"/>
    <w:rsid w:val="00A871BC"/>
    <w:rsid w:val="00A872E5"/>
    <w:rsid w:val="00A874AA"/>
    <w:rsid w:val="00A875A9"/>
    <w:rsid w:val="00A877C7"/>
    <w:rsid w:val="00A900B3"/>
    <w:rsid w:val="00A906B3"/>
    <w:rsid w:val="00A90C61"/>
    <w:rsid w:val="00A90CED"/>
    <w:rsid w:val="00A90EA1"/>
    <w:rsid w:val="00A913CA"/>
    <w:rsid w:val="00A91406"/>
    <w:rsid w:val="00A9143D"/>
    <w:rsid w:val="00A91549"/>
    <w:rsid w:val="00A9160E"/>
    <w:rsid w:val="00A91886"/>
    <w:rsid w:val="00A91BDD"/>
    <w:rsid w:val="00A91E5C"/>
    <w:rsid w:val="00A929AA"/>
    <w:rsid w:val="00A92BDB"/>
    <w:rsid w:val="00A92DFB"/>
    <w:rsid w:val="00A92EE7"/>
    <w:rsid w:val="00A9305D"/>
    <w:rsid w:val="00A932DA"/>
    <w:rsid w:val="00A93481"/>
    <w:rsid w:val="00A934A9"/>
    <w:rsid w:val="00A94026"/>
    <w:rsid w:val="00A9476C"/>
    <w:rsid w:val="00A948D8"/>
    <w:rsid w:val="00A95950"/>
    <w:rsid w:val="00A95CF6"/>
    <w:rsid w:val="00A96017"/>
    <w:rsid w:val="00A9662A"/>
    <w:rsid w:val="00A966FD"/>
    <w:rsid w:val="00A9689B"/>
    <w:rsid w:val="00A96BDB"/>
    <w:rsid w:val="00A96E65"/>
    <w:rsid w:val="00A96ECE"/>
    <w:rsid w:val="00A978D2"/>
    <w:rsid w:val="00A97C72"/>
    <w:rsid w:val="00A97F03"/>
    <w:rsid w:val="00AA01CE"/>
    <w:rsid w:val="00AA0437"/>
    <w:rsid w:val="00AA0AEC"/>
    <w:rsid w:val="00AA0E80"/>
    <w:rsid w:val="00AA15E6"/>
    <w:rsid w:val="00AA182B"/>
    <w:rsid w:val="00AA1D45"/>
    <w:rsid w:val="00AA26D7"/>
    <w:rsid w:val="00AA2842"/>
    <w:rsid w:val="00AA28C7"/>
    <w:rsid w:val="00AA310B"/>
    <w:rsid w:val="00AA341D"/>
    <w:rsid w:val="00AA3799"/>
    <w:rsid w:val="00AA3E8D"/>
    <w:rsid w:val="00AA3F98"/>
    <w:rsid w:val="00AA42B3"/>
    <w:rsid w:val="00AA42DC"/>
    <w:rsid w:val="00AA4B8E"/>
    <w:rsid w:val="00AA4CDB"/>
    <w:rsid w:val="00AA4DD3"/>
    <w:rsid w:val="00AA5765"/>
    <w:rsid w:val="00AA578C"/>
    <w:rsid w:val="00AA62AA"/>
    <w:rsid w:val="00AA63D4"/>
    <w:rsid w:val="00AA65E6"/>
    <w:rsid w:val="00AA6837"/>
    <w:rsid w:val="00AA68CB"/>
    <w:rsid w:val="00AA6BC8"/>
    <w:rsid w:val="00AA754C"/>
    <w:rsid w:val="00AA7C7F"/>
    <w:rsid w:val="00AB0164"/>
    <w:rsid w:val="00AB0330"/>
    <w:rsid w:val="00AB06E8"/>
    <w:rsid w:val="00AB0917"/>
    <w:rsid w:val="00AB0998"/>
    <w:rsid w:val="00AB0A79"/>
    <w:rsid w:val="00AB128F"/>
    <w:rsid w:val="00AB1CD3"/>
    <w:rsid w:val="00AB23DA"/>
    <w:rsid w:val="00AB2E78"/>
    <w:rsid w:val="00AB352F"/>
    <w:rsid w:val="00AB3709"/>
    <w:rsid w:val="00AB380D"/>
    <w:rsid w:val="00AB3C86"/>
    <w:rsid w:val="00AB415E"/>
    <w:rsid w:val="00AB42C8"/>
    <w:rsid w:val="00AB44CE"/>
    <w:rsid w:val="00AB4611"/>
    <w:rsid w:val="00AB47C2"/>
    <w:rsid w:val="00AB4A77"/>
    <w:rsid w:val="00AB4A8C"/>
    <w:rsid w:val="00AB4B7F"/>
    <w:rsid w:val="00AB4D13"/>
    <w:rsid w:val="00AB521B"/>
    <w:rsid w:val="00AB52D8"/>
    <w:rsid w:val="00AB5B59"/>
    <w:rsid w:val="00AB6915"/>
    <w:rsid w:val="00AB6B30"/>
    <w:rsid w:val="00AB6DEB"/>
    <w:rsid w:val="00AB6EF3"/>
    <w:rsid w:val="00AB71F5"/>
    <w:rsid w:val="00AB725C"/>
    <w:rsid w:val="00AB7312"/>
    <w:rsid w:val="00AB7719"/>
    <w:rsid w:val="00AB7BDD"/>
    <w:rsid w:val="00AB7D13"/>
    <w:rsid w:val="00AC05AF"/>
    <w:rsid w:val="00AC0885"/>
    <w:rsid w:val="00AC09B0"/>
    <w:rsid w:val="00AC0DA2"/>
    <w:rsid w:val="00AC0E2C"/>
    <w:rsid w:val="00AC0F08"/>
    <w:rsid w:val="00AC0F1D"/>
    <w:rsid w:val="00AC1037"/>
    <w:rsid w:val="00AC2443"/>
    <w:rsid w:val="00AC250F"/>
    <w:rsid w:val="00AC2683"/>
    <w:rsid w:val="00AC274B"/>
    <w:rsid w:val="00AC2926"/>
    <w:rsid w:val="00AC2A5B"/>
    <w:rsid w:val="00AC2BA1"/>
    <w:rsid w:val="00AC3218"/>
    <w:rsid w:val="00AC3644"/>
    <w:rsid w:val="00AC3A35"/>
    <w:rsid w:val="00AC3F84"/>
    <w:rsid w:val="00AC4764"/>
    <w:rsid w:val="00AC501F"/>
    <w:rsid w:val="00AC5082"/>
    <w:rsid w:val="00AC58A4"/>
    <w:rsid w:val="00AC5CBB"/>
    <w:rsid w:val="00AC62F6"/>
    <w:rsid w:val="00AC6576"/>
    <w:rsid w:val="00AC6620"/>
    <w:rsid w:val="00AC6912"/>
    <w:rsid w:val="00AC6AAD"/>
    <w:rsid w:val="00AC6CE9"/>
    <w:rsid w:val="00AC6D36"/>
    <w:rsid w:val="00AC6D53"/>
    <w:rsid w:val="00AC6F28"/>
    <w:rsid w:val="00AC71D1"/>
    <w:rsid w:val="00AC751B"/>
    <w:rsid w:val="00AC7711"/>
    <w:rsid w:val="00AC7B7D"/>
    <w:rsid w:val="00AC7FA5"/>
    <w:rsid w:val="00AD0135"/>
    <w:rsid w:val="00AD0164"/>
    <w:rsid w:val="00AD02F9"/>
    <w:rsid w:val="00AD03A1"/>
    <w:rsid w:val="00AD07AC"/>
    <w:rsid w:val="00AD0915"/>
    <w:rsid w:val="00AD0C3D"/>
    <w:rsid w:val="00AD0CBA"/>
    <w:rsid w:val="00AD0CFA"/>
    <w:rsid w:val="00AD0CFB"/>
    <w:rsid w:val="00AD2155"/>
    <w:rsid w:val="00AD26E2"/>
    <w:rsid w:val="00AD29B7"/>
    <w:rsid w:val="00AD357B"/>
    <w:rsid w:val="00AD368C"/>
    <w:rsid w:val="00AD3D9E"/>
    <w:rsid w:val="00AD40DF"/>
    <w:rsid w:val="00AD42D6"/>
    <w:rsid w:val="00AD4622"/>
    <w:rsid w:val="00AD47C4"/>
    <w:rsid w:val="00AD4FE9"/>
    <w:rsid w:val="00AD52C0"/>
    <w:rsid w:val="00AD53BF"/>
    <w:rsid w:val="00AD5877"/>
    <w:rsid w:val="00AD59C9"/>
    <w:rsid w:val="00AD5AB1"/>
    <w:rsid w:val="00AD5DD9"/>
    <w:rsid w:val="00AD72B0"/>
    <w:rsid w:val="00AD73CD"/>
    <w:rsid w:val="00AD74CD"/>
    <w:rsid w:val="00AD763B"/>
    <w:rsid w:val="00AD784C"/>
    <w:rsid w:val="00AD790D"/>
    <w:rsid w:val="00AD7DBA"/>
    <w:rsid w:val="00AD7FFD"/>
    <w:rsid w:val="00AE046A"/>
    <w:rsid w:val="00AE0A0E"/>
    <w:rsid w:val="00AE0CF4"/>
    <w:rsid w:val="00AE0FAC"/>
    <w:rsid w:val="00AE0FAE"/>
    <w:rsid w:val="00AE11A0"/>
    <w:rsid w:val="00AE126A"/>
    <w:rsid w:val="00AE1B1A"/>
    <w:rsid w:val="00AE1BAE"/>
    <w:rsid w:val="00AE1BD7"/>
    <w:rsid w:val="00AE21BF"/>
    <w:rsid w:val="00AE258C"/>
    <w:rsid w:val="00AE2BBC"/>
    <w:rsid w:val="00AE2BF5"/>
    <w:rsid w:val="00AE2ED9"/>
    <w:rsid w:val="00AE3005"/>
    <w:rsid w:val="00AE35AE"/>
    <w:rsid w:val="00AE3BD5"/>
    <w:rsid w:val="00AE4458"/>
    <w:rsid w:val="00AE4F37"/>
    <w:rsid w:val="00AE523C"/>
    <w:rsid w:val="00AE5677"/>
    <w:rsid w:val="00AE59A0"/>
    <w:rsid w:val="00AE5B04"/>
    <w:rsid w:val="00AE5DB5"/>
    <w:rsid w:val="00AE6217"/>
    <w:rsid w:val="00AE6226"/>
    <w:rsid w:val="00AE6427"/>
    <w:rsid w:val="00AE6501"/>
    <w:rsid w:val="00AE6AE7"/>
    <w:rsid w:val="00AE7344"/>
    <w:rsid w:val="00AE77CD"/>
    <w:rsid w:val="00AE7D07"/>
    <w:rsid w:val="00AE7EF4"/>
    <w:rsid w:val="00AE7F6D"/>
    <w:rsid w:val="00AF0023"/>
    <w:rsid w:val="00AF0BBA"/>
    <w:rsid w:val="00AF0C57"/>
    <w:rsid w:val="00AF0CF2"/>
    <w:rsid w:val="00AF10BF"/>
    <w:rsid w:val="00AF11BB"/>
    <w:rsid w:val="00AF247A"/>
    <w:rsid w:val="00AF26B7"/>
    <w:rsid w:val="00AF26F3"/>
    <w:rsid w:val="00AF2E9C"/>
    <w:rsid w:val="00AF2EAB"/>
    <w:rsid w:val="00AF2F29"/>
    <w:rsid w:val="00AF3132"/>
    <w:rsid w:val="00AF33DD"/>
    <w:rsid w:val="00AF3948"/>
    <w:rsid w:val="00AF3CF6"/>
    <w:rsid w:val="00AF3E11"/>
    <w:rsid w:val="00AF44BF"/>
    <w:rsid w:val="00AF4A65"/>
    <w:rsid w:val="00AF4CC4"/>
    <w:rsid w:val="00AF58F8"/>
    <w:rsid w:val="00AF5F04"/>
    <w:rsid w:val="00AF6054"/>
    <w:rsid w:val="00AF6065"/>
    <w:rsid w:val="00AF646F"/>
    <w:rsid w:val="00AF75C0"/>
    <w:rsid w:val="00AF7607"/>
    <w:rsid w:val="00AF7873"/>
    <w:rsid w:val="00B000C1"/>
    <w:rsid w:val="00B0062E"/>
    <w:rsid w:val="00B00672"/>
    <w:rsid w:val="00B0077A"/>
    <w:rsid w:val="00B00ABF"/>
    <w:rsid w:val="00B00C58"/>
    <w:rsid w:val="00B01373"/>
    <w:rsid w:val="00B01624"/>
    <w:rsid w:val="00B01B4D"/>
    <w:rsid w:val="00B01D94"/>
    <w:rsid w:val="00B0253F"/>
    <w:rsid w:val="00B0264D"/>
    <w:rsid w:val="00B02C77"/>
    <w:rsid w:val="00B02D58"/>
    <w:rsid w:val="00B02DA1"/>
    <w:rsid w:val="00B03086"/>
    <w:rsid w:val="00B03398"/>
    <w:rsid w:val="00B033F6"/>
    <w:rsid w:val="00B03780"/>
    <w:rsid w:val="00B03866"/>
    <w:rsid w:val="00B03CF4"/>
    <w:rsid w:val="00B03E59"/>
    <w:rsid w:val="00B04489"/>
    <w:rsid w:val="00B044FB"/>
    <w:rsid w:val="00B04CA0"/>
    <w:rsid w:val="00B04CDC"/>
    <w:rsid w:val="00B04D69"/>
    <w:rsid w:val="00B0519E"/>
    <w:rsid w:val="00B05F25"/>
    <w:rsid w:val="00B06571"/>
    <w:rsid w:val="00B06738"/>
    <w:rsid w:val="00B068BA"/>
    <w:rsid w:val="00B068CC"/>
    <w:rsid w:val="00B06978"/>
    <w:rsid w:val="00B069A5"/>
    <w:rsid w:val="00B06ACD"/>
    <w:rsid w:val="00B0701B"/>
    <w:rsid w:val="00B071BB"/>
    <w:rsid w:val="00B07217"/>
    <w:rsid w:val="00B07458"/>
    <w:rsid w:val="00B0748D"/>
    <w:rsid w:val="00B10291"/>
    <w:rsid w:val="00B10B18"/>
    <w:rsid w:val="00B10CB7"/>
    <w:rsid w:val="00B10F2A"/>
    <w:rsid w:val="00B111AD"/>
    <w:rsid w:val="00B115AF"/>
    <w:rsid w:val="00B12270"/>
    <w:rsid w:val="00B12D09"/>
    <w:rsid w:val="00B12E58"/>
    <w:rsid w:val="00B12E71"/>
    <w:rsid w:val="00B13178"/>
    <w:rsid w:val="00B132D7"/>
    <w:rsid w:val="00B13643"/>
    <w:rsid w:val="00B137E6"/>
    <w:rsid w:val="00B13851"/>
    <w:rsid w:val="00B13B1C"/>
    <w:rsid w:val="00B13F3C"/>
    <w:rsid w:val="00B14107"/>
    <w:rsid w:val="00B14149"/>
    <w:rsid w:val="00B14419"/>
    <w:rsid w:val="00B14B5F"/>
    <w:rsid w:val="00B151BA"/>
    <w:rsid w:val="00B15315"/>
    <w:rsid w:val="00B154DD"/>
    <w:rsid w:val="00B15B16"/>
    <w:rsid w:val="00B15B9F"/>
    <w:rsid w:val="00B1728C"/>
    <w:rsid w:val="00B17490"/>
    <w:rsid w:val="00B17A7E"/>
    <w:rsid w:val="00B20058"/>
    <w:rsid w:val="00B2028B"/>
    <w:rsid w:val="00B209EF"/>
    <w:rsid w:val="00B20B99"/>
    <w:rsid w:val="00B211D5"/>
    <w:rsid w:val="00B216B1"/>
    <w:rsid w:val="00B21B29"/>
    <w:rsid w:val="00B21F90"/>
    <w:rsid w:val="00B2214E"/>
    <w:rsid w:val="00B2216F"/>
    <w:rsid w:val="00B22291"/>
    <w:rsid w:val="00B22581"/>
    <w:rsid w:val="00B229E7"/>
    <w:rsid w:val="00B229F3"/>
    <w:rsid w:val="00B22AA7"/>
    <w:rsid w:val="00B22E6A"/>
    <w:rsid w:val="00B23F1A"/>
    <w:rsid w:val="00B23F9A"/>
    <w:rsid w:val="00B2417B"/>
    <w:rsid w:val="00B24750"/>
    <w:rsid w:val="00B24E6F"/>
    <w:rsid w:val="00B24EF5"/>
    <w:rsid w:val="00B24F8E"/>
    <w:rsid w:val="00B2517B"/>
    <w:rsid w:val="00B2560B"/>
    <w:rsid w:val="00B25643"/>
    <w:rsid w:val="00B258D0"/>
    <w:rsid w:val="00B258E3"/>
    <w:rsid w:val="00B2616D"/>
    <w:rsid w:val="00B262F6"/>
    <w:rsid w:val="00B267EB"/>
    <w:rsid w:val="00B26BB8"/>
    <w:rsid w:val="00B26CB5"/>
    <w:rsid w:val="00B2752E"/>
    <w:rsid w:val="00B278F1"/>
    <w:rsid w:val="00B27EE3"/>
    <w:rsid w:val="00B27EEF"/>
    <w:rsid w:val="00B27F98"/>
    <w:rsid w:val="00B301F4"/>
    <w:rsid w:val="00B30304"/>
    <w:rsid w:val="00B307CC"/>
    <w:rsid w:val="00B30B17"/>
    <w:rsid w:val="00B30C23"/>
    <w:rsid w:val="00B30C27"/>
    <w:rsid w:val="00B30C53"/>
    <w:rsid w:val="00B30F60"/>
    <w:rsid w:val="00B31389"/>
    <w:rsid w:val="00B318D3"/>
    <w:rsid w:val="00B31BCF"/>
    <w:rsid w:val="00B31E5D"/>
    <w:rsid w:val="00B326B7"/>
    <w:rsid w:val="00B328CD"/>
    <w:rsid w:val="00B32AB6"/>
    <w:rsid w:val="00B336A4"/>
    <w:rsid w:val="00B33ADD"/>
    <w:rsid w:val="00B33F2C"/>
    <w:rsid w:val="00B3431E"/>
    <w:rsid w:val="00B34795"/>
    <w:rsid w:val="00B34E89"/>
    <w:rsid w:val="00B3588E"/>
    <w:rsid w:val="00B35DED"/>
    <w:rsid w:val="00B3600E"/>
    <w:rsid w:val="00B36A49"/>
    <w:rsid w:val="00B3759D"/>
    <w:rsid w:val="00B4019C"/>
    <w:rsid w:val="00B405F8"/>
    <w:rsid w:val="00B40B8F"/>
    <w:rsid w:val="00B4198F"/>
    <w:rsid w:val="00B41A78"/>
    <w:rsid w:val="00B41D66"/>
    <w:rsid w:val="00B41F3D"/>
    <w:rsid w:val="00B42768"/>
    <w:rsid w:val="00B429B7"/>
    <w:rsid w:val="00B42EF4"/>
    <w:rsid w:val="00B431E8"/>
    <w:rsid w:val="00B43429"/>
    <w:rsid w:val="00B4387D"/>
    <w:rsid w:val="00B43BBA"/>
    <w:rsid w:val="00B43F69"/>
    <w:rsid w:val="00B44A24"/>
    <w:rsid w:val="00B45141"/>
    <w:rsid w:val="00B45458"/>
    <w:rsid w:val="00B454C2"/>
    <w:rsid w:val="00B45924"/>
    <w:rsid w:val="00B45928"/>
    <w:rsid w:val="00B45B6F"/>
    <w:rsid w:val="00B45CD9"/>
    <w:rsid w:val="00B45DDB"/>
    <w:rsid w:val="00B45F03"/>
    <w:rsid w:val="00B463B7"/>
    <w:rsid w:val="00B46CE0"/>
    <w:rsid w:val="00B46CEA"/>
    <w:rsid w:val="00B471B5"/>
    <w:rsid w:val="00B4757B"/>
    <w:rsid w:val="00B4761B"/>
    <w:rsid w:val="00B4785E"/>
    <w:rsid w:val="00B47BF9"/>
    <w:rsid w:val="00B47D93"/>
    <w:rsid w:val="00B47F3D"/>
    <w:rsid w:val="00B5025F"/>
    <w:rsid w:val="00B50934"/>
    <w:rsid w:val="00B50F87"/>
    <w:rsid w:val="00B51243"/>
    <w:rsid w:val="00B519CD"/>
    <w:rsid w:val="00B5235E"/>
    <w:rsid w:val="00B52661"/>
    <w:rsid w:val="00B52718"/>
    <w:rsid w:val="00B5273A"/>
    <w:rsid w:val="00B52773"/>
    <w:rsid w:val="00B538EA"/>
    <w:rsid w:val="00B53A8B"/>
    <w:rsid w:val="00B54045"/>
    <w:rsid w:val="00B547D5"/>
    <w:rsid w:val="00B55064"/>
    <w:rsid w:val="00B55B57"/>
    <w:rsid w:val="00B56175"/>
    <w:rsid w:val="00B563F4"/>
    <w:rsid w:val="00B5657F"/>
    <w:rsid w:val="00B56BA2"/>
    <w:rsid w:val="00B56CC2"/>
    <w:rsid w:val="00B56CDC"/>
    <w:rsid w:val="00B57329"/>
    <w:rsid w:val="00B576BA"/>
    <w:rsid w:val="00B57BE8"/>
    <w:rsid w:val="00B57D1D"/>
    <w:rsid w:val="00B57F91"/>
    <w:rsid w:val="00B606FC"/>
    <w:rsid w:val="00B6080E"/>
    <w:rsid w:val="00B60A48"/>
    <w:rsid w:val="00B60C63"/>
    <w:rsid w:val="00B60E61"/>
    <w:rsid w:val="00B6107B"/>
    <w:rsid w:val="00B619B5"/>
    <w:rsid w:val="00B61CD9"/>
    <w:rsid w:val="00B61D26"/>
    <w:rsid w:val="00B624FF"/>
    <w:rsid w:val="00B62B50"/>
    <w:rsid w:val="00B62E3E"/>
    <w:rsid w:val="00B62EBC"/>
    <w:rsid w:val="00B633C4"/>
    <w:rsid w:val="00B635B7"/>
    <w:rsid w:val="00B63682"/>
    <w:rsid w:val="00B63AAA"/>
    <w:rsid w:val="00B63AE8"/>
    <w:rsid w:val="00B63C6D"/>
    <w:rsid w:val="00B63C83"/>
    <w:rsid w:val="00B64556"/>
    <w:rsid w:val="00B64616"/>
    <w:rsid w:val="00B64791"/>
    <w:rsid w:val="00B647F3"/>
    <w:rsid w:val="00B64ED5"/>
    <w:rsid w:val="00B65950"/>
    <w:rsid w:val="00B6657D"/>
    <w:rsid w:val="00B66A26"/>
    <w:rsid w:val="00B66B78"/>
    <w:rsid w:val="00B66D83"/>
    <w:rsid w:val="00B66E17"/>
    <w:rsid w:val="00B672C0"/>
    <w:rsid w:val="00B67411"/>
    <w:rsid w:val="00B676FD"/>
    <w:rsid w:val="00B678B6"/>
    <w:rsid w:val="00B67944"/>
    <w:rsid w:val="00B679BD"/>
    <w:rsid w:val="00B67DAB"/>
    <w:rsid w:val="00B67FDD"/>
    <w:rsid w:val="00B70458"/>
    <w:rsid w:val="00B705F0"/>
    <w:rsid w:val="00B708F2"/>
    <w:rsid w:val="00B70963"/>
    <w:rsid w:val="00B70CD4"/>
    <w:rsid w:val="00B70E70"/>
    <w:rsid w:val="00B70F2A"/>
    <w:rsid w:val="00B7130C"/>
    <w:rsid w:val="00B71705"/>
    <w:rsid w:val="00B71843"/>
    <w:rsid w:val="00B7191F"/>
    <w:rsid w:val="00B71C97"/>
    <w:rsid w:val="00B722D0"/>
    <w:rsid w:val="00B72337"/>
    <w:rsid w:val="00B72523"/>
    <w:rsid w:val="00B73AC5"/>
    <w:rsid w:val="00B73EF9"/>
    <w:rsid w:val="00B74030"/>
    <w:rsid w:val="00B742B8"/>
    <w:rsid w:val="00B74445"/>
    <w:rsid w:val="00B745D0"/>
    <w:rsid w:val="00B74CC0"/>
    <w:rsid w:val="00B75298"/>
    <w:rsid w:val="00B75646"/>
    <w:rsid w:val="00B75888"/>
    <w:rsid w:val="00B7629E"/>
    <w:rsid w:val="00B76362"/>
    <w:rsid w:val="00B767B1"/>
    <w:rsid w:val="00B7761D"/>
    <w:rsid w:val="00B77876"/>
    <w:rsid w:val="00B77A0F"/>
    <w:rsid w:val="00B803A4"/>
    <w:rsid w:val="00B80A2A"/>
    <w:rsid w:val="00B80A58"/>
    <w:rsid w:val="00B80F81"/>
    <w:rsid w:val="00B80FCB"/>
    <w:rsid w:val="00B81019"/>
    <w:rsid w:val="00B816E6"/>
    <w:rsid w:val="00B81796"/>
    <w:rsid w:val="00B8186F"/>
    <w:rsid w:val="00B81B13"/>
    <w:rsid w:val="00B820B4"/>
    <w:rsid w:val="00B822BE"/>
    <w:rsid w:val="00B8244F"/>
    <w:rsid w:val="00B825F1"/>
    <w:rsid w:val="00B82A50"/>
    <w:rsid w:val="00B82FDB"/>
    <w:rsid w:val="00B83300"/>
    <w:rsid w:val="00B8348A"/>
    <w:rsid w:val="00B8380C"/>
    <w:rsid w:val="00B8396C"/>
    <w:rsid w:val="00B83EC5"/>
    <w:rsid w:val="00B83EF5"/>
    <w:rsid w:val="00B8421B"/>
    <w:rsid w:val="00B8483F"/>
    <w:rsid w:val="00B84FB8"/>
    <w:rsid w:val="00B85512"/>
    <w:rsid w:val="00B855A6"/>
    <w:rsid w:val="00B85942"/>
    <w:rsid w:val="00B85DAD"/>
    <w:rsid w:val="00B862FC"/>
    <w:rsid w:val="00B86A12"/>
    <w:rsid w:val="00B86C45"/>
    <w:rsid w:val="00B86C4A"/>
    <w:rsid w:val="00B87388"/>
    <w:rsid w:val="00B87B19"/>
    <w:rsid w:val="00B87BC4"/>
    <w:rsid w:val="00B87FDC"/>
    <w:rsid w:val="00B903B3"/>
    <w:rsid w:val="00B90729"/>
    <w:rsid w:val="00B907DA"/>
    <w:rsid w:val="00B90B09"/>
    <w:rsid w:val="00B90B10"/>
    <w:rsid w:val="00B90F8D"/>
    <w:rsid w:val="00B91063"/>
    <w:rsid w:val="00B910F7"/>
    <w:rsid w:val="00B9126A"/>
    <w:rsid w:val="00B912B4"/>
    <w:rsid w:val="00B912F3"/>
    <w:rsid w:val="00B91506"/>
    <w:rsid w:val="00B918E4"/>
    <w:rsid w:val="00B91B1E"/>
    <w:rsid w:val="00B91BE9"/>
    <w:rsid w:val="00B91EEC"/>
    <w:rsid w:val="00B9202E"/>
    <w:rsid w:val="00B92204"/>
    <w:rsid w:val="00B929CF"/>
    <w:rsid w:val="00B92CD4"/>
    <w:rsid w:val="00B92F1E"/>
    <w:rsid w:val="00B9325A"/>
    <w:rsid w:val="00B932A3"/>
    <w:rsid w:val="00B93455"/>
    <w:rsid w:val="00B93C8E"/>
    <w:rsid w:val="00B93E05"/>
    <w:rsid w:val="00B94054"/>
    <w:rsid w:val="00B94547"/>
    <w:rsid w:val="00B94894"/>
    <w:rsid w:val="00B94C5E"/>
    <w:rsid w:val="00B94E8F"/>
    <w:rsid w:val="00B94F09"/>
    <w:rsid w:val="00B950BC"/>
    <w:rsid w:val="00B9515F"/>
    <w:rsid w:val="00B9520D"/>
    <w:rsid w:val="00B9549C"/>
    <w:rsid w:val="00B95562"/>
    <w:rsid w:val="00B95B95"/>
    <w:rsid w:val="00B96F11"/>
    <w:rsid w:val="00B9714C"/>
    <w:rsid w:val="00B9764C"/>
    <w:rsid w:val="00B9774C"/>
    <w:rsid w:val="00B97BA1"/>
    <w:rsid w:val="00BA0737"/>
    <w:rsid w:val="00BA0C03"/>
    <w:rsid w:val="00BA0D3A"/>
    <w:rsid w:val="00BA0EF1"/>
    <w:rsid w:val="00BA104C"/>
    <w:rsid w:val="00BA114E"/>
    <w:rsid w:val="00BA14F8"/>
    <w:rsid w:val="00BA18CE"/>
    <w:rsid w:val="00BA1BB8"/>
    <w:rsid w:val="00BA1C1D"/>
    <w:rsid w:val="00BA26F6"/>
    <w:rsid w:val="00BA28E5"/>
    <w:rsid w:val="00BA29AD"/>
    <w:rsid w:val="00BA2D04"/>
    <w:rsid w:val="00BA2F87"/>
    <w:rsid w:val="00BA33CF"/>
    <w:rsid w:val="00BA35A5"/>
    <w:rsid w:val="00BA379E"/>
    <w:rsid w:val="00BA37D1"/>
    <w:rsid w:val="00BA3AB9"/>
    <w:rsid w:val="00BA3F8D"/>
    <w:rsid w:val="00BA407A"/>
    <w:rsid w:val="00BA4323"/>
    <w:rsid w:val="00BA45CE"/>
    <w:rsid w:val="00BA48F4"/>
    <w:rsid w:val="00BA4E14"/>
    <w:rsid w:val="00BA508C"/>
    <w:rsid w:val="00BA5376"/>
    <w:rsid w:val="00BA5815"/>
    <w:rsid w:val="00BA5B4F"/>
    <w:rsid w:val="00BA5C46"/>
    <w:rsid w:val="00BA5C6B"/>
    <w:rsid w:val="00BA5CF5"/>
    <w:rsid w:val="00BA64FE"/>
    <w:rsid w:val="00BA7661"/>
    <w:rsid w:val="00BA78C6"/>
    <w:rsid w:val="00BA7E49"/>
    <w:rsid w:val="00BB048F"/>
    <w:rsid w:val="00BB0599"/>
    <w:rsid w:val="00BB065F"/>
    <w:rsid w:val="00BB084B"/>
    <w:rsid w:val="00BB088B"/>
    <w:rsid w:val="00BB09C9"/>
    <w:rsid w:val="00BB10A8"/>
    <w:rsid w:val="00BB12C1"/>
    <w:rsid w:val="00BB15CE"/>
    <w:rsid w:val="00BB1657"/>
    <w:rsid w:val="00BB1ADD"/>
    <w:rsid w:val="00BB1B1C"/>
    <w:rsid w:val="00BB214E"/>
    <w:rsid w:val="00BB23D7"/>
    <w:rsid w:val="00BB23EF"/>
    <w:rsid w:val="00BB24F3"/>
    <w:rsid w:val="00BB305A"/>
    <w:rsid w:val="00BB4143"/>
    <w:rsid w:val="00BB45F5"/>
    <w:rsid w:val="00BB49D8"/>
    <w:rsid w:val="00BB4B6C"/>
    <w:rsid w:val="00BB524C"/>
    <w:rsid w:val="00BB52C2"/>
    <w:rsid w:val="00BB5A94"/>
    <w:rsid w:val="00BB6B19"/>
    <w:rsid w:val="00BB6F04"/>
    <w:rsid w:val="00BB74AC"/>
    <w:rsid w:val="00BB75C7"/>
    <w:rsid w:val="00BB7681"/>
    <w:rsid w:val="00BB7A10"/>
    <w:rsid w:val="00BB7A7A"/>
    <w:rsid w:val="00BC09DE"/>
    <w:rsid w:val="00BC0AD0"/>
    <w:rsid w:val="00BC0F28"/>
    <w:rsid w:val="00BC18F2"/>
    <w:rsid w:val="00BC1A2E"/>
    <w:rsid w:val="00BC1A39"/>
    <w:rsid w:val="00BC1AFE"/>
    <w:rsid w:val="00BC1C1D"/>
    <w:rsid w:val="00BC1C32"/>
    <w:rsid w:val="00BC1D78"/>
    <w:rsid w:val="00BC20B3"/>
    <w:rsid w:val="00BC2136"/>
    <w:rsid w:val="00BC22C5"/>
    <w:rsid w:val="00BC23D6"/>
    <w:rsid w:val="00BC2640"/>
    <w:rsid w:val="00BC31D3"/>
    <w:rsid w:val="00BC320A"/>
    <w:rsid w:val="00BC38F3"/>
    <w:rsid w:val="00BC3B9D"/>
    <w:rsid w:val="00BC4497"/>
    <w:rsid w:val="00BC48BC"/>
    <w:rsid w:val="00BC4B03"/>
    <w:rsid w:val="00BC4F1C"/>
    <w:rsid w:val="00BC5309"/>
    <w:rsid w:val="00BC5545"/>
    <w:rsid w:val="00BC5582"/>
    <w:rsid w:val="00BC5682"/>
    <w:rsid w:val="00BC5C11"/>
    <w:rsid w:val="00BC5C95"/>
    <w:rsid w:val="00BC5CE3"/>
    <w:rsid w:val="00BC5CFA"/>
    <w:rsid w:val="00BC60BE"/>
    <w:rsid w:val="00BC6201"/>
    <w:rsid w:val="00BC698C"/>
    <w:rsid w:val="00BC7468"/>
    <w:rsid w:val="00BC7520"/>
    <w:rsid w:val="00BC7A9E"/>
    <w:rsid w:val="00BC7D4F"/>
    <w:rsid w:val="00BC7ED7"/>
    <w:rsid w:val="00BD05E1"/>
    <w:rsid w:val="00BD0723"/>
    <w:rsid w:val="00BD09E0"/>
    <w:rsid w:val="00BD0A94"/>
    <w:rsid w:val="00BD0DB0"/>
    <w:rsid w:val="00BD0FED"/>
    <w:rsid w:val="00BD1146"/>
    <w:rsid w:val="00BD1585"/>
    <w:rsid w:val="00BD1F1B"/>
    <w:rsid w:val="00BD2850"/>
    <w:rsid w:val="00BD29D3"/>
    <w:rsid w:val="00BD2AE6"/>
    <w:rsid w:val="00BD2E12"/>
    <w:rsid w:val="00BD3032"/>
    <w:rsid w:val="00BD34F3"/>
    <w:rsid w:val="00BD39B8"/>
    <w:rsid w:val="00BD3D1D"/>
    <w:rsid w:val="00BD3DEC"/>
    <w:rsid w:val="00BD439E"/>
    <w:rsid w:val="00BD46AC"/>
    <w:rsid w:val="00BD4ADE"/>
    <w:rsid w:val="00BD575E"/>
    <w:rsid w:val="00BD5FDD"/>
    <w:rsid w:val="00BD64EA"/>
    <w:rsid w:val="00BD65A9"/>
    <w:rsid w:val="00BD6B9D"/>
    <w:rsid w:val="00BD7613"/>
    <w:rsid w:val="00BD76C7"/>
    <w:rsid w:val="00BD76FF"/>
    <w:rsid w:val="00BD7B06"/>
    <w:rsid w:val="00BD7C95"/>
    <w:rsid w:val="00BD7D8F"/>
    <w:rsid w:val="00BE0202"/>
    <w:rsid w:val="00BE03BE"/>
    <w:rsid w:val="00BE041C"/>
    <w:rsid w:val="00BE0818"/>
    <w:rsid w:val="00BE0923"/>
    <w:rsid w:val="00BE170D"/>
    <w:rsid w:val="00BE1B9E"/>
    <w:rsid w:val="00BE1CCC"/>
    <w:rsid w:val="00BE25D6"/>
    <w:rsid w:val="00BE2674"/>
    <w:rsid w:val="00BE2717"/>
    <w:rsid w:val="00BE27AF"/>
    <w:rsid w:val="00BE28D2"/>
    <w:rsid w:val="00BE34D0"/>
    <w:rsid w:val="00BE35F1"/>
    <w:rsid w:val="00BE3653"/>
    <w:rsid w:val="00BE37C9"/>
    <w:rsid w:val="00BE3B8E"/>
    <w:rsid w:val="00BE3D32"/>
    <w:rsid w:val="00BE3E48"/>
    <w:rsid w:val="00BE41ED"/>
    <w:rsid w:val="00BE44DE"/>
    <w:rsid w:val="00BE46C9"/>
    <w:rsid w:val="00BE479D"/>
    <w:rsid w:val="00BE4A64"/>
    <w:rsid w:val="00BE5316"/>
    <w:rsid w:val="00BE56BB"/>
    <w:rsid w:val="00BE5E43"/>
    <w:rsid w:val="00BE5F3C"/>
    <w:rsid w:val="00BE66A4"/>
    <w:rsid w:val="00BE6AD4"/>
    <w:rsid w:val="00BE6BF6"/>
    <w:rsid w:val="00BE7016"/>
    <w:rsid w:val="00BE7342"/>
    <w:rsid w:val="00BE77DA"/>
    <w:rsid w:val="00BE7B6C"/>
    <w:rsid w:val="00BF02CA"/>
    <w:rsid w:val="00BF0BCD"/>
    <w:rsid w:val="00BF0F8B"/>
    <w:rsid w:val="00BF129D"/>
    <w:rsid w:val="00BF1DA7"/>
    <w:rsid w:val="00BF1EFA"/>
    <w:rsid w:val="00BF2053"/>
    <w:rsid w:val="00BF28F6"/>
    <w:rsid w:val="00BF3008"/>
    <w:rsid w:val="00BF3016"/>
    <w:rsid w:val="00BF3717"/>
    <w:rsid w:val="00BF39B3"/>
    <w:rsid w:val="00BF3D00"/>
    <w:rsid w:val="00BF3F56"/>
    <w:rsid w:val="00BF48EA"/>
    <w:rsid w:val="00BF49F4"/>
    <w:rsid w:val="00BF4EDD"/>
    <w:rsid w:val="00BF4EF3"/>
    <w:rsid w:val="00BF557D"/>
    <w:rsid w:val="00BF5C59"/>
    <w:rsid w:val="00BF5E8D"/>
    <w:rsid w:val="00BF5F5E"/>
    <w:rsid w:val="00BF6022"/>
    <w:rsid w:val="00BF6531"/>
    <w:rsid w:val="00BF658D"/>
    <w:rsid w:val="00BF6845"/>
    <w:rsid w:val="00BF7454"/>
    <w:rsid w:val="00BF7532"/>
    <w:rsid w:val="00BF78E4"/>
    <w:rsid w:val="00BF7A62"/>
    <w:rsid w:val="00BF7F1E"/>
    <w:rsid w:val="00BF7F58"/>
    <w:rsid w:val="00BF7F6E"/>
    <w:rsid w:val="00C000A6"/>
    <w:rsid w:val="00C00335"/>
    <w:rsid w:val="00C00FBC"/>
    <w:rsid w:val="00C0116D"/>
    <w:rsid w:val="00C011F2"/>
    <w:rsid w:val="00C01381"/>
    <w:rsid w:val="00C016BB"/>
    <w:rsid w:val="00C01AB1"/>
    <w:rsid w:val="00C01C53"/>
    <w:rsid w:val="00C02339"/>
    <w:rsid w:val="00C026A0"/>
    <w:rsid w:val="00C027EC"/>
    <w:rsid w:val="00C03025"/>
    <w:rsid w:val="00C0332A"/>
    <w:rsid w:val="00C03B76"/>
    <w:rsid w:val="00C03BB9"/>
    <w:rsid w:val="00C03E39"/>
    <w:rsid w:val="00C0405B"/>
    <w:rsid w:val="00C04E45"/>
    <w:rsid w:val="00C04ECB"/>
    <w:rsid w:val="00C059FE"/>
    <w:rsid w:val="00C05C6C"/>
    <w:rsid w:val="00C06137"/>
    <w:rsid w:val="00C06929"/>
    <w:rsid w:val="00C0692B"/>
    <w:rsid w:val="00C06F5C"/>
    <w:rsid w:val="00C07322"/>
    <w:rsid w:val="00C07782"/>
    <w:rsid w:val="00C079B8"/>
    <w:rsid w:val="00C10037"/>
    <w:rsid w:val="00C10103"/>
    <w:rsid w:val="00C105E2"/>
    <w:rsid w:val="00C10C3A"/>
    <w:rsid w:val="00C110C3"/>
    <w:rsid w:val="00C115E1"/>
    <w:rsid w:val="00C116A9"/>
    <w:rsid w:val="00C11B7E"/>
    <w:rsid w:val="00C11D74"/>
    <w:rsid w:val="00C11DD4"/>
    <w:rsid w:val="00C12008"/>
    <w:rsid w:val="00C123EA"/>
    <w:rsid w:val="00C12663"/>
    <w:rsid w:val="00C12955"/>
    <w:rsid w:val="00C12A49"/>
    <w:rsid w:val="00C13108"/>
    <w:rsid w:val="00C133EE"/>
    <w:rsid w:val="00C13438"/>
    <w:rsid w:val="00C1388B"/>
    <w:rsid w:val="00C13A0F"/>
    <w:rsid w:val="00C13DAD"/>
    <w:rsid w:val="00C13E0B"/>
    <w:rsid w:val="00C1455F"/>
    <w:rsid w:val="00C14933"/>
    <w:rsid w:val="00C149D0"/>
    <w:rsid w:val="00C14AF9"/>
    <w:rsid w:val="00C14B46"/>
    <w:rsid w:val="00C14C66"/>
    <w:rsid w:val="00C14E9F"/>
    <w:rsid w:val="00C15210"/>
    <w:rsid w:val="00C15341"/>
    <w:rsid w:val="00C153D9"/>
    <w:rsid w:val="00C15AD9"/>
    <w:rsid w:val="00C15F18"/>
    <w:rsid w:val="00C1620B"/>
    <w:rsid w:val="00C162B4"/>
    <w:rsid w:val="00C17052"/>
    <w:rsid w:val="00C171F4"/>
    <w:rsid w:val="00C1762A"/>
    <w:rsid w:val="00C17648"/>
    <w:rsid w:val="00C17993"/>
    <w:rsid w:val="00C17B21"/>
    <w:rsid w:val="00C17D90"/>
    <w:rsid w:val="00C201E7"/>
    <w:rsid w:val="00C201EF"/>
    <w:rsid w:val="00C20664"/>
    <w:rsid w:val="00C20A6F"/>
    <w:rsid w:val="00C20ABD"/>
    <w:rsid w:val="00C20B6A"/>
    <w:rsid w:val="00C20B72"/>
    <w:rsid w:val="00C20E38"/>
    <w:rsid w:val="00C2145C"/>
    <w:rsid w:val="00C2249A"/>
    <w:rsid w:val="00C22615"/>
    <w:rsid w:val="00C22691"/>
    <w:rsid w:val="00C22E65"/>
    <w:rsid w:val="00C24ABE"/>
    <w:rsid w:val="00C24D1F"/>
    <w:rsid w:val="00C24D8F"/>
    <w:rsid w:val="00C25C62"/>
    <w:rsid w:val="00C25DB7"/>
    <w:rsid w:val="00C2640E"/>
    <w:rsid w:val="00C26588"/>
    <w:rsid w:val="00C2677D"/>
    <w:rsid w:val="00C26B32"/>
    <w:rsid w:val="00C26ED4"/>
    <w:rsid w:val="00C278A0"/>
    <w:rsid w:val="00C27DE9"/>
    <w:rsid w:val="00C30392"/>
    <w:rsid w:val="00C30394"/>
    <w:rsid w:val="00C30CBC"/>
    <w:rsid w:val="00C30E96"/>
    <w:rsid w:val="00C316F1"/>
    <w:rsid w:val="00C31B93"/>
    <w:rsid w:val="00C31BA3"/>
    <w:rsid w:val="00C31FCE"/>
    <w:rsid w:val="00C323C1"/>
    <w:rsid w:val="00C32989"/>
    <w:rsid w:val="00C32C5C"/>
    <w:rsid w:val="00C33180"/>
    <w:rsid w:val="00C33388"/>
    <w:rsid w:val="00C335C4"/>
    <w:rsid w:val="00C33C2A"/>
    <w:rsid w:val="00C33C7D"/>
    <w:rsid w:val="00C33CCA"/>
    <w:rsid w:val="00C33D60"/>
    <w:rsid w:val="00C343FF"/>
    <w:rsid w:val="00C34638"/>
    <w:rsid w:val="00C34C52"/>
    <w:rsid w:val="00C34E9C"/>
    <w:rsid w:val="00C34ED0"/>
    <w:rsid w:val="00C34F67"/>
    <w:rsid w:val="00C35096"/>
    <w:rsid w:val="00C350EF"/>
    <w:rsid w:val="00C35484"/>
    <w:rsid w:val="00C35A57"/>
    <w:rsid w:val="00C35AD9"/>
    <w:rsid w:val="00C35D61"/>
    <w:rsid w:val="00C35EBD"/>
    <w:rsid w:val="00C35F7B"/>
    <w:rsid w:val="00C36044"/>
    <w:rsid w:val="00C363ED"/>
    <w:rsid w:val="00C3642B"/>
    <w:rsid w:val="00C367AC"/>
    <w:rsid w:val="00C369DB"/>
    <w:rsid w:val="00C37906"/>
    <w:rsid w:val="00C37B85"/>
    <w:rsid w:val="00C4091F"/>
    <w:rsid w:val="00C40C44"/>
    <w:rsid w:val="00C41370"/>
    <w:rsid w:val="00C4154C"/>
    <w:rsid w:val="00C4173A"/>
    <w:rsid w:val="00C41F16"/>
    <w:rsid w:val="00C42754"/>
    <w:rsid w:val="00C4293F"/>
    <w:rsid w:val="00C42B49"/>
    <w:rsid w:val="00C433EF"/>
    <w:rsid w:val="00C43527"/>
    <w:rsid w:val="00C43B82"/>
    <w:rsid w:val="00C43C44"/>
    <w:rsid w:val="00C43F00"/>
    <w:rsid w:val="00C44206"/>
    <w:rsid w:val="00C447AC"/>
    <w:rsid w:val="00C44815"/>
    <w:rsid w:val="00C44C89"/>
    <w:rsid w:val="00C44CE0"/>
    <w:rsid w:val="00C44D3C"/>
    <w:rsid w:val="00C45765"/>
    <w:rsid w:val="00C45C95"/>
    <w:rsid w:val="00C45DA3"/>
    <w:rsid w:val="00C4609F"/>
    <w:rsid w:val="00C4616E"/>
    <w:rsid w:val="00C4621C"/>
    <w:rsid w:val="00C46A54"/>
    <w:rsid w:val="00C46EE9"/>
    <w:rsid w:val="00C46F94"/>
    <w:rsid w:val="00C47196"/>
    <w:rsid w:val="00C476AC"/>
    <w:rsid w:val="00C47A25"/>
    <w:rsid w:val="00C47A3C"/>
    <w:rsid w:val="00C47BCA"/>
    <w:rsid w:val="00C47C4B"/>
    <w:rsid w:val="00C503B9"/>
    <w:rsid w:val="00C505DA"/>
    <w:rsid w:val="00C50DED"/>
    <w:rsid w:val="00C51188"/>
    <w:rsid w:val="00C5123F"/>
    <w:rsid w:val="00C5193D"/>
    <w:rsid w:val="00C51A38"/>
    <w:rsid w:val="00C51E77"/>
    <w:rsid w:val="00C51EB4"/>
    <w:rsid w:val="00C52217"/>
    <w:rsid w:val="00C5256B"/>
    <w:rsid w:val="00C525A6"/>
    <w:rsid w:val="00C526BA"/>
    <w:rsid w:val="00C52813"/>
    <w:rsid w:val="00C52B44"/>
    <w:rsid w:val="00C536C2"/>
    <w:rsid w:val="00C536F5"/>
    <w:rsid w:val="00C53CCB"/>
    <w:rsid w:val="00C542DC"/>
    <w:rsid w:val="00C54E15"/>
    <w:rsid w:val="00C55048"/>
    <w:rsid w:val="00C5527D"/>
    <w:rsid w:val="00C55357"/>
    <w:rsid w:val="00C5556C"/>
    <w:rsid w:val="00C559C7"/>
    <w:rsid w:val="00C55DC5"/>
    <w:rsid w:val="00C56912"/>
    <w:rsid w:val="00C56974"/>
    <w:rsid w:val="00C56A74"/>
    <w:rsid w:val="00C56BE0"/>
    <w:rsid w:val="00C57206"/>
    <w:rsid w:val="00C572F2"/>
    <w:rsid w:val="00C57476"/>
    <w:rsid w:val="00C574D3"/>
    <w:rsid w:val="00C574F0"/>
    <w:rsid w:val="00C57751"/>
    <w:rsid w:val="00C57BB4"/>
    <w:rsid w:val="00C602FF"/>
    <w:rsid w:val="00C60411"/>
    <w:rsid w:val="00C61174"/>
    <w:rsid w:val="00C6148F"/>
    <w:rsid w:val="00C61688"/>
    <w:rsid w:val="00C61A33"/>
    <w:rsid w:val="00C61EE6"/>
    <w:rsid w:val="00C62009"/>
    <w:rsid w:val="00C621A4"/>
    <w:rsid w:val="00C621B1"/>
    <w:rsid w:val="00C62461"/>
    <w:rsid w:val="00C6277C"/>
    <w:rsid w:val="00C62F7A"/>
    <w:rsid w:val="00C631C9"/>
    <w:rsid w:val="00C6331E"/>
    <w:rsid w:val="00C638DD"/>
    <w:rsid w:val="00C63B9C"/>
    <w:rsid w:val="00C63F96"/>
    <w:rsid w:val="00C646C5"/>
    <w:rsid w:val="00C647B7"/>
    <w:rsid w:val="00C648FD"/>
    <w:rsid w:val="00C6494A"/>
    <w:rsid w:val="00C64CA8"/>
    <w:rsid w:val="00C6523F"/>
    <w:rsid w:val="00C6524A"/>
    <w:rsid w:val="00C65911"/>
    <w:rsid w:val="00C6597C"/>
    <w:rsid w:val="00C65A08"/>
    <w:rsid w:val="00C65D5E"/>
    <w:rsid w:val="00C6608D"/>
    <w:rsid w:val="00C6682F"/>
    <w:rsid w:val="00C66BB0"/>
    <w:rsid w:val="00C673F2"/>
    <w:rsid w:val="00C6762F"/>
    <w:rsid w:val="00C67937"/>
    <w:rsid w:val="00C67A3C"/>
    <w:rsid w:val="00C67B18"/>
    <w:rsid w:val="00C67BF4"/>
    <w:rsid w:val="00C70D39"/>
    <w:rsid w:val="00C71176"/>
    <w:rsid w:val="00C71497"/>
    <w:rsid w:val="00C71CCE"/>
    <w:rsid w:val="00C7275E"/>
    <w:rsid w:val="00C72C73"/>
    <w:rsid w:val="00C72EBC"/>
    <w:rsid w:val="00C730D2"/>
    <w:rsid w:val="00C731AF"/>
    <w:rsid w:val="00C7344B"/>
    <w:rsid w:val="00C739DC"/>
    <w:rsid w:val="00C73CE1"/>
    <w:rsid w:val="00C743CE"/>
    <w:rsid w:val="00C74814"/>
    <w:rsid w:val="00C74C5D"/>
    <w:rsid w:val="00C74D18"/>
    <w:rsid w:val="00C750C0"/>
    <w:rsid w:val="00C75578"/>
    <w:rsid w:val="00C758D9"/>
    <w:rsid w:val="00C759F9"/>
    <w:rsid w:val="00C75B90"/>
    <w:rsid w:val="00C75C98"/>
    <w:rsid w:val="00C75D08"/>
    <w:rsid w:val="00C75D1B"/>
    <w:rsid w:val="00C767A4"/>
    <w:rsid w:val="00C767BD"/>
    <w:rsid w:val="00C770E4"/>
    <w:rsid w:val="00C771B5"/>
    <w:rsid w:val="00C776AE"/>
    <w:rsid w:val="00C802F8"/>
    <w:rsid w:val="00C80927"/>
    <w:rsid w:val="00C80972"/>
    <w:rsid w:val="00C809E5"/>
    <w:rsid w:val="00C80B79"/>
    <w:rsid w:val="00C80CC8"/>
    <w:rsid w:val="00C815E4"/>
    <w:rsid w:val="00C819B2"/>
    <w:rsid w:val="00C81A2B"/>
    <w:rsid w:val="00C822C3"/>
    <w:rsid w:val="00C82CCB"/>
    <w:rsid w:val="00C83192"/>
    <w:rsid w:val="00C8329F"/>
    <w:rsid w:val="00C833D6"/>
    <w:rsid w:val="00C8374F"/>
    <w:rsid w:val="00C83876"/>
    <w:rsid w:val="00C83AA0"/>
    <w:rsid w:val="00C83FC8"/>
    <w:rsid w:val="00C84212"/>
    <w:rsid w:val="00C8467E"/>
    <w:rsid w:val="00C84757"/>
    <w:rsid w:val="00C84F05"/>
    <w:rsid w:val="00C8551A"/>
    <w:rsid w:val="00C858E4"/>
    <w:rsid w:val="00C85D3E"/>
    <w:rsid w:val="00C85D83"/>
    <w:rsid w:val="00C85E62"/>
    <w:rsid w:val="00C85ED3"/>
    <w:rsid w:val="00C86071"/>
    <w:rsid w:val="00C860B7"/>
    <w:rsid w:val="00C860CC"/>
    <w:rsid w:val="00C861EB"/>
    <w:rsid w:val="00C863C4"/>
    <w:rsid w:val="00C86872"/>
    <w:rsid w:val="00C86F0C"/>
    <w:rsid w:val="00C87565"/>
    <w:rsid w:val="00C8774C"/>
    <w:rsid w:val="00C87B56"/>
    <w:rsid w:val="00C87CE8"/>
    <w:rsid w:val="00C87F18"/>
    <w:rsid w:val="00C90424"/>
    <w:rsid w:val="00C907BB"/>
    <w:rsid w:val="00C90995"/>
    <w:rsid w:val="00C90A46"/>
    <w:rsid w:val="00C90DAB"/>
    <w:rsid w:val="00C91444"/>
    <w:rsid w:val="00C9200B"/>
    <w:rsid w:val="00C92071"/>
    <w:rsid w:val="00C920EA"/>
    <w:rsid w:val="00C92C50"/>
    <w:rsid w:val="00C92FF2"/>
    <w:rsid w:val="00C93C3E"/>
    <w:rsid w:val="00C93CBD"/>
    <w:rsid w:val="00C93EEE"/>
    <w:rsid w:val="00C951EF"/>
    <w:rsid w:val="00C9592F"/>
    <w:rsid w:val="00C965BB"/>
    <w:rsid w:val="00C9693C"/>
    <w:rsid w:val="00C96FE1"/>
    <w:rsid w:val="00C97245"/>
    <w:rsid w:val="00C9746D"/>
    <w:rsid w:val="00C97960"/>
    <w:rsid w:val="00C97B10"/>
    <w:rsid w:val="00C97C49"/>
    <w:rsid w:val="00C97C5F"/>
    <w:rsid w:val="00CA0219"/>
    <w:rsid w:val="00CA02B4"/>
    <w:rsid w:val="00CA0419"/>
    <w:rsid w:val="00CA0A5F"/>
    <w:rsid w:val="00CA12E3"/>
    <w:rsid w:val="00CA13E5"/>
    <w:rsid w:val="00CA1476"/>
    <w:rsid w:val="00CA1705"/>
    <w:rsid w:val="00CA1780"/>
    <w:rsid w:val="00CA19EC"/>
    <w:rsid w:val="00CA1A9E"/>
    <w:rsid w:val="00CA1B3E"/>
    <w:rsid w:val="00CA1FE2"/>
    <w:rsid w:val="00CA2207"/>
    <w:rsid w:val="00CA2699"/>
    <w:rsid w:val="00CA2A10"/>
    <w:rsid w:val="00CA2B22"/>
    <w:rsid w:val="00CA2BC1"/>
    <w:rsid w:val="00CA2EB0"/>
    <w:rsid w:val="00CA31FD"/>
    <w:rsid w:val="00CA35F7"/>
    <w:rsid w:val="00CA3A5C"/>
    <w:rsid w:val="00CA44F4"/>
    <w:rsid w:val="00CA4C9A"/>
    <w:rsid w:val="00CA523B"/>
    <w:rsid w:val="00CA556A"/>
    <w:rsid w:val="00CA562B"/>
    <w:rsid w:val="00CA5966"/>
    <w:rsid w:val="00CA5BB9"/>
    <w:rsid w:val="00CA6060"/>
    <w:rsid w:val="00CA644C"/>
    <w:rsid w:val="00CA644D"/>
    <w:rsid w:val="00CA6611"/>
    <w:rsid w:val="00CA6A0E"/>
    <w:rsid w:val="00CA6AE6"/>
    <w:rsid w:val="00CA7421"/>
    <w:rsid w:val="00CA782F"/>
    <w:rsid w:val="00CA7BAF"/>
    <w:rsid w:val="00CA7CBB"/>
    <w:rsid w:val="00CA7D51"/>
    <w:rsid w:val="00CB02AA"/>
    <w:rsid w:val="00CB0AAB"/>
    <w:rsid w:val="00CB0BF0"/>
    <w:rsid w:val="00CB105D"/>
    <w:rsid w:val="00CB187B"/>
    <w:rsid w:val="00CB2835"/>
    <w:rsid w:val="00CB2B1C"/>
    <w:rsid w:val="00CB2B53"/>
    <w:rsid w:val="00CB2C37"/>
    <w:rsid w:val="00CB2DDE"/>
    <w:rsid w:val="00CB2E61"/>
    <w:rsid w:val="00CB3285"/>
    <w:rsid w:val="00CB3395"/>
    <w:rsid w:val="00CB3840"/>
    <w:rsid w:val="00CB39CD"/>
    <w:rsid w:val="00CB3E77"/>
    <w:rsid w:val="00CB42EA"/>
    <w:rsid w:val="00CB4500"/>
    <w:rsid w:val="00CB47D2"/>
    <w:rsid w:val="00CB4A8B"/>
    <w:rsid w:val="00CB4CA4"/>
    <w:rsid w:val="00CB4E7A"/>
    <w:rsid w:val="00CB52C7"/>
    <w:rsid w:val="00CB54D8"/>
    <w:rsid w:val="00CB5503"/>
    <w:rsid w:val="00CB593E"/>
    <w:rsid w:val="00CB5D63"/>
    <w:rsid w:val="00CB5DA3"/>
    <w:rsid w:val="00CB6112"/>
    <w:rsid w:val="00CB6247"/>
    <w:rsid w:val="00CB63C1"/>
    <w:rsid w:val="00CB6813"/>
    <w:rsid w:val="00CB6E30"/>
    <w:rsid w:val="00CB7220"/>
    <w:rsid w:val="00CB7D4B"/>
    <w:rsid w:val="00CB7FAD"/>
    <w:rsid w:val="00CBA64A"/>
    <w:rsid w:val="00CC025A"/>
    <w:rsid w:val="00CC0471"/>
    <w:rsid w:val="00CC0857"/>
    <w:rsid w:val="00CC0B24"/>
    <w:rsid w:val="00CC0C72"/>
    <w:rsid w:val="00CC0DD6"/>
    <w:rsid w:val="00CC1C1F"/>
    <w:rsid w:val="00CC26A0"/>
    <w:rsid w:val="00CC2BFD"/>
    <w:rsid w:val="00CC2C9A"/>
    <w:rsid w:val="00CC2E42"/>
    <w:rsid w:val="00CC3050"/>
    <w:rsid w:val="00CC3215"/>
    <w:rsid w:val="00CC37A5"/>
    <w:rsid w:val="00CC38D1"/>
    <w:rsid w:val="00CC3989"/>
    <w:rsid w:val="00CC3BB0"/>
    <w:rsid w:val="00CC42CB"/>
    <w:rsid w:val="00CC42DD"/>
    <w:rsid w:val="00CC4643"/>
    <w:rsid w:val="00CC497B"/>
    <w:rsid w:val="00CC4C4C"/>
    <w:rsid w:val="00CC506E"/>
    <w:rsid w:val="00CC5199"/>
    <w:rsid w:val="00CC525C"/>
    <w:rsid w:val="00CC5924"/>
    <w:rsid w:val="00CC61C0"/>
    <w:rsid w:val="00CC684B"/>
    <w:rsid w:val="00CC6EE4"/>
    <w:rsid w:val="00CC6F40"/>
    <w:rsid w:val="00CC7081"/>
    <w:rsid w:val="00CC7262"/>
    <w:rsid w:val="00CC7913"/>
    <w:rsid w:val="00CD0292"/>
    <w:rsid w:val="00CD0542"/>
    <w:rsid w:val="00CD05FB"/>
    <w:rsid w:val="00CD08C9"/>
    <w:rsid w:val="00CD0974"/>
    <w:rsid w:val="00CD0F97"/>
    <w:rsid w:val="00CD0FD4"/>
    <w:rsid w:val="00CD131B"/>
    <w:rsid w:val="00CD16D2"/>
    <w:rsid w:val="00CD1FC3"/>
    <w:rsid w:val="00CD1FD8"/>
    <w:rsid w:val="00CD20ED"/>
    <w:rsid w:val="00CD2516"/>
    <w:rsid w:val="00CD26D5"/>
    <w:rsid w:val="00CD2859"/>
    <w:rsid w:val="00CD285A"/>
    <w:rsid w:val="00CD2884"/>
    <w:rsid w:val="00CD2AF7"/>
    <w:rsid w:val="00CD2EC9"/>
    <w:rsid w:val="00CD2F50"/>
    <w:rsid w:val="00CD3476"/>
    <w:rsid w:val="00CD428C"/>
    <w:rsid w:val="00CD459F"/>
    <w:rsid w:val="00CD4BC1"/>
    <w:rsid w:val="00CD522E"/>
    <w:rsid w:val="00CD5274"/>
    <w:rsid w:val="00CD55AC"/>
    <w:rsid w:val="00CD59DF"/>
    <w:rsid w:val="00CD5A56"/>
    <w:rsid w:val="00CD5AB9"/>
    <w:rsid w:val="00CD64DF"/>
    <w:rsid w:val="00CD6723"/>
    <w:rsid w:val="00CD69A8"/>
    <w:rsid w:val="00CD6D5B"/>
    <w:rsid w:val="00CD75BC"/>
    <w:rsid w:val="00CD7F07"/>
    <w:rsid w:val="00CE00C4"/>
    <w:rsid w:val="00CE058B"/>
    <w:rsid w:val="00CE0AB6"/>
    <w:rsid w:val="00CE0E35"/>
    <w:rsid w:val="00CE1A34"/>
    <w:rsid w:val="00CE225F"/>
    <w:rsid w:val="00CE2781"/>
    <w:rsid w:val="00CE284D"/>
    <w:rsid w:val="00CE288B"/>
    <w:rsid w:val="00CE397B"/>
    <w:rsid w:val="00CE39B6"/>
    <w:rsid w:val="00CE4388"/>
    <w:rsid w:val="00CE4F0A"/>
    <w:rsid w:val="00CE51A2"/>
    <w:rsid w:val="00CE555C"/>
    <w:rsid w:val="00CE5A7A"/>
    <w:rsid w:val="00CE5EE4"/>
    <w:rsid w:val="00CE7C40"/>
    <w:rsid w:val="00CF00F1"/>
    <w:rsid w:val="00CF0A2F"/>
    <w:rsid w:val="00CF0D37"/>
    <w:rsid w:val="00CF0D3C"/>
    <w:rsid w:val="00CF0D55"/>
    <w:rsid w:val="00CF0DA8"/>
    <w:rsid w:val="00CF0DB1"/>
    <w:rsid w:val="00CF11A5"/>
    <w:rsid w:val="00CF1248"/>
    <w:rsid w:val="00CF148F"/>
    <w:rsid w:val="00CF14D6"/>
    <w:rsid w:val="00CF179A"/>
    <w:rsid w:val="00CF180C"/>
    <w:rsid w:val="00CF18C7"/>
    <w:rsid w:val="00CF2F47"/>
    <w:rsid w:val="00CF2F50"/>
    <w:rsid w:val="00CF3092"/>
    <w:rsid w:val="00CF310C"/>
    <w:rsid w:val="00CF372C"/>
    <w:rsid w:val="00CF418D"/>
    <w:rsid w:val="00CF472F"/>
    <w:rsid w:val="00CF49B3"/>
    <w:rsid w:val="00CF4E52"/>
    <w:rsid w:val="00CF6198"/>
    <w:rsid w:val="00CF63D5"/>
    <w:rsid w:val="00CF6828"/>
    <w:rsid w:val="00CF7042"/>
    <w:rsid w:val="00CF7217"/>
    <w:rsid w:val="00CF7562"/>
    <w:rsid w:val="00CF766C"/>
    <w:rsid w:val="00CF7B89"/>
    <w:rsid w:val="00D0038F"/>
    <w:rsid w:val="00D00A67"/>
    <w:rsid w:val="00D00B1C"/>
    <w:rsid w:val="00D014B5"/>
    <w:rsid w:val="00D021B4"/>
    <w:rsid w:val="00D023FD"/>
    <w:rsid w:val="00D02732"/>
    <w:rsid w:val="00D02919"/>
    <w:rsid w:val="00D02A41"/>
    <w:rsid w:val="00D02BA0"/>
    <w:rsid w:val="00D02D44"/>
    <w:rsid w:val="00D03777"/>
    <w:rsid w:val="00D038B9"/>
    <w:rsid w:val="00D03B4E"/>
    <w:rsid w:val="00D03B78"/>
    <w:rsid w:val="00D03BEA"/>
    <w:rsid w:val="00D03C0F"/>
    <w:rsid w:val="00D0437B"/>
    <w:rsid w:val="00D048AD"/>
    <w:rsid w:val="00D04A15"/>
    <w:rsid w:val="00D04C61"/>
    <w:rsid w:val="00D0521C"/>
    <w:rsid w:val="00D05B8D"/>
    <w:rsid w:val="00D05B9B"/>
    <w:rsid w:val="00D05CC6"/>
    <w:rsid w:val="00D065A2"/>
    <w:rsid w:val="00D067C4"/>
    <w:rsid w:val="00D0698C"/>
    <w:rsid w:val="00D073DB"/>
    <w:rsid w:val="00D07985"/>
    <w:rsid w:val="00D079AA"/>
    <w:rsid w:val="00D07A14"/>
    <w:rsid w:val="00D07F00"/>
    <w:rsid w:val="00D1038E"/>
    <w:rsid w:val="00D103FE"/>
    <w:rsid w:val="00D10844"/>
    <w:rsid w:val="00D10914"/>
    <w:rsid w:val="00D109F2"/>
    <w:rsid w:val="00D10A26"/>
    <w:rsid w:val="00D10BB9"/>
    <w:rsid w:val="00D10D34"/>
    <w:rsid w:val="00D10F0E"/>
    <w:rsid w:val="00D10F20"/>
    <w:rsid w:val="00D10FDA"/>
    <w:rsid w:val="00D11252"/>
    <w:rsid w:val="00D1130F"/>
    <w:rsid w:val="00D11C06"/>
    <w:rsid w:val="00D12144"/>
    <w:rsid w:val="00D1228E"/>
    <w:rsid w:val="00D122AB"/>
    <w:rsid w:val="00D122D9"/>
    <w:rsid w:val="00D12598"/>
    <w:rsid w:val="00D12DD1"/>
    <w:rsid w:val="00D13338"/>
    <w:rsid w:val="00D13B87"/>
    <w:rsid w:val="00D13E1C"/>
    <w:rsid w:val="00D14106"/>
    <w:rsid w:val="00D1436B"/>
    <w:rsid w:val="00D1453E"/>
    <w:rsid w:val="00D1475D"/>
    <w:rsid w:val="00D14887"/>
    <w:rsid w:val="00D14987"/>
    <w:rsid w:val="00D14BBC"/>
    <w:rsid w:val="00D14D8D"/>
    <w:rsid w:val="00D1527A"/>
    <w:rsid w:val="00D16784"/>
    <w:rsid w:val="00D16A2B"/>
    <w:rsid w:val="00D16B91"/>
    <w:rsid w:val="00D16BAD"/>
    <w:rsid w:val="00D179EB"/>
    <w:rsid w:val="00D17B72"/>
    <w:rsid w:val="00D2011A"/>
    <w:rsid w:val="00D20382"/>
    <w:rsid w:val="00D209EC"/>
    <w:rsid w:val="00D2156C"/>
    <w:rsid w:val="00D21F07"/>
    <w:rsid w:val="00D22571"/>
    <w:rsid w:val="00D22601"/>
    <w:rsid w:val="00D22BAB"/>
    <w:rsid w:val="00D234C3"/>
    <w:rsid w:val="00D23DEA"/>
    <w:rsid w:val="00D23E6C"/>
    <w:rsid w:val="00D23F5C"/>
    <w:rsid w:val="00D2418A"/>
    <w:rsid w:val="00D24332"/>
    <w:rsid w:val="00D24593"/>
    <w:rsid w:val="00D24919"/>
    <w:rsid w:val="00D24F09"/>
    <w:rsid w:val="00D253D9"/>
    <w:rsid w:val="00D260FE"/>
    <w:rsid w:val="00D261C6"/>
    <w:rsid w:val="00D263BB"/>
    <w:rsid w:val="00D264F9"/>
    <w:rsid w:val="00D265B4"/>
    <w:rsid w:val="00D26C8F"/>
    <w:rsid w:val="00D27448"/>
    <w:rsid w:val="00D27839"/>
    <w:rsid w:val="00D27CB7"/>
    <w:rsid w:val="00D27D2A"/>
    <w:rsid w:val="00D27EDE"/>
    <w:rsid w:val="00D30204"/>
    <w:rsid w:val="00D303DC"/>
    <w:rsid w:val="00D309C9"/>
    <w:rsid w:val="00D30A48"/>
    <w:rsid w:val="00D30BFA"/>
    <w:rsid w:val="00D30FEF"/>
    <w:rsid w:val="00D31096"/>
    <w:rsid w:val="00D31717"/>
    <w:rsid w:val="00D3185C"/>
    <w:rsid w:val="00D31C94"/>
    <w:rsid w:val="00D3205F"/>
    <w:rsid w:val="00D32251"/>
    <w:rsid w:val="00D3318E"/>
    <w:rsid w:val="00D334A7"/>
    <w:rsid w:val="00D33E72"/>
    <w:rsid w:val="00D34886"/>
    <w:rsid w:val="00D34E10"/>
    <w:rsid w:val="00D35093"/>
    <w:rsid w:val="00D35205"/>
    <w:rsid w:val="00D354CE"/>
    <w:rsid w:val="00D35BD6"/>
    <w:rsid w:val="00D361B5"/>
    <w:rsid w:val="00D36400"/>
    <w:rsid w:val="00D36446"/>
    <w:rsid w:val="00D36774"/>
    <w:rsid w:val="00D36910"/>
    <w:rsid w:val="00D36DAD"/>
    <w:rsid w:val="00D36F1C"/>
    <w:rsid w:val="00D37F5B"/>
    <w:rsid w:val="00D402C0"/>
    <w:rsid w:val="00D404C5"/>
    <w:rsid w:val="00D4093A"/>
    <w:rsid w:val="00D40DD6"/>
    <w:rsid w:val="00D40EC7"/>
    <w:rsid w:val="00D4109C"/>
    <w:rsid w:val="00D411A2"/>
    <w:rsid w:val="00D41902"/>
    <w:rsid w:val="00D424FB"/>
    <w:rsid w:val="00D42D64"/>
    <w:rsid w:val="00D42F4C"/>
    <w:rsid w:val="00D43172"/>
    <w:rsid w:val="00D43186"/>
    <w:rsid w:val="00D43315"/>
    <w:rsid w:val="00D43704"/>
    <w:rsid w:val="00D43734"/>
    <w:rsid w:val="00D43758"/>
    <w:rsid w:val="00D43B1A"/>
    <w:rsid w:val="00D43C6A"/>
    <w:rsid w:val="00D43ECC"/>
    <w:rsid w:val="00D43F4D"/>
    <w:rsid w:val="00D4498F"/>
    <w:rsid w:val="00D449F0"/>
    <w:rsid w:val="00D452A7"/>
    <w:rsid w:val="00D45508"/>
    <w:rsid w:val="00D45A27"/>
    <w:rsid w:val="00D45D7B"/>
    <w:rsid w:val="00D45E13"/>
    <w:rsid w:val="00D4606D"/>
    <w:rsid w:val="00D4616D"/>
    <w:rsid w:val="00D469B7"/>
    <w:rsid w:val="00D46CE8"/>
    <w:rsid w:val="00D47072"/>
    <w:rsid w:val="00D470B8"/>
    <w:rsid w:val="00D476E6"/>
    <w:rsid w:val="00D4796E"/>
    <w:rsid w:val="00D5014C"/>
    <w:rsid w:val="00D50255"/>
    <w:rsid w:val="00D50454"/>
    <w:rsid w:val="00D50B9C"/>
    <w:rsid w:val="00D50D70"/>
    <w:rsid w:val="00D513AF"/>
    <w:rsid w:val="00D51451"/>
    <w:rsid w:val="00D517A3"/>
    <w:rsid w:val="00D51A4D"/>
    <w:rsid w:val="00D51A61"/>
    <w:rsid w:val="00D51E65"/>
    <w:rsid w:val="00D52040"/>
    <w:rsid w:val="00D5231F"/>
    <w:rsid w:val="00D5269D"/>
    <w:rsid w:val="00D52809"/>
    <w:rsid w:val="00D52CC3"/>
    <w:rsid w:val="00D52D73"/>
    <w:rsid w:val="00D52E58"/>
    <w:rsid w:val="00D52F33"/>
    <w:rsid w:val="00D53593"/>
    <w:rsid w:val="00D53753"/>
    <w:rsid w:val="00D5384F"/>
    <w:rsid w:val="00D539E9"/>
    <w:rsid w:val="00D5460C"/>
    <w:rsid w:val="00D54958"/>
    <w:rsid w:val="00D5499F"/>
    <w:rsid w:val="00D54C01"/>
    <w:rsid w:val="00D551C2"/>
    <w:rsid w:val="00D55313"/>
    <w:rsid w:val="00D5536A"/>
    <w:rsid w:val="00D554F4"/>
    <w:rsid w:val="00D55610"/>
    <w:rsid w:val="00D5625F"/>
    <w:rsid w:val="00D56B20"/>
    <w:rsid w:val="00D56D82"/>
    <w:rsid w:val="00D5718E"/>
    <w:rsid w:val="00D578B3"/>
    <w:rsid w:val="00D57FC7"/>
    <w:rsid w:val="00D60824"/>
    <w:rsid w:val="00D60950"/>
    <w:rsid w:val="00D6145B"/>
    <w:rsid w:val="00D6164D"/>
    <w:rsid w:val="00D61664"/>
    <w:rsid w:val="00D61834"/>
    <w:rsid w:val="00D618F4"/>
    <w:rsid w:val="00D61A0F"/>
    <w:rsid w:val="00D61BA2"/>
    <w:rsid w:val="00D61C9D"/>
    <w:rsid w:val="00D61D32"/>
    <w:rsid w:val="00D620E5"/>
    <w:rsid w:val="00D62437"/>
    <w:rsid w:val="00D6280D"/>
    <w:rsid w:val="00D629A8"/>
    <w:rsid w:val="00D62A67"/>
    <w:rsid w:val="00D63636"/>
    <w:rsid w:val="00D63CB5"/>
    <w:rsid w:val="00D63EE1"/>
    <w:rsid w:val="00D64349"/>
    <w:rsid w:val="00D649DF"/>
    <w:rsid w:val="00D64C2C"/>
    <w:rsid w:val="00D64DCE"/>
    <w:rsid w:val="00D6502C"/>
    <w:rsid w:val="00D65249"/>
    <w:rsid w:val="00D6527A"/>
    <w:rsid w:val="00D654FB"/>
    <w:rsid w:val="00D657BB"/>
    <w:rsid w:val="00D65932"/>
    <w:rsid w:val="00D65B27"/>
    <w:rsid w:val="00D65C0C"/>
    <w:rsid w:val="00D65DE7"/>
    <w:rsid w:val="00D66264"/>
    <w:rsid w:val="00D66952"/>
    <w:rsid w:val="00D6749E"/>
    <w:rsid w:val="00D67ADA"/>
    <w:rsid w:val="00D70660"/>
    <w:rsid w:val="00D70BC2"/>
    <w:rsid w:val="00D714AC"/>
    <w:rsid w:val="00D714CC"/>
    <w:rsid w:val="00D7173A"/>
    <w:rsid w:val="00D71BAF"/>
    <w:rsid w:val="00D72581"/>
    <w:rsid w:val="00D729C9"/>
    <w:rsid w:val="00D72DC0"/>
    <w:rsid w:val="00D7411C"/>
    <w:rsid w:val="00D743AD"/>
    <w:rsid w:val="00D744A9"/>
    <w:rsid w:val="00D74753"/>
    <w:rsid w:val="00D75690"/>
    <w:rsid w:val="00D75800"/>
    <w:rsid w:val="00D75EA7"/>
    <w:rsid w:val="00D7616C"/>
    <w:rsid w:val="00D7618F"/>
    <w:rsid w:val="00D763CB"/>
    <w:rsid w:val="00D76434"/>
    <w:rsid w:val="00D7678D"/>
    <w:rsid w:val="00D76ECC"/>
    <w:rsid w:val="00D771EE"/>
    <w:rsid w:val="00D77401"/>
    <w:rsid w:val="00D77A38"/>
    <w:rsid w:val="00D8015E"/>
    <w:rsid w:val="00D803BE"/>
    <w:rsid w:val="00D803F8"/>
    <w:rsid w:val="00D8098E"/>
    <w:rsid w:val="00D80A73"/>
    <w:rsid w:val="00D80B9D"/>
    <w:rsid w:val="00D80D0F"/>
    <w:rsid w:val="00D80E01"/>
    <w:rsid w:val="00D810B5"/>
    <w:rsid w:val="00D8176E"/>
    <w:rsid w:val="00D81A30"/>
    <w:rsid w:val="00D81ADF"/>
    <w:rsid w:val="00D81B67"/>
    <w:rsid w:val="00D81D6E"/>
    <w:rsid w:val="00D81F21"/>
    <w:rsid w:val="00D81FB2"/>
    <w:rsid w:val="00D81FF6"/>
    <w:rsid w:val="00D827E8"/>
    <w:rsid w:val="00D82BBC"/>
    <w:rsid w:val="00D82C19"/>
    <w:rsid w:val="00D82CB9"/>
    <w:rsid w:val="00D83277"/>
    <w:rsid w:val="00D8384D"/>
    <w:rsid w:val="00D83AEE"/>
    <w:rsid w:val="00D85FFB"/>
    <w:rsid w:val="00D863FA"/>
    <w:rsid w:val="00D864F2"/>
    <w:rsid w:val="00D86B12"/>
    <w:rsid w:val="00D86BF0"/>
    <w:rsid w:val="00D86BF5"/>
    <w:rsid w:val="00D86F44"/>
    <w:rsid w:val="00D8712D"/>
    <w:rsid w:val="00D8732A"/>
    <w:rsid w:val="00D875D6"/>
    <w:rsid w:val="00D87C4C"/>
    <w:rsid w:val="00D87C7F"/>
    <w:rsid w:val="00D87D04"/>
    <w:rsid w:val="00D9016D"/>
    <w:rsid w:val="00D90407"/>
    <w:rsid w:val="00D90CEA"/>
    <w:rsid w:val="00D90ED3"/>
    <w:rsid w:val="00D91065"/>
    <w:rsid w:val="00D91545"/>
    <w:rsid w:val="00D9168B"/>
    <w:rsid w:val="00D91909"/>
    <w:rsid w:val="00D91CD6"/>
    <w:rsid w:val="00D91E7E"/>
    <w:rsid w:val="00D9245B"/>
    <w:rsid w:val="00D92586"/>
    <w:rsid w:val="00D925AA"/>
    <w:rsid w:val="00D92EAA"/>
    <w:rsid w:val="00D930E5"/>
    <w:rsid w:val="00D9360C"/>
    <w:rsid w:val="00D93734"/>
    <w:rsid w:val="00D93B35"/>
    <w:rsid w:val="00D93E86"/>
    <w:rsid w:val="00D93EE8"/>
    <w:rsid w:val="00D94255"/>
    <w:rsid w:val="00D943F8"/>
    <w:rsid w:val="00D946C6"/>
    <w:rsid w:val="00D9470B"/>
    <w:rsid w:val="00D948F4"/>
    <w:rsid w:val="00D94DA8"/>
    <w:rsid w:val="00D9523F"/>
    <w:rsid w:val="00D9542F"/>
    <w:rsid w:val="00D95470"/>
    <w:rsid w:val="00D95779"/>
    <w:rsid w:val="00D95BA9"/>
    <w:rsid w:val="00D96392"/>
    <w:rsid w:val="00D964AC"/>
    <w:rsid w:val="00D96AED"/>
    <w:rsid w:val="00D96B55"/>
    <w:rsid w:val="00D96CF3"/>
    <w:rsid w:val="00D96E21"/>
    <w:rsid w:val="00D97816"/>
    <w:rsid w:val="00D97C9D"/>
    <w:rsid w:val="00D97EB0"/>
    <w:rsid w:val="00DA01FD"/>
    <w:rsid w:val="00DA07D7"/>
    <w:rsid w:val="00DA0C13"/>
    <w:rsid w:val="00DA0D7C"/>
    <w:rsid w:val="00DA113D"/>
    <w:rsid w:val="00DA123E"/>
    <w:rsid w:val="00DA184E"/>
    <w:rsid w:val="00DA22EA"/>
    <w:rsid w:val="00DA25C1"/>
    <w:rsid w:val="00DA2619"/>
    <w:rsid w:val="00DA28B7"/>
    <w:rsid w:val="00DA2993"/>
    <w:rsid w:val="00DA3074"/>
    <w:rsid w:val="00DA30E2"/>
    <w:rsid w:val="00DA3183"/>
    <w:rsid w:val="00DA3756"/>
    <w:rsid w:val="00DA383B"/>
    <w:rsid w:val="00DA3BC2"/>
    <w:rsid w:val="00DA4239"/>
    <w:rsid w:val="00DA4826"/>
    <w:rsid w:val="00DA49B0"/>
    <w:rsid w:val="00DA4B04"/>
    <w:rsid w:val="00DA5419"/>
    <w:rsid w:val="00DA5554"/>
    <w:rsid w:val="00DA588C"/>
    <w:rsid w:val="00DA5A94"/>
    <w:rsid w:val="00DA5C94"/>
    <w:rsid w:val="00DA5EC2"/>
    <w:rsid w:val="00DA6108"/>
    <w:rsid w:val="00DA63D9"/>
    <w:rsid w:val="00DA64CB"/>
    <w:rsid w:val="00DA65DE"/>
    <w:rsid w:val="00DA674D"/>
    <w:rsid w:val="00DA6A4C"/>
    <w:rsid w:val="00DA6AC4"/>
    <w:rsid w:val="00DA6E13"/>
    <w:rsid w:val="00DA7342"/>
    <w:rsid w:val="00DA754B"/>
    <w:rsid w:val="00DA75F6"/>
    <w:rsid w:val="00DB05D7"/>
    <w:rsid w:val="00DB05FE"/>
    <w:rsid w:val="00DB064D"/>
    <w:rsid w:val="00DB07F2"/>
    <w:rsid w:val="00DB0B61"/>
    <w:rsid w:val="00DB0BBA"/>
    <w:rsid w:val="00DB0C45"/>
    <w:rsid w:val="00DB1406"/>
    <w:rsid w:val="00DB1474"/>
    <w:rsid w:val="00DB18B2"/>
    <w:rsid w:val="00DB1AF9"/>
    <w:rsid w:val="00DB1D84"/>
    <w:rsid w:val="00DB1D9A"/>
    <w:rsid w:val="00DB1F5C"/>
    <w:rsid w:val="00DB1F88"/>
    <w:rsid w:val="00DB268D"/>
    <w:rsid w:val="00DB283A"/>
    <w:rsid w:val="00DB2962"/>
    <w:rsid w:val="00DB2CE6"/>
    <w:rsid w:val="00DB2D4E"/>
    <w:rsid w:val="00DB2FF2"/>
    <w:rsid w:val="00DB3075"/>
    <w:rsid w:val="00DB322E"/>
    <w:rsid w:val="00DB3483"/>
    <w:rsid w:val="00DB3669"/>
    <w:rsid w:val="00DB38DA"/>
    <w:rsid w:val="00DB3B4B"/>
    <w:rsid w:val="00DB42AD"/>
    <w:rsid w:val="00DB436E"/>
    <w:rsid w:val="00DB481A"/>
    <w:rsid w:val="00DB4B11"/>
    <w:rsid w:val="00DB52FB"/>
    <w:rsid w:val="00DB54A9"/>
    <w:rsid w:val="00DB641F"/>
    <w:rsid w:val="00DB65BF"/>
    <w:rsid w:val="00DB6A03"/>
    <w:rsid w:val="00DB6B18"/>
    <w:rsid w:val="00DB6DF7"/>
    <w:rsid w:val="00DB6F51"/>
    <w:rsid w:val="00DB707E"/>
    <w:rsid w:val="00DB71D3"/>
    <w:rsid w:val="00DB79B0"/>
    <w:rsid w:val="00DC013B"/>
    <w:rsid w:val="00DC090B"/>
    <w:rsid w:val="00DC0A96"/>
    <w:rsid w:val="00DC1679"/>
    <w:rsid w:val="00DC175D"/>
    <w:rsid w:val="00DC18F6"/>
    <w:rsid w:val="00DC1C65"/>
    <w:rsid w:val="00DC2074"/>
    <w:rsid w:val="00DC211C"/>
    <w:rsid w:val="00DC219B"/>
    <w:rsid w:val="00DC220C"/>
    <w:rsid w:val="00DC2A22"/>
    <w:rsid w:val="00DC2CF1"/>
    <w:rsid w:val="00DC2DC7"/>
    <w:rsid w:val="00DC2EA0"/>
    <w:rsid w:val="00DC2FDA"/>
    <w:rsid w:val="00DC3A7C"/>
    <w:rsid w:val="00DC4188"/>
    <w:rsid w:val="00DC4D36"/>
    <w:rsid w:val="00DC4FCF"/>
    <w:rsid w:val="00DC50E0"/>
    <w:rsid w:val="00DC53B0"/>
    <w:rsid w:val="00DC5BF2"/>
    <w:rsid w:val="00DC5D60"/>
    <w:rsid w:val="00DC5E20"/>
    <w:rsid w:val="00DC6386"/>
    <w:rsid w:val="00DC6446"/>
    <w:rsid w:val="00DC6691"/>
    <w:rsid w:val="00DC6818"/>
    <w:rsid w:val="00DC71D6"/>
    <w:rsid w:val="00DC7921"/>
    <w:rsid w:val="00DC7DFA"/>
    <w:rsid w:val="00DC7E47"/>
    <w:rsid w:val="00DC7FBB"/>
    <w:rsid w:val="00DD0112"/>
    <w:rsid w:val="00DD042D"/>
    <w:rsid w:val="00DD0539"/>
    <w:rsid w:val="00DD0E99"/>
    <w:rsid w:val="00DD105B"/>
    <w:rsid w:val="00DD1130"/>
    <w:rsid w:val="00DD1951"/>
    <w:rsid w:val="00DD1A7D"/>
    <w:rsid w:val="00DD1D5A"/>
    <w:rsid w:val="00DD2021"/>
    <w:rsid w:val="00DD2536"/>
    <w:rsid w:val="00DD2547"/>
    <w:rsid w:val="00DD2AAC"/>
    <w:rsid w:val="00DD2B2E"/>
    <w:rsid w:val="00DD32D4"/>
    <w:rsid w:val="00DD3A63"/>
    <w:rsid w:val="00DD4518"/>
    <w:rsid w:val="00DD487D"/>
    <w:rsid w:val="00DD4B30"/>
    <w:rsid w:val="00DD4B58"/>
    <w:rsid w:val="00DD4E83"/>
    <w:rsid w:val="00DD4FBE"/>
    <w:rsid w:val="00DD5195"/>
    <w:rsid w:val="00DD538F"/>
    <w:rsid w:val="00DD5D68"/>
    <w:rsid w:val="00DD5DF6"/>
    <w:rsid w:val="00DD5E18"/>
    <w:rsid w:val="00DD647B"/>
    <w:rsid w:val="00DD6628"/>
    <w:rsid w:val="00DD6678"/>
    <w:rsid w:val="00DD6742"/>
    <w:rsid w:val="00DD6945"/>
    <w:rsid w:val="00DD6B09"/>
    <w:rsid w:val="00DE0404"/>
    <w:rsid w:val="00DE0C45"/>
    <w:rsid w:val="00DE202F"/>
    <w:rsid w:val="00DE24B8"/>
    <w:rsid w:val="00DE2873"/>
    <w:rsid w:val="00DE2D04"/>
    <w:rsid w:val="00DE3250"/>
    <w:rsid w:val="00DE33BA"/>
    <w:rsid w:val="00DE362B"/>
    <w:rsid w:val="00DE520F"/>
    <w:rsid w:val="00DE5795"/>
    <w:rsid w:val="00DE5BFB"/>
    <w:rsid w:val="00DE5DDA"/>
    <w:rsid w:val="00DE5E88"/>
    <w:rsid w:val="00DE6028"/>
    <w:rsid w:val="00DE6084"/>
    <w:rsid w:val="00DE609C"/>
    <w:rsid w:val="00DE609D"/>
    <w:rsid w:val="00DE62AD"/>
    <w:rsid w:val="00DE672B"/>
    <w:rsid w:val="00DE6C85"/>
    <w:rsid w:val="00DE7863"/>
    <w:rsid w:val="00DE78A3"/>
    <w:rsid w:val="00DE7CB5"/>
    <w:rsid w:val="00DE7D2E"/>
    <w:rsid w:val="00DE7D31"/>
    <w:rsid w:val="00DF02FC"/>
    <w:rsid w:val="00DF04CE"/>
    <w:rsid w:val="00DF0A6E"/>
    <w:rsid w:val="00DF11AE"/>
    <w:rsid w:val="00DF198D"/>
    <w:rsid w:val="00DF1A71"/>
    <w:rsid w:val="00DF1C62"/>
    <w:rsid w:val="00DF2083"/>
    <w:rsid w:val="00DF215A"/>
    <w:rsid w:val="00DF2799"/>
    <w:rsid w:val="00DF2CC4"/>
    <w:rsid w:val="00DF2E89"/>
    <w:rsid w:val="00DF31BE"/>
    <w:rsid w:val="00DF3E40"/>
    <w:rsid w:val="00DF3E92"/>
    <w:rsid w:val="00DF43FC"/>
    <w:rsid w:val="00DF4767"/>
    <w:rsid w:val="00DF4911"/>
    <w:rsid w:val="00DF5074"/>
    <w:rsid w:val="00DF50FC"/>
    <w:rsid w:val="00DF526B"/>
    <w:rsid w:val="00DF5789"/>
    <w:rsid w:val="00DF5A7F"/>
    <w:rsid w:val="00DF5AA4"/>
    <w:rsid w:val="00DF5CB0"/>
    <w:rsid w:val="00DF6060"/>
    <w:rsid w:val="00DF676F"/>
    <w:rsid w:val="00DF68C7"/>
    <w:rsid w:val="00DF6BFE"/>
    <w:rsid w:val="00DF731A"/>
    <w:rsid w:val="00DF733A"/>
    <w:rsid w:val="00DF7568"/>
    <w:rsid w:val="00DF7C8D"/>
    <w:rsid w:val="00DF7CD2"/>
    <w:rsid w:val="00DF7F05"/>
    <w:rsid w:val="00DFDBAF"/>
    <w:rsid w:val="00E000A8"/>
    <w:rsid w:val="00E0037D"/>
    <w:rsid w:val="00E003EF"/>
    <w:rsid w:val="00E00BD6"/>
    <w:rsid w:val="00E017EE"/>
    <w:rsid w:val="00E019DA"/>
    <w:rsid w:val="00E01F67"/>
    <w:rsid w:val="00E020F3"/>
    <w:rsid w:val="00E029AB"/>
    <w:rsid w:val="00E02B46"/>
    <w:rsid w:val="00E03611"/>
    <w:rsid w:val="00E0369D"/>
    <w:rsid w:val="00E0396B"/>
    <w:rsid w:val="00E03A8B"/>
    <w:rsid w:val="00E043BA"/>
    <w:rsid w:val="00E04BB0"/>
    <w:rsid w:val="00E04D52"/>
    <w:rsid w:val="00E052DC"/>
    <w:rsid w:val="00E05421"/>
    <w:rsid w:val="00E05818"/>
    <w:rsid w:val="00E05854"/>
    <w:rsid w:val="00E05C4E"/>
    <w:rsid w:val="00E05D10"/>
    <w:rsid w:val="00E05DFC"/>
    <w:rsid w:val="00E05E4C"/>
    <w:rsid w:val="00E0607F"/>
    <w:rsid w:val="00E06619"/>
    <w:rsid w:val="00E06676"/>
    <w:rsid w:val="00E06758"/>
    <w:rsid w:val="00E06B75"/>
    <w:rsid w:val="00E06E34"/>
    <w:rsid w:val="00E074A2"/>
    <w:rsid w:val="00E07C5E"/>
    <w:rsid w:val="00E07CD3"/>
    <w:rsid w:val="00E07D79"/>
    <w:rsid w:val="00E10011"/>
    <w:rsid w:val="00E10A76"/>
    <w:rsid w:val="00E111B7"/>
    <w:rsid w:val="00E11332"/>
    <w:rsid w:val="00E11352"/>
    <w:rsid w:val="00E12375"/>
    <w:rsid w:val="00E12421"/>
    <w:rsid w:val="00E1285D"/>
    <w:rsid w:val="00E12A69"/>
    <w:rsid w:val="00E12F2A"/>
    <w:rsid w:val="00E12FF0"/>
    <w:rsid w:val="00E1385B"/>
    <w:rsid w:val="00E1399A"/>
    <w:rsid w:val="00E14292"/>
    <w:rsid w:val="00E1480C"/>
    <w:rsid w:val="00E149BD"/>
    <w:rsid w:val="00E14CBC"/>
    <w:rsid w:val="00E14D4A"/>
    <w:rsid w:val="00E14F0C"/>
    <w:rsid w:val="00E15029"/>
    <w:rsid w:val="00E1596C"/>
    <w:rsid w:val="00E15DFC"/>
    <w:rsid w:val="00E160E9"/>
    <w:rsid w:val="00E161C4"/>
    <w:rsid w:val="00E164D7"/>
    <w:rsid w:val="00E16691"/>
    <w:rsid w:val="00E1677A"/>
    <w:rsid w:val="00E170C6"/>
    <w:rsid w:val="00E170DC"/>
    <w:rsid w:val="00E17345"/>
    <w:rsid w:val="00E1750A"/>
    <w:rsid w:val="00E17546"/>
    <w:rsid w:val="00E17CAC"/>
    <w:rsid w:val="00E17DF4"/>
    <w:rsid w:val="00E17EE2"/>
    <w:rsid w:val="00E20023"/>
    <w:rsid w:val="00E20141"/>
    <w:rsid w:val="00E205DE"/>
    <w:rsid w:val="00E207F2"/>
    <w:rsid w:val="00E209B0"/>
    <w:rsid w:val="00E20C09"/>
    <w:rsid w:val="00E210B5"/>
    <w:rsid w:val="00E2111D"/>
    <w:rsid w:val="00E219A8"/>
    <w:rsid w:val="00E226D9"/>
    <w:rsid w:val="00E23494"/>
    <w:rsid w:val="00E23508"/>
    <w:rsid w:val="00E245D9"/>
    <w:rsid w:val="00E246CF"/>
    <w:rsid w:val="00E24936"/>
    <w:rsid w:val="00E24EF9"/>
    <w:rsid w:val="00E25462"/>
    <w:rsid w:val="00E25CF5"/>
    <w:rsid w:val="00E25E4E"/>
    <w:rsid w:val="00E26158"/>
    <w:rsid w:val="00E261B3"/>
    <w:rsid w:val="00E26818"/>
    <w:rsid w:val="00E2724D"/>
    <w:rsid w:val="00E2782D"/>
    <w:rsid w:val="00E27CDD"/>
    <w:rsid w:val="00E27FFC"/>
    <w:rsid w:val="00E30582"/>
    <w:rsid w:val="00E30B15"/>
    <w:rsid w:val="00E30CB7"/>
    <w:rsid w:val="00E311EA"/>
    <w:rsid w:val="00E314CD"/>
    <w:rsid w:val="00E3153A"/>
    <w:rsid w:val="00E31719"/>
    <w:rsid w:val="00E3176E"/>
    <w:rsid w:val="00E32166"/>
    <w:rsid w:val="00E323C5"/>
    <w:rsid w:val="00E32F09"/>
    <w:rsid w:val="00E33237"/>
    <w:rsid w:val="00E338DC"/>
    <w:rsid w:val="00E33A89"/>
    <w:rsid w:val="00E33CC6"/>
    <w:rsid w:val="00E341FA"/>
    <w:rsid w:val="00E347AF"/>
    <w:rsid w:val="00E3498D"/>
    <w:rsid w:val="00E34D30"/>
    <w:rsid w:val="00E35415"/>
    <w:rsid w:val="00E35608"/>
    <w:rsid w:val="00E35D12"/>
    <w:rsid w:val="00E36035"/>
    <w:rsid w:val="00E36220"/>
    <w:rsid w:val="00E36245"/>
    <w:rsid w:val="00E364F3"/>
    <w:rsid w:val="00E36735"/>
    <w:rsid w:val="00E369FC"/>
    <w:rsid w:val="00E36BA2"/>
    <w:rsid w:val="00E36BEB"/>
    <w:rsid w:val="00E36FB7"/>
    <w:rsid w:val="00E37839"/>
    <w:rsid w:val="00E40181"/>
    <w:rsid w:val="00E406BA"/>
    <w:rsid w:val="00E41701"/>
    <w:rsid w:val="00E41862"/>
    <w:rsid w:val="00E419D6"/>
    <w:rsid w:val="00E419E5"/>
    <w:rsid w:val="00E423D4"/>
    <w:rsid w:val="00E42B8E"/>
    <w:rsid w:val="00E42CF4"/>
    <w:rsid w:val="00E42CFE"/>
    <w:rsid w:val="00E431F9"/>
    <w:rsid w:val="00E43D08"/>
    <w:rsid w:val="00E4405F"/>
    <w:rsid w:val="00E4479E"/>
    <w:rsid w:val="00E448DD"/>
    <w:rsid w:val="00E45D77"/>
    <w:rsid w:val="00E45E41"/>
    <w:rsid w:val="00E45F41"/>
    <w:rsid w:val="00E4601B"/>
    <w:rsid w:val="00E460C2"/>
    <w:rsid w:val="00E46A0F"/>
    <w:rsid w:val="00E46C4A"/>
    <w:rsid w:val="00E46D8A"/>
    <w:rsid w:val="00E46FAB"/>
    <w:rsid w:val="00E47DBB"/>
    <w:rsid w:val="00E5047D"/>
    <w:rsid w:val="00E505CC"/>
    <w:rsid w:val="00E513C3"/>
    <w:rsid w:val="00E51478"/>
    <w:rsid w:val="00E5149D"/>
    <w:rsid w:val="00E519F1"/>
    <w:rsid w:val="00E51AE9"/>
    <w:rsid w:val="00E51C67"/>
    <w:rsid w:val="00E52113"/>
    <w:rsid w:val="00E52B89"/>
    <w:rsid w:val="00E54383"/>
    <w:rsid w:val="00E54531"/>
    <w:rsid w:val="00E54950"/>
    <w:rsid w:val="00E54A10"/>
    <w:rsid w:val="00E54C7A"/>
    <w:rsid w:val="00E54E0A"/>
    <w:rsid w:val="00E54E32"/>
    <w:rsid w:val="00E550C8"/>
    <w:rsid w:val="00E551BB"/>
    <w:rsid w:val="00E55822"/>
    <w:rsid w:val="00E55FB3"/>
    <w:rsid w:val="00E562B6"/>
    <w:rsid w:val="00E564F1"/>
    <w:rsid w:val="00E56A01"/>
    <w:rsid w:val="00E56E04"/>
    <w:rsid w:val="00E57060"/>
    <w:rsid w:val="00E5771A"/>
    <w:rsid w:val="00E57823"/>
    <w:rsid w:val="00E579CA"/>
    <w:rsid w:val="00E5C105"/>
    <w:rsid w:val="00E60586"/>
    <w:rsid w:val="00E61154"/>
    <w:rsid w:val="00E615AB"/>
    <w:rsid w:val="00E615AD"/>
    <w:rsid w:val="00E61798"/>
    <w:rsid w:val="00E617B8"/>
    <w:rsid w:val="00E61BC1"/>
    <w:rsid w:val="00E61C8C"/>
    <w:rsid w:val="00E61FB9"/>
    <w:rsid w:val="00E62286"/>
    <w:rsid w:val="00E6236B"/>
    <w:rsid w:val="00E6286F"/>
    <w:rsid w:val="00E629A1"/>
    <w:rsid w:val="00E62D88"/>
    <w:rsid w:val="00E62F22"/>
    <w:rsid w:val="00E63026"/>
    <w:rsid w:val="00E6379A"/>
    <w:rsid w:val="00E63C0D"/>
    <w:rsid w:val="00E64249"/>
    <w:rsid w:val="00E647AF"/>
    <w:rsid w:val="00E648AE"/>
    <w:rsid w:val="00E64CA2"/>
    <w:rsid w:val="00E65778"/>
    <w:rsid w:val="00E659F2"/>
    <w:rsid w:val="00E65A79"/>
    <w:rsid w:val="00E65B30"/>
    <w:rsid w:val="00E66469"/>
    <w:rsid w:val="00E6654E"/>
    <w:rsid w:val="00E66637"/>
    <w:rsid w:val="00E67084"/>
    <w:rsid w:val="00E674F9"/>
    <w:rsid w:val="00E67820"/>
    <w:rsid w:val="00E678A6"/>
    <w:rsid w:val="00E6794C"/>
    <w:rsid w:val="00E70025"/>
    <w:rsid w:val="00E70380"/>
    <w:rsid w:val="00E70554"/>
    <w:rsid w:val="00E7096E"/>
    <w:rsid w:val="00E70FB9"/>
    <w:rsid w:val="00E70FF2"/>
    <w:rsid w:val="00E710EA"/>
    <w:rsid w:val="00E710F5"/>
    <w:rsid w:val="00E71248"/>
    <w:rsid w:val="00E71591"/>
    <w:rsid w:val="00E71726"/>
    <w:rsid w:val="00E71A27"/>
    <w:rsid w:val="00E71CEB"/>
    <w:rsid w:val="00E7227A"/>
    <w:rsid w:val="00E72DE9"/>
    <w:rsid w:val="00E7373C"/>
    <w:rsid w:val="00E73744"/>
    <w:rsid w:val="00E7399B"/>
    <w:rsid w:val="00E73C7C"/>
    <w:rsid w:val="00E73F6B"/>
    <w:rsid w:val="00E7474F"/>
    <w:rsid w:val="00E7506F"/>
    <w:rsid w:val="00E750B3"/>
    <w:rsid w:val="00E75567"/>
    <w:rsid w:val="00E7556E"/>
    <w:rsid w:val="00E7567F"/>
    <w:rsid w:val="00E75D2B"/>
    <w:rsid w:val="00E7609D"/>
    <w:rsid w:val="00E76458"/>
    <w:rsid w:val="00E7692F"/>
    <w:rsid w:val="00E76B97"/>
    <w:rsid w:val="00E76D14"/>
    <w:rsid w:val="00E777B5"/>
    <w:rsid w:val="00E778F7"/>
    <w:rsid w:val="00E77B23"/>
    <w:rsid w:val="00E77D60"/>
    <w:rsid w:val="00E80047"/>
    <w:rsid w:val="00E8045D"/>
    <w:rsid w:val="00E80DE3"/>
    <w:rsid w:val="00E81A59"/>
    <w:rsid w:val="00E81DA8"/>
    <w:rsid w:val="00E8214E"/>
    <w:rsid w:val="00E821FA"/>
    <w:rsid w:val="00E82B6F"/>
    <w:rsid w:val="00E82BCE"/>
    <w:rsid w:val="00E82C41"/>
    <w:rsid w:val="00E82C55"/>
    <w:rsid w:val="00E82C92"/>
    <w:rsid w:val="00E838BD"/>
    <w:rsid w:val="00E840B9"/>
    <w:rsid w:val="00E84680"/>
    <w:rsid w:val="00E84A5E"/>
    <w:rsid w:val="00E84C53"/>
    <w:rsid w:val="00E84D90"/>
    <w:rsid w:val="00E84E9F"/>
    <w:rsid w:val="00E84ECE"/>
    <w:rsid w:val="00E85388"/>
    <w:rsid w:val="00E854E0"/>
    <w:rsid w:val="00E85CAA"/>
    <w:rsid w:val="00E85FA1"/>
    <w:rsid w:val="00E860D6"/>
    <w:rsid w:val="00E8615A"/>
    <w:rsid w:val="00E86239"/>
    <w:rsid w:val="00E86C3E"/>
    <w:rsid w:val="00E86C5D"/>
    <w:rsid w:val="00E86CC4"/>
    <w:rsid w:val="00E86D53"/>
    <w:rsid w:val="00E86E1E"/>
    <w:rsid w:val="00E86F3F"/>
    <w:rsid w:val="00E872F8"/>
    <w:rsid w:val="00E8739C"/>
    <w:rsid w:val="00E874EB"/>
    <w:rsid w:val="00E87599"/>
    <w:rsid w:val="00E8760E"/>
    <w:rsid w:val="00E8787E"/>
    <w:rsid w:val="00E9017A"/>
    <w:rsid w:val="00E90184"/>
    <w:rsid w:val="00E9020E"/>
    <w:rsid w:val="00E9042A"/>
    <w:rsid w:val="00E90658"/>
    <w:rsid w:val="00E90CD8"/>
    <w:rsid w:val="00E91228"/>
    <w:rsid w:val="00E912F5"/>
    <w:rsid w:val="00E916AC"/>
    <w:rsid w:val="00E91B2B"/>
    <w:rsid w:val="00E91D63"/>
    <w:rsid w:val="00E9221C"/>
    <w:rsid w:val="00E92AC3"/>
    <w:rsid w:val="00E92B7B"/>
    <w:rsid w:val="00E92C75"/>
    <w:rsid w:val="00E92CBE"/>
    <w:rsid w:val="00E9308A"/>
    <w:rsid w:val="00E9320D"/>
    <w:rsid w:val="00E94AAC"/>
    <w:rsid w:val="00E95046"/>
    <w:rsid w:val="00E950FA"/>
    <w:rsid w:val="00E9513D"/>
    <w:rsid w:val="00E9520B"/>
    <w:rsid w:val="00E9551E"/>
    <w:rsid w:val="00E955AA"/>
    <w:rsid w:val="00E956A7"/>
    <w:rsid w:val="00E95DBB"/>
    <w:rsid w:val="00E95E2F"/>
    <w:rsid w:val="00E9602A"/>
    <w:rsid w:val="00E960BC"/>
    <w:rsid w:val="00E96AB3"/>
    <w:rsid w:val="00E96D3C"/>
    <w:rsid w:val="00E97087"/>
    <w:rsid w:val="00E97219"/>
    <w:rsid w:val="00E975A0"/>
    <w:rsid w:val="00E977D5"/>
    <w:rsid w:val="00EA002E"/>
    <w:rsid w:val="00EA0A6B"/>
    <w:rsid w:val="00EA0C08"/>
    <w:rsid w:val="00EA1231"/>
    <w:rsid w:val="00EA1248"/>
    <w:rsid w:val="00EA1BC6"/>
    <w:rsid w:val="00EA258F"/>
    <w:rsid w:val="00EA2950"/>
    <w:rsid w:val="00EA2F6A"/>
    <w:rsid w:val="00EA3B2B"/>
    <w:rsid w:val="00EA4240"/>
    <w:rsid w:val="00EA48A7"/>
    <w:rsid w:val="00EA4950"/>
    <w:rsid w:val="00EA4CCF"/>
    <w:rsid w:val="00EA67CE"/>
    <w:rsid w:val="00EA68DE"/>
    <w:rsid w:val="00EA6A8B"/>
    <w:rsid w:val="00EA6FF8"/>
    <w:rsid w:val="00EA70AB"/>
    <w:rsid w:val="00EA7E18"/>
    <w:rsid w:val="00EB00E0"/>
    <w:rsid w:val="00EB0498"/>
    <w:rsid w:val="00EB05D5"/>
    <w:rsid w:val="00EB13BF"/>
    <w:rsid w:val="00EB1EA4"/>
    <w:rsid w:val="00EB2013"/>
    <w:rsid w:val="00EB219C"/>
    <w:rsid w:val="00EB220A"/>
    <w:rsid w:val="00EB2259"/>
    <w:rsid w:val="00EB25DC"/>
    <w:rsid w:val="00EB25E1"/>
    <w:rsid w:val="00EB2D94"/>
    <w:rsid w:val="00EB2DA1"/>
    <w:rsid w:val="00EB34F1"/>
    <w:rsid w:val="00EB3DF6"/>
    <w:rsid w:val="00EB3F8E"/>
    <w:rsid w:val="00EB3FED"/>
    <w:rsid w:val="00EB400D"/>
    <w:rsid w:val="00EB437B"/>
    <w:rsid w:val="00EB4715"/>
    <w:rsid w:val="00EB472A"/>
    <w:rsid w:val="00EB47B6"/>
    <w:rsid w:val="00EB4BC7"/>
    <w:rsid w:val="00EB4BF2"/>
    <w:rsid w:val="00EB50B4"/>
    <w:rsid w:val="00EB5242"/>
    <w:rsid w:val="00EB56B9"/>
    <w:rsid w:val="00EB5D43"/>
    <w:rsid w:val="00EB65C7"/>
    <w:rsid w:val="00EB70B9"/>
    <w:rsid w:val="00EB71D3"/>
    <w:rsid w:val="00EB72F4"/>
    <w:rsid w:val="00EB7408"/>
    <w:rsid w:val="00EB743C"/>
    <w:rsid w:val="00EB7906"/>
    <w:rsid w:val="00EB7D54"/>
    <w:rsid w:val="00EB7FF5"/>
    <w:rsid w:val="00EC000E"/>
    <w:rsid w:val="00EC02E0"/>
    <w:rsid w:val="00EC03A4"/>
    <w:rsid w:val="00EC059F"/>
    <w:rsid w:val="00EC0A2F"/>
    <w:rsid w:val="00EC0A81"/>
    <w:rsid w:val="00EC0F6E"/>
    <w:rsid w:val="00EC110A"/>
    <w:rsid w:val="00EC11B3"/>
    <w:rsid w:val="00EC185C"/>
    <w:rsid w:val="00EC1B0D"/>
    <w:rsid w:val="00EC1F24"/>
    <w:rsid w:val="00EC1FFA"/>
    <w:rsid w:val="00EC22E9"/>
    <w:rsid w:val="00EC22F6"/>
    <w:rsid w:val="00EC262B"/>
    <w:rsid w:val="00EC26C4"/>
    <w:rsid w:val="00EC2B59"/>
    <w:rsid w:val="00EC2E7A"/>
    <w:rsid w:val="00EC2EEF"/>
    <w:rsid w:val="00EC2F90"/>
    <w:rsid w:val="00EC340F"/>
    <w:rsid w:val="00EC36D5"/>
    <w:rsid w:val="00EC3711"/>
    <w:rsid w:val="00EC3DB9"/>
    <w:rsid w:val="00EC3FF3"/>
    <w:rsid w:val="00EC40B2"/>
    <w:rsid w:val="00EC40F5"/>
    <w:rsid w:val="00EC4481"/>
    <w:rsid w:val="00EC501B"/>
    <w:rsid w:val="00EC5155"/>
    <w:rsid w:val="00EC5184"/>
    <w:rsid w:val="00EC534A"/>
    <w:rsid w:val="00EC57D3"/>
    <w:rsid w:val="00EC58EE"/>
    <w:rsid w:val="00EC597F"/>
    <w:rsid w:val="00EC6027"/>
    <w:rsid w:val="00EC6300"/>
    <w:rsid w:val="00EC6D94"/>
    <w:rsid w:val="00EC6DE1"/>
    <w:rsid w:val="00EC718B"/>
    <w:rsid w:val="00EC75F7"/>
    <w:rsid w:val="00EC79B8"/>
    <w:rsid w:val="00EC7AD8"/>
    <w:rsid w:val="00ED0513"/>
    <w:rsid w:val="00ED0A88"/>
    <w:rsid w:val="00ED0B45"/>
    <w:rsid w:val="00ED0BC4"/>
    <w:rsid w:val="00ED1106"/>
    <w:rsid w:val="00ED1663"/>
    <w:rsid w:val="00ED167E"/>
    <w:rsid w:val="00ED1998"/>
    <w:rsid w:val="00ED1A24"/>
    <w:rsid w:val="00ED21AF"/>
    <w:rsid w:val="00ED21F5"/>
    <w:rsid w:val="00ED2225"/>
    <w:rsid w:val="00ED284E"/>
    <w:rsid w:val="00ED2D58"/>
    <w:rsid w:val="00ED2EFC"/>
    <w:rsid w:val="00ED32DF"/>
    <w:rsid w:val="00ED34E6"/>
    <w:rsid w:val="00ED3E32"/>
    <w:rsid w:val="00ED41FF"/>
    <w:rsid w:val="00ED4876"/>
    <w:rsid w:val="00ED4C7B"/>
    <w:rsid w:val="00ED52E7"/>
    <w:rsid w:val="00ED559F"/>
    <w:rsid w:val="00ED5604"/>
    <w:rsid w:val="00ED5B9B"/>
    <w:rsid w:val="00ED6A41"/>
    <w:rsid w:val="00ED6BAD"/>
    <w:rsid w:val="00ED6C5A"/>
    <w:rsid w:val="00ED7051"/>
    <w:rsid w:val="00ED730D"/>
    <w:rsid w:val="00ED7447"/>
    <w:rsid w:val="00ED7452"/>
    <w:rsid w:val="00ED748B"/>
    <w:rsid w:val="00ED7762"/>
    <w:rsid w:val="00ED7AEC"/>
    <w:rsid w:val="00ED7B95"/>
    <w:rsid w:val="00EE00D6"/>
    <w:rsid w:val="00EE0968"/>
    <w:rsid w:val="00EE0B11"/>
    <w:rsid w:val="00EE0EFF"/>
    <w:rsid w:val="00EE11E7"/>
    <w:rsid w:val="00EE1398"/>
    <w:rsid w:val="00EE1488"/>
    <w:rsid w:val="00EE1874"/>
    <w:rsid w:val="00EE1BDF"/>
    <w:rsid w:val="00EE1D3C"/>
    <w:rsid w:val="00EE2200"/>
    <w:rsid w:val="00EE26EE"/>
    <w:rsid w:val="00EE29AD"/>
    <w:rsid w:val="00EE2E1B"/>
    <w:rsid w:val="00EE3416"/>
    <w:rsid w:val="00EE391C"/>
    <w:rsid w:val="00EE3E24"/>
    <w:rsid w:val="00EE4218"/>
    <w:rsid w:val="00EE4711"/>
    <w:rsid w:val="00EE4A6D"/>
    <w:rsid w:val="00EE4D5D"/>
    <w:rsid w:val="00EE5131"/>
    <w:rsid w:val="00EE565D"/>
    <w:rsid w:val="00EE63EB"/>
    <w:rsid w:val="00EE6C28"/>
    <w:rsid w:val="00EE6EB5"/>
    <w:rsid w:val="00EE7D78"/>
    <w:rsid w:val="00EE7F85"/>
    <w:rsid w:val="00EF0776"/>
    <w:rsid w:val="00EF08E7"/>
    <w:rsid w:val="00EF097F"/>
    <w:rsid w:val="00EF0A85"/>
    <w:rsid w:val="00EF109B"/>
    <w:rsid w:val="00EF1C14"/>
    <w:rsid w:val="00EF1C80"/>
    <w:rsid w:val="00EF1E9C"/>
    <w:rsid w:val="00EF201C"/>
    <w:rsid w:val="00EF24DF"/>
    <w:rsid w:val="00EF2657"/>
    <w:rsid w:val="00EF2996"/>
    <w:rsid w:val="00EF2B3E"/>
    <w:rsid w:val="00EF2C72"/>
    <w:rsid w:val="00EF36AF"/>
    <w:rsid w:val="00EF37F8"/>
    <w:rsid w:val="00EF4A93"/>
    <w:rsid w:val="00EF59A3"/>
    <w:rsid w:val="00EF5CC1"/>
    <w:rsid w:val="00EF6675"/>
    <w:rsid w:val="00EF68BF"/>
    <w:rsid w:val="00EF6A48"/>
    <w:rsid w:val="00EF6A88"/>
    <w:rsid w:val="00EF6CE5"/>
    <w:rsid w:val="00EF715C"/>
    <w:rsid w:val="00EF734E"/>
    <w:rsid w:val="00EF754C"/>
    <w:rsid w:val="00EF762B"/>
    <w:rsid w:val="00EF7638"/>
    <w:rsid w:val="00EF7B71"/>
    <w:rsid w:val="00F0063D"/>
    <w:rsid w:val="00F00897"/>
    <w:rsid w:val="00F00B48"/>
    <w:rsid w:val="00F00C77"/>
    <w:rsid w:val="00F00EAC"/>
    <w:rsid w:val="00F00F9C"/>
    <w:rsid w:val="00F011E4"/>
    <w:rsid w:val="00F0128F"/>
    <w:rsid w:val="00F0184C"/>
    <w:rsid w:val="00F01C32"/>
    <w:rsid w:val="00F01E5F"/>
    <w:rsid w:val="00F02215"/>
    <w:rsid w:val="00F024F3"/>
    <w:rsid w:val="00F02592"/>
    <w:rsid w:val="00F02769"/>
    <w:rsid w:val="00F027B3"/>
    <w:rsid w:val="00F027C7"/>
    <w:rsid w:val="00F027FB"/>
    <w:rsid w:val="00F02ABA"/>
    <w:rsid w:val="00F02E93"/>
    <w:rsid w:val="00F02E98"/>
    <w:rsid w:val="00F02F0A"/>
    <w:rsid w:val="00F03819"/>
    <w:rsid w:val="00F03BCF"/>
    <w:rsid w:val="00F0437A"/>
    <w:rsid w:val="00F043D2"/>
    <w:rsid w:val="00F061DA"/>
    <w:rsid w:val="00F0642B"/>
    <w:rsid w:val="00F06F32"/>
    <w:rsid w:val="00F07D53"/>
    <w:rsid w:val="00F101B8"/>
    <w:rsid w:val="00F10636"/>
    <w:rsid w:val="00F10CC9"/>
    <w:rsid w:val="00F11037"/>
    <w:rsid w:val="00F1194C"/>
    <w:rsid w:val="00F119C1"/>
    <w:rsid w:val="00F11B6A"/>
    <w:rsid w:val="00F11D2D"/>
    <w:rsid w:val="00F1203B"/>
    <w:rsid w:val="00F127E3"/>
    <w:rsid w:val="00F12983"/>
    <w:rsid w:val="00F12FE1"/>
    <w:rsid w:val="00F1335B"/>
    <w:rsid w:val="00F134DE"/>
    <w:rsid w:val="00F13D7C"/>
    <w:rsid w:val="00F14CE2"/>
    <w:rsid w:val="00F14EA6"/>
    <w:rsid w:val="00F1507E"/>
    <w:rsid w:val="00F15477"/>
    <w:rsid w:val="00F155C5"/>
    <w:rsid w:val="00F15C22"/>
    <w:rsid w:val="00F15DAF"/>
    <w:rsid w:val="00F16645"/>
    <w:rsid w:val="00F166D4"/>
    <w:rsid w:val="00F16B94"/>
    <w:rsid w:val="00F16F1B"/>
    <w:rsid w:val="00F20328"/>
    <w:rsid w:val="00F20337"/>
    <w:rsid w:val="00F20434"/>
    <w:rsid w:val="00F2078B"/>
    <w:rsid w:val="00F207B1"/>
    <w:rsid w:val="00F208E0"/>
    <w:rsid w:val="00F2096A"/>
    <w:rsid w:val="00F20B72"/>
    <w:rsid w:val="00F20CA6"/>
    <w:rsid w:val="00F20CF0"/>
    <w:rsid w:val="00F21349"/>
    <w:rsid w:val="00F219FC"/>
    <w:rsid w:val="00F2220B"/>
    <w:rsid w:val="00F2277E"/>
    <w:rsid w:val="00F22789"/>
    <w:rsid w:val="00F229C1"/>
    <w:rsid w:val="00F22C04"/>
    <w:rsid w:val="00F22C80"/>
    <w:rsid w:val="00F22D0D"/>
    <w:rsid w:val="00F23280"/>
    <w:rsid w:val="00F23321"/>
    <w:rsid w:val="00F23AE2"/>
    <w:rsid w:val="00F23D5A"/>
    <w:rsid w:val="00F24382"/>
    <w:rsid w:val="00F246FD"/>
    <w:rsid w:val="00F249F3"/>
    <w:rsid w:val="00F250A9"/>
    <w:rsid w:val="00F25180"/>
    <w:rsid w:val="00F252FD"/>
    <w:rsid w:val="00F258ED"/>
    <w:rsid w:val="00F25C52"/>
    <w:rsid w:val="00F25D5D"/>
    <w:rsid w:val="00F25F70"/>
    <w:rsid w:val="00F2608F"/>
    <w:rsid w:val="00F26255"/>
    <w:rsid w:val="00F262D9"/>
    <w:rsid w:val="00F267AF"/>
    <w:rsid w:val="00F26DEC"/>
    <w:rsid w:val="00F2706D"/>
    <w:rsid w:val="00F272D8"/>
    <w:rsid w:val="00F279DC"/>
    <w:rsid w:val="00F27F55"/>
    <w:rsid w:val="00F30578"/>
    <w:rsid w:val="00F30738"/>
    <w:rsid w:val="00F30975"/>
    <w:rsid w:val="00F30FF4"/>
    <w:rsid w:val="00F3122E"/>
    <w:rsid w:val="00F3123C"/>
    <w:rsid w:val="00F314A7"/>
    <w:rsid w:val="00F318DC"/>
    <w:rsid w:val="00F31BE4"/>
    <w:rsid w:val="00F32026"/>
    <w:rsid w:val="00F321C9"/>
    <w:rsid w:val="00F32368"/>
    <w:rsid w:val="00F3238A"/>
    <w:rsid w:val="00F323D4"/>
    <w:rsid w:val="00F3251C"/>
    <w:rsid w:val="00F326EA"/>
    <w:rsid w:val="00F331AD"/>
    <w:rsid w:val="00F33207"/>
    <w:rsid w:val="00F33752"/>
    <w:rsid w:val="00F337E4"/>
    <w:rsid w:val="00F33A08"/>
    <w:rsid w:val="00F346FC"/>
    <w:rsid w:val="00F34B7C"/>
    <w:rsid w:val="00F34E43"/>
    <w:rsid w:val="00F35287"/>
    <w:rsid w:val="00F36694"/>
    <w:rsid w:val="00F376D9"/>
    <w:rsid w:val="00F40157"/>
    <w:rsid w:val="00F40201"/>
    <w:rsid w:val="00F40A70"/>
    <w:rsid w:val="00F40E1D"/>
    <w:rsid w:val="00F40F53"/>
    <w:rsid w:val="00F40F72"/>
    <w:rsid w:val="00F40FBC"/>
    <w:rsid w:val="00F41213"/>
    <w:rsid w:val="00F4131E"/>
    <w:rsid w:val="00F41558"/>
    <w:rsid w:val="00F41792"/>
    <w:rsid w:val="00F4180E"/>
    <w:rsid w:val="00F41B07"/>
    <w:rsid w:val="00F41CF7"/>
    <w:rsid w:val="00F421E9"/>
    <w:rsid w:val="00F429ED"/>
    <w:rsid w:val="00F432BA"/>
    <w:rsid w:val="00F4346B"/>
    <w:rsid w:val="00F43A37"/>
    <w:rsid w:val="00F43CC5"/>
    <w:rsid w:val="00F44326"/>
    <w:rsid w:val="00F44352"/>
    <w:rsid w:val="00F4475A"/>
    <w:rsid w:val="00F4480F"/>
    <w:rsid w:val="00F44C54"/>
    <w:rsid w:val="00F451EE"/>
    <w:rsid w:val="00F45430"/>
    <w:rsid w:val="00F455E6"/>
    <w:rsid w:val="00F459A1"/>
    <w:rsid w:val="00F45E9E"/>
    <w:rsid w:val="00F461AD"/>
    <w:rsid w:val="00F4641B"/>
    <w:rsid w:val="00F46594"/>
    <w:rsid w:val="00F46EB8"/>
    <w:rsid w:val="00F470B0"/>
    <w:rsid w:val="00F472F7"/>
    <w:rsid w:val="00F47610"/>
    <w:rsid w:val="00F47E10"/>
    <w:rsid w:val="00F505C9"/>
    <w:rsid w:val="00F50CD1"/>
    <w:rsid w:val="00F50FDB"/>
    <w:rsid w:val="00F511E4"/>
    <w:rsid w:val="00F51307"/>
    <w:rsid w:val="00F51BA4"/>
    <w:rsid w:val="00F51D30"/>
    <w:rsid w:val="00F51DC0"/>
    <w:rsid w:val="00F520E0"/>
    <w:rsid w:val="00F520E5"/>
    <w:rsid w:val="00F521AE"/>
    <w:rsid w:val="00F52533"/>
    <w:rsid w:val="00F5274E"/>
    <w:rsid w:val="00F52BE5"/>
    <w:rsid w:val="00F52C5C"/>
    <w:rsid w:val="00F52D09"/>
    <w:rsid w:val="00F52E08"/>
    <w:rsid w:val="00F53A66"/>
    <w:rsid w:val="00F541EA"/>
    <w:rsid w:val="00F542DA"/>
    <w:rsid w:val="00F5462D"/>
    <w:rsid w:val="00F54DA3"/>
    <w:rsid w:val="00F55A44"/>
    <w:rsid w:val="00F55B21"/>
    <w:rsid w:val="00F55CF9"/>
    <w:rsid w:val="00F55DE6"/>
    <w:rsid w:val="00F56206"/>
    <w:rsid w:val="00F5629F"/>
    <w:rsid w:val="00F56EF6"/>
    <w:rsid w:val="00F5747B"/>
    <w:rsid w:val="00F578FE"/>
    <w:rsid w:val="00F579B9"/>
    <w:rsid w:val="00F57F74"/>
    <w:rsid w:val="00F57F96"/>
    <w:rsid w:val="00F57F97"/>
    <w:rsid w:val="00F60082"/>
    <w:rsid w:val="00F60741"/>
    <w:rsid w:val="00F6091B"/>
    <w:rsid w:val="00F60DA3"/>
    <w:rsid w:val="00F60E3A"/>
    <w:rsid w:val="00F60F06"/>
    <w:rsid w:val="00F60FC2"/>
    <w:rsid w:val="00F611AD"/>
    <w:rsid w:val="00F6121E"/>
    <w:rsid w:val="00F61A9F"/>
    <w:rsid w:val="00F61B5F"/>
    <w:rsid w:val="00F62052"/>
    <w:rsid w:val="00F62A9D"/>
    <w:rsid w:val="00F62DBA"/>
    <w:rsid w:val="00F62E50"/>
    <w:rsid w:val="00F63070"/>
    <w:rsid w:val="00F6323E"/>
    <w:rsid w:val="00F63444"/>
    <w:rsid w:val="00F63741"/>
    <w:rsid w:val="00F6385F"/>
    <w:rsid w:val="00F63ABA"/>
    <w:rsid w:val="00F63EDD"/>
    <w:rsid w:val="00F640BA"/>
    <w:rsid w:val="00F64385"/>
    <w:rsid w:val="00F64696"/>
    <w:rsid w:val="00F64B13"/>
    <w:rsid w:val="00F64F2F"/>
    <w:rsid w:val="00F6526F"/>
    <w:rsid w:val="00F654A0"/>
    <w:rsid w:val="00F656A8"/>
    <w:rsid w:val="00F65AA9"/>
    <w:rsid w:val="00F65C42"/>
    <w:rsid w:val="00F65F2C"/>
    <w:rsid w:val="00F66684"/>
    <w:rsid w:val="00F66A5D"/>
    <w:rsid w:val="00F66CFD"/>
    <w:rsid w:val="00F66E0C"/>
    <w:rsid w:val="00F6768F"/>
    <w:rsid w:val="00F701B4"/>
    <w:rsid w:val="00F714F7"/>
    <w:rsid w:val="00F71BC8"/>
    <w:rsid w:val="00F72C2C"/>
    <w:rsid w:val="00F7309E"/>
    <w:rsid w:val="00F73199"/>
    <w:rsid w:val="00F736D8"/>
    <w:rsid w:val="00F73A8C"/>
    <w:rsid w:val="00F741F2"/>
    <w:rsid w:val="00F74554"/>
    <w:rsid w:val="00F74BA2"/>
    <w:rsid w:val="00F74DA9"/>
    <w:rsid w:val="00F75615"/>
    <w:rsid w:val="00F757B2"/>
    <w:rsid w:val="00F75CD2"/>
    <w:rsid w:val="00F76CAB"/>
    <w:rsid w:val="00F76F60"/>
    <w:rsid w:val="00F772C6"/>
    <w:rsid w:val="00F778B8"/>
    <w:rsid w:val="00F77C03"/>
    <w:rsid w:val="00F8048D"/>
    <w:rsid w:val="00F804C7"/>
    <w:rsid w:val="00F80825"/>
    <w:rsid w:val="00F80884"/>
    <w:rsid w:val="00F80C0E"/>
    <w:rsid w:val="00F80CA0"/>
    <w:rsid w:val="00F8106F"/>
    <w:rsid w:val="00F81499"/>
    <w:rsid w:val="00F815B5"/>
    <w:rsid w:val="00F8161B"/>
    <w:rsid w:val="00F81ACF"/>
    <w:rsid w:val="00F81C69"/>
    <w:rsid w:val="00F81D0C"/>
    <w:rsid w:val="00F820A9"/>
    <w:rsid w:val="00F82F25"/>
    <w:rsid w:val="00F8310B"/>
    <w:rsid w:val="00F8312B"/>
    <w:rsid w:val="00F8346C"/>
    <w:rsid w:val="00F834F4"/>
    <w:rsid w:val="00F835C1"/>
    <w:rsid w:val="00F837B4"/>
    <w:rsid w:val="00F84050"/>
    <w:rsid w:val="00F840EA"/>
    <w:rsid w:val="00F842E4"/>
    <w:rsid w:val="00F8457C"/>
    <w:rsid w:val="00F84A7F"/>
    <w:rsid w:val="00F85195"/>
    <w:rsid w:val="00F8531E"/>
    <w:rsid w:val="00F855F1"/>
    <w:rsid w:val="00F8575E"/>
    <w:rsid w:val="00F859BE"/>
    <w:rsid w:val="00F85F51"/>
    <w:rsid w:val="00F860CB"/>
    <w:rsid w:val="00F862E8"/>
    <w:rsid w:val="00F86341"/>
    <w:rsid w:val="00F865D3"/>
    <w:rsid w:val="00F86644"/>
    <w:rsid w:val="00F8689E"/>
    <w:rsid w:val="00F868E3"/>
    <w:rsid w:val="00F86AD5"/>
    <w:rsid w:val="00F86BA4"/>
    <w:rsid w:val="00F870EF"/>
    <w:rsid w:val="00F87820"/>
    <w:rsid w:val="00F87A01"/>
    <w:rsid w:val="00F87A9C"/>
    <w:rsid w:val="00F87B38"/>
    <w:rsid w:val="00F91042"/>
    <w:rsid w:val="00F910D0"/>
    <w:rsid w:val="00F916F9"/>
    <w:rsid w:val="00F919FB"/>
    <w:rsid w:val="00F91A09"/>
    <w:rsid w:val="00F91AB2"/>
    <w:rsid w:val="00F91FB5"/>
    <w:rsid w:val="00F925AB"/>
    <w:rsid w:val="00F92814"/>
    <w:rsid w:val="00F92913"/>
    <w:rsid w:val="00F92B13"/>
    <w:rsid w:val="00F92C09"/>
    <w:rsid w:val="00F932DB"/>
    <w:rsid w:val="00F933CC"/>
    <w:rsid w:val="00F93802"/>
    <w:rsid w:val="00F938BA"/>
    <w:rsid w:val="00F93ACA"/>
    <w:rsid w:val="00F93BE4"/>
    <w:rsid w:val="00F93D7C"/>
    <w:rsid w:val="00F93EBD"/>
    <w:rsid w:val="00F93F59"/>
    <w:rsid w:val="00F94607"/>
    <w:rsid w:val="00F949EE"/>
    <w:rsid w:val="00F95248"/>
    <w:rsid w:val="00F953D5"/>
    <w:rsid w:val="00F9551D"/>
    <w:rsid w:val="00F95A13"/>
    <w:rsid w:val="00F95DD6"/>
    <w:rsid w:val="00F963FD"/>
    <w:rsid w:val="00F966B5"/>
    <w:rsid w:val="00F966FC"/>
    <w:rsid w:val="00F96B54"/>
    <w:rsid w:val="00F97919"/>
    <w:rsid w:val="00FA050B"/>
    <w:rsid w:val="00FA0805"/>
    <w:rsid w:val="00FA11B1"/>
    <w:rsid w:val="00FA14EE"/>
    <w:rsid w:val="00FA15F6"/>
    <w:rsid w:val="00FA1747"/>
    <w:rsid w:val="00FA2053"/>
    <w:rsid w:val="00FA2B4D"/>
    <w:rsid w:val="00FA2C46"/>
    <w:rsid w:val="00FA2C7F"/>
    <w:rsid w:val="00FA3407"/>
    <w:rsid w:val="00FA3525"/>
    <w:rsid w:val="00FA3A3D"/>
    <w:rsid w:val="00FA3D76"/>
    <w:rsid w:val="00FA4F58"/>
    <w:rsid w:val="00FA5194"/>
    <w:rsid w:val="00FA5A0B"/>
    <w:rsid w:val="00FA5A53"/>
    <w:rsid w:val="00FA5D65"/>
    <w:rsid w:val="00FA60B9"/>
    <w:rsid w:val="00FA67F3"/>
    <w:rsid w:val="00FA6934"/>
    <w:rsid w:val="00FA7334"/>
    <w:rsid w:val="00FA755C"/>
    <w:rsid w:val="00FA7FB6"/>
    <w:rsid w:val="00FB0021"/>
    <w:rsid w:val="00FB011D"/>
    <w:rsid w:val="00FB019A"/>
    <w:rsid w:val="00FB0422"/>
    <w:rsid w:val="00FB0841"/>
    <w:rsid w:val="00FB0A90"/>
    <w:rsid w:val="00FB0D6F"/>
    <w:rsid w:val="00FB0F1F"/>
    <w:rsid w:val="00FB12C8"/>
    <w:rsid w:val="00FB13E4"/>
    <w:rsid w:val="00FB1444"/>
    <w:rsid w:val="00FB1B53"/>
    <w:rsid w:val="00FB1F6E"/>
    <w:rsid w:val="00FB2BAF"/>
    <w:rsid w:val="00FB3027"/>
    <w:rsid w:val="00FB3154"/>
    <w:rsid w:val="00FB3AA8"/>
    <w:rsid w:val="00FB3F73"/>
    <w:rsid w:val="00FB4391"/>
    <w:rsid w:val="00FB4769"/>
    <w:rsid w:val="00FB4C14"/>
    <w:rsid w:val="00FB4C20"/>
    <w:rsid w:val="00FB4CDA"/>
    <w:rsid w:val="00FB4F25"/>
    <w:rsid w:val="00FB5634"/>
    <w:rsid w:val="00FB58DD"/>
    <w:rsid w:val="00FB5F6D"/>
    <w:rsid w:val="00FB6101"/>
    <w:rsid w:val="00FB612F"/>
    <w:rsid w:val="00FB6223"/>
    <w:rsid w:val="00FB6481"/>
    <w:rsid w:val="00FB661D"/>
    <w:rsid w:val="00FB6750"/>
    <w:rsid w:val="00FB6D36"/>
    <w:rsid w:val="00FB6E4C"/>
    <w:rsid w:val="00FB6F20"/>
    <w:rsid w:val="00FB707A"/>
    <w:rsid w:val="00FB7207"/>
    <w:rsid w:val="00FB7D57"/>
    <w:rsid w:val="00FC00E9"/>
    <w:rsid w:val="00FC0965"/>
    <w:rsid w:val="00FC0F81"/>
    <w:rsid w:val="00FC17CA"/>
    <w:rsid w:val="00FC1E03"/>
    <w:rsid w:val="00FC1EA5"/>
    <w:rsid w:val="00FC24A9"/>
    <w:rsid w:val="00FC252F"/>
    <w:rsid w:val="00FC25C1"/>
    <w:rsid w:val="00FC287D"/>
    <w:rsid w:val="00FC2C3B"/>
    <w:rsid w:val="00FC35A6"/>
    <w:rsid w:val="00FC395C"/>
    <w:rsid w:val="00FC4A22"/>
    <w:rsid w:val="00FC4EB9"/>
    <w:rsid w:val="00FC5CD7"/>
    <w:rsid w:val="00FC5E8E"/>
    <w:rsid w:val="00FC6088"/>
    <w:rsid w:val="00FC6108"/>
    <w:rsid w:val="00FC6289"/>
    <w:rsid w:val="00FC6315"/>
    <w:rsid w:val="00FC7473"/>
    <w:rsid w:val="00FC7652"/>
    <w:rsid w:val="00FC797D"/>
    <w:rsid w:val="00FC7A49"/>
    <w:rsid w:val="00FC7C91"/>
    <w:rsid w:val="00FC7CA3"/>
    <w:rsid w:val="00FD0484"/>
    <w:rsid w:val="00FD04C0"/>
    <w:rsid w:val="00FD0A57"/>
    <w:rsid w:val="00FD0A85"/>
    <w:rsid w:val="00FD0A98"/>
    <w:rsid w:val="00FD1030"/>
    <w:rsid w:val="00FD14B8"/>
    <w:rsid w:val="00FD1FC0"/>
    <w:rsid w:val="00FD2208"/>
    <w:rsid w:val="00FD236B"/>
    <w:rsid w:val="00FD239F"/>
    <w:rsid w:val="00FD23A0"/>
    <w:rsid w:val="00FD26C4"/>
    <w:rsid w:val="00FD27DB"/>
    <w:rsid w:val="00FD2A26"/>
    <w:rsid w:val="00FD2B37"/>
    <w:rsid w:val="00FD2E15"/>
    <w:rsid w:val="00FD2F5E"/>
    <w:rsid w:val="00FD3213"/>
    <w:rsid w:val="00FD3766"/>
    <w:rsid w:val="00FD3D05"/>
    <w:rsid w:val="00FD3ED9"/>
    <w:rsid w:val="00FD40EE"/>
    <w:rsid w:val="00FD44C5"/>
    <w:rsid w:val="00FD4562"/>
    <w:rsid w:val="00FD47C4"/>
    <w:rsid w:val="00FD4EAC"/>
    <w:rsid w:val="00FD590F"/>
    <w:rsid w:val="00FD5982"/>
    <w:rsid w:val="00FD5A32"/>
    <w:rsid w:val="00FD5CF1"/>
    <w:rsid w:val="00FD5D7D"/>
    <w:rsid w:val="00FD60CC"/>
    <w:rsid w:val="00FD65B2"/>
    <w:rsid w:val="00FD6E56"/>
    <w:rsid w:val="00FD7030"/>
    <w:rsid w:val="00FD7B94"/>
    <w:rsid w:val="00FD7C25"/>
    <w:rsid w:val="00FE0097"/>
    <w:rsid w:val="00FE062F"/>
    <w:rsid w:val="00FE0F24"/>
    <w:rsid w:val="00FE10CA"/>
    <w:rsid w:val="00FE1D71"/>
    <w:rsid w:val="00FE1DC3"/>
    <w:rsid w:val="00FE1F61"/>
    <w:rsid w:val="00FE207C"/>
    <w:rsid w:val="00FE2161"/>
    <w:rsid w:val="00FE233A"/>
    <w:rsid w:val="00FE2595"/>
    <w:rsid w:val="00FE285E"/>
    <w:rsid w:val="00FE2870"/>
    <w:rsid w:val="00FE2BCC"/>
    <w:rsid w:val="00FE2D94"/>
    <w:rsid w:val="00FE2DCF"/>
    <w:rsid w:val="00FE328D"/>
    <w:rsid w:val="00FE36AA"/>
    <w:rsid w:val="00FE3E5D"/>
    <w:rsid w:val="00FE3FA7"/>
    <w:rsid w:val="00FE4081"/>
    <w:rsid w:val="00FE44F7"/>
    <w:rsid w:val="00FE47F4"/>
    <w:rsid w:val="00FE4871"/>
    <w:rsid w:val="00FE505A"/>
    <w:rsid w:val="00FE5813"/>
    <w:rsid w:val="00FE592E"/>
    <w:rsid w:val="00FE5955"/>
    <w:rsid w:val="00FE5FC4"/>
    <w:rsid w:val="00FE6715"/>
    <w:rsid w:val="00FE73C2"/>
    <w:rsid w:val="00FE74AB"/>
    <w:rsid w:val="00FE74DF"/>
    <w:rsid w:val="00FE75DE"/>
    <w:rsid w:val="00FE773F"/>
    <w:rsid w:val="00FE77A6"/>
    <w:rsid w:val="00FE77AC"/>
    <w:rsid w:val="00FE7B95"/>
    <w:rsid w:val="00FE7E76"/>
    <w:rsid w:val="00FE7E8C"/>
    <w:rsid w:val="00FE7F07"/>
    <w:rsid w:val="00FF0096"/>
    <w:rsid w:val="00FF05D3"/>
    <w:rsid w:val="00FF0C48"/>
    <w:rsid w:val="00FF0C6A"/>
    <w:rsid w:val="00FF12A7"/>
    <w:rsid w:val="00FF13EC"/>
    <w:rsid w:val="00FF1D09"/>
    <w:rsid w:val="00FF2180"/>
    <w:rsid w:val="00FF2243"/>
    <w:rsid w:val="00FF2578"/>
    <w:rsid w:val="00FF2A4E"/>
    <w:rsid w:val="00FF2D46"/>
    <w:rsid w:val="00FF2FCE"/>
    <w:rsid w:val="00FF3797"/>
    <w:rsid w:val="00FF38F4"/>
    <w:rsid w:val="00FF392F"/>
    <w:rsid w:val="00FF421D"/>
    <w:rsid w:val="00FF493C"/>
    <w:rsid w:val="00FF4F7D"/>
    <w:rsid w:val="00FF5D21"/>
    <w:rsid w:val="00FF5FD3"/>
    <w:rsid w:val="00FF62DB"/>
    <w:rsid w:val="00FF63C1"/>
    <w:rsid w:val="00FF650C"/>
    <w:rsid w:val="00FF6798"/>
    <w:rsid w:val="00FF6B91"/>
    <w:rsid w:val="00FF6D9D"/>
    <w:rsid w:val="00FF7620"/>
    <w:rsid w:val="00FF7742"/>
    <w:rsid w:val="00FF7DD5"/>
    <w:rsid w:val="00FF7E28"/>
    <w:rsid w:val="01060154"/>
    <w:rsid w:val="0106583D"/>
    <w:rsid w:val="010A014E"/>
    <w:rsid w:val="01269541"/>
    <w:rsid w:val="013091A5"/>
    <w:rsid w:val="01336F3B"/>
    <w:rsid w:val="013E4B3B"/>
    <w:rsid w:val="016EE3E7"/>
    <w:rsid w:val="0171864E"/>
    <w:rsid w:val="018AAF5B"/>
    <w:rsid w:val="019B7938"/>
    <w:rsid w:val="019DE289"/>
    <w:rsid w:val="01A17F3A"/>
    <w:rsid w:val="01A9CD54"/>
    <w:rsid w:val="01A9DD74"/>
    <w:rsid w:val="01BBBF14"/>
    <w:rsid w:val="01C70A0B"/>
    <w:rsid w:val="01CEA60F"/>
    <w:rsid w:val="01D0DF60"/>
    <w:rsid w:val="01E71D2A"/>
    <w:rsid w:val="01F11F71"/>
    <w:rsid w:val="01F4F639"/>
    <w:rsid w:val="0206D0BE"/>
    <w:rsid w:val="0209A478"/>
    <w:rsid w:val="020B96F5"/>
    <w:rsid w:val="02157C6F"/>
    <w:rsid w:val="0217DBA5"/>
    <w:rsid w:val="0248C138"/>
    <w:rsid w:val="024B90C9"/>
    <w:rsid w:val="025DA7D2"/>
    <w:rsid w:val="026EC58C"/>
    <w:rsid w:val="027026A1"/>
    <w:rsid w:val="02716C76"/>
    <w:rsid w:val="02793312"/>
    <w:rsid w:val="028557F5"/>
    <w:rsid w:val="0286A364"/>
    <w:rsid w:val="02893EC9"/>
    <w:rsid w:val="028FD3D1"/>
    <w:rsid w:val="0291017D"/>
    <w:rsid w:val="02A566F4"/>
    <w:rsid w:val="02B242EA"/>
    <w:rsid w:val="02BEEF51"/>
    <w:rsid w:val="02CAA00F"/>
    <w:rsid w:val="02D33708"/>
    <w:rsid w:val="02D8341A"/>
    <w:rsid w:val="02E3044C"/>
    <w:rsid w:val="02E6B0A2"/>
    <w:rsid w:val="02EB12AA"/>
    <w:rsid w:val="02F99EBB"/>
    <w:rsid w:val="0302AD4C"/>
    <w:rsid w:val="03130F4D"/>
    <w:rsid w:val="03213F6C"/>
    <w:rsid w:val="032769FC"/>
    <w:rsid w:val="0336421B"/>
    <w:rsid w:val="03453D9B"/>
    <w:rsid w:val="0348F88B"/>
    <w:rsid w:val="034943CB"/>
    <w:rsid w:val="03531589"/>
    <w:rsid w:val="0355B65A"/>
    <w:rsid w:val="03578F75"/>
    <w:rsid w:val="0360ACC1"/>
    <w:rsid w:val="0373EE31"/>
    <w:rsid w:val="037E7A6E"/>
    <w:rsid w:val="0382F493"/>
    <w:rsid w:val="039016B5"/>
    <w:rsid w:val="039377F1"/>
    <w:rsid w:val="0395E2A5"/>
    <w:rsid w:val="0396FB27"/>
    <w:rsid w:val="03A183EC"/>
    <w:rsid w:val="03ACD1AD"/>
    <w:rsid w:val="03B52AF5"/>
    <w:rsid w:val="03C2F83A"/>
    <w:rsid w:val="03D5E1D4"/>
    <w:rsid w:val="03D70D90"/>
    <w:rsid w:val="03F0AB99"/>
    <w:rsid w:val="0406513F"/>
    <w:rsid w:val="041038ED"/>
    <w:rsid w:val="0412BC1A"/>
    <w:rsid w:val="041930C3"/>
    <w:rsid w:val="043BA16D"/>
    <w:rsid w:val="043D2321"/>
    <w:rsid w:val="045F9DFF"/>
    <w:rsid w:val="046BED8A"/>
    <w:rsid w:val="0473D28E"/>
    <w:rsid w:val="04748443"/>
    <w:rsid w:val="0479A67B"/>
    <w:rsid w:val="047BA8E0"/>
    <w:rsid w:val="048E080B"/>
    <w:rsid w:val="0492F96F"/>
    <w:rsid w:val="04A6B3FD"/>
    <w:rsid w:val="04A9F5F9"/>
    <w:rsid w:val="04AB5E1C"/>
    <w:rsid w:val="04B0B274"/>
    <w:rsid w:val="04B9C553"/>
    <w:rsid w:val="04B9F7F7"/>
    <w:rsid w:val="04BB1754"/>
    <w:rsid w:val="04CFC030"/>
    <w:rsid w:val="04D0087E"/>
    <w:rsid w:val="04D52424"/>
    <w:rsid w:val="04D8CAA2"/>
    <w:rsid w:val="04F66591"/>
    <w:rsid w:val="0506A916"/>
    <w:rsid w:val="050ECE27"/>
    <w:rsid w:val="050F4B97"/>
    <w:rsid w:val="0510C6DF"/>
    <w:rsid w:val="051F2AD1"/>
    <w:rsid w:val="0524DA71"/>
    <w:rsid w:val="05259BCB"/>
    <w:rsid w:val="0528F6D6"/>
    <w:rsid w:val="052CC7CF"/>
    <w:rsid w:val="05303D57"/>
    <w:rsid w:val="05356DF9"/>
    <w:rsid w:val="0538E442"/>
    <w:rsid w:val="053CBF6F"/>
    <w:rsid w:val="0545E4C1"/>
    <w:rsid w:val="05594A91"/>
    <w:rsid w:val="05618A00"/>
    <w:rsid w:val="05681215"/>
    <w:rsid w:val="056F71AC"/>
    <w:rsid w:val="05998903"/>
    <w:rsid w:val="05AF71A9"/>
    <w:rsid w:val="05B1E14D"/>
    <w:rsid w:val="05BA328C"/>
    <w:rsid w:val="05BDF0E6"/>
    <w:rsid w:val="05C4F10B"/>
    <w:rsid w:val="05D107F4"/>
    <w:rsid w:val="05D7AD91"/>
    <w:rsid w:val="05D94E8E"/>
    <w:rsid w:val="05DAEFE7"/>
    <w:rsid w:val="05E1E4E2"/>
    <w:rsid w:val="05E524C3"/>
    <w:rsid w:val="05E6F398"/>
    <w:rsid w:val="05E85F4E"/>
    <w:rsid w:val="05F20684"/>
    <w:rsid w:val="06050FA1"/>
    <w:rsid w:val="06068FC7"/>
    <w:rsid w:val="0608DB59"/>
    <w:rsid w:val="0614D063"/>
    <w:rsid w:val="06186CB7"/>
    <w:rsid w:val="062528B7"/>
    <w:rsid w:val="063906C7"/>
    <w:rsid w:val="063B3D56"/>
    <w:rsid w:val="064E09D8"/>
    <w:rsid w:val="06502C42"/>
    <w:rsid w:val="065DF069"/>
    <w:rsid w:val="066031F3"/>
    <w:rsid w:val="066D0547"/>
    <w:rsid w:val="0676FAF9"/>
    <w:rsid w:val="0679D1D2"/>
    <w:rsid w:val="0691398D"/>
    <w:rsid w:val="069711EA"/>
    <w:rsid w:val="06AD0408"/>
    <w:rsid w:val="06B45D91"/>
    <w:rsid w:val="06B6CFDB"/>
    <w:rsid w:val="06C9724C"/>
    <w:rsid w:val="06D3D017"/>
    <w:rsid w:val="06E1EAA8"/>
    <w:rsid w:val="06E4D050"/>
    <w:rsid w:val="06EE6A20"/>
    <w:rsid w:val="06F7F9AF"/>
    <w:rsid w:val="06FACCF1"/>
    <w:rsid w:val="06FF3A02"/>
    <w:rsid w:val="0701950C"/>
    <w:rsid w:val="07101D98"/>
    <w:rsid w:val="0717CBC1"/>
    <w:rsid w:val="071FA41A"/>
    <w:rsid w:val="07292B40"/>
    <w:rsid w:val="0729AFF2"/>
    <w:rsid w:val="073CDF16"/>
    <w:rsid w:val="0741D68B"/>
    <w:rsid w:val="0747364D"/>
    <w:rsid w:val="07489217"/>
    <w:rsid w:val="07714090"/>
    <w:rsid w:val="0782DCF1"/>
    <w:rsid w:val="078E0C1C"/>
    <w:rsid w:val="07AC1860"/>
    <w:rsid w:val="07BBD9A2"/>
    <w:rsid w:val="07C9955A"/>
    <w:rsid w:val="07C9E80C"/>
    <w:rsid w:val="07F165A2"/>
    <w:rsid w:val="0801FC85"/>
    <w:rsid w:val="0809BD48"/>
    <w:rsid w:val="08105605"/>
    <w:rsid w:val="081D2BC0"/>
    <w:rsid w:val="081D3E3E"/>
    <w:rsid w:val="081F6CB7"/>
    <w:rsid w:val="081FE324"/>
    <w:rsid w:val="0829CE97"/>
    <w:rsid w:val="0839BABC"/>
    <w:rsid w:val="0845E97C"/>
    <w:rsid w:val="0849F98F"/>
    <w:rsid w:val="084FC6CD"/>
    <w:rsid w:val="08540F7D"/>
    <w:rsid w:val="08687FC0"/>
    <w:rsid w:val="086A3C67"/>
    <w:rsid w:val="086A96ED"/>
    <w:rsid w:val="086B7850"/>
    <w:rsid w:val="086FA08C"/>
    <w:rsid w:val="087D80E2"/>
    <w:rsid w:val="0880CDBD"/>
    <w:rsid w:val="08993196"/>
    <w:rsid w:val="08ABFC97"/>
    <w:rsid w:val="08AF7547"/>
    <w:rsid w:val="08CC2365"/>
    <w:rsid w:val="08CF2EA0"/>
    <w:rsid w:val="08D77989"/>
    <w:rsid w:val="08DED8B4"/>
    <w:rsid w:val="08E01E2B"/>
    <w:rsid w:val="08F1F50A"/>
    <w:rsid w:val="0901F06E"/>
    <w:rsid w:val="0902796C"/>
    <w:rsid w:val="090FC7BA"/>
    <w:rsid w:val="0913B5F4"/>
    <w:rsid w:val="0921FBCF"/>
    <w:rsid w:val="092FB839"/>
    <w:rsid w:val="0947A65D"/>
    <w:rsid w:val="0947A858"/>
    <w:rsid w:val="094986AD"/>
    <w:rsid w:val="09572B5A"/>
    <w:rsid w:val="0979E24E"/>
    <w:rsid w:val="097C07B3"/>
    <w:rsid w:val="097CA72E"/>
    <w:rsid w:val="097F1B94"/>
    <w:rsid w:val="0987672F"/>
    <w:rsid w:val="099463B4"/>
    <w:rsid w:val="099F2B7F"/>
    <w:rsid w:val="09A4ECFB"/>
    <w:rsid w:val="09AF58BB"/>
    <w:rsid w:val="09BC00F7"/>
    <w:rsid w:val="09BDEB9A"/>
    <w:rsid w:val="09C3B0E8"/>
    <w:rsid w:val="09D735E4"/>
    <w:rsid w:val="09EA4C81"/>
    <w:rsid w:val="09ED15B0"/>
    <w:rsid w:val="09FC17E8"/>
    <w:rsid w:val="0A019539"/>
    <w:rsid w:val="0A091296"/>
    <w:rsid w:val="0A224EBA"/>
    <w:rsid w:val="0A3AF62E"/>
    <w:rsid w:val="0A3EA4D2"/>
    <w:rsid w:val="0A432C9A"/>
    <w:rsid w:val="0A4E3C17"/>
    <w:rsid w:val="0A52EFB1"/>
    <w:rsid w:val="0A7B9433"/>
    <w:rsid w:val="0A810BEC"/>
    <w:rsid w:val="0A8985DE"/>
    <w:rsid w:val="0A9FDA72"/>
    <w:rsid w:val="0AA24071"/>
    <w:rsid w:val="0AA2862C"/>
    <w:rsid w:val="0AAF5DAF"/>
    <w:rsid w:val="0ABE5313"/>
    <w:rsid w:val="0AC68D4F"/>
    <w:rsid w:val="0AC97092"/>
    <w:rsid w:val="0ACEDAF9"/>
    <w:rsid w:val="0ACF8753"/>
    <w:rsid w:val="0AEE35A6"/>
    <w:rsid w:val="0AF43679"/>
    <w:rsid w:val="0B09C0F3"/>
    <w:rsid w:val="0B0D960D"/>
    <w:rsid w:val="0B112950"/>
    <w:rsid w:val="0B19A5DF"/>
    <w:rsid w:val="0B2BA1AE"/>
    <w:rsid w:val="0B2FC7F0"/>
    <w:rsid w:val="0B3793B6"/>
    <w:rsid w:val="0B393185"/>
    <w:rsid w:val="0B4F1169"/>
    <w:rsid w:val="0B50FC7C"/>
    <w:rsid w:val="0B5414B7"/>
    <w:rsid w:val="0B599C06"/>
    <w:rsid w:val="0B6CE70C"/>
    <w:rsid w:val="0B6FF151"/>
    <w:rsid w:val="0B74042A"/>
    <w:rsid w:val="0B74EA84"/>
    <w:rsid w:val="0B877072"/>
    <w:rsid w:val="0B8EAF0A"/>
    <w:rsid w:val="0B9855DF"/>
    <w:rsid w:val="0BAA0E9C"/>
    <w:rsid w:val="0BAAB49C"/>
    <w:rsid w:val="0BAFF676"/>
    <w:rsid w:val="0BB2B0B5"/>
    <w:rsid w:val="0BB86EA8"/>
    <w:rsid w:val="0BBD7537"/>
    <w:rsid w:val="0BBDADF8"/>
    <w:rsid w:val="0BBEED88"/>
    <w:rsid w:val="0BC0026A"/>
    <w:rsid w:val="0BD2535B"/>
    <w:rsid w:val="0BF94F11"/>
    <w:rsid w:val="0C04D032"/>
    <w:rsid w:val="0C1FBE70"/>
    <w:rsid w:val="0C2605E1"/>
    <w:rsid w:val="0C3060C6"/>
    <w:rsid w:val="0C358442"/>
    <w:rsid w:val="0C3F65F6"/>
    <w:rsid w:val="0C51B86F"/>
    <w:rsid w:val="0C58BDF2"/>
    <w:rsid w:val="0C590466"/>
    <w:rsid w:val="0C5E56A3"/>
    <w:rsid w:val="0C61575F"/>
    <w:rsid w:val="0C793841"/>
    <w:rsid w:val="0C7CF488"/>
    <w:rsid w:val="0C894DA8"/>
    <w:rsid w:val="0C8BCB61"/>
    <w:rsid w:val="0C8CFB1C"/>
    <w:rsid w:val="0C965340"/>
    <w:rsid w:val="0C9D5552"/>
    <w:rsid w:val="0C9D918F"/>
    <w:rsid w:val="0CAA455E"/>
    <w:rsid w:val="0CAB7353"/>
    <w:rsid w:val="0CB4D3B6"/>
    <w:rsid w:val="0CB5EA81"/>
    <w:rsid w:val="0CD006EF"/>
    <w:rsid w:val="0CD83F11"/>
    <w:rsid w:val="0CD9956D"/>
    <w:rsid w:val="0CDC428E"/>
    <w:rsid w:val="0CE48180"/>
    <w:rsid w:val="0CF75B35"/>
    <w:rsid w:val="0D00BB48"/>
    <w:rsid w:val="0D050EC8"/>
    <w:rsid w:val="0D126AA3"/>
    <w:rsid w:val="0D162949"/>
    <w:rsid w:val="0D182BC8"/>
    <w:rsid w:val="0D192CA6"/>
    <w:rsid w:val="0D221C24"/>
    <w:rsid w:val="0D2868BC"/>
    <w:rsid w:val="0D2EBD9B"/>
    <w:rsid w:val="0D35107A"/>
    <w:rsid w:val="0D3E80DF"/>
    <w:rsid w:val="0D64365A"/>
    <w:rsid w:val="0D6A905D"/>
    <w:rsid w:val="0D7502EF"/>
    <w:rsid w:val="0D77B468"/>
    <w:rsid w:val="0D85087D"/>
    <w:rsid w:val="0D968B83"/>
    <w:rsid w:val="0D98A64D"/>
    <w:rsid w:val="0DA48314"/>
    <w:rsid w:val="0DA86E9C"/>
    <w:rsid w:val="0DABBD2F"/>
    <w:rsid w:val="0DB1B93C"/>
    <w:rsid w:val="0DCC21F1"/>
    <w:rsid w:val="0DD11359"/>
    <w:rsid w:val="0DD3A672"/>
    <w:rsid w:val="0DDA8956"/>
    <w:rsid w:val="0DDD161A"/>
    <w:rsid w:val="0DE27C28"/>
    <w:rsid w:val="0DF0545D"/>
    <w:rsid w:val="0DFC15B6"/>
    <w:rsid w:val="0DFFE4AB"/>
    <w:rsid w:val="0E0C1206"/>
    <w:rsid w:val="0E187F2D"/>
    <w:rsid w:val="0E18C831"/>
    <w:rsid w:val="0E1DF52D"/>
    <w:rsid w:val="0E422865"/>
    <w:rsid w:val="0E43A4BD"/>
    <w:rsid w:val="0E527FE6"/>
    <w:rsid w:val="0E53AD41"/>
    <w:rsid w:val="0E6302C0"/>
    <w:rsid w:val="0E6F41F8"/>
    <w:rsid w:val="0E6FA452"/>
    <w:rsid w:val="0E811461"/>
    <w:rsid w:val="0E9996C4"/>
    <w:rsid w:val="0EA52577"/>
    <w:rsid w:val="0EA84D80"/>
    <w:rsid w:val="0EAB962F"/>
    <w:rsid w:val="0EB35501"/>
    <w:rsid w:val="0EC03530"/>
    <w:rsid w:val="0ECE1F72"/>
    <w:rsid w:val="0ED8435E"/>
    <w:rsid w:val="0EDBA812"/>
    <w:rsid w:val="0EE21690"/>
    <w:rsid w:val="0EE5D019"/>
    <w:rsid w:val="0EEA0FA8"/>
    <w:rsid w:val="0EF2C67A"/>
    <w:rsid w:val="0F0C7073"/>
    <w:rsid w:val="0F108E83"/>
    <w:rsid w:val="0F145C21"/>
    <w:rsid w:val="0F1D7D61"/>
    <w:rsid w:val="0F2CE5C5"/>
    <w:rsid w:val="0F345082"/>
    <w:rsid w:val="0F3E2EB7"/>
    <w:rsid w:val="0F6FE3D4"/>
    <w:rsid w:val="0F71FB16"/>
    <w:rsid w:val="0F81F69D"/>
    <w:rsid w:val="0F837C47"/>
    <w:rsid w:val="0F8459E9"/>
    <w:rsid w:val="0F851DE4"/>
    <w:rsid w:val="0F90FA93"/>
    <w:rsid w:val="0F9D13F2"/>
    <w:rsid w:val="0F9D3355"/>
    <w:rsid w:val="0FA1AFE8"/>
    <w:rsid w:val="0FA52B73"/>
    <w:rsid w:val="0FBE96BD"/>
    <w:rsid w:val="0FC7CA7A"/>
    <w:rsid w:val="0FD86D53"/>
    <w:rsid w:val="0FE4542E"/>
    <w:rsid w:val="0FE61CA0"/>
    <w:rsid w:val="0FEE2278"/>
    <w:rsid w:val="0FF1ED37"/>
    <w:rsid w:val="0FF4D673"/>
    <w:rsid w:val="0FF63EAB"/>
    <w:rsid w:val="0FFDAAA3"/>
    <w:rsid w:val="1007A1EF"/>
    <w:rsid w:val="101B244B"/>
    <w:rsid w:val="101B3899"/>
    <w:rsid w:val="102F81BC"/>
    <w:rsid w:val="104B2225"/>
    <w:rsid w:val="1050762C"/>
    <w:rsid w:val="10648A60"/>
    <w:rsid w:val="106BB280"/>
    <w:rsid w:val="106E70EC"/>
    <w:rsid w:val="10705FEE"/>
    <w:rsid w:val="1081C802"/>
    <w:rsid w:val="1085AD4D"/>
    <w:rsid w:val="10971B4B"/>
    <w:rsid w:val="109A721D"/>
    <w:rsid w:val="109D9AFA"/>
    <w:rsid w:val="10B01ACF"/>
    <w:rsid w:val="10C0FB71"/>
    <w:rsid w:val="10CB3A1D"/>
    <w:rsid w:val="10D13D81"/>
    <w:rsid w:val="10DBC6C1"/>
    <w:rsid w:val="10DC0383"/>
    <w:rsid w:val="10DD428D"/>
    <w:rsid w:val="10E3A612"/>
    <w:rsid w:val="10E719F3"/>
    <w:rsid w:val="110B78E4"/>
    <w:rsid w:val="112511EB"/>
    <w:rsid w:val="112D5E65"/>
    <w:rsid w:val="11527133"/>
    <w:rsid w:val="11530252"/>
    <w:rsid w:val="1156470D"/>
    <w:rsid w:val="115ACAE7"/>
    <w:rsid w:val="116177C2"/>
    <w:rsid w:val="1164BB43"/>
    <w:rsid w:val="116C8C0F"/>
    <w:rsid w:val="116E4117"/>
    <w:rsid w:val="1180056D"/>
    <w:rsid w:val="11904315"/>
    <w:rsid w:val="1192F4CA"/>
    <w:rsid w:val="11A0111D"/>
    <w:rsid w:val="11A1EA28"/>
    <w:rsid w:val="11B1D740"/>
    <w:rsid w:val="11C5A600"/>
    <w:rsid w:val="11D35F57"/>
    <w:rsid w:val="11E14FD2"/>
    <w:rsid w:val="11E8B6D8"/>
    <w:rsid w:val="11FFE547"/>
    <w:rsid w:val="12001AE3"/>
    <w:rsid w:val="1209E55A"/>
    <w:rsid w:val="120EB968"/>
    <w:rsid w:val="121B041B"/>
    <w:rsid w:val="122DC1FC"/>
    <w:rsid w:val="122FFC43"/>
    <w:rsid w:val="1240B29B"/>
    <w:rsid w:val="1241B991"/>
    <w:rsid w:val="124F5675"/>
    <w:rsid w:val="12660788"/>
    <w:rsid w:val="12687637"/>
    <w:rsid w:val="1276C587"/>
    <w:rsid w:val="127A18B2"/>
    <w:rsid w:val="128CA947"/>
    <w:rsid w:val="12AFCAAA"/>
    <w:rsid w:val="12C4CC7A"/>
    <w:rsid w:val="12CB3D44"/>
    <w:rsid w:val="12E5A968"/>
    <w:rsid w:val="12EBB75D"/>
    <w:rsid w:val="12EF3E0C"/>
    <w:rsid w:val="12EFE697"/>
    <w:rsid w:val="1305DACE"/>
    <w:rsid w:val="13121BE4"/>
    <w:rsid w:val="1319ECEE"/>
    <w:rsid w:val="131E521D"/>
    <w:rsid w:val="13244174"/>
    <w:rsid w:val="132450BF"/>
    <w:rsid w:val="1325FDCF"/>
    <w:rsid w:val="132D62C0"/>
    <w:rsid w:val="132DCD27"/>
    <w:rsid w:val="1331545B"/>
    <w:rsid w:val="13336B6A"/>
    <w:rsid w:val="1339B634"/>
    <w:rsid w:val="133F17FB"/>
    <w:rsid w:val="13451641"/>
    <w:rsid w:val="1354A3CA"/>
    <w:rsid w:val="1354B6CB"/>
    <w:rsid w:val="13587841"/>
    <w:rsid w:val="135C3282"/>
    <w:rsid w:val="13640B43"/>
    <w:rsid w:val="1366E02C"/>
    <w:rsid w:val="1370C2BF"/>
    <w:rsid w:val="13773FE9"/>
    <w:rsid w:val="137D6873"/>
    <w:rsid w:val="139BB5A8"/>
    <w:rsid w:val="13A027CD"/>
    <w:rsid w:val="13B62E26"/>
    <w:rsid w:val="13B986C6"/>
    <w:rsid w:val="13D5D0D6"/>
    <w:rsid w:val="13D806B2"/>
    <w:rsid w:val="13E1BBA1"/>
    <w:rsid w:val="13E328AA"/>
    <w:rsid w:val="141613BE"/>
    <w:rsid w:val="141948C4"/>
    <w:rsid w:val="141F1C0B"/>
    <w:rsid w:val="1422E961"/>
    <w:rsid w:val="1442C449"/>
    <w:rsid w:val="144807EF"/>
    <w:rsid w:val="1451C8E6"/>
    <w:rsid w:val="145AC2DC"/>
    <w:rsid w:val="1476EF80"/>
    <w:rsid w:val="147E6C9D"/>
    <w:rsid w:val="1485C490"/>
    <w:rsid w:val="1497684D"/>
    <w:rsid w:val="1497C7CB"/>
    <w:rsid w:val="149CB073"/>
    <w:rsid w:val="14A4B63E"/>
    <w:rsid w:val="14A9B30F"/>
    <w:rsid w:val="14ACB98F"/>
    <w:rsid w:val="14BE2091"/>
    <w:rsid w:val="14BFF796"/>
    <w:rsid w:val="14D4F872"/>
    <w:rsid w:val="14DB02A4"/>
    <w:rsid w:val="14DC66C5"/>
    <w:rsid w:val="14E28633"/>
    <w:rsid w:val="14EA631C"/>
    <w:rsid w:val="14EBFF80"/>
    <w:rsid w:val="14F479C0"/>
    <w:rsid w:val="14F70ACB"/>
    <w:rsid w:val="14F7AC84"/>
    <w:rsid w:val="1503F84C"/>
    <w:rsid w:val="1504DCC1"/>
    <w:rsid w:val="1527DBCC"/>
    <w:rsid w:val="153CBA0B"/>
    <w:rsid w:val="1545156B"/>
    <w:rsid w:val="154E6EF9"/>
    <w:rsid w:val="1555FDBA"/>
    <w:rsid w:val="155C7CB0"/>
    <w:rsid w:val="155E118E"/>
    <w:rsid w:val="1567C9E7"/>
    <w:rsid w:val="156E34A1"/>
    <w:rsid w:val="1581C845"/>
    <w:rsid w:val="158BC355"/>
    <w:rsid w:val="1597C1BE"/>
    <w:rsid w:val="159A9723"/>
    <w:rsid w:val="15A3619E"/>
    <w:rsid w:val="15A61EE6"/>
    <w:rsid w:val="15AEAEC2"/>
    <w:rsid w:val="15BCAF30"/>
    <w:rsid w:val="15C54360"/>
    <w:rsid w:val="15C9EE72"/>
    <w:rsid w:val="15DE3A7B"/>
    <w:rsid w:val="15DF2D25"/>
    <w:rsid w:val="15F32496"/>
    <w:rsid w:val="15F518D7"/>
    <w:rsid w:val="1606D3E0"/>
    <w:rsid w:val="160BDD7A"/>
    <w:rsid w:val="161F6493"/>
    <w:rsid w:val="16265D6C"/>
    <w:rsid w:val="1642AFC1"/>
    <w:rsid w:val="164628F2"/>
    <w:rsid w:val="164B4E52"/>
    <w:rsid w:val="164F33AD"/>
    <w:rsid w:val="16549604"/>
    <w:rsid w:val="16666B79"/>
    <w:rsid w:val="16790412"/>
    <w:rsid w:val="1682F77C"/>
    <w:rsid w:val="169BE376"/>
    <w:rsid w:val="16B50BA4"/>
    <w:rsid w:val="16BBFA54"/>
    <w:rsid w:val="16C4EB00"/>
    <w:rsid w:val="16C79604"/>
    <w:rsid w:val="16C9DF91"/>
    <w:rsid w:val="16D659C2"/>
    <w:rsid w:val="16D69532"/>
    <w:rsid w:val="16DBDA04"/>
    <w:rsid w:val="16EA19F7"/>
    <w:rsid w:val="16F41555"/>
    <w:rsid w:val="17042FD2"/>
    <w:rsid w:val="1710F26E"/>
    <w:rsid w:val="171BE7F9"/>
    <w:rsid w:val="173A29A1"/>
    <w:rsid w:val="1743CA9B"/>
    <w:rsid w:val="17498884"/>
    <w:rsid w:val="174B13F6"/>
    <w:rsid w:val="1751B965"/>
    <w:rsid w:val="1759780D"/>
    <w:rsid w:val="175C05F7"/>
    <w:rsid w:val="1762A34C"/>
    <w:rsid w:val="1762F14D"/>
    <w:rsid w:val="176DF87A"/>
    <w:rsid w:val="177CCE86"/>
    <w:rsid w:val="1783AC34"/>
    <w:rsid w:val="17918B69"/>
    <w:rsid w:val="17B30A77"/>
    <w:rsid w:val="17B57AFA"/>
    <w:rsid w:val="17E5E0C8"/>
    <w:rsid w:val="17FC188E"/>
    <w:rsid w:val="17FE87F9"/>
    <w:rsid w:val="1820BFBE"/>
    <w:rsid w:val="1837E4BD"/>
    <w:rsid w:val="184261F9"/>
    <w:rsid w:val="18588A46"/>
    <w:rsid w:val="18636A12"/>
    <w:rsid w:val="186798D3"/>
    <w:rsid w:val="1869A673"/>
    <w:rsid w:val="186C3AEE"/>
    <w:rsid w:val="18A81567"/>
    <w:rsid w:val="18AE2DB7"/>
    <w:rsid w:val="18B43261"/>
    <w:rsid w:val="18B62B84"/>
    <w:rsid w:val="18BBB7E2"/>
    <w:rsid w:val="18CA349F"/>
    <w:rsid w:val="18D0C1C8"/>
    <w:rsid w:val="18D1042E"/>
    <w:rsid w:val="18D308F5"/>
    <w:rsid w:val="18D9506A"/>
    <w:rsid w:val="18DB1CAC"/>
    <w:rsid w:val="18DFC80F"/>
    <w:rsid w:val="18E6EB58"/>
    <w:rsid w:val="1902037E"/>
    <w:rsid w:val="1907346E"/>
    <w:rsid w:val="1910F5DD"/>
    <w:rsid w:val="191680A1"/>
    <w:rsid w:val="1918263B"/>
    <w:rsid w:val="1921AA85"/>
    <w:rsid w:val="1927AEAF"/>
    <w:rsid w:val="19285941"/>
    <w:rsid w:val="192BA8F7"/>
    <w:rsid w:val="192E35BA"/>
    <w:rsid w:val="19388B99"/>
    <w:rsid w:val="19426693"/>
    <w:rsid w:val="194274FA"/>
    <w:rsid w:val="194291B4"/>
    <w:rsid w:val="19456D5E"/>
    <w:rsid w:val="194F5BE2"/>
    <w:rsid w:val="194FEC8F"/>
    <w:rsid w:val="19624F49"/>
    <w:rsid w:val="1963A7A8"/>
    <w:rsid w:val="19662401"/>
    <w:rsid w:val="1967F10E"/>
    <w:rsid w:val="196B5EF2"/>
    <w:rsid w:val="196D0DAD"/>
    <w:rsid w:val="197BA97C"/>
    <w:rsid w:val="197BE37B"/>
    <w:rsid w:val="19829A63"/>
    <w:rsid w:val="19880031"/>
    <w:rsid w:val="19A4AFF5"/>
    <w:rsid w:val="19B3A10C"/>
    <w:rsid w:val="19C4D90A"/>
    <w:rsid w:val="19C8E814"/>
    <w:rsid w:val="19CD9071"/>
    <w:rsid w:val="19D872F1"/>
    <w:rsid w:val="19DD32CB"/>
    <w:rsid w:val="19F6A135"/>
    <w:rsid w:val="19FBE0B4"/>
    <w:rsid w:val="1A1C6C6F"/>
    <w:rsid w:val="1A1D546D"/>
    <w:rsid w:val="1A26AD51"/>
    <w:rsid w:val="1A2DE5D8"/>
    <w:rsid w:val="1A453CD8"/>
    <w:rsid w:val="1A4560C2"/>
    <w:rsid w:val="1A45E8B7"/>
    <w:rsid w:val="1A492990"/>
    <w:rsid w:val="1A4FA982"/>
    <w:rsid w:val="1A5FBA7E"/>
    <w:rsid w:val="1A621624"/>
    <w:rsid w:val="1A68237F"/>
    <w:rsid w:val="1A6985CB"/>
    <w:rsid w:val="1A733D77"/>
    <w:rsid w:val="1A9B0074"/>
    <w:rsid w:val="1A9CEB8D"/>
    <w:rsid w:val="1AABD887"/>
    <w:rsid w:val="1AB4BB15"/>
    <w:rsid w:val="1ABD8742"/>
    <w:rsid w:val="1AC67A41"/>
    <w:rsid w:val="1AD41CC7"/>
    <w:rsid w:val="1ADD8A23"/>
    <w:rsid w:val="1AEE3914"/>
    <w:rsid w:val="1AF3EBD7"/>
    <w:rsid w:val="1B0BC414"/>
    <w:rsid w:val="1B20B783"/>
    <w:rsid w:val="1B2866A5"/>
    <w:rsid w:val="1B2D4298"/>
    <w:rsid w:val="1B358CAB"/>
    <w:rsid w:val="1B3DD68B"/>
    <w:rsid w:val="1B4EEA5A"/>
    <w:rsid w:val="1B678A4D"/>
    <w:rsid w:val="1B716F08"/>
    <w:rsid w:val="1B7D6CCA"/>
    <w:rsid w:val="1B9F6F7D"/>
    <w:rsid w:val="1BA12B9F"/>
    <w:rsid w:val="1BB0E38A"/>
    <w:rsid w:val="1BBE2685"/>
    <w:rsid w:val="1BDA4DD7"/>
    <w:rsid w:val="1BDDFAF5"/>
    <w:rsid w:val="1BDE9935"/>
    <w:rsid w:val="1BE118B3"/>
    <w:rsid w:val="1BE3AF94"/>
    <w:rsid w:val="1BE61CDC"/>
    <w:rsid w:val="1BEA83B3"/>
    <w:rsid w:val="1BEFAB47"/>
    <w:rsid w:val="1BFBAD1E"/>
    <w:rsid w:val="1C0B7B56"/>
    <w:rsid w:val="1C0D3E95"/>
    <w:rsid w:val="1C0D6740"/>
    <w:rsid w:val="1C0FF951"/>
    <w:rsid w:val="1C2BB64D"/>
    <w:rsid w:val="1C321119"/>
    <w:rsid w:val="1C375C00"/>
    <w:rsid w:val="1C39F889"/>
    <w:rsid w:val="1C407484"/>
    <w:rsid w:val="1C54E88B"/>
    <w:rsid w:val="1C5BF2A7"/>
    <w:rsid w:val="1C6839C6"/>
    <w:rsid w:val="1C6AD178"/>
    <w:rsid w:val="1C7CA52D"/>
    <w:rsid w:val="1C7FD6AB"/>
    <w:rsid w:val="1C9BE270"/>
    <w:rsid w:val="1CAF18D6"/>
    <w:rsid w:val="1CB17342"/>
    <w:rsid w:val="1CB46DCD"/>
    <w:rsid w:val="1CC892D4"/>
    <w:rsid w:val="1CC90099"/>
    <w:rsid w:val="1CCA91F4"/>
    <w:rsid w:val="1CCF0615"/>
    <w:rsid w:val="1CD1AE43"/>
    <w:rsid w:val="1CD23A43"/>
    <w:rsid w:val="1CD9D229"/>
    <w:rsid w:val="1CEB1444"/>
    <w:rsid w:val="1CEC5DF7"/>
    <w:rsid w:val="1CF2452F"/>
    <w:rsid w:val="1CFE1AAD"/>
    <w:rsid w:val="1CFEB2E1"/>
    <w:rsid w:val="1D1C5B80"/>
    <w:rsid w:val="1D1CBF6B"/>
    <w:rsid w:val="1D1FA210"/>
    <w:rsid w:val="1D2313D6"/>
    <w:rsid w:val="1D2415E6"/>
    <w:rsid w:val="1D2633D9"/>
    <w:rsid w:val="1D290D95"/>
    <w:rsid w:val="1D30B346"/>
    <w:rsid w:val="1D3C6EB8"/>
    <w:rsid w:val="1D3FFBB2"/>
    <w:rsid w:val="1D408E98"/>
    <w:rsid w:val="1D4632BE"/>
    <w:rsid w:val="1D48EFDD"/>
    <w:rsid w:val="1D4C4BDA"/>
    <w:rsid w:val="1D53A31B"/>
    <w:rsid w:val="1D5A1557"/>
    <w:rsid w:val="1D825E63"/>
    <w:rsid w:val="1D8B1110"/>
    <w:rsid w:val="1D8B4B63"/>
    <w:rsid w:val="1DADFE0D"/>
    <w:rsid w:val="1DB0C0D3"/>
    <w:rsid w:val="1DB59EC6"/>
    <w:rsid w:val="1DBACF87"/>
    <w:rsid w:val="1DBFA9A6"/>
    <w:rsid w:val="1DC518E3"/>
    <w:rsid w:val="1DD1FCFD"/>
    <w:rsid w:val="1DE1C859"/>
    <w:rsid w:val="1DF9212F"/>
    <w:rsid w:val="1DFC74C7"/>
    <w:rsid w:val="1E17C801"/>
    <w:rsid w:val="1E1A419D"/>
    <w:rsid w:val="1E224E06"/>
    <w:rsid w:val="1E2C2CB6"/>
    <w:rsid w:val="1E374C4D"/>
    <w:rsid w:val="1E3C5E02"/>
    <w:rsid w:val="1E4299DA"/>
    <w:rsid w:val="1E4BF66E"/>
    <w:rsid w:val="1E56DFEC"/>
    <w:rsid w:val="1E5D01F0"/>
    <w:rsid w:val="1E8DADE9"/>
    <w:rsid w:val="1E9379E2"/>
    <w:rsid w:val="1E99CF9A"/>
    <w:rsid w:val="1EA0FC6E"/>
    <w:rsid w:val="1EA1F9C6"/>
    <w:rsid w:val="1EB002F8"/>
    <w:rsid w:val="1EB9F8B8"/>
    <w:rsid w:val="1EC9B552"/>
    <w:rsid w:val="1ED5F622"/>
    <w:rsid w:val="1EDC8BCE"/>
    <w:rsid w:val="1EE0B382"/>
    <w:rsid w:val="1EE10B1D"/>
    <w:rsid w:val="1EE51D14"/>
    <w:rsid w:val="1EEE24BF"/>
    <w:rsid w:val="1F022FA9"/>
    <w:rsid w:val="1F03D41C"/>
    <w:rsid w:val="1F1ACDBA"/>
    <w:rsid w:val="1F2DBFE6"/>
    <w:rsid w:val="1F35F356"/>
    <w:rsid w:val="1F42EF85"/>
    <w:rsid w:val="1F542E7E"/>
    <w:rsid w:val="1F6484F8"/>
    <w:rsid w:val="1F697AC9"/>
    <w:rsid w:val="1F7743F7"/>
    <w:rsid w:val="1F7F317D"/>
    <w:rsid w:val="1F94934E"/>
    <w:rsid w:val="1F971E48"/>
    <w:rsid w:val="1F9B7E91"/>
    <w:rsid w:val="1FA25EB3"/>
    <w:rsid w:val="1FB728B7"/>
    <w:rsid w:val="1FBE1D49"/>
    <w:rsid w:val="1FC5F7D3"/>
    <w:rsid w:val="1FC93121"/>
    <w:rsid w:val="1FD7FD21"/>
    <w:rsid w:val="1FE1B580"/>
    <w:rsid w:val="1FE7B3C9"/>
    <w:rsid w:val="1FE98A3A"/>
    <w:rsid w:val="1FEDBE3E"/>
    <w:rsid w:val="1FF11CB6"/>
    <w:rsid w:val="2000979A"/>
    <w:rsid w:val="200A43A8"/>
    <w:rsid w:val="200F9426"/>
    <w:rsid w:val="2011C25F"/>
    <w:rsid w:val="2012C161"/>
    <w:rsid w:val="202090C2"/>
    <w:rsid w:val="203602CB"/>
    <w:rsid w:val="2036432B"/>
    <w:rsid w:val="2036D5CA"/>
    <w:rsid w:val="2046E9D5"/>
    <w:rsid w:val="20498267"/>
    <w:rsid w:val="204FCF75"/>
    <w:rsid w:val="20574BBB"/>
    <w:rsid w:val="2059357D"/>
    <w:rsid w:val="2072A9DC"/>
    <w:rsid w:val="20784694"/>
    <w:rsid w:val="2091C442"/>
    <w:rsid w:val="2092F295"/>
    <w:rsid w:val="20990669"/>
    <w:rsid w:val="209918B8"/>
    <w:rsid w:val="20A73BEB"/>
    <w:rsid w:val="20AA89E0"/>
    <w:rsid w:val="20AB9771"/>
    <w:rsid w:val="20B50D9F"/>
    <w:rsid w:val="20BF0297"/>
    <w:rsid w:val="20C3648F"/>
    <w:rsid w:val="20CB169D"/>
    <w:rsid w:val="20D15970"/>
    <w:rsid w:val="20D71687"/>
    <w:rsid w:val="20D98DFC"/>
    <w:rsid w:val="20DFF3FF"/>
    <w:rsid w:val="20E6A6C4"/>
    <w:rsid w:val="20EB0294"/>
    <w:rsid w:val="20F19D27"/>
    <w:rsid w:val="20F8F4EE"/>
    <w:rsid w:val="20F9645F"/>
    <w:rsid w:val="20FBA75B"/>
    <w:rsid w:val="21210E58"/>
    <w:rsid w:val="212BFB4A"/>
    <w:rsid w:val="21373939"/>
    <w:rsid w:val="21405055"/>
    <w:rsid w:val="2160F8AE"/>
    <w:rsid w:val="21689C9D"/>
    <w:rsid w:val="216BD52F"/>
    <w:rsid w:val="216C159B"/>
    <w:rsid w:val="217B0A28"/>
    <w:rsid w:val="2194E9D8"/>
    <w:rsid w:val="21A4FD45"/>
    <w:rsid w:val="21AB020F"/>
    <w:rsid w:val="21B90F40"/>
    <w:rsid w:val="21B9D22C"/>
    <w:rsid w:val="21BA1A9F"/>
    <w:rsid w:val="21BA3D7D"/>
    <w:rsid w:val="21BEA85C"/>
    <w:rsid w:val="21C30D1E"/>
    <w:rsid w:val="21CC14BB"/>
    <w:rsid w:val="21D7066F"/>
    <w:rsid w:val="21DC6344"/>
    <w:rsid w:val="21DCE5E8"/>
    <w:rsid w:val="21F1333B"/>
    <w:rsid w:val="220140F9"/>
    <w:rsid w:val="2203CEF1"/>
    <w:rsid w:val="220DFE53"/>
    <w:rsid w:val="2212DB61"/>
    <w:rsid w:val="2225C581"/>
    <w:rsid w:val="2225FCC3"/>
    <w:rsid w:val="22269FEA"/>
    <w:rsid w:val="2226F014"/>
    <w:rsid w:val="2231CA2C"/>
    <w:rsid w:val="2236AB5B"/>
    <w:rsid w:val="223F0EE7"/>
    <w:rsid w:val="2242DEF2"/>
    <w:rsid w:val="2249A6EE"/>
    <w:rsid w:val="22676BA2"/>
    <w:rsid w:val="227F0350"/>
    <w:rsid w:val="22818458"/>
    <w:rsid w:val="2292D5ED"/>
    <w:rsid w:val="2299587D"/>
    <w:rsid w:val="22AEF219"/>
    <w:rsid w:val="22AF7C31"/>
    <w:rsid w:val="22C1FEEE"/>
    <w:rsid w:val="22CD68F5"/>
    <w:rsid w:val="22D97AA3"/>
    <w:rsid w:val="22E08638"/>
    <w:rsid w:val="22EB8F59"/>
    <w:rsid w:val="22F067B4"/>
    <w:rsid w:val="22F70061"/>
    <w:rsid w:val="22F9932B"/>
    <w:rsid w:val="23121741"/>
    <w:rsid w:val="231F0622"/>
    <w:rsid w:val="23242713"/>
    <w:rsid w:val="2327A1E8"/>
    <w:rsid w:val="2328F886"/>
    <w:rsid w:val="232EF8D3"/>
    <w:rsid w:val="233173CD"/>
    <w:rsid w:val="233A6894"/>
    <w:rsid w:val="234C376B"/>
    <w:rsid w:val="234DB143"/>
    <w:rsid w:val="235BDEAB"/>
    <w:rsid w:val="23647DB1"/>
    <w:rsid w:val="23695503"/>
    <w:rsid w:val="237729F1"/>
    <w:rsid w:val="237FEC29"/>
    <w:rsid w:val="2386E31C"/>
    <w:rsid w:val="238A3D28"/>
    <w:rsid w:val="239C52F7"/>
    <w:rsid w:val="23AA4A9E"/>
    <w:rsid w:val="23B060D6"/>
    <w:rsid w:val="23BA4155"/>
    <w:rsid w:val="23C80EA6"/>
    <w:rsid w:val="23CF783B"/>
    <w:rsid w:val="23DDEB38"/>
    <w:rsid w:val="23EB851B"/>
    <w:rsid w:val="23F64FBE"/>
    <w:rsid w:val="23FB4F49"/>
    <w:rsid w:val="241C28BA"/>
    <w:rsid w:val="242F9938"/>
    <w:rsid w:val="24333DE1"/>
    <w:rsid w:val="2433C901"/>
    <w:rsid w:val="2442BAE2"/>
    <w:rsid w:val="24488FE9"/>
    <w:rsid w:val="244EE920"/>
    <w:rsid w:val="245042B1"/>
    <w:rsid w:val="24546BD0"/>
    <w:rsid w:val="24587978"/>
    <w:rsid w:val="245DFDA7"/>
    <w:rsid w:val="246CD049"/>
    <w:rsid w:val="247D15E8"/>
    <w:rsid w:val="2485AFE4"/>
    <w:rsid w:val="248BE0F3"/>
    <w:rsid w:val="248CA9A4"/>
    <w:rsid w:val="248F43F2"/>
    <w:rsid w:val="2490DDE5"/>
    <w:rsid w:val="2493B676"/>
    <w:rsid w:val="24948347"/>
    <w:rsid w:val="24978AEB"/>
    <w:rsid w:val="2499F19B"/>
    <w:rsid w:val="24AC183A"/>
    <w:rsid w:val="24C19BBB"/>
    <w:rsid w:val="24C566BF"/>
    <w:rsid w:val="24D41A5D"/>
    <w:rsid w:val="24DA8202"/>
    <w:rsid w:val="24DC82C6"/>
    <w:rsid w:val="24EA5014"/>
    <w:rsid w:val="24F74820"/>
    <w:rsid w:val="24F95306"/>
    <w:rsid w:val="24FBE3B2"/>
    <w:rsid w:val="24FEE051"/>
    <w:rsid w:val="250FDC00"/>
    <w:rsid w:val="25157FC1"/>
    <w:rsid w:val="251677B5"/>
    <w:rsid w:val="251B13A3"/>
    <w:rsid w:val="252598A3"/>
    <w:rsid w:val="2536E843"/>
    <w:rsid w:val="253A8000"/>
    <w:rsid w:val="255000C3"/>
    <w:rsid w:val="25559AC1"/>
    <w:rsid w:val="256121B0"/>
    <w:rsid w:val="2563C885"/>
    <w:rsid w:val="256453BB"/>
    <w:rsid w:val="2569267B"/>
    <w:rsid w:val="25716E95"/>
    <w:rsid w:val="259404B2"/>
    <w:rsid w:val="25943847"/>
    <w:rsid w:val="25AA4A19"/>
    <w:rsid w:val="25B0600E"/>
    <w:rsid w:val="25C32077"/>
    <w:rsid w:val="25CAAC08"/>
    <w:rsid w:val="25CB21F4"/>
    <w:rsid w:val="25D55902"/>
    <w:rsid w:val="25D90772"/>
    <w:rsid w:val="25E0A9B4"/>
    <w:rsid w:val="25E10EF8"/>
    <w:rsid w:val="25E18D0E"/>
    <w:rsid w:val="25E1DE96"/>
    <w:rsid w:val="25E47091"/>
    <w:rsid w:val="2601B2C6"/>
    <w:rsid w:val="2603CC7E"/>
    <w:rsid w:val="26182EF4"/>
    <w:rsid w:val="261E14B6"/>
    <w:rsid w:val="261E6B58"/>
    <w:rsid w:val="26203434"/>
    <w:rsid w:val="2623F486"/>
    <w:rsid w:val="262C8E01"/>
    <w:rsid w:val="262F875A"/>
    <w:rsid w:val="263498AB"/>
    <w:rsid w:val="2639EC7D"/>
    <w:rsid w:val="263A1569"/>
    <w:rsid w:val="263D8FE5"/>
    <w:rsid w:val="263EB235"/>
    <w:rsid w:val="2646F9D9"/>
    <w:rsid w:val="2661CB47"/>
    <w:rsid w:val="266B84AC"/>
    <w:rsid w:val="266CF1AC"/>
    <w:rsid w:val="26779CD7"/>
    <w:rsid w:val="268C8F8F"/>
    <w:rsid w:val="268D969D"/>
    <w:rsid w:val="26981B5F"/>
    <w:rsid w:val="26985053"/>
    <w:rsid w:val="26A6B840"/>
    <w:rsid w:val="26B012EE"/>
    <w:rsid w:val="26B11688"/>
    <w:rsid w:val="26BB888C"/>
    <w:rsid w:val="26C68A70"/>
    <w:rsid w:val="26D04622"/>
    <w:rsid w:val="26D14292"/>
    <w:rsid w:val="26D6F9D2"/>
    <w:rsid w:val="26E1F115"/>
    <w:rsid w:val="26E30F01"/>
    <w:rsid w:val="26ECE74B"/>
    <w:rsid w:val="26EE04F3"/>
    <w:rsid w:val="27121E2E"/>
    <w:rsid w:val="2722B497"/>
    <w:rsid w:val="272C8F0B"/>
    <w:rsid w:val="272F965B"/>
    <w:rsid w:val="2734B84F"/>
    <w:rsid w:val="2735FD8C"/>
    <w:rsid w:val="27372F92"/>
    <w:rsid w:val="27391C85"/>
    <w:rsid w:val="273B8D10"/>
    <w:rsid w:val="2744C359"/>
    <w:rsid w:val="2750C694"/>
    <w:rsid w:val="2769D2CF"/>
    <w:rsid w:val="2769D4D3"/>
    <w:rsid w:val="276A3F16"/>
    <w:rsid w:val="277766EC"/>
    <w:rsid w:val="2780F774"/>
    <w:rsid w:val="278AB134"/>
    <w:rsid w:val="27901A3A"/>
    <w:rsid w:val="279860C4"/>
    <w:rsid w:val="27993AE8"/>
    <w:rsid w:val="279B33EF"/>
    <w:rsid w:val="279E9C2F"/>
    <w:rsid w:val="27A8542F"/>
    <w:rsid w:val="27B33C98"/>
    <w:rsid w:val="27BC24D2"/>
    <w:rsid w:val="27CD002F"/>
    <w:rsid w:val="27CE7700"/>
    <w:rsid w:val="27DAAAFA"/>
    <w:rsid w:val="27E1F713"/>
    <w:rsid w:val="27E6CDAE"/>
    <w:rsid w:val="27EA5AB6"/>
    <w:rsid w:val="27EAF90D"/>
    <w:rsid w:val="27FAA654"/>
    <w:rsid w:val="2804F9DB"/>
    <w:rsid w:val="2806C17C"/>
    <w:rsid w:val="280B33CB"/>
    <w:rsid w:val="282A7F53"/>
    <w:rsid w:val="283D0171"/>
    <w:rsid w:val="28449F7B"/>
    <w:rsid w:val="2845DA9D"/>
    <w:rsid w:val="28474B61"/>
    <w:rsid w:val="286A23DD"/>
    <w:rsid w:val="288F069C"/>
    <w:rsid w:val="28A7A0CF"/>
    <w:rsid w:val="28AD7175"/>
    <w:rsid w:val="28B9EE63"/>
    <w:rsid w:val="28BBE079"/>
    <w:rsid w:val="28BFB8EF"/>
    <w:rsid w:val="28C72078"/>
    <w:rsid w:val="28C92E9B"/>
    <w:rsid w:val="28D578E9"/>
    <w:rsid w:val="28DC7CDD"/>
    <w:rsid w:val="28DE3340"/>
    <w:rsid w:val="28ED9076"/>
    <w:rsid w:val="28EEF98C"/>
    <w:rsid w:val="28EFE303"/>
    <w:rsid w:val="2908912A"/>
    <w:rsid w:val="29095956"/>
    <w:rsid w:val="292AC632"/>
    <w:rsid w:val="292B07BB"/>
    <w:rsid w:val="2931D7EA"/>
    <w:rsid w:val="293B7CD1"/>
    <w:rsid w:val="294614C9"/>
    <w:rsid w:val="295652F3"/>
    <w:rsid w:val="295B0A3D"/>
    <w:rsid w:val="295BA5A7"/>
    <w:rsid w:val="2964C52C"/>
    <w:rsid w:val="296EAFF7"/>
    <w:rsid w:val="2971AEA4"/>
    <w:rsid w:val="29AA3D50"/>
    <w:rsid w:val="29AEFBE2"/>
    <w:rsid w:val="29BA2DFB"/>
    <w:rsid w:val="29C67DDD"/>
    <w:rsid w:val="29D9BA09"/>
    <w:rsid w:val="29DB000C"/>
    <w:rsid w:val="29E2334F"/>
    <w:rsid w:val="29F4FD73"/>
    <w:rsid w:val="29F61B73"/>
    <w:rsid w:val="29F67C4F"/>
    <w:rsid w:val="2A024E5D"/>
    <w:rsid w:val="2A06D324"/>
    <w:rsid w:val="2A0B949F"/>
    <w:rsid w:val="2A0E29D7"/>
    <w:rsid w:val="2A535989"/>
    <w:rsid w:val="2A62F2FC"/>
    <w:rsid w:val="2A69849D"/>
    <w:rsid w:val="2A88F953"/>
    <w:rsid w:val="2A8B11DA"/>
    <w:rsid w:val="2A9E1078"/>
    <w:rsid w:val="2A9F8E01"/>
    <w:rsid w:val="2A9FCB93"/>
    <w:rsid w:val="2ABD027A"/>
    <w:rsid w:val="2ABD218F"/>
    <w:rsid w:val="2AC21AB3"/>
    <w:rsid w:val="2AC7BAFC"/>
    <w:rsid w:val="2AC86142"/>
    <w:rsid w:val="2ACF2749"/>
    <w:rsid w:val="2ACFB88C"/>
    <w:rsid w:val="2AE4FBE2"/>
    <w:rsid w:val="2AE52987"/>
    <w:rsid w:val="2AEEEF3B"/>
    <w:rsid w:val="2AF0CD74"/>
    <w:rsid w:val="2B088202"/>
    <w:rsid w:val="2B0FD3E0"/>
    <w:rsid w:val="2B10A706"/>
    <w:rsid w:val="2B26B705"/>
    <w:rsid w:val="2B275883"/>
    <w:rsid w:val="2B278D99"/>
    <w:rsid w:val="2B3B25EA"/>
    <w:rsid w:val="2B47BE30"/>
    <w:rsid w:val="2B5004CA"/>
    <w:rsid w:val="2B6226A0"/>
    <w:rsid w:val="2B643FD4"/>
    <w:rsid w:val="2B89883E"/>
    <w:rsid w:val="2B8A70A4"/>
    <w:rsid w:val="2B8D5DDB"/>
    <w:rsid w:val="2B916953"/>
    <w:rsid w:val="2B95824B"/>
    <w:rsid w:val="2B983882"/>
    <w:rsid w:val="2B9D1B15"/>
    <w:rsid w:val="2BA3E1B6"/>
    <w:rsid w:val="2BAA5F65"/>
    <w:rsid w:val="2BB51080"/>
    <w:rsid w:val="2BBABD4B"/>
    <w:rsid w:val="2BBAF42B"/>
    <w:rsid w:val="2BBBE34B"/>
    <w:rsid w:val="2BC53694"/>
    <w:rsid w:val="2BCE25B7"/>
    <w:rsid w:val="2BD6EBFD"/>
    <w:rsid w:val="2BD9A343"/>
    <w:rsid w:val="2BE6D7A4"/>
    <w:rsid w:val="2BE75B52"/>
    <w:rsid w:val="2BF00748"/>
    <w:rsid w:val="2BF69E89"/>
    <w:rsid w:val="2C00B7B9"/>
    <w:rsid w:val="2C01D5C0"/>
    <w:rsid w:val="2C11EB30"/>
    <w:rsid w:val="2C19E619"/>
    <w:rsid w:val="2C1D81FD"/>
    <w:rsid w:val="2C1E28C9"/>
    <w:rsid w:val="2C23FDE5"/>
    <w:rsid w:val="2C2A488D"/>
    <w:rsid w:val="2C3B9613"/>
    <w:rsid w:val="2C42E63B"/>
    <w:rsid w:val="2C433E5D"/>
    <w:rsid w:val="2C638B5D"/>
    <w:rsid w:val="2C6AF497"/>
    <w:rsid w:val="2C72F593"/>
    <w:rsid w:val="2C7387C6"/>
    <w:rsid w:val="2C75F84E"/>
    <w:rsid w:val="2C7840B6"/>
    <w:rsid w:val="2C85795C"/>
    <w:rsid w:val="2C89ADD3"/>
    <w:rsid w:val="2C92EC71"/>
    <w:rsid w:val="2C9EC340"/>
    <w:rsid w:val="2CA1CD5B"/>
    <w:rsid w:val="2CA645AB"/>
    <w:rsid w:val="2CA8CE76"/>
    <w:rsid w:val="2CB7D6D8"/>
    <w:rsid w:val="2CB8CAA9"/>
    <w:rsid w:val="2CBB0D32"/>
    <w:rsid w:val="2CCD9E80"/>
    <w:rsid w:val="2CCDA399"/>
    <w:rsid w:val="2CCE9907"/>
    <w:rsid w:val="2CD73F0B"/>
    <w:rsid w:val="2CDA329F"/>
    <w:rsid w:val="2CDFECE7"/>
    <w:rsid w:val="2CE78818"/>
    <w:rsid w:val="2CE96A44"/>
    <w:rsid w:val="2CF8202C"/>
    <w:rsid w:val="2D0BFF0C"/>
    <w:rsid w:val="2D0C65E5"/>
    <w:rsid w:val="2D2064DE"/>
    <w:rsid w:val="2D21DCA5"/>
    <w:rsid w:val="2D2E5884"/>
    <w:rsid w:val="2D2E8E20"/>
    <w:rsid w:val="2D31691A"/>
    <w:rsid w:val="2D33F413"/>
    <w:rsid w:val="2D387871"/>
    <w:rsid w:val="2D4931B8"/>
    <w:rsid w:val="2D4DDFF7"/>
    <w:rsid w:val="2D4F4898"/>
    <w:rsid w:val="2D5AD940"/>
    <w:rsid w:val="2D5DC6D1"/>
    <w:rsid w:val="2D67F600"/>
    <w:rsid w:val="2D69637A"/>
    <w:rsid w:val="2D6A3C78"/>
    <w:rsid w:val="2D6F3202"/>
    <w:rsid w:val="2D7FFB26"/>
    <w:rsid w:val="2D81F160"/>
    <w:rsid w:val="2D878F73"/>
    <w:rsid w:val="2D8A2C20"/>
    <w:rsid w:val="2D8CB86C"/>
    <w:rsid w:val="2D956C63"/>
    <w:rsid w:val="2D95B89B"/>
    <w:rsid w:val="2DA5B4BE"/>
    <w:rsid w:val="2DA90C43"/>
    <w:rsid w:val="2DBDC0B1"/>
    <w:rsid w:val="2DCC0F44"/>
    <w:rsid w:val="2DD4E3C4"/>
    <w:rsid w:val="2DD93E0F"/>
    <w:rsid w:val="2DE3226D"/>
    <w:rsid w:val="2DF060FF"/>
    <w:rsid w:val="2E0E752B"/>
    <w:rsid w:val="2E18B3AB"/>
    <w:rsid w:val="2E1ABF4A"/>
    <w:rsid w:val="2E28C435"/>
    <w:rsid w:val="2E2E6D19"/>
    <w:rsid w:val="2E3DE2F2"/>
    <w:rsid w:val="2E4CF882"/>
    <w:rsid w:val="2E4E4134"/>
    <w:rsid w:val="2E5548AB"/>
    <w:rsid w:val="2E5E2CF4"/>
    <w:rsid w:val="2E5EC49C"/>
    <w:rsid w:val="2E740E7F"/>
    <w:rsid w:val="2E7EC630"/>
    <w:rsid w:val="2E830384"/>
    <w:rsid w:val="2E86AD03"/>
    <w:rsid w:val="2E87E441"/>
    <w:rsid w:val="2E8C9084"/>
    <w:rsid w:val="2EA18A17"/>
    <w:rsid w:val="2EA344DB"/>
    <w:rsid w:val="2EAA17E6"/>
    <w:rsid w:val="2EB9143A"/>
    <w:rsid w:val="2EBC64B2"/>
    <w:rsid w:val="2EC71828"/>
    <w:rsid w:val="2ED2B72C"/>
    <w:rsid w:val="2ED32608"/>
    <w:rsid w:val="2ED4FC6D"/>
    <w:rsid w:val="2EDCCE6A"/>
    <w:rsid w:val="2EEFD33D"/>
    <w:rsid w:val="2EF01711"/>
    <w:rsid w:val="2EF161EE"/>
    <w:rsid w:val="2EF667B1"/>
    <w:rsid w:val="2F018783"/>
    <w:rsid w:val="2F0C9659"/>
    <w:rsid w:val="2F1B31D4"/>
    <w:rsid w:val="2F1CC8A6"/>
    <w:rsid w:val="2F237094"/>
    <w:rsid w:val="2F264035"/>
    <w:rsid w:val="2F26C2C8"/>
    <w:rsid w:val="2F2A88F6"/>
    <w:rsid w:val="2F325C01"/>
    <w:rsid w:val="2F3A460C"/>
    <w:rsid w:val="2F3E7A47"/>
    <w:rsid w:val="2F500B29"/>
    <w:rsid w:val="2F5BF8B7"/>
    <w:rsid w:val="2F688966"/>
    <w:rsid w:val="2F6DDDD1"/>
    <w:rsid w:val="2F7A904A"/>
    <w:rsid w:val="2F879622"/>
    <w:rsid w:val="2F887524"/>
    <w:rsid w:val="2F90240D"/>
    <w:rsid w:val="2F955895"/>
    <w:rsid w:val="2F98BEC1"/>
    <w:rsid w:val="2F9B7062"/>
    <w:rsid w:val="2F9F960A"/>
    <w:rsid w:val="2FACB545"/>
    <w:rsid w:val="2FB7E8A4"/>
    <w:rsid w:val="2FBA05B8"/>
    <w:rsid w:val="2FCB27BC"/>
    <w:rsid w:val="2FEA4EB7"/>
    <w:rsid w:val="2FF65398"/>
    <w:rsid w:val="2FFADE23"/>
    <w:rsid w:val="2FFC5B65"/>
    <w:rsid w:val="300BFB45"/>
    <w:rsid w:val="300F5151"/>
    <w:rsid w:val="301AF974"/>
    <w:rsid w:val="30230464"/>
    <w:rsid w:val="302BE39E"/>
    <w:rsid w:val="302EB498"/>
    <w:rsid w:val="303004E6"/>
    <w:rsid w:val="303DDD8C"/>
    <w:rsid w:val="30410633"/>
    <w:rsid w:val="305FB542"/>
    <w:rsid w:val="3061AF9C"/>
    <w:rsid w:val="306B375D"/>
    <w:rsid w:val="3072F796"/>
    <w:rsid w:val="307B5568"/>
    <w:rsid w:val="307D2CCD"/>
    <w:rsid w:val="30902BFA"/>
    <w:rsid w:val="30A016D2"/>
    <w:rsid w:val="30BA7659"/>
    <w:rsid w:val="30C8BAB3"/>
    <w:rsid w:val="30CD9AC5"/>
    <w:rsid w:val="30CE1E02"/>
    <w:rsid w:val="30CF8750"/>
    <w:rsid w:val="30ED8EA8"/>
    <w:rsid w:val="30FB150F"/>
    <w:rsid w:val="30FF8971"/>
    <w:rsid w:val="3102C665"/>
    <w:rsid w:val="310A04B0"/>
    <w:rsid w:val="310D51FF"/>
    <w:rsid w:val="311A4847"/>
    <w:rsid w:val="31336BC5"/>
    <w:rsid w:val="31349733"/>
    <w:rsid w:val="313DFDF1"/>
    <w:rsid w:val="31476D2A"/>
    <w:rsid w:val="3152D030"/>
    <w:rsid w:val="3159C09C"/>
    <w:rsid w:val="3167B647"/>
    <w:rsid w:val="316A7A93"/>
    <w:rsid w:val="318BF7AF"/>
    <w:rsid w:val="318F505A"/>
    <w:rsid w:val="31A0C244"/>
    <w:rsid w:val="31A72288"/>
    <w:rsid w:val="31B66A11"/>
    <w:rsid w:val="31BA695D"/>
    <w:rsid w:val="31C0A231"/>
    <w:rsid w:val="31C35848"/>
    <w:rsid w:val="31CA8202"/>
    <w:rsid w:val="31DE681A"/>
    <w:rsid w:val="31E2B678"/>
    <w:rsid w:val="31E98B47"/>
    <w:rsid w:val="31EDDCAC"/>
    <w:rsid w:val="31FAB73D"/>
    <w:rsid w:val="321A3861"/>
    <w:rsid w:val="3221B56A"/>
    <w:rsid w:val="3233F6F8"/>
    <w:rsid w:val="32387AA1"/>
    <w:rsid w:val="3243135F"/>
    <w:rsid w:val="32473BEB"/>
    <w:rsid w:val="324B2787"/>
    <w:rsid w:val="325453BB"/>
    <w:rsid w:val="32576E8D"/>
    <w:rsid w:val="32610D94"/>
    <w:rsid w:val="3268E729"/>
    <w:rsid w:val="327115AF"/>
    <w:rsid w:val="3278A8CA"/>
    <w:rsid w:val="327D86AC"/>
    <w:rsid w:val="327DBC6A"/>
    <w:rsid w:val="3283FCD0"/>
    <w:rsid w:val="32860DB4"/>
    <w:rsid w:val="328FBE0F"/>
    <w:rsid w:val="3292468C"/>
    <w:rsid w:val="32A2F9C6"/>
    <w:rsid w:val="32A765D4"/>
    <w:rsid w:val="32ABE77F"/>
    <w:rsid w:val="32B2CDEE"/>
    <w:rsid w:val="32BEDE2A"/>
    <w:rsid w:val="32C43B23"/>
    <w:rsid w:val="32C55662"/>
    <w:rsid w:val="32CBD4AE"/>
    <w:rsid w:val="32CD21A4"/>
    <w:rsid w:val="32CEEC85"/>
    <w:rsid w:val="32DCEF72"/>
    <w:rsid w:val="32E1A919"/>
    <w:rsid w:val="32FA1EFE"/>
    <w:rsid w:val="33039F93"/>
    <w:rsid w:val="330B169F"/>
    <w:rsid w:val="3326AF83"/>
    <w:rsid w:val="333146AC"/>
    <w:rsid w:val="3334068F"/>
    <w:rsid w:val="334739D4"/>
    <w:rsid w:val="3353DFEB"/>
    <w:rsid w:val="33720DF2"/>
    <w:rsid w:val="33722300"/>
    <w:rsid w:val="3396EA24"/>
    <w:rsid w:val="339F1A71"/>
    <w:rsid w:val="33A6865E"/>
    <w:rsid w:val="33B84C87"/>
    <w:rsid w:val="33C0BDDF"/>
    <w:rsid w:val="33D73538"/>
    <w:rsid w:val="33EA2EC5"/>
    <w:rsid w:val="33EE4154"/>
    <w:rsid w:val="33F3122B"/>
    <w:rsid w:val="34106C20"/>
    <w:rsid w:val="34276395"/>
    <w:rsid w:val="343F228B"/>
    <w:rsid w:val="34417190"/>
    <w:rsid w:val="3451DC6C"/>
    <w:rsid w:val="345EBA07"/>
    <w:rsid w:val="34637B9E"/>
    <w:rsid w:val="346E1C11"/>
    <w:rsid w:val="34719F89"/>
    <w:rsid w:val="347A3718"/>
    <w:rsid w:val="348C0876"/>
    <w:rsid w:val="3492B86D"/>
    <w:rsid w:val="3493599C"/>
    <w:rsid w:val="34A7282D"/>
    <w:rsid w:val="34A88E3B"/>
    <w:rsid w:val="34B61870"/>
    <w:rsid w:val="34C134F6"/>
    <w:rsid w:val="34C4BA02"/>
    <w:rsid w:val="34C7478A"/>
    <w:rsid w:val="34C99831"/>
    <w:rsid w:val="34CE5F94"/>
    <w:rsid w:val="34D5C251"/>
    <w:rsid w:val="34DAB1A3"/>
    <w:rsid w:val="34E153A4"/>
    <w:rsid w:val="34E2EC1C"/>
    <w:rsid w:val="34FEA22B"/>
    <w:rsid w:val="3501B5DA"/>
    <w:rsid w:val="3514CF97"/>
    <w:rsid w:val="352F8A70"/>
    <w:rsid w:val="35318A71"/>
    <w:rsid w:val="35393B17"/>
    <w:rsid w:val="354F227B"/>
    <w:rsid w:val="35571D85"/>
    <w:rsid w:val="35703829"/>
    <w:rsid w:val="357668F4"/>
    <w:rsid w:val="35871681"/>
    <w:rsid w:val="3591BB8B"/>
    <w:rsid w:val="35981946"/>
    <w:rsid w:val="35A8C288"/>
    <w:rsid w:val="35C23B0C"/>
    <w:rsid w:val="35CE206B"/>
    <w:rsid w:val="35CF49E4"/>
    <w:rsid w:val="35D1E4BD"/>
    <w:rsid w:val="35DB9F91"/>
    <w:rsid w:val="35E0BEA9"/>
    <w:rsid w:val="35E79136"/>
    <w:rsid w:val="35EAA738"/>
    <w:rsid w:val="35EF934A"/>
    <w:rsid w:val="35F9E2FA"/>
    <w:rsid w:val="35FEE50D"/>
    <w:rsid w:val="360B0DDE"/>
    <w:rsid w:val="36154C6A"/>
    <w:rsid w:val="3620E91E"/>
    <w:rsid w:val="36373060"/>
    <w:rsid w:val="3641FE36"/>
    <w:rsid w:val="36437B5C"/>
    <w:rsid w:val="36483479"/>
    <w:rsid w:val="364D2DC4"/>
    <w:rsid w:val="36520B13"/>
    <w:rsid w:val="365AC46C"/>
    <w:rsid w:val="365FF2A2"/>
    <w:rsid w:val="3664561A"/>
    <w:rsid w:val="3665FC57"/>
    <w:rsid w:val="366634C1"/>
    <w:rsid w:val="366DBCA5"/>
    <w:rsid w:val="36742FBA"/>
    <w:rsid w:val="3675E754"/>
    <w:rsid w:val="36760B81"/>
    <w:rsid w:val="367650E1"/>
    <w:rsid w:val="36803EF5"/>
    <w:rsid w:val="368059AD"/>
    <w:rsid w:val="3687024A"/>
    <w:rsid w:val="36929ACB"/>
    <w:rsid w:val="3695997D"/>
    <w:rsid w:val="369B5BF8"/>
    <w:rsid w:val="36A4D396"/>
    <w:rsid w:val="36AB1EF5"/>
    <w:rsid w:val="36C333A8"/>
    <w:rsid w:val="36C7BECE"/>
    <w:rsid w:val="36DAFB20"/>
    <w:rsid w:val="36DC2BFA"/>
    <w:rsid w:val="36DDFCC3"/>
    <w:rsid w:val="36E3F008"/>
    <w:rsid w:val="36F72F87"/>
    <w:rsid w:val="3700703D"/>
    <w:rsid w:val="370D7CD4"/>
    <w:rsid w:val="370DE8A9"/>
    <w:rsid w:val="370ED159"/>
    <w:rsid w:val="37142FF3"/>
    <w:rsid w:val="372B8126"/>
    <w:rsid w:val="37366413"/>
    <w:rsid w:val="37388A3C"/>
    <w:rsid w:val="3742D2CF"/>
    <w:rsid w:val="3745E82C"/>
    <w:rsid w:val="374B1659"/>
    <w:rsid w:val="374B4602"/>
    <w:rsid w:val="374FE4D8"/>
    <w:rsid w:val="3751671D"/>
    <w:rsid w:val="37569105"/>
    <w:rsid w:val="375E0FE0"/>
    <w:rsid w:val="375F682C"/>
    <w:rsid w:val="376166A2"/>
    <w:rsid w:val="377726CD"/>
    <w:rsid w:val="37889407"/>
    <w:rsid w:val="37971DC3"/>
    <w:rsid w:val="3798779E"/>
    <w:rsid w:val="3799F74B"/>
    <w:rsid w:val="379AB56E"/>
    <w:rsid w:val="379DAECD"/>
    <w:rsid w:val="37A04F69"/>
    <w:rsid w:val="37ADFE4C"/>
    <w:rsid w:val="37CEEAB5"/>
    <w:rsid w:val="37DF3C4A"/>
    <w:rsid w:val="37E0D4FF"/>
    <w:rsid w:val="37E23589"/>
    <w:rsid w:val="37F5738E"/>
    <w:rsid w:val="37FE78AE"/>
    <w:rsid w:val="3808635B"/>
    <w:rsid w:val="38103FB0"/>
    <w:rsid w:val="381994D0"/>
    <w:rsid w:val="381D6843"/>
    <w:rsid w:val="382A8A64"/>
    <w:rsid w:val="382B742E"/>
    <w:rsid w:val="384226D9"/>
    <w:rsid w:val="3852422E"/>
    <w:rsid w:val="38527E42"/>
    <w:rsid w:val="385707F8"/>
    <w:rsid w:val="385A27B6"/>
    <w:rsid w:val="385A5181"/>
    <w:rsid w:val="3864CE03"/>
    <w:rsid w:val="386F108E"/>
    <w:rsid w:val="387153B2"/>
    <w:rsid w:val="38889CF4"/>
    <w:rsid w:val="388D7FD9"/>
    <w:rsid w:val="38AD8028"/>
    <w:rsid w:val="38B51BB1"/>
    <w:rsid w:val="38B75BFF"/>
    <w:rsid w:val="38B98037"/>
    <w:rsid w:val="38CA4B2B"/>
    <w:rsid w:val="38D549E6"/>
    <w:rsid w:val="38D61868"/>
    <w:rsid w:val="38D9B679"/>
    <w:rsid w:val="38E62B16"/>
    <w:rsid w:val="38ED1141"/>
    <w:rsid w:val="38EE0434"/>
    <w:rsid w:val="3903D48C"/>
    <w:rsid w:val="390AE64B"/>
    <w:rsid w:val="390EC7F9"/>
    <w:rsid w:val="3910552B"/>
    <w:rsid w:val="3911C386"/>
    <w:rsid w:val="3918AD29"/>
    <w:rsid w:val="392C1CFF"/>
    <w:rsid w:val="392FDC29"/>
    <w:rsid w:val="394C6EB8"/>
    <w:rsid w:val="394EC211"/>
    <w:rsid w:val="39592E0B"/>
    <w:rsid w:val="395C5648"/>
    <w:rsid w:val="395EAB63"/>
    <w:rsid w:val="3967222D"/>
    <w:rsid w:val="3970A853"/>
    <w:rsid w:val="39712A86"/>
    <w:rsid w:val="39788AB3"/>
    <w:rsid w:val="39955D40"/>
    <w:rsid w:val="39992003"/>
    <w:rsid w:val="399B39E6"/>
    <w:rsid w:val="399BE4FC"/>
    <w:rsid w:val="39A1A8E9"/>
    <w:rsid w:val="39A759B1"/>
    <w:rsid w:val="39C5F4DE"/>
    <w:rsid w:val="39DFD2B5"/>
    <w:rsid w:val="39E7DD22"/>
    <w:rsid w:val="39EC7FD5"/>
    <w:rsid w:val="39EEE182"/>
    <w:rsid w:val="39F4C9DC"/>
    <w:rsid w:val="39FB73AF"/>
    <w:rsid w:val="39FF5C5E"/>
    <w:rsid w:val="3A030C4F"/>
    <w:rsid w:val="3A12ECD1"/>
    <w:rsid w:val="3A199963"/>
    <w:rsid w:val="3A260B33"/>
    <w:rsid w:val="3A26AD50"/>
    <w:rsid w:val="3A2AA073"/>
    <w:rsid w:val="3A2C6F11"/>
    <w:rsid w:val="3A2EE00D"/>
    <w:rsid w:val="3A3790C4"/>
    <w:rsid w:val="3A380A53"/>
    <w:rsid w:val="3A39FA57"/>
    <w:rsid w:val="3A450D35"/>
    <w:rsid w:val="3A471941"/>
    <w:rsid w:val="3A4C223D"/>
    <w:rsid w:val="3A509B0E"/>
    <w:rsid w:val="3A514DEE"/>
    <w:rsid w:val="3A54296A"/>
    <w:rsid w:val="3A59EC46"/>
    <w:rsid w:val="3A5DEC97"/>
    <w:rsid w:val="3A6192B9"/>
    <w:rsid w:val="3A643A4D"/>
    <w:rsid w:val="3A7A77DD"/>
    <w:rsid w:val="3A8252FC"/>
    <w:rsid w:val="3A8C8362"/>
    <w:rsid w:val="3A9F5097"/>
    <w:rsid w:val="3AA3AE23"/>
    <w:rsid w:val="3AB81A10"/>
    <w:rsid w:val="3ABE99EB"/>
    <w:rsid w:val="3AC95F12"/>
    <w:rsid w:val="3ACDA2DF"/>
    <w:rsid w:val="3AD4CCF0"/>
    <w:rsid w:val="3AE22117"/>
    <w:rsid w:val="3AE4EA38"/>
    <w:rsid w:val="3AEAD814"/>
    <w:rsid w:val="3AF8E695"/>
    <w:rsid w:val="3B03D6BF"/>
    <w:rsid w:val="3B1C9F19"/>
    <w:rsid w:val="3B237756"/>
    <w:rsid w:val="3B2786D8"/>
    <w:rsid w:val="3B3C9A01"/>
    <w:rsid w:val="3B3D18AE"/>
    <w:rsid w:val="3B4A27FA"/>
    <w:rsid w:val="3B535CF4"/>
    <w:rsid w:val="3B552B5F"/>
    <w:rsid w:val="3B5B08E1"/>
    <w:rsid w:val="3B630882"/>
    <w:rsid w:val="3B650CEE"/>
    <w:rsid w:val="3B75B148"/>
    <w:rsid w:val="3B83D22A"/>
    <w:rsid w:val="3B8554D8"/>
    <w:rsid w:val="3B8EFF78"/>
    <w:rsid w:val="3B954C42"/>
    <w:rsid w:val="3BA70866"/>
    <w:rsid w:val="3BAFB224"/>
    <w:rsid w:val="3BB70170"/>
    <w:rsid w:val="3BE4F420"/>
    <w:rsid w:val="3BE4F548"/>
    <w:rsid w:val="3BE51ED9"/>
    <w:rsid w:val="3BF74CF9"/>
    <w:rsid w:val="3C17C798"/>
    <w:rsid w:val="3C1F7D49"/>
    <w:rsid w:val="3C250904"/>
    <w:rsid w:val="3C31FEE1"/>
    <w:rsid w:val="3C41AF72"/>
    <w:rsid w:val="3C4241D1"/>
    <w:rsid w:val="3C49B49C"/>
    <w:rsid w:val="3C4B606F"/>
    <w:rsid w:val="3C4E282B"/>
    <w:rsid w:val="3C5194CF"/>
    <w:rsid w:val="3C594ECD"/>
    <w:rsid w:val="3C5BF9F0"/>
    <w:rsid w:val="3C6001BF"/>
    <w:rsid w:val="3C71D6D9"/>
    <w:rsid w:val="3CBA2521"/>
    <w:rsid w:val="3CCC0F03"/>
    <w:rsid w:val="3CE8930F"/>
    <w:rsid w:val="3D020CB9"/>
    <w:rsid w:val="3D070B9D"/>
    <w:rsid w:val="3D0979E4"/>
    <w:rsid w:val="3D0A34B2"/>
    <w:rsid w:val="3D129C2A"/>
    <w:rsid w:val="3D143870"/>
    <w:rsid w:val="3D1D35BC"/>
    <w:rsid w:val="3D2366B6"/>
    <w:rsid w:val="3D2B987A"/>
    <w:rsid w:val="3D356DF9"/>
    <w:rsid w:val="3D45C38F"/>
    <w:rsid w:val="3D4620B8"/>
    <w:rsid w:val="3D4B3DB2"/>
    <w:rsid w:val="3D4B8289"/>
    <w:rsid w:val="3D518250"/>
    <w:rsid w:val="3D699446"/>
    <w:rsid w:val="3D69E57C"/>
    <w:rsid w:val="3D6AE7A8"/>
    <w:rsid w:val="3D6DF1EE"/>
    <w:rsid w:val="3D7C7D80"/>
    <w:rsid w:val="3D8A9D68"/>
    <w:rsid w:val="3D9E9E35"/>
    <w:rsid w:val="3DA12E75"/>
    <w:rsid w:val="3DA1EF84"/>
    <w:rsid w:val="3DA4DDD3"/>
    <w:rsid w:val="3DBCC9B3"/>
    <w:rsid w:val="3DBD5CD4"/>
    <w:rsid w:val="3DC084F5"/>
    <w:rsid w:val="3DC09A27"/>
    <w:rsid w:val="3DC692A2"/>
    <w:rsid w:val="3DCFA7D7"/>
    <w:rsid w:val="3DDE273B"/>
    <w:rsid w:val="3DE7E2BF"/>
    <w:rsid w:val="3DF058C5"/>
    <w:rsid w:val="3DF4BF09"/>
    <w:rsid w:val="3DF4EC4C"/>
    <w:rsid w:val="3E071CC7"/>
    <w:rsid w:val="3E0882FC"/>
    <w:rsid w:val="3E0B4622"/>
    <w:rsid w:val="3E0CD785"/>
    <w:rsid w:val="3E141DE0"/>
    <w:rsid w:val="3E151E91"/>
    <w:rsid w:val="3E170EAA"/>
    <w:rsid w:val="3E1D6D0E"/>
    <w:rsid w:val="3E290287"/>
    <w:rsid w:val="3E2BC379"/>
    <w:rsid w:val="3E3290B0"/>
    <w:rsid w:val="3E484288"/>
    <w:rsid w:val="3E4B84D3"/>
    <w:rsid w:val="3E56B35B"/>
    <w:rsid w:val="3E596DEC"/>
    <w:rsid w:val="3E5A54AB"/>
    <w:rsid w:val="3E67DA37"/>
    <w:rsid w:val="3E6B0609"/>
    <w:rsid w:val="3E6E2B39"/>
    <w:rsid w:val="3E8E5914"/>
    <w:rsid w:val="3EBDFCC9"/>
    <w:rsid w:val="3EC2C201"/>
    <w:rsid w:val="3ED7972D"/>
    <w:rsid w:val="3EDF4DC5"/>
    <w:rsid w:val="3EE9190F"/>
    <w:rsid w:val="3EF3F10D"/>
    <w:rsid w:val="3EFDDAEB"/>
    <w:rsid w:val="3F042057"/>
    <w:rsid w:val="3F05344D"/>
    <w:rsid w:val="3F07A9E2"/>
    <w:rsid w:val="3F14D2E5"/>
    <w:rsid w:val="3F163C7D"/>
    <w:rsid w:val="3F18632F"/>
    <w:rsid w:val="3F1D9ADE"/>
    <w:rsid w:val="3F218EDD"/>
    <w:rsid w:val="3F2DA6F0"/>
    <w:rsid w:val="3F3354B9"/>
    <w:rsid w:val="3F35CA4B"/>
    <w:rsid w:val="3F3EAF83"/>
    <w:rsid w:val="3F4A5D05"/>
    <w:rsid w:val="3F4A764E"/>
    <w:rsid w:val="3F6A82A6"/>
    <w:rsid w:val="3F78F143"/>
    <w:rsid w:val="3F7B8B4C"/>
    <w:rsid w:val="3F80F21D"/>
    <w:rsid w:val="3F843863"/>
    <w:rsid w:val="3F8966BF"/>
    <w:rsid w:val="3F8BA796"/>
    <w:rsid w:val="3F8BFACE"/>
    <w:rsid w:val="3F91F0F0"/>
    <w:rsid w:val="3F972E7E"/>
    <w:rsid w:val="3FA5EEFF"/>
    <w:rsid w:val="3FAF4AB0"/>
    <w:rsid w:val="3FB9C911"/>
    <w:rsid w:val="3FBB9948"/>
    <w:rsid w:val="3FDBB281"/>
    <w:rsid w:val="3FEA79DB"/>
    <w:rsid w:val="3FF13776"/>
    <w:rsid w:val="3FF62E8B"/>
    <w:rsid w:val="3FFEECAD"/>
    <w:rsid w:val="4002FB15"/>
    <w:rsid w:val="40103E35"/>
    <w:rsid w:val="40170830"/>
    <w:rsid w:val="401A972B"/>
    <w:rsid w:val="401A9F51"/>
    <w:rsid w:val="4021B675"/>
    <w:rsid w:val="4024111E"/>
    <w:rsid w:val="402E592A"/>
    <w:rsid w:val="4035EA13"/>
    <w:rsid w:val="40457F7B"/>
    <w:rsid w:val="404E9F34"/>
    <w:rsid w:val="405A6E98"/>
    <w:rsid w:val="406D1D68"/>
    <w:rsid w:val="40744FFA"/>
    <w:rsid w:val="4078695E"/>
    <w:rsid w:val="4078B703"/>
    <w:rsid w:val="408E3605"/>
    <w:rsid w:val="408EB2B8"/>
    <w:rsid w:val="409F2067"/>
    <w:rsid w:val="40A0AA39"/>
    <w:rsid w:val="40A39209"/>
    <w:rsid w:val="40AE3846"/>
    <w:rsid w:val="40B3B6CF"/>
    <w:rsid w:val="40B57EC7"/>
    <w:rsid w:val="40B6446F"/>
    <w:rsid w:val="40C1B156"/>
    <w:rsid w:val="40C6F12E"/>
    <w:rsid w:val="40C8DECC"/>
    <w:rsid w:val="40C9A8E2"/>
    <w:rsid w:val="40CE1E29"/>
    <w:rsid w:val="40D54267"/>
    <w:rsid w:val="40D982E6"/>
    <w:rsid w:val="40E02DAC"/>
    <w:rsid w:val="40E28799"/>
    <w:rsid w:val="40EE1C95"/>
    <w:rsid w:val="40EF768A"/>
    <w:rsid w:val="40F0BA8A"/>
    <w:rsid w:val="40F53BB4"/>
    <w:rsid w:val="40F770A0"/>
    <w:rsid w:val="410620A4"/>
    <w:rsid w:val="4110981C"/>
    <w:rsid w:val="411DC49B"/>
    <w:rsid w:val="411EAC01"/>
    <w:rsid w:val="411FBE21"/>
    <w:rsid w:val="41205E5C"/>
    <w:rsid w:val="412486ED"/>
    <w:rsid w:val="4126FC57"/>
    <w:rsid w:val="412777CA"/>
    <w:rsid w:val="412C3C0D"/>
    <w:rsid w:val="413CB2BE"/>
    <w:rsid w:val="4151A358"/>
    <w:rsid w:val="415EECDE"/>
    <w:rsid w:val="4162729E"/>
    <w:rsid w:val="416F6C9F"/>
    <w:rsid w:val="417E47F0"/>
    <w:rsid w:val="419C5FF3"/>
    <w:rsid w:val="419CEA38"/>
    <w:rsid w:val="41A1165E"/>
    <w:rsid w:val="41AC9B0B"/>
    <w:rsid w:val="41B31A4A"/>
    <w:rsid w:val="41C2746C"/>
    <w:rsid w:val="41D1525E"/>
    <w:rsid w:val="41D9B1BB"/>
    <w:rsid w:val="41DADA9B"/>
    <w:rsid w:val="41F16299"/>
    <w:rsid w:val="41F4C770"/>
    <w:rsid w:val="41F639A0"/>
    <w:rsid w:val="41F8D104"/>
    <w:rsid w:val="41F9E3B0"/>
    <w:rsid w:val="4200520C"/>
    <w:rsid w:val="420C5472"/>
    <w:rsid w:val="420CA24C"/>
    <w:rsid w:val="4214E504"/>
    <w:rsid w:val="421C1799"/>
    <w:rsid w:val="421E4FE0"/>
    <w:rsid w:val="4222C95F"/>
    <w:rsid w:val="4257CB2F"/>
    <w:rsid w:val="425CA102"/>
    <w:rsid w:val="425D520F"/>
    <w:rsid w:val="42861FB6"/>
    <w:rsid w:val="42894635"/>
    <w:rsid w:val="4293325D"/>
    <w:rsid w:val="42A52661"/>
    <w:rsid w:val="42A78CAE"/>
    <w:rsid w:val="42B432AB"/>
    <w:rsid w:val="42B9C70E"/>
    <w:rsid w:val="42BE4B28"/>
    <w:rsid w:val="42C0CA3E"/>
    <w:rsid w:val="42C16103"/>
    <w:rsid w:val="42C26D69"/>
    <w:rsid w:val="42D90B9F"/>
    <w:rsid w:val="42DEAFE5"/>
    <w:rsid w:val="42E04786"/>
    <w:rsid w:val="42F462C7"/>
    <w:rsid w:val="43099509"/>
    <w:rsid w:val="431350CD"/>
    <w:rsid w:val="4317FBA3"/>
    <w:rsid w:val="431B0889"/>
    <w:rsid w:val="4326BD5C"/>
    <w:rsid w:val="432B5702"/>
    <w:rsid w:val="4337414D"/>
    <w:rsid w:val="433BB3B2"/>
    <w:rsid w:val="43431AE5"/>
    <w:rsid w:val="43498879"/>
    <w:rsid w:val="434A44E7"/>
    <w:rsid w:val="435566E8"/>
    <w:rsid w:val="435A767F"/>
    <w:rsid w:val="435E1A81"/>
    <w:rsid w:val="436B70AA"/>
    <w:rsid w:val="437AB343"/>
    <w:rsid w:val="437DD73B"/>
    <w:rsid w:val="437E1C24"/>
    <w:rsid w:val="4392519A"/>
    <w:rsid w:val="439A81B2"/>
    <w:rsid w:val="439DE2EE"/>
    <w:rsid w:val="43A7644E"/>
    <w:rsid w:val="43A7A53A"/>
    <w:rsid w:val="43B5F192"/>
    <w:rsid w:val="43BD492B"/>
    <w:rsid w:val="43D48DB2"/>
    <w:rsid w:val="43D51B5A"/>
    <w:rsid w:val="43F9823A"/>
    <w:rsid w:val="43F98E39"/>
    <w:rsid w:val="43FAFF82"/>
    <w:rsid w:val="43FB2786"/>
    <w:rsid w:val="43FDE28B"/>
    <w:rsid w:val="4402B1C4"/>
    <w:rsid w:val="44067C60"/>
    <w:rsid w:val="4418A084"/>
    <w:rsid w:val="442DAC3B"/>
    <w:rsid w:val="443702BC"/>
    <w:rsid w:val="443D812F"/>
    <w:rsid w:val="4444DA32"/>
    <w:rsid w:val="44498B46"/>
    <w:rsid w:val="4450359B"/>
    <w:rsid w:val="446E2C31"/>
    <w:rsid w:val="44716C98"/>
    <w:rsid w:val="44727C6E"/>
    <w:rsid w:val="4472CB72"/>
    <w:rsid w:val="448025D2"/>
    <w:rsid w:val="4480BF0F"/>
    <w:rsid w:val="4486CC28"/>
    <w:rsid w:val="448AC43F"/>
    <w:rsid w:val="448CB444"/>
    <w:rsid w:val="4493344C"/>
    <w:rsid w:val="44957570"/>
    <w:rsid w:val="449B8344"/>
    <w:rsid w:val="44C06E65"/>
    <w:rsid w:val="44C9DDBA"/>
    <w:rsid w:val="44CB50E1"/>
    <w:rsid w:val="44D0B20C"/>
    <w:rsid w:val="44DAF66C"/>
    <w:rsid w:val="44DB73DC"/>
    <w:rsid w:val="44DC9957"/>
    <w:rsid w:val="44E58058"/>
    <w:rsid w:val="44E9386D"/>
    <w:rsid w:val="44EDFDAB"/>
    <w:rsid w:val="44F3B0A7"/>
    <w:rsid w:val="44F9C878"/>
    <w:rsid w:val="44F9DD0A"/>
    <w:rsid w:val="44FAD21E"/>
    <w:rsid w:val="4508EA5B"/>
    <w:rsid w:val="45157492"/>
    <w:rsid w:val="45283B6B"/>
    <w:rsid w:val="452C62D2"/>
    <w:rsid w:val="452E473C"/>
    <w:rsid w:val="45314F16"/>
    <w:rsid w:val="4539B18D"/>
    <w:rsid w:val="453F8804"/>
    <w:rsid w:val="4544D18C"/>
    <w:rsid w:val="4553420E"/>
    <w:rsid w:val="45566781"/>
    <w:rsid w:val="45576F5A"/>
    <w:rsid w:val="456DAE82"/>
    <w:rsid w:val="456E8EBD"/>
    <w:rsid w:val="457E714E"/>
    <w:rsid w:val="458256AC"/>
    <w:rsid w:val="458258C4"/>
    <w:rsid w:val="4589BE4B"/>
    <w:rsid w:val="458D501D"/>
    <w:rsid w:val="458F6934"/>
    <w:rsid w:val="459D3EFC"/>
    <w:rsid w:val="45B3E8C1"/>
    <w:rsid w:val="45BDF547"/>
    <w:rsid w:val="45C724C8"/>
    <w:rsid w:val="45CB9D65"/>
    <w:rsid w:val="45CEE89D"/>
    <w:rsid w:val="45D607DC"/>
    <w:rsid w:val="45DC4633"/>
    <w:rsid w:val="45E6C43B"/>
    <w:rsid w:val="45FBC186"/>
    <w:rsid w:val="460B1F25"/>
    <w:rsid w:val="4612BFE9"/>
    <w:rsid w:val="46165874"/>
    <w:rsid w:val="4619865B"/>
    <w:rsid w:val="4627B213"/>
    <w:rsid w:val="46372BD1"/>
    <w:rsid w:val="464658B4"/>
    <w:rsid w:val="4653A5D1"/>
    <w:rsid w:val="46543829"/>
    <w:rsid w:val="465E48D8"/>
    <w:rsid w:val="467B34EE"/>
    <w:rsid w:val="467E7150"/>
    <w:rsid w:val="46897163"/>
    <w:rsid w:val="4689F7B3"/>
    <w:rsid w:val="468BCFDD"/>
    <w:rsid w:val="468FF142"/>
    <w:rsid w:val="4699BA77"/>
    <w:rsid w:val="469E2C29"/>
    <w:rsid w:val="46A0DAE7"/>
    <w:rsid w:val="46AE798A"/>
    <w:rsid w:val="46C3F51B"/>
    <w:rsid w:val="46D132A7"/>
    <w:rsid w:val="46D28D35"/>
    <w:rsid w:val="46D2D97B"/>
    <w:rsid w:val="46D5A425"/>
    <w:rsid w:val="4703C00E"/>
    <w:rsid w:val="47249A52"/>
    <w:rsid w:val="4724F2E7"/>
    <w:rsid w:val="472A25F3"/>
    <w:rsid w:val="472FE148"/>
    <w:rsid w:val="4731DC94"/>
    <w:rsid w:val="473A075D"/>
    <w:rsid w:val="473EDC00"/>
    <w:rsid w:val="47512506"/>
    <w:rsid w:val="475214FB"/>
    <w:rsid w:val="47595101"/>
    <w:rsid w:val="4764CACC"/>
    <w:rsid w:val="47684D73"/>
    <w:rsid w:val="476C9A6E"/>
    <w:rsid w:val="4779081B"/>
    <w:rsid w:val="4786413E"/>
    <w:rsid w:val="47977CEA"/>
    <w:rsid w:val="479ACDE2"/>
    <w:rsid w:val="47B2B222"/>
    <w:rsid w:val="47C2880D"/>
    <w:rsid w:val="47C47087"/>
    <w:rsid w:val="47D31C03"/>
    <w:rsid w:val="47D5E0A7"/>
    <w:rsid w:val="47DA817A"/>
    <w:rsid w:val="47E17596"/>
    <w:rsid w:val="47E43F00"/>
    <w:rsid w:val="47E7896A"/>
    <w:rsid w:val="47EF3B7D"/>
    <w:rsid w:val="47F1C70C"/>
    <w:rsid w:val="47F5C204"/>
    <w:rsid w:val="4802D247"/>
    <w:rsid w:val="48098C20"/>
    <w:rsid w:val="480A79EA"/>
    <w:rsid w:val="481028F3"/>
    <w:rsid w:val="4812BD02"/>
    <w:rsid w:val="481EAEA0"/>
    <w:rsid w:val="48275ED2"/>
    <w:rsid w:val="48290312"/>
    <w:rsid w:val="4834033E"/>
    <w:rsid w:val="48589ADF"/>
    <w:rsid w:val="48625B6C"/>
    <w:rsid w:val="486AD5DD"/>
    <w:rsid w:val="4879DF64"/>
    <w:rsid w:val="48820DDE"/>
    <w:rsid w:val="48831481"/>
    <w:rsid w:val="48837694"/>
    <w:rsid w:val="48870972"/>
    <w:rsid w:val="4889BA44"/>
    <w:rsid w:val="488F47A5"/>
    <w:rsid w:val="48A9445F"/>
    <w:rsid w:val="48DB69FE"/>
    <w:rsid w:val="48EC36A2"/>
    <w:rsid w:val="490280AF"/>
    <w:rsid w:val="490B5116"/>
    <w:rsid w:val="4916A4D5"/>
    <w:rsid w:val="491A1C2E"/>
    <w:rsid w:val="49278A44"/>
    <w:rsid w:val="492A581B"/>
    <w:rsid w:val="492DD29A"/>
    <w:rsid w:val="493A2C8B"/>
    <w:rsid w:val="494184B9"/>
    <w:rsid w:val="4959AE92"/>
    <w:rsid w:val="495AB952"/>
    <w:rsid w:val="49617FDF"/>
    <w:rsid w:val="496507C3"/>
    <w:rsid w:val="497E686C"/>
    <w:rsid w:val="4980D136"/>
    <w:rsid w:val="49847B6C"/>
    <w:rsid w:val="49891028"/>
    <w:rsid w:val="49AFAE82"/>
    <w:rsid w:val="49B4FDCD"/>
    <w:rsid w:val="49B704FD"/>
    <w:rsid w:val="49BC9490"/>
    <w:rsid w:val="49C67A48"/>
    <w:rsid w:val="49E01273"/>
    <w:rsid w:val="49E04A27"/>
    <w:rsid w:val="49E20809"/>
    <w:rsid w:val="49E26B2A"/>
    <w:rsid w:val="49E3ECC4"/>
    <w:rsid w:val="49FE4A30"/>
    <w:rsid w:val="4A01046A"/>
    <w:rsid w:val="4A07A02E"/>
    <w:rsid w:val="4A0961EF"/>
    <w:rsid w:val="4A0A5EDC"/>
    <w:rsid w:val="4A137248"/>
    <w:rsid w:val="4A16B04B"/>
    <w:rsid w:val="4A1D8083"/>
    <w:rsid w:val="4A1DCE62"/>
    <w:rsid w:val="4A20CBA3"/>
    <w:rsid w:val="4A284B9E"/>
    <w:rsid w:val="4A3A3CB8"/>
    <w:rsid w:val="4A3C4866"/>
    <w:rsid w:val="4A45D2E0"/>
    <w:rsid w:val="4A46A86D"/>
    <w:rsid w:val="4A489BF7"/>
    <w:rsid w:val="4A48BD94"/>
    <w:rsid w:val="4A53EC94"/>
    <w:rsid w:val="4A6FD9FA"/>
    <w:rsid w:val="4A853B22"/>
    <w:rsid w:val="4A86FE20"/>
    <w:rsid w:val="4A8C2C66"/>
    <w:rsid w:val="4A9B3E82"/>
    <w:rsid w:val="4AA6AD5E"/>
    <w:rsid w:val="4AB3A8CD"/>
    <w:rsid w:val="4AB52AFE"/>
    <w:rsid w:val="4AB7E044"/>
    <w:rsid w:val="4AC9A120"/>
    <w:rsid w:val="4AD78509"/>
    <w:rsid w:val="4AE4B7A8"/>
    <w:rsid w:val="4AE64A2F"/>
    <w:rsid w:val="4AE7796F"/>
    <w:rsid w:val="4AEEC3F6"/>
    <w:rsid w:val="4AF0AD66"/>
    <w:rsid w:val="4AF7AA02"/>
    <w:rsid w:val="4B0C3075"/>
    <w:rsid w:val="4B116D0F"/>
    <w:rsid w:val="4B1577D3"/>
    <w:rsid w:val="4B1EB1FE"/>
    <w:rsid w:val="4B3A0CD8"/>
    <w:rsid w:val="4B519B45"/>
    <w:rsid w:val="4B5944BD"/>
    <w:rsid w:val="4B6388D7"/>
    <w:rsid w:val="4B756843"/>
    <w:rsid w:val="4B756C3F"/>
    <w:rsid w:val="4B7E83EB"/>
    <w:rsid w:val="4B858A60"/>
    <w:rsid w:val="4B877FFD"/>
    <w:rsid w:val="4B9041C8"/>
    <w:rsid w:val="4B94242A"/>
    <w:rsid w:val="4B978503"/>
    <w:rsid w:val="4B9A2EFA"/>
    <w:rsid w:val="4BAAF3A2"/>
    <w:rsid w:val="4BB6943B"/>
    <w:rsid w:val="4BBB691E"/>
    <w:rsid w:val="4BC1FA0C"/>
    <w:rsid w:val="4BD2F53B"/>
    <w:rsid w:val="4BE19183"/>
    <w:rsid w:val="4BE4008C"/>
    <w:rsid w:val="4BEC8F3B"/>
    <w:rsid w:val="4BEFDDDE"/>
    <w:rsid w:val="4BFB77A3"/>
    <w:rsid w:val="4C009550"/>
    <w:rsid w:val="4C04317F"/>
    <w:rsid w:val="4C06D93E"/>
    <w:rsid w:val="4C0A3DAA"/>
    <w:rsid w:val="4C11286B"/>
    <w:rsid w:val="4C2A6444"/>
    <w:rsid w:val="4C2F8D6B"/>
    <w:rsid w:val="4C360B13"/>
    <w:rsid w:val="4C3B6D45"/>
    <w:rsid w:val="4C4CBC6F"/>
    <w:rsid w:val="4C4CDB8A"/>
    <w:rsid w:val="4C4EE916"/>
    <w:rsid w:val="4C505C2A"/>
    <w:rsid w:val="4C53E68C"/>
    <w:rsid w:val="4C585BFF"/>
    <w:rsid w:val="4C65FC25"/>
    <w:rsid w:val="4C7A8A74"/>
    <w:rsid w:val="4C860F5B"/>
    <w:rsid w:val="4C931923"/>
    <w:rsid w:val="4C9824C2"/>
    <w:rsid w:val="4C9AB40E"/>
    <w:rsid w:val="4CA28B90"/>
    <w:rsid w:val="4CA5023A"/>
    <w:rsid w:val="4CA783C1"/>
    <w:rsid w:val="4CB40E28"/>
    <w:rsid w:val="4CB84DC0"/>
    <w:rsid w:val="4CBA4738"/>
    <w:rsid w:val="4CBD134E"/>
    <w:rsid w:val="4CC24378"/>
    <w:rsid w:val="4CD9BF2D"/>
    <w:rsid w:val="4CDA4509"/>
    <w:rsid w:val="4CDEFB4A"/>
    <w:rsid w:val="4CE0C116"/>
    <w:rsid w:val="4CE8576A"/>
    <w:rsid w:val="4CEA9D78"/>
    <w:rsid w:val="4D053E00"/>
    <w:rsid w:val="4D2392C6"/>
    <w:rsid w:val="4D2AD2AA"/>
    <w:rsid w:val="4D2FC209"/>
    <w:rsid w:val="4D33E992"/>
    <w:rsid w:val="4D359E64"/>
    <w:rsid w:val="4D3C9456"/>
    <w:rsid w:val="4D78FDF2"/>
    <w:rsid w:val="4D82445E"/>
    <w:rsid w:val="4D8B6628"/>
    <w:rsid w:val="4D90C944"/>
    <w:rsid w:val="4D9D1150"/>
    <w:rsid w:val="4D9E4E0D"/>
    <w:rsid w:val="4DC12300"/>
    <w:rsid w:val="4DD08902"/>
    <w:rsid w:val="4DD0FB0A"/>
    <w:rsid w:val="4DD2D92A"/>
    <w:rsid w:val="4DD650C5"/>
    <w:rsid w:val="4DDABB1D"/>
    <w:rsid w:val="4DDDEF2A"/>
    <w:rsid w:val="4DDF6C40"/>
    <w:rsid w:val="4DED97E2"/>
    <w:rsid w:val="4DF3AD76"/>
    <w:rsid w:val="4E03B1B2"/>
    <w:rsid w:val="4E0C690F"/>
    <w:rsid w:val="4E245B20"/>
    <w:rsid w:val="4E2A1960"/>
    <w:rsid w:val="4E3316A0"/>
    <w:rsid w:val="4E44DD61"/>
    <w:rsid w:val="4E50C453"/>
    <w:rsid w:val="4E595CB8"/>
    <w:rsid w:val="4E6AD2E4"/>
    <w:rsid w:val="4E6EBE7D"/>
    <w:rsid w:val="4E71FE07"/>
    <w:rsid w:val="4E7973F6"/>
    <w:rsid w:val="4E7BED6A"/>
    <w:rsid w:val="4E7D8964"/>
    <w:rsid w:val="4E84E67A"/>
    <w:rsid w:val="4E8517CA"/>
    <w:rsid w:val="4E86066C"/>
    <w:rsid w:val="4E867244"/>
    <w:rsid w:val="4EC700C4"/>
    <w:rsid w:val="4EC91F23"/>
    <w:rsid w:val="4ED241B0"/>
    <w:rsid w:val="4ED301E4"/>
    <w:rsid w:val="4ED90239"/>
    <w:rsid w:val="4EDA2ADB"/>
    <w:rsid w:val="4EE1594C"/>
    <w:rsid w:val="4EE48E59"/>
    <w:rsid w:val="4EE67118"/>
    <w:rsid w:val="4EE6A6E1"/>
    <w:rsid w:val="4EF209A3"/>
    <w:rsid w:val="4EF76F7C"/>
    <w:rsid w:val="4F05875E"/>
    <w:rsid w:val="4F0D621D"/>
    <w:rsid w:val="4F0DD4FB"/>
    <w:rsid w:val="4F13BB17"/>
    <w:rsid w:val="4F16F014"/>
    <w:rsid w:val="4F204161"/>
    <w:rsid w:val="4F2897AB"/>
    <w:rsid w:val="4F2989E4"/>
    <w:rsid w:val="4F2DFC0A"/>
    <w:rsid w:val="4F340E76"/>
    <w:rsid w:val="4F43B2A5"/>
    <w:rsid w:val="4F54E046"/>
    <w:rsid w:val="4F56218D"/>
    <w:rsid w:val="4F5882DD"/>
    <w:rsid w:val="4F629C7E"/>
    <w:rsid w:val="4F793244"/>
    <w:rsid w:val="4F8DA681"/>
    <w:rsid w:val="4F901996"/>
    <w:rsid w:val="4F9B597E"/>
    <w:rsid w:val="4FA4EAC1"/>
    <w:rsid w:val="4FA54C9A"/>
    <w:rsid w:val="4FAD07D8"/>
    <w:rsid w:val="4FB65B91"/>
    <w:rsid w:val="4FC13AFC"/>
    <w:rsid w:val="4FC9A5A4"/>
    <w:rsid w:val="4FDB6854"/>
    <w:rsid w:val="4FE0B119"/>
    <w:rsid w:val="4FEAE91C"/>
    <w:rsid w:val="4FF5DC9B"/>
    <w:rsid w:val="500254DD"/>
    <w:rsid w:val="500A56DA"/>
    <w:rsid w:val="500A89C7"/>
    <w:rsid w:val="500C2F61"/>
    <w:rsid w:val="50170FD2"/>
    <w:rsid w:val="5020B7EA"/>
    <w:rsid w:val="5030463B"/>
    <w:rsid w:val="50357BD0"/>
    <w:rsid w:val="503DE3ED"/>
    <w:rsid w:val="504D85CF"/>
    <w:rsid w:val="50510DD6"/>
    <w:rsid w:val="5066CD0C"/>
    <w:rsid w:val="506ADF42"/>
    <w:rsid w:val="506DAD97"/>
    <w:rsid w:val="507606E0"/>
    <w:rsid w:val="508D9DD6"/>
    <w:rsid w:val="508F1377"/>
    <w:rsid w:val="5090459F"/>
    <w:rsid w:val="5092847E"/>
    <w:rsid w:val="50993299"/>
    <w:rsid w:val="50B975F0"/>
    <w:rsid w:val="50D39017"/>
    <w:rsid w:val="50DF9CB4"/>
    <w:rsid w:val="50EE48B2"/>
    <w:rsid w:val="51036E5A"/>
    <w:rsid w:val="51099C2E"/>
    <w:rsid w:val="510A4426"/>
    <w:rsid w:val="510C7D8D"/>
    <w:rsid w:val="511CA931"/>
    <w:rsid w:val="512361BC"/>
    <w:rsid w:val="512DA271"/>
    <w:rsid w:val="5133057D"/>
    <w:rsid w:val="5136DC38"/>
    <w:rsid w:val="513BE9AF"/>
    <w:rsid w:val="513FE13D"/>
    <w:rsid w:val="51405BA6"/>
    <w:rsid w:val="51548702"/>
    <w:rsid w:val="515C95F9"/>
    <w:rsid w:val="515D805A"/>
    <w:rsid w:val="51702CA3"/>
    <w:rsid w:val="517EFEF8"/>
    <w:rsid w:val="51821821"/>
    <w:rsid w:val="51854DFB"/>
    <w:rsid w:val="51863969"/>
    <w:rsid w:val="51996CDA"/>
    <w:rsid w:val="51CE2346"/>
    <w:rsid w:val="51E27BCF"/>
    <w:rsid w:val="51E38160"/>
    <w:rsid w:val="51EDB3B2"/>
    <w:rsid w:val="51F0E5D4"/>
    <w:rsid w:val="51F55974"/>
    <w:rsid w:val="5210333E"/>
    <w:rsid w:val="521DB058"/>
    <w:rsid w:val="52300C79"/>
    <w:rsid w:val="5237D557"/>
    <w:rsid w:val="523A2063"/>
    <w:rsid w:val="5251936B"/>
    <w:rsid w:val="5253B18D"/>
    <w:rsid w:val="52570CB9"/>
    <w:rsid w:val="525C1EC2"/>
    <w:rsid w:val="5273AEA6"/>
    <w:rsid w:val="527B0683"/>
    <w:rsid w:val="5282C4F6"/>
    <w:rsid w:val="528E3CFC"/>
    <w:rsid w:val="5292B27B"/>
    <w:rsid w:val="5296C7C3"/>
    <w:rsid w:val="5296DB63"/>
    <w:rsid w:val="5296E734"/>
    <w:rsid w:val="5296EF28"/>
    <w:rsid w:val="52B884C9"/>
    <w:rsid w:val="52BE6BCB"/>
    <w:rsid w:val="52C78C9E"/>
    <w:rsid w:val="52D9813E"/>
    <w:rsid w:val="52E04A56"/>
    <w:rsid w:val="52EF6F3A"/>
    <w:rsid w:val="5300C3A9"/>
    <w:rsid w:val="530B3985"/>
    <w:rsid w:val="53101234"/>
    <w:rsid w:val="5319ED55"/>
    <w:rsid w:val="531B9E45"/>
    <w:rsid w:val="531F4478"/>
    <w:rsid w:val="5329B905"/>
    <w:rsid w:val="532C8043"/>
    <w:rsid w:val="533C88D7"/>
    <w:rsid w:val="534390FD"/>
    <w:rsid w:val="53490200"/>
    <w:rsid w:val="53514546"/>
    <w:rsid w:val="5357D784"/>
    <w:rsid w:val="535FD7B4"/>
    <w:rsid w:val="53653489"/>
    <w:rsid w:val="53724F4B"/>
    <w:rsid w:val="5379E6AD"/>
    <w:rsid w:val="53917D56"/>
    <w:rsid w:val="53AA3DC6"/>
    <w:rsid w:val="53CC7003"/>
    <w:rsid w:val="53D27B2B"/>
    <w:rsid w:val="53D4609E"/>
    <w:rsid w:val="53D71ADF"/>
    <w:rsid w:val="53DD72BA"/>
    <w:rsid w:val="53E08FF9"/>
    <w:rsid w:val="5401D2C9"/>
    <w:rsid w:val="5409316B"/>
    <w:rsid w:val="5409681E"/>
    <w:rsid w:val="541229EF"/>
    <w:rsid w:val="54167EED"/>
    <w:rsid w:val="54201CE5"/>
    <w:rsid w:val="542089D7"/>
    <w:rsid w:val="54240903"/>
    <w:rsid w:val="542B2C1E"/>
    <w:rsid w:val="543E54B4"/>
    <w:rsid w:val="5449D563"/>
    <w:rsid w:val="544A3C3B"/>
    <w:rsid w:val="544F795C"/>
    <w:rsid w:val="545A6352"/>
    <w:rsid w:val="5487D7FA"/>
    <w:rsid w:val="54909F2F"/>
    <w:rsid w:val="54974372"/>
    <w:rsid w:val="549EB7B9"/>
    <w:rsid w:val="54A97013"/>
    <w:rsid w:val="54B3D1FC"/>
    <w:rsid w:val="54CCE5D6"/>
    <w:rsid w:val="54D04DBF"/>
    <w:rsid w:val="54D6F9E6"/>
    <w:rsid w:val="54DD14E6"/>
    <w:rsid w:val="54E20638"/>
    <w:rsid w:val="54EBEE41"/>
    <w:rsid w:val="54FA24C2"/>
    <w:rsid w:val="54FD57A1"/>
    <w:rsid w:val="550276CC"/>
    <w:rsid w:val="551539E6"/>
    <w:rsid w:val="551EBFD3"/>
    <w:rsid w:val="552DF940"/>
    <w:rsid w:val="5544276C"/>
    <w:rsid w:val="555667B0"/>
    <w:rsid w:val="556040EC"/>
    <w:rsid w:val="55610081"/>
    <w:rsid w:val="556FEE71"/>
    <w:rsid w:val="55709D71"/>
    <w:rsid w:val="557C4D17"/>
    <w:rsid w:val="558D637D"/>
    <w:rsid w:val="55A15644"/>
    <w:rsid w:val="55A3698F"/>
    <w:rsid w:val="55C73948"/>
    <w:rsid w:val="55D1F371"/>
    <w:rsid w:val="55E305C4"/>
    <w:rsid w:val="55EB6FDF"/>
    <w:rsid w:val="55F1E9BE"/>
    <w:rsid w:val="56044799"/>
    <w:rsid w:val="5614524D"/>
    <w:rsid w:val="5614ADD5"/>
    <w:rsid w:val="561E4425"/>
    <w:rsid w:val="562A6215"/>
    <w:rsid w:val="562D6E61"/>
    <w:rsid w:val="563CE70D"/>
    <w:rsid w:val="5640C819"/>
    <w:rsid w:val="56493DBA"/>
    <w:rsid w:val="564EA32D"/>
    <w:rsid w:val="565B907A"/>
    <w:rsid w:val="56642729"/>
    <w:rsid w:val="5667BFCD"/>
    <w:rsid w:val="566AF782"/>
    <w:rsid w:val="5673AA3F"/>
    <w:rsid w:val="56A18C1D"/>
    <w:rsid w:val="56A64F94"/>
    <w:rsid w:val="56ADB765"/>
    <w:rsid w:val="56AE0157"/>
    <w:rsid w:val="56B4C434"/>
    <w:rsid w:val="56B7010E"/>
    <w:rsid w:val="56BA001C"/>
    <w:rsid w:val="56BF2FBB"/>
    <w:rsid w:val="56C92D50"/>
    <w:rsid w:val="56CE87F7"/>
    <w:rsid w:val="56DF7182"/>
    <w:rsid w:val="56F5C242"/>
    <w:rsid w:val="570296AC"/>
    <w:rsid w:val="570FD848"/>
    <w:rsid w:val="5711802F"/>
    <w:rsid w:val="5714E3D4"/>
    <w:rsid w:val="57226273"/>
    <w:rsid w:val="573B2C3C"/>
    <w:rsid w:val="574009A8"/>
    <w:rsid w:val="5740BF6C"/>
    <w:rsid w:val="575E103F"/>
    <w:rsid w:val="57690691"/>
    <w:rsid w:val="577A2D98"/>
    <w:rsid w:val="5781A815"/>
    <w:rsid w:val="5784A6CA"/>
    <w:rsid w:val="57938B58"/>
    <w:rsid w:val="57A0E6A6"/>
    <w:rsid w:val="57A3A811"/>
    <w:rsid w:val="57B516B1"/>
    <w:rsid w:val="57B5E331"/>
    <w:rsid w:val="57BCE453"/>
    <w:rsid w:val="57BFEFF1"/>
    <w:rsid w:val="57C191CF"/>
    <w:rsid w:val="57C864A2"/>
    <w:rsid w:val="57CDACF4"/>
    <w:rsid w:val="57D08C4E"/>
    <w:rsid w:val="57D6F412"/>
    <w:rsid w:val="57E16465"/>
    <w:rsid w:val="57E75C99"/>
    <w:rsid w:val="57E8D9BC"/>
    <w:rsid w:val="580D3BC1"/>
    <w:rsid w:val="582F7EF5"/>
    <w:rsid w:val="582FBC70"/>
    <w:rsid w:val="58469CB2"/>
    <w:rsid w:val="5847CB5C"/>
    <w:rsid w:val="584C3DF4"/>
    <w:rsid w:val="5863ACF2"/>
    <w:rsid w:val="586D6418"/>
    <w:rsid w:val="586E066B"/>
    <w:rsid w:val="58702A62"/>
    <w:rsid w:val="588E225E"/>
    <w:rsid w:val="589C76C4"/>
    <w:rsid w:val="58A4E06E"/>
    <w:rsid w:val="58BD3FD6"/>
    <w:rsid w:val="58C819CE"/>
    <w:rsid w:val="58CE1596"/>
    <w:rsid w:val="58CECCAA"/>
    <w:rsid w:val="58D419E5"/>
    <w:rsid w:val="58D92E13"/>
    <w:rsid w:val="58E5673A"/>
    <w:rsid w:val="58F990EF"/>
    <w:rsid w:val="5904918C"/>
    <w:rsid w:val="5909C172"/>
    <w:rsid w:val="590C62E1"/>
    <w:rsid w:val="59152694"/>
    <w:rsid w:val="591EC279"/>
    <w:rsid w:val="5924C42A"/>
    <w:rsid w:val="592782D6"/>
    <w:rsid w:val="5929E0B6"/>
    <w:rsid w:val="592A490D"/>
    <w:rsid w:val="59386032"/>
    <w:rsid w:val="594A882F"/>
    <w:rsid w:val="594ECEA4"/>
    <w:rsid w:val="5951B392"/>
    <w:rsid w:val="595E1232"/>
    <w:rsid w:val="595EFC2C"/>
    <w:rsid w:val="597E688D"/>
    <w:rsid w:val="59808809"/>
    <w:rsid w:val="5988F359"/>
    <w:rsid w:val="599482C9"/>
    <w:rsid w:val="59993958"/>
    <w:rsid w:val="59A33B50"/>
    <w:rsid w:val="59B81A71"/>
    <w:rsid w:val="59BA80DA"/>
    <w:rsid w:val="59C1FDBB"/>
    <w:rsid w:val="59E194F7"/>
    <w:rsid w:val="59E31A88"/>
    <w:rsid w:val="59E4D860"/>
    <w:rsid w:val="59F38876"/>
    <w:rsid w:val="59FAA3A3"/>
    <w:rsid w:val="5A00558E"/>
    <w:rsid w:val="5A05D10D"/>
    <w:rsid w:val="5A0D9832"/>
    <w:rsid w:val="5A103643"/>
    <w:rsid w:val="5A284BBA"/>
    <w:rsid w:val="5A2D21F2"/>
    <w:rsid w:val="5A312A85"/>
    <w:rsid w:val="5A32ACE7"/>
    <w:rsid w:val="5A34EE4B"/>
    <w:rsid w:val="5A394C20"/>
    <w:rsid w:val="5A5EEAC0"/>
    <w:rsid w:val="5A60A00D"/>
    <w:rsid w:val="5A6A125A"/>
    <w:rsid w:val="5A7573F8"/>
    <w:rsid w:val="5A75B688"/>
    <w:rsid w:val="5A7722B3"/>
    <w:rsid w:val="5A7D3C6F"/>
    <w:rsid w:val="5A87D029"/>
    <w:rsid w:val="5AAA2C45"/>
    <w:rsid w:val="5AAB8312"/>
    <w:rsid w:val="5ABDDD82"/>
    <w:rsid w:val="5AC8E3A9"/>
    <w:rsid w:val="5AD8A75F"/>
    <w:rsid w:val="5AF34289"/>
    <w:rsid w:val="5AFA2111"/>
    <w:rsid w:val="5B0B722B"/>
    <w:rsid w:val="5B164B6A"/>
    <w:rsid w:val="5B40965A"/>
    <w:rsid w:val="5B5132A0"/>
    <w:rsid w:val="5B6C6855"/>
    <w:rsid w:val="5B74F2EB"/>
    <w:rsid w:val="5B778BD9"/>
    <w:rsid w:val="5B7D2FD8"/>
    <w:rsid w:val="5B828B8A"/>
    <w:rsid w:val="5B839738"/>
    <w:rsid w:val="5B8537A5"/>
    <w:rsid w:val="5B97355B"/>
    <w:rsid w:val="5BB44209"/>
    <w:rsid w:val="5BBAA300"/>
    <w:rsid w:val="5BBF9B07"/>
    <w:rsid w:val="5BC14E30"/>
    <w:rsid w:val="5BD14581"/>
    <w:rsid w:val="5BE4AD9D"/>
    <w:rsid w:val="5BE6D4CB"/>
    <w:rsid w:val="5BF610E9"/>
    <w:rsid w:val="5BFBF6C1"/>
    <w:rsid w:val="5C0ADF32"/>
    <w:rsid w:val="5C0DB767"/>
    <w:rsid w:val="5C194672"/>
    <w:rsid w:val="5C26A6BF"/>
    <w:rsid w:val="5C364940"/>
    <w:rsid w:val="5C3B3F7B"/>
    <w:rsid w:val="5C3EA818"/>
    <w:rsid w:val="5C3FA895"/>
    <w:rsid w:val="5C4454DA"/>
    <w:rsid w:val="5C519F9A"/>
    <w:rsid w:val="5C637E13"/>
    <w:rsid w:val="5C63A9C6"/>
    <w:rsid w:val="5C648ED7"/>
    <w:rsid w:val="5C74CB27"/>
    <w:rsid w:val="5C7E716A"/>
    <w:rsid w:val="5C85BC26"/>
    <w:rsid w:val="5C881A5F"/>
    <w:rsid w:val="5C901259"/>
    <w:rsid w:val="5C923B79"/>
    <w:rsid w:val="5C981504"/>
    <w:rsid w:val="5C9EAA28"/>
    <w:rsid w:val="5CACF0CF"/>
    <w:rsid w:val="5CB86740"/>
    <w:rsid w:val="5CB92408"/>
    <w:rsid w:val="5CBC2AF1"/>
    <w:rsid w:val="5CC29E80"/>
    <w:rsid w:val="5CC752B1"/>
    <w:rsid w:val="5CD5749C"/>
    <w:rsid w:val="5CD8DC8F"/>
    <w:rsid w:val="5CE4AC65"/>
    <w:rsid w:val="5CE588F0"/>
    <w:rsid w:val="5CEC11B0"/>
    <w:rsid w:val="5CF74BF0"/>
    <w:rsid w:val="5CFEFB52"/>
    <w:rsid w:val="5D031407"/>
    <w:rsid w:val="5D03CCE2"/>
    <w:rsid w:val="5D0C8EBE"/>
    <w:rsid w:val="5D0CDD25"/>
    <w:rsid w:val="5D11242D"/>
    <w:rsid w:val="5D1B785F"/>
    <w:rsid w:val="5D219723"/>
    <w:rsid w:val="5D2FCECD"/>
    <w:rsid w:val="5D31EF66"/>
    <w:rsid w:val="5D3F1BBB"/>
    <w:rsid w:val="5D50E24D"/>
    <w:rsid w:val="5D52D033"/>
    <w:rsid w:val="5D7A1C16"/>
    <w:rsid w:val="5D817B27"/>
    <w:rsid w:val="5D8428FC"/>
    <w:rsid w:val="5D886E5E"/>
    <w:rsid w:val="5D943CCC"/>
    <w:rsid w:val="5D9D650D"/>
    <w:rsid w:val="5DB9F205"/>
    <w:rsid w:val="5DBC0AEF"/>
    <w:rsid w:val="5DCB8A1C"/>
    <w:rsid w:val="5DD5E202"/>
    <w:rsid w:val="5DDF3ED4"/>
    <w:rsid w:val="5DE16440"/>
    <w:rsid w:val="5DE48F8E"/>
    <w:rsid w:val="5DE49ED5"/>
    <w:rsid w:val="5DEDF888"/>
    <w:rsid w:val="5DEF9679"/>
    <w:rsid w:val="5DF84379"/>
    <w:rsid w:val="5DF9080A"/>
    <w:rsid w:val="5DFAA848"/>
    <w:rsid w:val="5E08F699"/>
    <w:rsid w:val="5E1EC0DA"/>
    <w:rsid w:val="5E21D081"/>
    <w:rsid w:val="5E261B3C"/>
    <w:rsid w:val="5E2C7456"/>
    <w:rsid w:val="5E2F8B84"/>
    <w:rsid w:val="5E3A3837"/>
    <w:rsid w:val="5E3BE641"/>
    <w:rsid w:val="5E4828AE"/>
    <w:rsid w:val="5E5703B4"/>
    <w:rsid w:val="5E58640A"/>
    <w:rsid w:val="5E61A166"/>
    <w:rsid w:val="5E6CD425"/>
    <w:rsid w:val="5E6EB5D6"/>
    <w:rsid w:val="5E71D90D"/>
    <w:rsid w:val="5E724703"/>
    <w:rsid w:val="5E82A015"/>
    <w:rsid w:val="5E9D74BB"/>
    <w:rsid w:val="5EA252F5"/>
    <w:rsid w:val="5EA8142A"/>
    <w:rsid w:val="5EAA0848"/>
    <w:rsid w:val="5EACECC8"/>
    <w:rsid w:val="5EB94E38"/>
    <w:rsid w:val="5EBA8B0F"/>
    <w:rsid w:val="5EBD049A"/>
    <w:rsid w:val="5EBEC282"/>
    <w:rsid w:val="5ECE335A"/>
    <w:rsid w:val="5ED3F40B"/>
    <w:rsid w:val="5EEEA4C2"/>
    <w:rsid w:val="5EF4FBC2"/>
    <w:rsid w:val="5EF61794"/>
    <w:rsid w:val="5EF86CC0"/>
    <w:rsid w:val="5F025FA7"/>
    <w:rsid w:val="5F0B26DB"/>
    <w:rsid w:val="5F1AC474"/>
    <w:rsid w:val="5F2B8199"/>
    <w:rsid w:val="5F3BB323"/>
    <w:rsid w:val="5F41F155"/>
    <w:rsid w:val="5F45E827"/>
    <w:rsid w:val="5F48FB56"/>
    <w:rsid w:val="5F685083"/>
    <w:rsid w:val="5F767235"/>
    <w:rsid w:val="5F8902F3"/>
    <w:rsid w:val="5F958305"/>
    <w:rsid w:val="5FA2573C"/>
    <w:rsid w:val="5FB082C7"/>
    <w:rsid w:val="5FB4B73D"/>
    <w:rsid w:val="5FBE5D3A"/>
    <w:rsid w:val="5FCE69ED"/>
    <w:rsid w:val="5FE85265"/>
    <w:rsid w:val="601224D6"/>
    <w:rsid w:val="6015C196"/>
    <w:rsid w:val="601B7FCC"/>
    <w:rsid w:val="602014F8"/>
    <w:rsid w:val="6024B2FC"/>
    <w:rsid w:val="60278955"/>
    <w:rsid w:val="60341136"/>
    <w:rsid w:val="60341FD2"/>
    <w:rsid w:val="603603BC"/>
    <w:rsid w:val="60452BB7"/>
    <w:rsid w:val="605DBB3F"/>
    <w:rsid w:val="6062F716"/>
    <w:rsid w:val="6070EC87"/>
    <w:rsid w:val="6087D2CB"/>
    <w:rsid w:val="60907211"/>
    <w:rsid w:val="60A04D05"/>
    <w:rsid w:val="60A07A45"/>
    <w:rsid w:val="60AE22A6"/>
    <w:rsid w:val="60B24F38"/>
    <w:rsid w:val="60BD8B6D"/>
    <w:rsid w:val="60C84B8E"/>
    <w:rsid w:val="60D010F1"/>
    <w:rsid w:val="60E372BF"/>
    <w:rsid w:val="60E70702"/>
    <w:rsid w:val="610894B4"/>
    <w:rsid w:val="61093A1E"/>
    <w:rsid w:val="61190198"/>
    <w:rsid w:val="6122296C"/>
    <w:rsid w:val="6123BAD2"/>
    <w:rsid w:val="613277D2"/>
    <w:rsid w:val="61333AFE"/>
    <w:rsid w:val="6135C062"/>
    <w:rsid w:val="613C6598"/>
    <w:rsid w:val="61404400"/>
    <w:rsid w:val="61495338"/>
    <w:rsid w:val="614CCFA5"/>
    <w:rsid w:val="614F4D0A"/>
    <w:rsid w:val="615816CB"/>
    <w:rsid w:val="615CED17"/>
    <w:rsid w:val="616BE5E5"/>
    <w:rsid w:val="6174B5DA"/>
    <w:rsid w:val="617725A3"/>
    <w:rsid w:val="617BAA27"/>
    <w:rsid w:val="618272F2"/>
    <w:rsid w:val="6182C175"/>
    <w:rsid w:val="618B024C"/>
    <w:rsid w:val="61900FA6"/>
    <w:rsid w:val="6191F098"/>
    <w:rsid w:val="619D9245"/>
    <w:rsid w:val="61A797EA"/>
    <w:rsid w:val="61AB17E4"/>
    <w:rsid w:val="61B06005"/>
    <w:rsid w:val="61BC1E62"/>
    <w:rsid w:val="61C4B0C0"/>
    <w:rsid w:val="61CA17C0"/>
    <w:rsid w:val="61CD1489"/>
    <w:rsid w:val="61D491A3"/>
    <w:rsid w:val="61D7C89A"/>
    <w:rsid w:val="61E0B2EF"/>
    <w:rsid w:val="61E172C3"/>
    <w:rsid w:val="61E2466A"/>
    <w:rsid w:val="61E6D374"/>
    <w:rsid w:val="61EB302B"/>
    <w:rsid w:val="61F06569"/>
    <w:rsid w:val="61F30EB6"/>
    <w:rsid w:val="61F6FD99"/>
    <w:rsid w:val="6202489E"/>
    <w:rsid w:val="620FE5D8"/>
    <w:rsid w:val="6217850C"/>
    <w:rsid w:val="621A8EE1"/>
    <w:rsid w:val="6226F574"/>
    <w:rsid w:val="622F9390"/>
    <w:rsid w:val="62368401"/>
    <w:rsid w:val="6236A531"/>
    <w:rsid w:val="62414678"/>
    <w:rsid w:val="62487DF6"/>
    <w:rsid w:val="624A33EA"/>
    <w:rsid w:val="624FD743"/>
    <w:rsid w:val="625C9117"/>
    <w:rsid w:val="625E7D48"/>
    <w:rsid w:val="627228B1"/>
    <w:rsid w:val="62822DDA"/>
    <w:rsid w:val="62825640"/>
    <w:rsid w:val="6283FFEA"/>
    <w:rsid w:val="628B2230"/>
    <w:rsid w:val="6296495D"/>
    <w:rsid w:val="629B21D9"/>
    <w:rsid w:val="62BDE12E"/>
    <w:rsid w:val="62C1EB2F"/>
    <w:rsid w:val="62CC76B9"/>
    <w:rsid w:val="62D54D8E"/>
    <w:rsid w:val="62DE86B6"/>
    <w:rsid w:val="62E7BAA7"/>
    <w:rsid w:val="6309C0E4"/>
    <w:rsid w:val="630FDACE"/>
    <w:rsid w:val="63153A11"/>
    <w:rsid w:val="631E4CD7"/>
    <w:rsid w:val="631E7DDF"/>
    <w:rsid w:val="63231FC4"/>
    <w:rsid w:val="63296885"/>
    <w:rsid w:val="6332E2EA"/>
    <w:rsid w:val="63364841"/>
    <w:rsid w:val="633DB0E1"/>
    <w:rsid w:val="63450CA6"/>
    <w:rsid w:val="6346EBB9"/>
    <w:rsid w:val="635050E0"/>
    <w:rsid w:val="6367C128"/>
    <w:rsid w:val="637091DD"/>
    <w:rsid w:val="63719B45"/>
    <w:rsid w:val="6385E9D8"/>
    <w:rsid w:val="6389D47C"/>
    <w:rsid w:val="638D1463"/>
    <w:rsid w:val="63A3693A"/>
    <w:rsid w:val="63A9C0A9"/>
    <w:rsid w:val="63B7197F"/>
    <w:rsid w:val="63DA0A4C"/>
    <w:rsid w:val="63DD419F"/>
    <w:rsid w:val="63EC4787"/>
    <w:rsid w:val="63F0376B"/>
    <w:rsid w:val="63F25C7C"/>
    <w:rsid w:val="63F73F53"/>
    <w:rsid w:val="640ADDA4"/>
    <w:rsid w:val="6412BCB0"/>
    <w:rsid w:val="641D52D1"/>
    <w:rsid w:val="64251306"/>
    <w:rsid w:val="643FC63F"/>
    <w:rsid w:val="64405643"/>
    <w:rsid w:val="644E2969"/>
    <w:rsid w:val="64663901"/>
    <w:rsid w:val="64781D57"/>
    <w:rsid w:val="6481AE39"/>
    <w:rsid w:val="6488514B"/>
    <w:rsid w:val="648D78E3"/>
    <w:rsid w:val="6493450B"/>
    <w:rsid w:val="64A422DE"/>
    <w:rsid w:val="64BCCF6E"/>
    <w:rsid w:val="64C6E9C5"/>
    <w:rsid w:val="64CD3875"/>
    <w:rsid w:val="64CE90A7"/>
    <w:rsid w:val="64CEC3A5"/>
    <w:rsid w:val="64D85318"/>
    <w:rsid w:val="64F5BF76"/>
    <w:rsid w:val="64F77F41"/>
    <w:rsid w:val="64FF42A7"/>
    <w:rsid w:val="650121AC"/>
    <w:rsid w:val="65089EAE"/>
    <w:rsid w:val="650D7D21"/>
    <w:rsid w:val="650F0565"/>
    <w:rsid w:val="652C37BC"/>
    <w:rsid w:val="652E52D3"/>
    <w:rsid w:val="6535E353"/>
    <w:rsid w:val="6542A35E"/>
    <w:rsid w:val="65510BEA"/>
    <w:rsid w:val="655DEE48"/>
    <w:rsid w:val="6560304B"/>
    <w:rsid w:val="6567FDA5"/>
    <w:rsid w:val="65726B5B"/>
    <w:rsid w:val="6575E7D5"/>
    <w:rsid w:val="657D7859"/>
    <w:rsid w:val="65924D4F"/>
    <w:rsid w:val="659AB1F9"/>
    <w:rsid w:val="65A7738C"/>
    <w:rsid w:val="65A845B9"/>
    <w:rsid w:val="65AF09D3"/>
    <w:rsid w:val="65B69D46"/>
    <w:rsid w:val="65B81FCA"/>
    <w:rsid w:val="65CF887D"/>
    <w:rsid w:val="65D2C7DC"/>
    <w:rsid w:val="65D37191"/>
    <w:rsid w:val="65E81E48"/>
    <w:rsid w:val="65F245BF"/>
    <w:rsid w:val="6600785B"/>
    <w:rsid w:val="660CDBAA"/>
    <w:rsid w:val="66203B76"/>
    <w:rsid w:val="6622359F"/>
    <w:rsid w:val="662AD089"/>
    <w:rsid w:val="66397E18"/>
    <w:rsid w:val="66409579"/>
    <w:rsid w:val="6653D01A"/>
    <w:rsid w:val="66549F17"/>
    <w:rsid w:val="6655F10C"/>
    <w:rsid w:val="6667BD02"/>
    <w:rsid w:val="666D8E91"/>
    <w:rsid w:val="6671CE61"/>
    <w:rsid w:val="667230ED"/>
    <w:rsid w:val="6672D860"/>
    <w:rsid w:val="667F3D82"/>
    <w:rsid w:val="668304D7"/>
    <w:rsid w:val="668A7072"/>
    <w:rsid w:val="6697BF9A"/>
    <w:rsid w:val="669E775C"/>
    <w:rsid w:val="66A7063A"/>
    <w:rsid w:val="66AB48E0"/>
    <w:rsid w:val="66AC4AC6"/>
    <w:rsid w:val="66B154DB"/>
    <w:rsid w:val="66F06820"/>
    <w:rsid w:val="66F46835"/>
    <w:rsid w:val="66F7E1A4"/>
    <w:rsid w:val="6701AFFD"/>
    <w:rsid w:val="670301F7"/>
    <w:rsid w:val="67063B21"/>
    <w:rsid w:val="6708B4A3"/>
    <w:rsid w:val="671D6CE4"/>
    <w:rsid w:val="6720FE5C"/>
    <w:rsid w:val="67306066"/>
    <w:rsid w:val="673BC71C"/>
    <w:rsid w:val="674867F4"/>
    <w:rsid w:val="674A69E2"/>
    <w:rsid w:val="674DBD23"/>
    <w:rsid w:val="6752D5BB"/>
    <w:rsid w:val="67716C59"/>
    <w:rsid w:val="677447F1"/>
    <w:rsid w:val="6778B40E"/>
    <w:rsid w:val="67795DC8"/>
    <w:rsid w:val="67801450"/>
    <w:rsid w:val="678F72C6"/>
    <w:rsid w:val="679843B8"/>
    <w:rsid w:val="679C683B"/>
    <w:rsid w:val="67A025BF"/>
    <w:rsid w:val="67A54124"/>
    <w:rsid w:val="67A914D2"/>
    <w:rsid w:val="67A9AD6D"/>
    <w:rsid w:val="67BC4C54"/>
    <w:rsid w:val="67BE94F7"/>
    <w:rsid w:val="67BF32A5"/>
    <w:rsid w:val="67D06D7C"/>
    <w:rsid w:val="67D7F175"/>
    <w:rsid w:val="67E63582"/>
    <w:rsid w:val="67F04A29"/>
    <w:rsid w:val="67F343EB"/>
    <w:rsid w:val="6806AB5B"/>
    <w:rsid w:val="680C9BE0"/>
    <w:rsid w:val="680EFF19"/>
    <w:rsid w:val="68119EBF"/>
    <w:rsid w:val="68296C8B"/>
    <w:rsid w:val="68338FFB"/>
    <w:rsid w:val="6836281C"/>
    <w:rsid w:val="683BA40A"/>
    <w:rsid w:val="683C6022"/>
    <w:rsid w:val="684772F9"/>
    <w:rsid w:val="684CA5C7"/>
    <w:rsid w:val="684EB675"/>
    <w:rsid w:val="68508FDE"/>
    <w:rsid w:val="685EF963"/>
    <w:rsid w:val="687BDAC8"/>
    <w:rsid w:val="687CB5DA"/>
    <w:rsid w:val="6893D675"/>
    <w:rsid w:val="68A320F6"/>
    <w:rsid w:val="68A9A0DF"/>
    <w:rsid w:val="68B7F670"/>
    <w:rsid w:val="68B9287D"/>
    <w:rsid w:val="68BC20AA"/>
    <w:rsid w:val="68CD53E7"/>
    <w:rsid w:val="68E786B6"/>
    <w:rsid w:val="68E8FBAA"/>
    <w:rsid w:val="68FD22B8"/>
    <w:rsid w:val="68FF5C67"/>
    <w:rsid w:val="6913917E"/>
    <w:rsid w:val="6929C895"/>
    <w:rsid w:val="69330FBB"/>
    <w:rsid w:val="693C9148"/>
    <w:rsid w:val="69400426"/>
    <w:rsid w:val="69428F30"/>
    <w:rsid w:val="69453C44"/>
    <w:rsid w:val="69474B42"/>
    <w:rsid w:val="69509A49"/>
    <w:rsid w:val="6954769F"/>
    <w:rsid w:val="695B3E7E"/>
    <w:rsid w:val="696308F7"/>
    <w:rsid w:val="696A8A23"/>
    <w:rsid w:val="6972BF9D"/>
    <w:rsid w:val="6983DA8C"/>
    <w:rsid w:val="698403E2"/>
    <w:rsid w:val="6984F40D"/>
    <w:rsid w:val="6987C752"/>
    <w:rsid w:val="6995F420"/>
    <w:rsid w:val="69A0D581"/>
    <w:rsid w:val="69B86195"/>
    <w:rsid w:val="69EF4F1B"/>
    <w:rsid w:val="69F6ABA0"/>
    <w:rsid w:val="69FA40F6"/>
    <w:rsid w:val="69FC9EF7"/>
    <w:rsid w:val="6A006835"/>
    <w:rsid w:val="6A030BBB"/>
    <w:rsid w:val="6A0A9DC7"/>
    <w:rsid w:val="6A0F37AE"/>
    <w:rsid w:val="6A254727"/>
    <w:rsid w:val="6A256BBB"/>
    <w:rsid w:val="6A2AE590"/>
    <w:rsid w:val="6A2D54EA"/>
    <w:rsid w:val="6A30C4DF"/>
    <w:rsid w:val="6A33B790"/>
    <w:rsid w:val="6A34C0CF"/>
    <w:rsid w:val="6A3EDCC4"/>
    <w:rsid w:val="6A43AE24"/>
    <w:rsid w:val="6A46F1E9"/>
    <w:rsid w:val="6A4E1426"/>
    <w:rsid w:val="6A63C135"/>
    <w:rsid w:val="6A687A6F"/>
    <w:rsid w:val="6A89F45C"/>
    <w:rsid w:val="6AA14755"/>
    <w:rsid w:val="6AACEBFE"/>
    <w:rsid w:val="6AB87100"/>
    <w:rsid w:val="6AB9DF58"/>
    <w:rsid w:val="6ABD37C2"/>
    <w:rsid w:val="6ACB8415"/>
    <w:rsid w:val="6ADA0A5F"/>
    <w:rsid w:val="6AED8545"/>
    <w:rsid w:val="6AF7E7C9"/>
    <w:rsid w:val="6B069C1D"/>
    <w:rsid w:val="6B073ECC"/>
    <w:rsid w:val="6B0EC518"/>
    <w:rsid w:val="6B14E108"/>
    <w:rsid w:val="6B1EE870"/>
    <w:rsid w:val="6B2BD52E"/>
    <w:rsid w:val="6B340502"/>
    <w:rsid w:val="6B34AE03"/>
    <w:rsid w:val="6B38619A"/>
    <w:rsid w:val="6B445E6B"/>
    <w:rsid w:val="6B48BED3"/>
    <w:rsid w:val="6B55667F"/>
    <w:rsid w:val="6B884953"/>
    <w:rsid w:val="6BA29596"/>
    <w:rsid w:val="6BA2DC11"/>
    <w:rsid w:val="6BA978CF"/>
    <w:rsid w:val="6BBA9AA7"/>
    <w:rsid w:val="6BBCAEDB"/>
    <w:rsid w:val="6BBD4312"/>
    <w:rsid w:val="6BC11524"/>
    <w:rsid w:val="6BC6BEBD"/>
    <w:rsid w:val="6BCA591C"/>
    <w:rsid w:val="6BD4952B"/>
    <w:rsid w:val="6BE2BBD8"/>
    <w:rsid w:val="6BE87C31"/>
    <w:rsid w:val="6BF05D56"/>
    <w:rsid w:val="6BF4F83C"/>
    <w:rsid w:val="6BF92466"/>
    <w:rsid w:val="6C005E1D"/>
    <w:rsid w:val="6C0697A4"/>
    <w:rsid w:val="6C097F38"/>
    <w:rsid w:val="6C1E8B31"/>
    <w:rsid w:val="6C20F5FD"/>
    <w:rsid w:val="6C2EB21E"/>
    <w:rsid w:val="6C2FB2DC"/>
    <w:rsid w:val="6C3BCE07"/>
    <w:rsid w:val="6C49C507"/>
    <w:rsid w:val="6C814AB6"/>
    <w:rsid w:val="6C896540"/>
    <w:rsid w:val="6C929C52"/>
    <w:rsid w:val="6C93C1A8"/>
    <w:rsid w:val="6CA4D794"/>
    <w:rsid w:val="6CA56D8E"/>
    <w:rsid w:val="6CA745C4"/>
    <w:rsid w:val="6CA7EB94"/>
    <w:rsid w:val="6CAE3F8C"/>
    <w:rsid w:val="6CB19D38"/>
    <w:rsid w:val="6CC867E2"/>
    <w:rsid w:val="6CFCA5B0"/>
    <w:rsid w:val="6D07011E"/>
    <w:rsid w:val="6D0EBC9A"/>
    <w:rsid w:val="6D10164B"/>
    <w:rsid w:val="6D11D871"/>
    <w:rsid w:val="6D165437"/>
    <w:rsid w:val="6D19DA02"/>
    <w:rsid w:val="6D245596"/>
    <w:rsid w:val="6D337570"/>
    <w:rsid w:val="6D33C0AD"/>
    <w:rsid w:val="6D3C752A"/>
    <w:rsid w:val="6D501A08"/>
    <w:rsid w:val="6D55DD8C"/>
    <w:rsid w:val="6D5855CC"/>
    <w:rsid w:val="6D7498E0"/>
    <w:rsid w:val="6D852F8E"/>
    <w:rsid w:val="6D8B5935"/>
    <w:rsid w:val="6D8BDD9B"/>
    <w:rsid w:val="6D9559DD"/>
    <w:rsid w:val="6D9721A0"/>
    <w:rsid w:val="6D9CE5BA"/>
    <w:rsid w:val="6D9F397D"/>
    <w:rsid w:val="6DBB72DD"/>
    <w:rsid w:val="6DEB7406"/>
    <w:rsid w:val="6DFA7E7F"/>
    <w:rsid w:val="6E018CFC"/>
    <w:rsid w:val="6E0FF24E"/>
    <w:rsid w:val="6E3007C0"/>
    <w:rsid w:val="6E4006B1"/>
    <w:rsid w:val="6E4F01E0"/>
    <w:rsid w:val="6E544DCC"/>
    <w:rsid w:val="6E6B1F66"/>
    <w:rsid w:val="6E92941C"/>
    <w:rsid w:val="6EA1735E"/>
    <w:rsid w:val="6EA32DF0"/>
    <w:rsid w:val="6EA5475D"/>
    <w:rsid w:val="6EC224B7"/>
    <w:rsid w:val="6EDB749C"/>
    <w:rsid w:val="6EDDED3B"/>
    <w:rsid w:val="6EE6BC36"/>
    <w:rsid w:val="6F0C12B3"/>
    <w:rsid w:val="6F0F566D"/>
    <w:rsid w:val="6F1792CC"/>
    <w:rsid w:val="6F26641C"/>
    <w:rsid w:val="6F2685AE"/>
    <w:rsid w:val="6F35D4B7"/>
    <w:rsid w:val="6F396458"/>
    <w:rsid w:val="6F39AED7"/>
    <w:rsid w:val="6F43AE45"/>
    <w:rsid w:val="6F5D9B46"/>
    <w:rsid w:val="6F6412D6"/>
    <w:rsid w:val="6F6ACD3B"/>
    <w:rsid w:val="6F76B8CF"/>
    <w:rsid w:val="6F779A7C"/>
    <w:rsid w:val="6F7B27CA"/>
    <w:rsid w:val="6F8E376A"/>
    <w:rsid w:val="6F912652"/>
    <w:rsid w:val="6F917162"/>
    <w:rsid w:val="6F98FCA7"/>
    <w:rsid w:val="6FAED2E3"/>
    <w:rsid w:val="6FBEA3DB"/>
    <w:rsid w:val="6FD470E4"/>
    <w:rsid w:val="6FDB489D"/>
    <w:rsid w:val="6FF19054"/>
    <w:rsid w:val="6FF88470"/>
    <w:rsid w:val="70055B24"/>
    <w:rsid w:val="701C1B79"/>
    <w:rsid w:val="70274D4D"/>
    <w:rsid w:val="7030CA55"/>
    <w:rsid w:val="7033ED88"/>
    <w:rsid w:val="703D2885"/>
    <w:rsid w:val="703DDC56"/>
    <w:rsid w:val="703F99CE"/>
    <w:rsid w:val="704202F0"/>
    <w:rsid w:val="7051FB47"/>
    <w:rsid w:val="706ACF43"/>
    <w:rsid w:val="70702713"/>
    <w:rsid w:val="70717B9C"/>
    <w:rsid w:val="707CE589"/>
    <w:rsid w:val="708325B4"/>
    <w:rsid w:val="70880F2D"/>
    <w:rsid w:val="708D111B"/>
    <w:rsid w:val="7090CA8B"/>
    <w:rsid w:val="7092D44D"/>
    <w:rsid w:val="70979E67"/>
    <w:rsid w:val="709F5CCF"/>
    <w:rsid w:val="70AC7459"/>
    <w:rsid w:val="70AE7750"/>
    <w:rsid w:val="70AFE735"/>
    <w:rsid w:val="70B518AF"/>
    <w:rsid w:val="70C0B374"/>
    <w:rsid w:val="70D3EF7A"/>
    <w:rsid w:val="70E37297"/>
    <w:rsid w:val="70EDBF63"/>
    <w:rsid w:val="70F78BAB"/>
    <w:rsid w:val="70FAD11F"/>
    <w:rsid w:val="70FCDDF6"/>
    <w:rsid w:val="7101F226"/>
    <w:rsid w:val="710514F8"/>
    <w:rsid w:val="7106E9B5"/>
    <w:rsid w:val="710C3486"/>
    <w:rsid w:val="711120CA"/>
    <w:rsid w:val="71118D11"/>
    <w:rsid w:val="71479B3D"/>
    <w:rsid w:val="7152571A"/>
    <w:rsid w:val="716B8127"/>
    <w:rsid w:val="7173A490"/>
    <w:rsid w:val="717826D5"/>
    <w:rsid w:val="71801384"/>
    <w:rsid w:val="71882094"/>
    <w:rsid w:val="718ECBFF"/>
    <w:rsid w:val="719E94DC"/>
    <w:rsid w:val="71A865DF"/>
    <w:rsid w:val="71A9CA33"/>
    <w:rsid w:val="71AD94CF"/>
    <w:rsid w:val="71BA15E4"/>
    <w:rsid w:val="71C13F09"/>
    <w:rsid w:val="71CF7558"/>
    <w:rsid w:val="71D60B6A"/>
    <w:rsid w:val="71F204C4"/>
    <w:rsid w:val="71F688DA"/>
    <w:rsid w:val="720D7D4F"/>
    <w:rsid w:val="7214471C"/>
    <w:rsid w:val="721EE000"/>
    <w:rsid w:val="7250118E"/>
    <w:rsid w:val="72512134"/>
    <w:rsid w:val="727C30D0"/>
    <w:rsid w:val="728E50A5"/>
    <w:rsid w:val="72989CCF"/>
    <w:rsid w:val="729F95A7"/>
    <w:rsid w:val="72A24DF8"/>
    <w:rsid w:val="72B81D3E"/>
    <w:rsid w:val="72C20D6D"/>
    <w:rsid w:val="72C4D70E"/>
    <w:rsid w:val="72CF3939"/>
    <w:rsid w:val="72D4F1A4"/>
    <w:rsid w:val="72D75AD3"/>
    <w:rsid w:val="72DA81F2"/>
    <w:rsid w:val="72DE317F"/>
    <w:rsid w:val="72E1CF2C"/>
    <w:rsid w:val="72E78843"/>
    <w:rsid w:val="72EF20DA"/>
    <w:rsid w:val="72FBEC46"/>
    <w:rsid w:val="7308A0BE"/>
    <w:rsid w:val="7308D55C"/>
    <w:rsid w:val="7318961B"/>
    <w:rsid w:val="73207CB0"/>
    <w:rsid w:val="73334DE1"/>
    <w:rsid w:val="733FD1A5"/>
    <w:rsid w:val="73405BE1"/>
    <w:rsid w:val="73416BAA"/>
    <w:rsid w:val="7343A67B"/>
    <w:rsid w:val="734A1A2E"/>
    <w:rsid w:val="7355B1A4"/>
    <w:rsid w:val="735F7CE4"/>
    <w:rsid w:val="737D2C49"/>
    <w:rsid w:val="7387D3F1"/>
    <w:rsid w:val="73973AE2"/>
    <w:rsid w:val="73A6F4E1"/>
    <w:rsid w:val="73AED25F"/>
    <w:rsid w:val="73AF817B"/>
    <w:rsid w:val="73B5B15F"/>
    <w:rsid w:val="73B9B442"/>
    <w:rsid w:val="73BBD946"/>
    <w:rsid w:val="73D27058"/>
    <w:rsid w:val="73F34E1A"/>
    <w:rsid w:val="73F6B7D2"/>
    <w:rsid w:val="73F9CD4B"/>
    <w:rsid w:val="73FD1CC6"/>
    <w:rsid w:val="73FF2AF2"/>
    <w:rsid w:val="7405E0D3"/>
    <w:rsid w:val="74171C71"/>
    <w:rsid w:val="74239D27"/>
    <w:rsid w:val="7437C194"/>
    <w:rsid w:val="745DA42A"/>
    <w:rsid w:val="74645335"/>
    <w:rsid w:val="746AC382"/>
    <w:rsid w:val="747A3D79"/>
    <w:rsid w:val="748B0196"/>
    <w:rsid w:val="748BF6D2"/>
    <w:rsid w:val="748E7559"/>
    <w:rsid w:val="749375C4"/>
    <w:rsid w:val="7499CE32"/>
    <w:rsid w:val="74A4529A"/>
    <w:rsid w:val="74A68F01"/>
    <w:rsid w:val="74B9DD29"/>
    <w:rsid w:val="74BBED42"/>
    <w:rsid w:val="74C8E18F"/>
    <w:rsid w:val="74F6C5CC"/>
    <w:rsid w:val="74FCBE44"/>
    <w:rsid w:val="74FE7FEA"/>
    <w:rsid w:val="75014058"/>
    <w:rsid w:val="75131AE2"/>
    <w:rsid w:val="7515A5BB"/>
    <w:rsid w:val="75227E54"/>
    <w:rsid w:val="75289080"/>
    <w:rsid w:val="752A619A"/>
    <w:rsid w:val="752D53DE"/>
    <w:rsid w:val="752DB1E9"/>
    <w:rsid w:val="75334898"/>
    <w:rsid w:val="7557EE76"/>
    <w:rsid w:val="7558233E"/>
    <w:rsid w:val="755AFFC4"/>
    <w:rsid w:val="7566887C"/>
    <w:rsid w:val="756AD6A4"/>
    <w:rsid w:val="756E04E2"/>
    <w:rsid w:val="757B8D70"/>
    <w:rsid w:val="75867108"/>
    <w:rsid w:val="758C3633"/>
    <w:rsid w:val="759CE324"/>
    <w:rsid w:val="75A997A0"/>
    <w:rsid w:val="75D0E64A"/>
    <w:rsid w:val="75D577A1"/>
    <w:rsid w:val="75D8296D"/>
    <w:rsid w:val="75D83A2A"/>
    <w:rsid w:val="75EEE533"/>
    <w:rsid w:val="75F25771"/>
    <w:rsid w:val="76103A49"/>
    <w:rsid w:val="76107EE7"/>
    <w:rsid w:val="76114CD9"/>
    <w:rsid w:val="762C55C7"/>
    <w:rsid w:val="7659ABB4"/>
    <w:rsid w:val="765BB0B6"/>
    <w:rsid w:val="765CFFD2"/>
    <w:rsid w:val="765F9AD8"/>
    <w:rsid w:val="766F23A0"/>
    <w:rsid w:val="767A7709"/>
    <w:rsid w:val="767D8416"/>
    <w:rsid w:val="76835BD6"/>
    <w:rsid w:val="7683A248"/>
    <w:rsid w:val="768B2C44"/>
    <w:rsid w:val="769D439C"/>
    <w:rsid w:val="769DA8A7"/>
    <w:rsid w:val="76A36FAD"/>
    <w:rsid w:val="76A3CE41"/>
    <w:rsid w:val="76A4BC13"/>
    <w:rsid w:val="76A6B331"/>
    <w:rsid w:val="76ABAC55"/>
    <w:rsid w:val="76B93CF5"/>
    <w:rsid w:val="76B9A870"/>
    <w:rsid w:val="76BA4E77"/>
    <w:rsid w:val="76C99305"/>
    <w:rsid w:val="76C99791"/>
    <w:rsid w:val="76E0915D"/>
    <w:rsid w:val="76E86D0D"/>
    <w:rsid w:val="76FB4D9D"/>
    <w:rsid w:val="77254F75"/>
    <w:rsid w:val="772B22DA"/>
    <w:rsid w:val="772D967E"/>
    <w:rsid w:val="77308036"/>
    <w:rsid w:val="7731BB95"/>
    <w:rsid w:val="773C3950"/>
    <w:rsid w:val="774321E1"/>
    <w:rsid w:val="77517A37"/>
    <w:rsid w:val="775F3A4B"/>
    <w:rsid w:val="7772A3E2"/>
    <w:rsid w:val="779557D8"/>
    <w:rsid w:val="77AA9403"/>
    <w:rsid w:val="77AB4782"/>
    <w:rsid w:val="77C4648A"/>
    <w:rsid w:val="77D114CE"/>
    <w:rsid w:val="77EE32F1"/>
    <w:rsid w:val="7806D65A"/>
    <w:rsid w:val="7819107D"/>
    <w:rsid w:val="781D0035"/>
    <w:rsid w:val="784118BF"/>
    <w:rsid w:val="785F6925"/>
    <w:rsid w:val="786E446D"/>
    <w:rsid w:val="787A5023"/>
    <w:rsid w:val="78863FBC"/>
    <w:rsid w:val="7890A7B4"/>
    <w:rsid w:val="7894A6CE"/>
    <w:rsid w:val="78951934"/>
    <w:rsid w:val="7895CE3A"/>
    <w:rsid w:val="789826E7"/>
    <w:rsid w:val="789DB039"/>
    <w:rsid w:val="78A6C28C"/>
    <w:rsid w:val="78B7FC97"/>
    <w:rsid w:val="78BC80C7"/>
    <w:rsid w:val="78C160F2"/>
    <w:rsid w:val="78CA22B9"/>
    <w:rsid w:val="78CBB610"/>
    <w:rsid w:val="78DDD94D"/>
    <w:rsid w:val="78E6BBC2"/>
    <w:rsid w:val="78E9255F"/>
    <w:rsid w:val="78FA24BE"/>
    <w:rsid w:val="79009CA3"/>
    <w:rsid w:val="7906FAC8"/>
    <w:rsid w:val="79131DD9"/>
    <w:rsid w:val="791F21F9"/>
    <w:rsid w:val="793283EF"/>
    <w:rsid w:val="793B01A1"/>
    <w:rsid w:val="793BC204"/>
    <w:rsid w:val="793F6203"/>
    <w:rsid w:val="794BDDDF"/>
    <w:rsid w:val="795EF923"/>
    <w:rsid w:val="79647066"/>
    <w:rsid w:val="79656019"/>
    <w:rsid w:val="796936EF"/>
    <w:rsid w:val="796B49F6"/>
    <w:rsid w:val="797A3526"/>
    <w:rsid w:val="797A7DB8"/>
    <w:rsid w:val="79809A4C"/>
    <w:rsid w:val="79836498"/>
    <w:rsid w:val="79B04E52"/>
    <w:rsid w:val="79B06748"/>
    <w:rsid w:val="79B0FAFD"/>
    <w:rsid w:val="79B4A956"/>
    <w:rsid w:val="79BD475D"/>
    <w:rsid w:val="79C33FE5"/>
    <w:rsid w:val="79DAD52B"/>
    <w:rsid w:val="79DE0502"/>
    <w:rsid w:val="79F065C6"/>
    <w:rsid w:val="79F06D7D"/>
    <w:rsid w:val="79F0D52C"/>
    <w:rsid w:val="79F93296"/>
    <w:rsid w:val="7A020061"/>
    <w:rsid w:val="7A0EA40E"/>
    <w:rsid w:val="7A1479A3"/>
    <w:rsid w:val="7A1C8872"/>
    <w:rsid w:val="7A353A5D"/>
    <w:rsid w:val="7A556205"/>
    <w:rsid w:val="7A598BE1"/>
    <w:rsid w:val="7A625B3F"/>
    <w:rsid w:val="7A830E7F"/>
    <w:rsid w:val="7A8676BC"/>
    <w:rsid w:val="7A895305"/>
    <w:rsid w:val="7A8CE3F8"/>
    <w:rsid w:val="7A8D4D2D"/>
    <w:rsid w:val="7A9BBFC8"/>
    <w:rsid w:val="7A9C5CF5"/>
    <w:rsid w:val="7A9D38D4"/>
    <w:rsid w:val="7AA5754A"/>
    <w:rsid w:val="7AA58ABE"/>
    <w:rsid w:val="7ABBEEE7"/>
    <w:rsid w:val="7AE95D55"/>
    <w:rsid w:val="7AFDAFDF"/>
    <w:rsid w:val="7B032131"/>
    <w:rsid w:val="7B069F80"/>
    <w:rsid w:val="7B0D8E4C"/>
    <w:rsid w:val="7B0F01FC"/>
    <w:rsid w:val="7B111BA0"/>
    <w:rsid w:val="7B160587"/>
    <w:rsid w:val="7B33FBEC"/>
    <w:rsid w:val="7B3DE58B"/>
    <w:rsid w:val="7B495D7E"/>
    <w:rsid w:val="7B4F37C4"/>
    <w:rsid w:val="7B52604E"/>
    <w:rsid w:val="7B5D6ACB"/>
    <w:rsid w:val="7B62DAA5"/>
    <w:rsid w:val="7B62FE1D"/>
    <w:rsid w:val="7B79D563"/>
    <w:rsid w:val="7B814F5B"/>
    <w:rsid w:val="7B94BA2A"/>
    <w:rsid w:val="7B9FD75B"/>
    <w:rsid w:val="7BA4C20D"/>
    <w:rsid w:val="7BAAE84C"/>
    <w:rsid w:val="7BADF169"/>
    <w:rsid w:val="7BB65908"/>
    <w:rsid w:val="7BB9C543"/>
    <w:rsid w:val="7BC07106"/>
    <w:rsid w:val="7BCE74E7"/>
    <w:rsid w:val="7BD059CA"/>
    <w:rsid w:val="7BE24F3A"/>
    <w:rsid w:val="7BE2D196"/>
    <w:rsid w:val="7BE5027E"/>
    <w:rsid w:val="7BE8789D"/>
    <w:rsid w:val="7BEB05C2"/>
    <w:rsid w:val="7BEB977B"/>
    <w:rsid w:val="7BF4A97B"/>
    <w:rsid w:val="7C05225A"/>
    <w:rsid w:val="7C091990"/>
    <w:rsid w:val="7C153E32"/>
    <w:rsid w:val="7C159444"/>
    <w:rsid w:val="7C1BED0B"/>
    <w:rsid w:val="7C35D558"/>
    <w:rsid w:val="7C38227C"/>
    <w:rsid w:val="7C3B4E1F"/>
    <w:rsid w:val="7C47E053"/>
    <w:rsid w:val="7C4AFD2C"/>
    <w:rsid w:val="7C4B4001"/>
    <w:rsid w:val="7C5DAC53"/>
    <w:rsid w:val="7C8B6B2C"/>
    <w:rsid w:val="7C8F10AF"/>
    <w:rsid w:val="7CA3E5B9"/>
    <w:rsid w:val="7CB09075"/>
    <w:rsid w:val="7CB422DC"/>
    <w:rsid w:val="7CB6D517"/>
    <w:rsid w:val="7CBF25F2"/>
    <w:rsid w:val="7CCBB55B"/>
    <w:rsid w:val="7CD661B8"/>
    <w:rsid w:val="7CD6B8D7"/>
    <w:rsid w:val="7CDD4059"/>
    <w:rsid w:val="7CE3F305"/>
    <w:rsid w:val="7CEDF1DE"/>
    <w:rsid w:val="7D0765BF"/>
    <w:rsid w:val="7D12B6EF"/>
    <w:rsid w:val="7D1442E6"/>
    <w:rsid w:val="7D2601F2"/>
    <w:rsid w:val="7D3153AF"/>
    <w:rsid w:val="7D431908"/>
    <w:rsid w:val="7D4AEA55"/>
    <w:rsid w:val="7D511831"/>
    <w:rsid w:val="7D556DF6"/>
    <w:rsid w:val="7D6132A7"/>
    <w:rsid w:val="7D83A60E"/>
    <w:rsid w:val="7D8774A9"/>
    <w:rsid w:val="7D893DEC"/>
    <w:rsid w:val="7D9337D4"/>
    <w:rsid w:val="7DA37F69"/>
    <w:rsid w:val="7DA9BB24"/>
    <w:rsid w:val="7DAF8438"/>
    <w:rsid w:val="7DB27B80"/>
    <w:rsid w:val="7DBDEFB4"/>
    <w:rsid w:val="7DBE2F59"/>
    <w:rsid w:val="7DD145D7"/>
    <w:rsid w:val="7DDE0120"/>
    <w:rsid w:val="7DEE583C"/>
    <w:rsid w:val="7DF4AC79"/>
    <w:rsid w:val="7DF62043"/>
    <w:rsid w:val="7E017C47"/>
    <w:rsid w:val="7E05B403"/>
    <w:rsid w:val="7E0ABBBE"/>
    <w:rsid w:val="7E0D4B4D"/>
    <w:rsid w:val="7E11CEB7"/>
    <w:rsid w:val="7E1767A0"/>
    <w:rsid w:val="7E24DF18"/>
    <w:rsid w:val="7E320ECF"/>
    <w:rsid w:val="7E3344D0"/>
    <w:rsid w:val="7E462D8F"/>
    <w:rsid w:val="7E4EDBCD"/>
    <w:rsid w:val="7E5E087B"/>
    <w:rsid w:val="7E69EE73"/>
    <w:rsid w:val="7E6FEC23"/>
    <w:rsid w:val="7E712BB6"/>
    <w:rsid w:val="7E71BF0A"/>
    <w:rsid w:val="7E8B5987"/>
    <w:rsid w:val="7E8CD7C6"/>
    <w:rsid w:val="7E9171CF"/>
    <w:rsid w:val="7E9645F6"/>
    <w:rsid w:val="7E96DDCE"/>
    <w:rsid w:val="7E9CEEF8"/>
    <w:rsid w:val="7EB425E1"/>
    <w:rsid w:val="7EB5906F"/>
    <w:rsid w:val="7EC7A06A"/>
    <w:rsid w:val="7EDE18E5"/>
    <w:rsid w:val="7EDF3F85"/>
    <w:rsid w:val="7EE6D28D"/>
    <w:rsid w:val="7EF457ED"/>
    <w:rsid w:val="7EF77953"/>
    <w:rsid w:val="7F0CF8AF"/>
    <w:rsid w:val="7F0DA6BF"/>
    <w:rsid w:val="7F10ECE7"/>
    <w:rsid w:val="7F16D416"/>
    <w:rsid w:val="7F18EFEA"/>
    <w:rsid w:val="7F2177E0"/>
    <w:rsid w:val="7F397520"/>
    <w:rsid w:val="7F452323"/>
    <w:rsid w:val="7F60EFAF"/>
    <w:rsid w:val="7F6BD2FC"/>
    <w:rsid w:val="7F70C458"/>
    <w:rsid w:val="7F70F5A8"/>
    <w:rsid w:val="7F7B25CB"/>
    <w:rsid w:val="7F8A757A"/>
    <w:rsid w:val="7F994BC5"/>
    <w:rsid w:val="7FA9FAB7"/>
    <w:rsid w:val="7FADA332"/>
    <w:rsid w:val="7FB77FEA"/>
    <w:rsid w:val="7FC2D39D"/>
    <w:rsid w:val="7FD1FFC8"/>
    <w:rsid w:val="7FDCD231"/>
    <w:rsid w:val="7FECDD24"/>
    <w:rsid w:val="7FEDA57F"/>
    <w:rsid w:val="7FF0D251"/>
    <w:rsid w:val="7FF75557"/>
    <w:rsid w:val="7FFCEF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59081"/>
  <w15:docId w15:val="{A1D4613A-732D-4179-AE2A-4FA42BF9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8"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4" w:unhideWhenUsed="1" w:qFormat="1"/>
    <w:lsdException w:name="table of figures" w:semiHidden="1" w:uiPriority="98" w:unhideWhenUsed="1" w:qFormat="1"/>
    <w:lsdException w:name="envelope address" w:semiHidden="1" w:uiPriority="98" w:unhideWhenUsed="1"/>
    <w:lsdException w:name="envelope return" w:semiHidden="1" w:uiPriority="98" w:unhideWhenUsed="1"/>
    <w:lsdException w:name="footnote reference" w:semiHidden="1" w:uiPriority="8" w:unhideWhenUsed="1"/>
    <w:lsdException w:name="annotation reference" w:semiHidden="1" w:unhideWhenUsed="1"/>
    <w:lsdException w:name="line number" w:semiHidden="1" w:uiPriority="98" w:unhideWhenUsed="1"/>
    <w:lsdException w:name="page number" w:semiHidden="1" w:unhideWhenUsed="1"/>
    <w:lsdException w:name="endnote reference" w:semiHidden="1"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iPriority="98" w:unhideWhenUsed="1"/>
    <w:lsdException w:name="List Bullet" w:semiHidden="1" w:uiPriority="98" w:unhideWhenUsed="1"/>
    <w:lsdException w:name="List Number" w:semiHidden="1" w:uiPriority="98" w:unhideWhenUsed="1"/>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10" w:qFormat="1"/>
    <w:lsdException w:name="Closing" w:semiHidden="1"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uiPriority="11" w:qFormat="1"/>
    <w:lsdException w:name="Salutation" w:semiHidden="1" w:uiPriority="98" w:unhideWhenUsed="1"/>
    <w:lsdException w:name="Date" w:semiHidden="1" w:uiPriority="98" w:unhideWhenUsed="1"/>
    <w:lsdException w:name="Body Text First Indent" w:semiHidden="1" w:uiPriority="98" w:unhideWhenUsed="1"/>
    <w:lsdException w:name="Body Text First Indent 2" w:semiHidden="1" w:uiPriority="98"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8"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96999"/>
    <w:pPr>
      <w:spacing w:after="120" w:line="280" w:lineRule="atLeast"/>
    </w:pPr>
    <w:rPr>
      <w:rFonts w:ascii="Arial" w:hAnsi="Arial"/>
      <w:sz w:val="21"/>
      <w:lang w:eastAsia="en-US"/>
    </w:rPr>
  </w:style>
  <w:style w:type="paragraph" w:styleId="Heading1">
    <w:name w:val="heading 1"/>
    <w:next w:val="Body"/>
    <w:link w:val="Heading1Char"/>
    <w:qFormat/>
    <w:rsid w:val="00D51451"/>
    <w:pPr>
      <w:keepNext/>
      <w:keepLines/>
      <w:pageBreakBefore/>
      <w:numPr>
        <w:numId w:val="44"/>
      </w:numPr>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296999"/>
    <w:pPr>
      <w:keepNext/>
      <w:keepLines/>
      <w:pageBreakBefore/>
      <w:numPr>
        <w:ilvl w:val="1"/>
        <w:numId w:val="44"/>
      </w:numPr>
      <w:spacing w:after="240" w:line="480" w:lineRule="atLeast"/>
      <w:outlineLvl w:val="1"/>
    </w:pPr>
    <w:rPr>
      <w:rFonts w:ascii="Arial" w:hAnsi="Arial"/>
      <w:color w:val="201547"/>
      <w:sz w:val="44"/>
      <w:szCs w:val="28"/>
      <w:lang w:eastAsia="en-US"/>
    </w:rPr>
  </w:style>
  <w:style w:type="paragraph" w:styleId="Heading3">
    <w:name w:val="heading 3"/>
    <w:next w:val="Body"/>
    <w:link w:val="Heading3Char"/>
    <w:uiPriority w:val="1"/>
    <w:qFormat/>
    <w:rsid w:val="00296999"/>
    <w:pPr>
      <w:keepNext/>
      <w:keepLines/>
      <w:numPr>
        <w:ilvl w:val="2"/>
        <w:numId w:val="44"/>
      </w:numPr>
      <w:spacing w:before="360" w:after="120" w:line="340" w:lineRule="atLeast"/>
      <w:outlineLvl w:val="2"/>
    </w:pPr>
    <w:rPr>
      <w:rFonts w:ascii="Arial" w:eastAsia="MS Gothic" w:hAnsi="Arial"/>
      <w:b/>
      <w:bCs/>
      <w:color w:val="53565A"/>
      <w:sz w:val="32"/>
      <w:szCs w:val="26"/>
      <w:lang w:eastAsia="en-US"/>
    </w:rPr>
  </w:style>
  <w:style w:type="paragraph" w:styleId="Heading4">
    <w:name w:val="heading 4"/>
    <w:next w:val="Body"/>
    <w:link w:val="Heading4Char"/>
    <w:uiPriority w:val="1"/>
    <w:qFormat/>
    <w:rsid w:val="00296999"/>
    <w:pPr>
      <w:keepNext/>
      <w:keepLines/>
      <w:numPr>
        <w:ilvl w:val="3"/>
        <w:numId w:val="44"/>
      </w:numPr>
      <w:spacing w:before="360" w:after="120" w:line="300" w:lineRule="atLeast"/>
      <w:outlineLvl w:val="3"/>
    </w:pPr>
    <w:rPr>
      <w:rFonts w:ascii="Arial" w:eastAsia="MS Mincho" w:hAnsi="Arial"/>
      <w:bCs/>
      <w:color w:val="53565A"/>
      <w:sz w:val="28"/>
      <w:szCs w:val="22"/>
      <w:lang w:eastAsia="en-US"/>
    </w:rPr>
  </w:style>
  <w:style w:type="paragraph" w:styleId="Heading5">
    <w:name w:val="heading 5"/>
    <w:basedOn w:val="Normal"/>
    <w:next w:val="Body"/>
    <w:link w:val="Heading5Char"/>
    <w:uiPriority w:val="9"/>
    <w:qFormat/>
    <w:rsid w:val="00F22C04"/>
    <w:pPr>
      <w:keepNext/>
      <w:keepLines/>
      <w:numPr>
        <w:ilvl w:val="4"/>
        <w:numId w:val="44"/>
      </w:numPr>
      <w:spacing w:before="240" w:after="80"/>
      <w:outlineLvl w:val="4"/>
    </w:pPr>
    <w:rPr>
      <w:rFonts w:eastAsia="MS Mincho"/>
      <w:b/>
      <w:bCs/>
      <w:iCs/>
      <w:color w:val="53565A"/>
      <w:sz w:val="24"/>
      <w:szCs w:val="26"/>
    </w:rPr>
  </w:style>
  <w:style w:type="paragraph" w:styleId="Heading6">
    <w:name w:val="heading 6"/>
    <w:basedOn w:val="Normal"/>
    <w:next w:val="Normal"/>
    <w:link w:val="Heading6Char"/>
    <w:qFormat/>
    <w:rsid w:val="00F22C04"/>
    <w:pPr>
      <w:keepNext/>
      <w:keepLines/>
      <w:numPr>
        <w:ilvl w:val="5"/>
        <w:numId w:val="44"/>
      </w:numPr>
      <w:spacing w:before="240" w:after="0"/>
      <w:outlineLvl w:val="5"/>
    </w:pPr>
    <w:rPr>
      <w:rFonts w:eastAsiaTheme="majorEastAsia" w:cs="Arial"/>
      <w:b/>
      <w:iCs/>
      <w:color w:val="000000" w:themeColor="text1"/>
    </w:rPr>
  </w:style>
  <w:style w:type="paragraph" w:styleId="Heading7">
    <w:name w:val="heading 7"/>
    <w:basedOn w:val="Normal"/>
    <w:next w:val="Normal"/>
    <w:link w:val="Heading7Char"/>
    <w:uiPriority w:val="98"/>
    <w:semiHidden/>
    <w:qFormat/>
    <w:rsid w:val="000B27B9"/>
    <w:pPr>
      <w:numPr>
        <w:ilvl w:val="6"/>
        <w:numId w:val="44"/>
      </w:numPr>
      <w:spacing w:before="240" w:after="60" w:line="240" w:lineRule="auto"/>
      <w:outlineLvl w:val="6"/>
    </w:pPr>
    <w:rPr>
      <w:rFonts w:ascii="Calibri" w:hAnsi="Calibri"/>
      <w:sz w:val="24"/>
      <w:szCs w:val="24"/>
    </w:rPr>
  </w:style>
  <w:style w:type="paragraph" w:styleId="Heading8">
    <w:name w:val="heading 8"/>
    <w:basedOn w:val="Normal"/>
    <w:next w:val="Normal"/>
    <w:link w:val="Heading8Char"/>
    <w:uiPriority w:val="98"/>
    <w:semiHidden/>
    <w:qFormat/>
    <w:rsid w:val="000B27B9"/>
    <w:pPr>
      <w:numPr>
        <w:ilvl w:val="7"/>
        <w:numId w:val="44"/>
      </w:numPr>
      <w:spacing w:before="240" w:after="60" w:line="240" w:lineRule="auto"/>
      <w:outlineLvl w:val="7"/>
    </w:pPr>
    <w:rPr>
      <w:rFonts w:ascii="Calibri" w:hAnsi="Calibri"/>
      <w:i/>
      <w:iCs/>
      <w:sz w:val="24"/>
      <w:szCs w:val="24"/>
    </w:rPr>
  </w:style>
  <w:style w:type="paragraph" w:styleId="Heading9">
    <w:name w:val="heading 9"/>
    <w:basedOn w:val="Normal"/>
    <w:next w:val="Normal"/>
    <w:link w:val="Heading9Char"/>
    <w:uiPriority w:val="98"/>
    <w:semiHidden/>
    <w:qFormat/>
    <w:rsid w:val="000B27B9"/>
    <w:pPr>
      <w:numPr>
        <w:ilvl w:val="8"/>
        <w:numId w:val="44"/>
      </w:numPr>
      <w:spacing w:before="240" w:after="60" w:line="24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DE520F"/>
    <w:pPr>
      <w:spacing w:after="120" w:line="280" w:lineRule="atLeast"/>
    </w:pPr>
    <w:rPr>
      <w:rFonts w:ascii="Arial" w:eastAsia="Times" w:hAnsi="Arial"/>
      <w:sz w:val="21"/>
      <w:lang w:eastAsia="en-US"/>
    </w:rPr>
  </w:style>
  <w:style w:type="character" w:customStyle="1" w:styleId="Heading1Char">
    <w:name w:val="Heading 1 Char"/>
    <w:link w:val="Heading1"/>
    <w:rsid w:val="0064265C"/>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296999"/>
    <w:rPr>
      <w:rFonts w:ascii="Arial" w:hAnsi="Arial"/>
      <w:color w:val="201547"/>
      <w:sz w:val="44"/>
      <w:szCs w:val="28"/>
      <w:lang w:eastAsia="en-US"/>
    </w:rPr>
  </w:style>
  <w:style w:type="character" w:customStyle="1" w:styleId="Heading3Char">
    <w:name w:val="Heading 3 Char"/>
    <w:link w:val="Heading3"/>
    <w:uiPriority w:val="1"/>
    <w:rsid w:val="006832EE"/>
    <w:rPr>
      <w:rFonts w:ascii="Arial" w:eastAsia="MS Gothic" w:hAnsi="Arial"/>
      <w:b/>
      <w:bCs/>
      <w:color w:val="53565A"/>
      <w:sz w:val="32"/>
      <w:szCs w:val="26"/>
      <w:lang w:eastAsia="en-US"/>
    </w:rPr>
  </w:style>
  <w:style w:type="character" w:customStyle="1" w:styleId="Heading4Char">
    <w:name w:val="Heading 4 Char"/>
    <w:link w:val="Heading4"/>
    <w:uiPriority w:val="1"/>
    <w:rsid w:val="006832EE"/>
    <w:rPr>
      <w:rFonts w:ascii="Arial" w:eastAsia="MS Mincho" w:hAnsi="Arial"/>
      <w:bCs/>
      <w:color w:val="53565A"/>
      <w:sz w:val="28"/>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styleId="EndnoteText">
    <w:name w:val="endnote text"/>
    <w:basedOn w:val="Normal"/>
    <w:link w:val="EndnoteTextChar"/>
    <w:uiPriority w:val="98"/>
    <w:semiHidden/>
    <w:rsid w:val="00EA6F2B"/>
    <w:rPr>
      <w:sz w:val="24"/>
      <w:szCs w:val="24"/>
    </w:rPr>
  </w:style>
  <w:style w:type="character" w:customStyle="1" w:styleId="EndnoteTextChar">
    <w:name w:val="Endnote Text Char"/>
    <w:link w:val="EndnoteText"/>
    <w:uiPriority w:val="98"/>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
    <w:uiPriority w:val="98"/>
    <w:qFormat/>
    <w:rsid w:val="00AE6427"/>
    <w:pPr>
      <w:numPr>
        <w:numId w:val="4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rsid w:val="004F5EE5"/>
    <w:rPr>
      <w:color w:val="auto"/>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F22C04"/>
    <w:rPr>
      <w:rFonts w:ascii="Arial" w:eastAsia="MS Mincho" w:hAnsi="Arial"/>
      <w:b/>
      <w:bCs/>
      <w:iCs/>
      <w:color w:val="53565A"/>
      <w:sz w:val="24"/>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64265C"/>
    <w:pPr>
      <w:keepNext/>
      <w:keepLines/>
      <w:tabs>
        <w:tab w:val="left" w:pos="794"/>
        <w:tab w:val="right" w:leader="dot" w:pos="9299"/>
      </w:tabs>
      <w:spacing w:before="160" w:after="60"/>
      <w:ind w:left="794" w:hanging="794"/>
    </w:pPr>
    <w:rPr>
      <w:b/>
      <w:bCs/>
      <w:noProof/>
    </w:rPr>
  </w:style>
  <w:style w:type="paragraph" w:styleId="TOC3">
    <w:name w:val="toc 3"/>
    <w:basedOn w:val="Normal"/>
    <w:next w:val="Normal"/>
    <w:uiPriority w:val="39"/>
    <w:rsid w:val="0064265C"/>
    <w:pPr>
      <w:keepLines/>
      <w:tabs>
        <w:tab w:val="left" w:pos="794"/>
        <w:tab w:val="right" w:leader="dot" w:pos="9299"/>
      </w:tabs>
      <w:spacing w:after="60"/>
      <w:ind w:left="794" w:hanging="794"/>
    </w:pPr>
    <w:rPr>
      <w:rFonts w:cs="Arial"/>
    </w:rPr>
  </w:style>
  <w:style w:type="paragraph" w:styleId="TOC4">
    <w:name w:val="toc 4"/>
    <w:basedOn w:val="TOC3"/>
    <w:uiPriority w:val="39"/>
    <w:rsid w:val="0064265C"/>
    <w:pPr>
      <w:tabs>
        <w:tab w:val="clear" w:pos="794"/>
      </w:tabs>
      <w:ind w:left="0" w:firstLine="0"/>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uiPriority w:val="98"/>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AE6427"/>
    <w:pPr>
      <w:numPr>
        <w:ilvl w:val="1"/>
        <w:numId w:val="41"/>
      </w:numPr>
      <w:spacing w:after="40"/>
    </w:pPr>
  </w:style>
  <w:style w:type="paragraph" w:customStyle="1" w:styleId="Bodyafterbullets">
    <w:name w:val="Body after bullets"/>
    <w:basedOn w:val="Body"/>
    <w:uiPriority w:val="11"/>
    <w:rsid w:val="00DE520F"/>
    <w:pPr>
      <w:spacing w:before="120"/>
    </w:pPr>
  </w:style>
  <w:style w:type="paragraph" w:customStyle="1" w:styleId="Tablebullet2">
    <w:name w:val="Table bullet 2"/>
    <w:basedOn w:val="Tabletext"/>
    <w:uiPriority w:val="11"/>
    <w:rsid w:val="006832EE"/>
    <w:pPr>
      <w:numPr>
        <w:ilvl w:val="1"/>
        <w:numId w:val="1"/>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6832EE"/>
    <w:pPr>
      <w:numPr>
        <w:numId w:val="1"/>
      </w:numPr>
    </w:pPr>
  </w:style>
  <w:style w:type="numbering" w:customStyle="1" w:styleId="ZZTablebullets105pt">
    <w:name w:val="ZZ Table bullets 10.5pt"/>
    <w:basedOn w:val="NoList"/>
    <w:rsid w:val="006832EE"/>
    <w:pPr>
      <w:numPr>
        <w:numId w:val="1"/>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AE6427"/>
    <w:pPr>
      <w:numPr>
        <w:ilvl w:val="2"/>
        <w:numId w:val="42"/>
      </w:numPr>
      <w:tabs>
        <w:tab w:val="num" w:pos="360"/>
      </w:tabs>
      <w:ind w:left="0" w:firstLine="0"/>
    </w:pPr>
  </w:style>
  <w:style w:type="character" w:styleId="Hyperlink">
    <w:name w:val="Hyperlink"/>
    <w:uiPriority w:val="99"/>
    <w:qFormat/>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Normal"/>
    <w:semiHidden/>
    <w:rsid w:val="00355011"/>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6832EE"/>
    <w:pPr>
      <w:numPr>
        <w:numId w:val="18"/>
      </w:numPr>
    </w:pPr>
  </w:style>
  <w:style w:type="numbering" w:customStyle="1" w:styleId="ZZQuotebullets">
    <w:name w:val="ZZ Quote bullets"/>
    <w:basedOn w:val="NoList"/>
    <w:rsid w:val="006832EE"/>
    <w:pPr>
      <w:numPr>
        <w:numId w:val="21"/>
      </w:numPr>
    </w:pPr>
  </w:style>
  <w:style w:type="paragraph" w:customStyle="1" w:styleId="Numberdigit">
    <w:name w:val="Number digit"/>
    <w:basedOn w:val="Body"/>
    <w:uiPriority w:val="2"/>
    <w:rsid w:val="00AE6427"/>
    <w:pPr>
      <w:numPr>
        <w:numId w:val="42"/>
      </w:numPr>
    </w:pPr>
  </w:style>
  <w:style w:type="paragraph" w:customStyle="1" w:styleId="Numberloweralphaindent">
    <w:name w:val="Number lower alpha indent"/>
    <w:basedOn w:val="Body"/>
    <w:uiPriority w:val="3"/>
    <w:rsid w:val="006832EE"/>
    <w:pPr>
      <w:numPr>
        <w:ilvl w:val="1"/>
        <w:numId w:val="21"/>
      </w:numPr>
    </w:pPr>
  </w:style>
  <w:style w:type="paragraph" w:customStyle="1" w:styleId="Numberdigitindent">
    <w:name w:val="Number digit indent"/>
    <w:basedOn w:val="Numberloweralphaindent"/>
    <w:uiPriority w:val="3"/>
    <w:rsid w:val="00AE6427"/>
    <w:pPr>
      <w:numPr>
        <w:numId w:val="42"/>
      </w:numPr>
      <w:tabs>
        <w:tab w:val="clear" w:pos="794"/>
        <w:tab w:val="num" w:pos="360"/>
      </w:tabs>
    </w:pPr>
  </w:style>
  <w:style w:type="paragraph" w:customStyle="1" w:styleId="Numberloweralpha">
    <w:name w:val="Number lower alpha"/>
    <w:basedOn w:val="Body"/>
    <w:uiPriority w:val="3"/>
    <w:rsid w:val="006832EE"/>
    <w:pPr>
      <w:numPr>
        <w:numId w:val="21"/>
      </w:numPr>
    </w:pPr>
  </w:style>
  <w:style w:type="paragraph" w:customStyle="1" w:styleId="Numberlowerroman">
    <w:name w:val="Number lower roman"/>
    <w:basedOn w:val="Body"/>
    <w:uiPriority w:val="3"/>
    <w:rsid w:val="006832EE"/>
    <w:pPr>
      <w:numPr>
        <w:numId w:val="22"/>
      </w:numPr>
    </w:pPr>
  </w:style>
  <w:style w:type="paragraph" w:customStyle="1" w:styleId="Numberlowerromanindent">
    <w:name w:val="Number lower roman indent"/>
    <w:basedOn w:val="Body"/>
    <w:uiPriority w:val="3"/>
    <w:rsid w:val="006832EE"/>
    <w:pPr>
      <w:numPr>
        <w:ilvl w:val="1"/>
        <w:numId w:val="22"/>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DE520F"/>
    <w:pPr>
      <w:spacing w:before="240"/>
    </w:pPr>
  </w:style>
  <w:style w:type="paragraph" w:customStyle="1" w:styleId="Bulletafternumbers2">
    <w:name w:val="Bullet after numbers 2"/>
    <w:basedOn w:val="Body"/>
    <w:uiPriority w:val="98"/>
    <w:rsid w:val="00AE6427"/>
    <w:pPr>
      <w:numPr>
        <w:ilvl w:val="3"/>
        <w:numId w:val="42"/>
      </w:numPr>
      <w:tabs>
        <w:tab w:val="num" w:pos="360"/>
      </w:tabs>
      <w:ind w:left="0" w:firstLine="0"/>
    </w:pPr>
  </w:style>
  <w:style w:type="numbering" w:customStyle="1" w:styleId="ZZNumbersloweralpha">
    <w:name w:val="ZZ Numbers lower alpha"/>
    <w:basedOn w:val="NoList"/>
    <w:rsid w:val="006832EE"/>
    <w:pPr>
      <w:numPr>
        <w:numId w:val="20"/>
      </w:numPr>
    </w:pPr>
  </w:style>
  <w:style w:type="paragraph" w:customStyle="1" w:styleId="Quotebullet1">
    <w:name w:val="Quote bullet 1"/>
    <w:basedOn w:val="Quotetext"/>
    <w:uiPriority w:val="98"/>
    <w:rsid w:val="006832EE"/>
    <w:pPr>
      <w:tabs>
        <w:tab w:val="num" w:pos="397"/>
      </w:tabs>
      <w:ind w:hanging="397"/>
    </w:pPr>
  </w:style>
  <w:style w:type="paragraph" w:customStyle="1" w:styleId="Quotebullet2">
    <w:name w:val="Quote bullet 2"/>
    <w:basedOn w:val="Quotetext"/>
    <w:uiPriority w:val="98"/>
    <w:rsid w:val="006832EE"/>
    <w:pPr>
      <w:tabs>
        <w:tab w:val="num" w:pos="794"/>
      </w:tabs>
      <w:ind w:left="794" w:hanging="397"/>
    </w:pPr>
  </w:style>
  <w:style w:type="paragraph" w:styleId="CommentText">
    <w:name w:val="annotation text"/>
    <w:basedOn w:val="Normal"/>
    <w:link w:val="CommentTextChar"/>
    <w:uiPriority w:val="99"/>
    <w:rsid w:val="00982454"/>
  </w:style>
  <w:style w:type="character" w:customStyle="1" w:styleId="CommentTextChar">
    <w:name w:val="Comment Text Char"/>
    <w:basedOn w:val="DefaultParagraphFont"/>
    <w:link w:val="CommentText"/>
    <w:uiPriority w:val="99"/>
    <w:rsid w:val="00355011"/>
    <w:rPr>
      <w:rFonts w:ascii="Arial" w:hAnsi="Arial"/>
      <w:sz w:val="21"/>
      <w:lang w:eastAsia="en-US"/>
    </w:rPr>
  </w:style>
  <w:style w:type="character" w:styleId="CommentReference">
    <w:name w:val="annotation reference"/>
    <w:basedOn w:val="DefaultParagraphFont"/>
    <w:uiPriority w:val="99"/>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sz w:val="21"/>
      <w:lang w:eastAsia="en-US"/>
    </w:rPr>
  </w:style>
  <w:style w:type="character" w:customStyle="1" w:styleId="BodyChar">
    <w:name w:val="Body Char"/>
    <w:basedOn w:val="DefaultParagraphFont"/>
    <w:link w:val="Body"/>
    <w:rsid w:val="00DE520F"/>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Heading6Char">
    <w:name w:val="Heading 6 Char"/>
    <w:basedOn w:val="DefaultParagraphFont"/>
    <w:link w:val="Heading6"/>
    <w:rsid w:val="00355011"/>
    <w:rPr>
      <w:rFonts w:ascii="Arial" w:eastAsiaTheme="majorEastAsia" w:hAnsi="Arial" w:cs="Arial"/>
      <w:b/>
      <w:iCs/>
      <w:color w:val="000000" w:themeColor="text1"/>
      <w:sz w:val="21"/>
      <w:lang w:eastAsia="en-US"/>
    </w:rPr>
  </w:style>
  <w:style w:type="character" w:customStyle="1" w:styleId="Heading7Char">
    <w:name w:val="Heading 7 Char"/>
    <w:basedOn w:val="DefaultParagraphFont"/>
    <w:link w:val="Heading7"/>
    <w:uiPriority w:val="98"/>
    <w:semiHidden/>
    <w:rsid w:val="00355011"/>
    <w:rPr>
      <w:rFonts w:ascii="Calibri" w:hAnsi="Calibri"/>
      <w:sz w:val="24"/>
      <w:szCs w:val="24"/>
      <w:lang w:eastAsia="en-US"/>
    </w:rPr>
  </w:style>
  <w:style w:type="character" w:customStyle="1" w:styleId="Heading8Char">
    <w:name w:val="Heading 8 Char"/>
    <w:basedOn w:val="DefaultParagraphFont"/>
    <w:link w:val="Heading8"/>
    <w:uiPriority w:val="98"/>
    <w:semiHidden/>
    <w:rsid w:val="00355011"/>
    <w:rPr>
      <w:rFonts w:ascii="Calibri" w:hAnsi="Calibri"/>
      <w:i/>
      <w:iCs/>
      <w:sz w:val="24"/>
      <w:szCs w:val="24"/>
      <w:lang w:eastAsia="en-US"/>
    </w:rPr>
  </w:style>
  <w:style w:type="character" w:customStyle="1" w:styleId="Heading9Char">
    <w:name w:val="Heading 9 Char"/>
    <w:basedOn w:val="DefaultParagraphFont"/>
    <w:link w:val="Heading9"/>
    <w:uiPriority w:val="98"/>
    <w:semiHidden/>
    <w:rsid w:val="00355011"/>
    <w:rPr>
      <w:rFonts w:ascii="Cambria" w:hAnsi="Cambria"/>
      <w:sz w:val="22"/>
      <w:szCs w:val="22"/>
      <w:lang w:eastAsia="en-US"/>
    </w:rPr>
  </w:style>
  <w:style w:type="paragraph" w:styleId="ListParagraph">
    <w:name w:val="List Paragraph"/>
    <w:basedOn w:val="Normal"/>
    <w:link w:val="ListParagraphChar"/>
    <w:uiPriority w:val="34"/>
    <w:qFormat/>
    <w:rsid w:val="000B27B9"/>
    <w:pPr>
      <w:spacing w:after="0" w:line="240" w:lineRule="auto"/>
      <w:ind w:left="720"/>
    </w:pPr>
    <w:rPr>
      <w:rFonts w:ascii="Cambria" w:hAnsi="Cambria"/>
      <w:sz w:val="20"/>
    </w:rPr>
  </w:style>
  <w:style w:type="paragraph" w:customStyle="1" w:styleId="Tablefigurenote9pt">
    <w:name w:val="Table/figure note 9pt"/>
    <w:uiPriority w:val="4"/>
    <w:rsid w:val="000B27B9"/>
    <w:pPr>
      <w:spacing w:before="60" w:after="60" w:line="240" w:lineRule="exact"/>
    </w:pPr>
    <w:rPr>
      <w:rFonts w:ascii="Arial" w:hAnsi="Arial"/>
      <w:sz w:val="18"/>
      <w:lang w:eastAsia="en-US"/>
    </w:rPr>
  </w:style>
  <w:style w:type="paragraph" w:customStyle="1" w:styleId="Tabletext9pt">
    <w:name w:val="Table text 9pt"/>
    <w:uiPriority w:val="3"/>
    <w:qFormat/>
    <w:rsid w:val="000B27B9"/>
    <w:pPr>
      <w:spacing w:before="80" w:after="60"/>
    </w:pPr>
    <w:rPr>
      <w:rFonts w:ascii="Arial" w:hAnsi="Arial"/>
      <w:sz w:val="18"/>
      <w:lang w:eastAsia="en-US"/>
    </w:rPr>
  </w:style>
  <w:style w:type="paragraph" w:customStyle="1" w:styleId="Acronym">
    <w:name w:val="Acronym"/>
    <w:basedOn w:val="Normal"/>
    <w:uiPriority w:val="8"/>
    <w:rsid w:val="000B27B9"/>
    <w:pPr>
      <w:tabs>
        <w:tab w:val="left" w:pos="1418"/>
      </w:tabs>
      <w:spacing w:after="60" w:line="270" w:lineRule="atLeast"/>
    </w:pPr>
    <w:rPr>
      <w:rFonts w:eastAsia="Times"/>
      <w:sz w:val="20"/>
    </w:rPr>
  </w:style>
  <w:style w:type="character" w:styleId="UnresolvedMention">
    <w:name w:val="Unresolved Mention"/>
    <w:basedOn w:val="DefaultParagraphFont"/>
    <w:uiPriority w:val="99"/>
    <w:unhideWhenUsed/>
    <w:rsid w:val="009C3286"/>
    <w:rPr>
      <w:color w:val="605E5C"/>
      <w:shd w:val="clear" w:color="auto" w:fill="E1DFDD"/>
    </w:rPr>
  </w:style>
  <w:style w:type="paragraph" w:customStyle="1" w:styleId="Tablecolhead9pt">
    <w:name w:val="Table col head 9pt"/>
    <w:uiPriority w:val="99"/>
    <w:qFormat/>
    <w:rsid w:val="000B27B9"/>
    <w:pPr>
      <w:spacing w:before="80" w:after="60"/>
    </w:pPr>
    <w:rPr>
      <w:rFonts w:ascii="Arial" w:hAnsi="Arial"/>
      <w:b/>
      <w:color w:val="FFFFFF"/>
      <w:sz w:val="18"/>
      <w:lang w:eastAsia="en-US"/>
    </w:rPr>
  </w:style>
  <w:style w:type="paragraph" w:customStyle="1" w:styleId="Tablebullet9pt">
    <w:name w:val="Table bullet 9pt"/>
    <w:basedOn w:val="Tabletext9pt"/>
    <w:uiPriority w:val="3"/>
    <w:qFormat/>
    <w:rsid w:val="006832EE"/>
    <w:pPr>
      <w:numPr>
        <w:numId w:val="29"/>
      </w:numPr>
    </w:pPr>
  </w:style>
  <w:style w:type="character" w:styleId="Emphasis">
    <w:name w:val="Emphasis"/>
    <w:uiPriority w:val="20"/>
    <w:qFormat/>
    <w:rsid w:val="000B27B9"/>
    <w:rPr>
      <w:i/>
      <w:iCs/>
    </w:rPr>
  </w:style>
  <w:style w:type="table" w:styleId="MediumShading2-Accent5">
    <w:name w:val="Medium Shading 2 Accent 5"/>
    <w:basedOn w:val="TableNormal"/>
    <w:uiPriority w:val="69"/>
    <w:rsid w:val="000B27B9"/>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rsid w:val="000B27B9"/>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qFormat/>
    <w:rsid w:val="000B27B9"/>
    <w:pPr>
      <w:spacing w:before="480" w:after="0" w:line="276" w:lineRule="auto"/>
      <w:outlineLvl w:val="9"/>
    </w:pPr>
    <w:rPr>
      <w:rFonts w:ascii="Cambria" w:hAnsi="Cambria" w:cs="Times New Roman"/>
      <w:b/>
      <w:color w:val="365F91"/>
      <w:kern w:val="0"/>
      <w:sz w:val="28"/>
      <w:szCs w:val="28"/>
      <w:lang w:val="en-US" w:eastAsia="ja-JP"/>
    </w:rPr>
  </w:style>
  <w:style w:type="paragraph" w:styleId="Caption">
    <w:name w:val="caption"/>
    <w:next w:val="Normal"/>
    <w:uiPriority w:val="4"/>
    <w:semiHidden/>
    <w:qFormat/>
    <w:rsid w:val="000B27B9"/>
    <w:pPr>
      <w:keepNext/>
      <w:keepLines/>
      <w:spacing w:before="240" w:after="120" w:line="270" w:lineRule="exact"/>
    </w:pPr>
    <w:rPr>
      <w:rFonts w:ascii="Arial" w:hAnsi="Arial"/>
      <w:b/>
      <w:bCs/>
      <w:lang w:eastAsia="en-US"/>
    </w:rPr>
  </w:style>
  <w:style w:type="paragraph" w:styleId="TableofFigures">
    <w:name w:val="table of figures"/>
    <w:basedOn w:val="Normal"/>
    <w:next w:val="Normal"/>
    <w:link w:val="TableofFiguresChar"/>
    <w:uiPriority w:val="98"/>
    <w:semiHidden/>
    <w:qFormat/>
    <w:rsid w:val="000B27B9"/>
    <w:pPr>
      <w:spacing w:after="0" w:line="240" w:lineRule="auto"/>
      <w:jc w:val="right"/>
    </w:pPr>
    <w:rPr>
      <w:rFonts w:ascii="Calibri" w:hAnsi="Calibri"/>
      <w:sz w:val="20"/>
      <w:szCs w:val="18"/>
    </w:rPr>
  </w:style>
  <w:style w:type="character" w:customStyle="1" w:styleId="TableofFiguresChar">
    <w:name w:val="Table of Figures Char"/>
    <w:link w:val="TableofFigures"/>
    <w:uiPriority w:val="98"/>
    <w:semiHidden/>
    <w:rsid w:val="000B27B9"/>
    <w:rPr>
      <w:rFonts w:ascii="Calibri" w:hAnsi="Calibri"/>
      <w:szCs w:val="18"/>
      <w:lang w:eastAsia="en-US"/>
    </w:rPr>
  </w:style>
  <w:style w:type="character" w:customStyle="1" w:styleId="ListParagraphChar">
    <w:name w:val="List Paragraph Char"/>
    <w:link w:val="ListParagraph"/>
    <w:uiPriority w:val="34"/>
    <w:qFormat/>
    <w:locked/>
    <w:rsid w:val="000B27B9"/>
    <w:rPr>
      <w:rFonts w:ascii="Cambria" w:hAnsi="Cambria"/>
      <w:lang w:eastAsia="en-US"/>
    </w:rPr>
  </w:style>
  <w:style w:type="character" w:customStyle="1" w:styleId="Mention1">
    <w:name w:val="Mention1"/>
    <w:basedOn w:val="DefaultParagraphFont"/>
    <w:uiPriority w:val="99"/>
    <w:semiHidden/>
    <w:unhideWhenUsed/>
    <w:rsid w:val="000B27B9"/>
    <w:rPr>
      <w:color w:val="2B579A"/>
      <w:shd w:val="clear" w:color="auto" w:fill="E6E6E6"/>
    </w:rPr>
  </w:style>
  <w:style w:type="paragraph" w:styleId="ListBullet">
    <w:name w:val="List Bullet"/>
    <w:basedOn w:val="Normal"/>
    <w:uiPriority w:val="98"/>
    <w:semiHidden/>
    <w:rsid w:val="000B27B9"/>
    <w:pPr>
      <w:tabs>
        <w:tab w:val="num" w:pos="360"/>
      </w:tabs>
      <w:spacing w:after="0" w:line="240" w:lineRule="auto"/>
      <w:ind w:left="360" w:hanging="360"/>
      <w:contextualSpacing/>
    </w:pPr>
    <w:rPr>
      <w:rFonts w:ascii="Cambria" w:hAnsi="Cambria"/>
      <w:sz w:val="20"/>
    </w:rPr>
  </w:style>
  <w:style w:type="table" w:customStyle="1" w:styleId="TableGrid1">
    <w:name w:val="Table Grid1"/>
    <w:basedOn w:val="TableNormal"/>
    <w:next w:val="TableGrid"/>
    <w:uiPriority w:val="59"/>
    <w:rsid w:val="00DE7D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tblPr/>
      <w:tcPr>
        <w:shd w:val="clear" w:color="auto" w:fill="201547"/>
      </w:tcPr>
    </w:tblStylePr>
  </w:style>
  <w:style w:type="paragraph" w:styleId="NormalWeb">
    <w:name w:val="Normal (Web)"/>
    <w:basedOn w:val="Normal"/>
    <w:uiPriority w:val="98"/>
    <w:semiHidden/>
    <w:unhideWhenUsed/>
    <w:rsid w:val="000B27B9"/>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link w:val="DefaultChar"/>
    <w:rsid w:val="000B27B9"/>
    <w:pPr>
      <w:autoSpaceDE w:val="0"/>
      <w:autoSpaceDN w:val="0"/>
      <w:adjustRightInd w:val="0"/>
    </w:pPr>
    <w:rPr>
      <w:rFonts w:ascii="Arial" w:eastAsiaTheme="minorHAnsi" w:hAnsi="Arial" w:cs="Arial"/>
      <w:color w:val="000000"/>
      <w:sz w:val="24"/>
      <w:szCs w:val="24"/>
      <w:lang w:eastAsia="en-US"/>
    </w:rPr>
  </w:style>
  <w:style w:type="character" w:customStyle="1" w:styleId="Hyperlinkitalic">
    <w:name w:val="Hyperlink italic"/>
    <w:basedOn w:val="Hyperlink"/>
    <w:uiPriority w:val="1"/>
    <w:qFormat/>
    <w:rsid w:val="00B229F3"/>
    <w:rPr>
      <w:i/>
      <w:color w:val="004C97"/>
      <w:u w:val="dotted"/>
    </w:rPr>
  </w:style>
  <w:style w:type="paragraph" w:customStyle="1" w:styleId="Heading1PartOpener">
    <w:name w:val="Heading 1 Part Opener"/>
    <w:basedOn w:val="Heading1"/>
    <w:uiPriority w:val="98"/>
    <w:rsid w:val="00296999"/>
    <w:pPr>
      <w:pageBreakBefore w:val="0"/>
      <w:tabs>
        <w:tab w:val="left" w:pos="720"/>
      </w:tabs>
      <w:spacing w:before="2640" w:after="440" w:line="440" w:lineRule="atLeast"/>
    </w:pPr>
    <w:rPr>
      <w:rFonts w:eastAsia="Times New Roman" w:cs="Times New Roman"/>
      <w:kern w:val="0"/>
      <w:sz w:val="60"/>
      <w:szCs w:val="60"/>
    </w:rPr>
  </w:style>
  <w:style w:type="character" w:customStyle="1" w:styleId="HeaderChar">
    <w:name w:val="Header Char"/>
    <w:link w:val="Header"/>
    <w:uiPriority w:val="10"/>
    <w:locked/>
    <w:rsid w:val="000B27B9"/>
    <w:rPr>
      <w:rFonts w:ascii="Arial" w:hAnsi="Arial" w:cs="Arial"/>
      <w:b/>
      <w:color w:val="53565A"/>
      <w:sz w:val="18"/>
      <w:szCs w:val="18"/>
      <w:lang w:eastAsia="en-US"/>
    </w:rPr>
  </w:style>
  <w:style w:type="character" w:customStyle="1" w:styleId="FooterChar">
    <w:name w:val="Footer Char"/>
    <w:link w:val="Footer"/>
    <w:uiPriority w:val="8"/>
    <w:locked/>
    <w:rsid w:val="000B27B9"/>
    <w:rPr>
      <w:rFonts w:ascii="Arial" w:hAnsi="Arial" w:cs="Arial"/>
      <w:szCs w:val="18"/>
      <w:lang w:eastAsia="en-US"/>
    </w:rPr>
  </w:style>
  <w:style w:type="paragraph" w:customStyle="1" w:styleId="ColorfulShading-Accent11">
    <w:name w:val="Colorful Shading - Accent 11"/>
    <w:hidden/>
    <w:uiPriority w:val="99"/>
    <w:rsid w:val="000B27B9"/>
    <w:rPr>
      <w:rFonts w:ascii="Cambria" w:hAnsi="Cambria"/>
      <w:lang w:eastAsia="en-US"/>
    </w:rPr>
  </w:style>
  <w:style w:type="paragraph" w:styleId="BodyText">
    <w:name w:val="Body Text"/>
    <w:basedOn w:val="Normal"/>
    <w:link w:val="BodyTextChar1"/>
    <w:uiPriority w:val="98"/>
    <w:semiHidden/>
    <w:rsid w:val="000B27B9"/>
    <w:pPr>
      <w:spacing w:after="0" w:line="240" w:lineRule="auto"/>
    </w:pPr>
    <w:rPr>
      <w:rFonts w:ascii="Verdana" w:hAnsi="Verdana"/>
      <w:sz w:val="18"/>
    </w:rPr>
  </w:style>
  <w:style w:type="character" w:customStyle="1" w:styleId="BodyTextChar">
    <w:name w:val="Body Text Char"/>
    <w:basedOn w:val="DefaultParagraphFont"/>
    <w:uiPriority w:val="99"/>
    <w:semiHidden/>
    <w:rsid w:val="000B27B9"/>
    <w:rPr>
      <w:rFonts w:ascii="Arial" w:hAnsi="Arial"/>
      <w:sz w:val="21"/>
      <w:lang w:eastAsia="en-US"/>
    </w:rPr>
  </w:style>
  <w:style w:type="paragraph" w:customStyle="1" w:styleId="LightList-Accent31">
    <w:name w:val="Light List - Accent 31"/>
    <w:hidden/>
    <w:uiPriority w:val="99"/>
    <w:semiHidden/>
    <w:rsid w:val="000B27B9"/>
    <w:rPr>
      <w:rFonts w:ascii="Cambria" w:hAnsi="Cambria"/>
      <w:lang w:eastAsia="en-US"/>
    </w:rPr>
  </w:style>
  <w:style w:type="paragraph" w:customStyle="1" w:styleId="SubtleEmphasis1">
    <w:name w:val="Subtle Emphasis1"/>
    <w:basedOn w:val="Normal"/>
    <w:uiPriority w:val="99"/>
    <w:semiHidden/>
    <w:rsid w:val="000B27B9"/>
    <w:pPr>
      <w:spacing w:after="0" w:line="240" w:lineRule="auto"/>
      <w:ind w:left="720"/>
      <w:contextualSpacing/>
    </w:pPr>
    <w:rPr>
      <w:rFonts w:ascii="Verdana" w:hAnsi="Verdana"/>
      <w:sz w:val="20"/>
    </w:rPr>
  </w:style>
  <w:style w:type="character" w:customStyle="1" w:styleId="DefaultChar">
    <w:name w:val="Default Char"/>
    <w:link w:val="Default"/>
    <w:semiHidden/>
    <w:locked/>
    <w:rsid w:val="00355011"/>
    <w:rPr>
      <w:rFonts w:ascii="Arial" w:eastAsiaTheme="minorHAnsi" w:hAnsi="Arial" w:cs="Arial"/>
      <w:color w:val="000000"/>
      <w:sz w:val="24"/>
      <w:szCs w:val="24"/>
      <w:lang w:eastAsia="en-US"/>
    </w:rPr>
  </w:style>
  <w:style w:type="character" w:styleId="HTMLCite">
    <w:name w:val="HTML Cite"/>
    <w:uiPriority w:val="98"/>
    <w:semiHidden/>
    <w:rsid w:val="000B27B9"/>
    <w:rPr>
      <w:rFonts w:cs="Times New Roman"/>
      <w:i/>
    </w:rPr>
  </w:style>
  <w:style w:type="paragraph" w:styleId="ListNumber">
    <w:name w:val="List Number"/>
    <w:basedOn w:val="Normal"/>
    <w:uiPriority w:val="98"/>
    <w:semiHidden/>
    <w:rsid w:val="000B27B9"/>
    <w:pPr>
      <w:tabs>
        <w:tab w:val="num" w:pos="360"/>
      </w:tabs>
      <w:spacing w:after="0" w:line="240" w:lineRule="auto"/>
      <w:ind w:left="360" w:hanging="360"/>
    </w:pPr>
    <w:rPr>
      <w:rFonts w:ascii="Verdana" w:hAnsi="Verdana"/>
      <w:sz w:val="20"/>
    </w:rPr>
  </w:style>
  <w:style w:type="paragraph" w:customStyle="1" w:styleId="ColorfulGrid-Accent61">
    <w:name w:val="Colorful Grid - Accent 61"/>
    <w:hidden/>
    <w:uiPriority w:val="99"/>
    <w:rsid w:val="000B27B9"/>
    <w:rPr>
      <w:rFonts w:ascii="Verdana" w:hAnsi="Verdana"/>
      <w:lang w:eastAsia="en-US"/>
    </w:rPr>
  </w:style>
  <w:style w:type="paragraph" w:customStyle="1" w:styleId="Tablefooternote">
    <w:name w:val="Table footer note"/>
    <w:basedOn w:val="Footer"/>
    <w:autoRedefine/>
    <w:uiPriority w:val="99"/>
    <w:semiHidden/>
    <w:rsid w:val="000B27B9"/>
    <w:pPr>
      <w:tabs>
        <w:tab w:val="center" w:pos="4153"/>
        <w:tab w:val="right" w:pos="8306"/>
      </w:tabs>
      <w:spacing w:before="120" w:after="120"/>
      <w:jc w:val="left"/>
    </w:pPr>
    <w:rPr>
      <w:rFonts w:ascii="Verdana" w:hAnsi="Verdana" w:cs="CorporateSBQ-Med"/>
      <w:color w:val="000080"/>
      <w:sz w:val="16"/>
      <w:szCs w:val="20"/>
      <w:lang w:val="en-US" w:eastAsia="en-AU"/>
    </w:rPr>
  </w:style>
  <w:style w:type="paragraph" w:customStyle="1" w:styleId="DraftFooter">
    <w:name w:val="Draft Footer"/>
    <w:basedOn w:val="Footer"/>
    <w:uiPriority w:val="99"/>
    <w:semiHidden/>
    <w:rsid w:val="000B27B9"/>
    <w:pPr>
      <w:tabs>
        <w:tab w:val="center" w:pos="4153"/>
        <w:tab w:val="right" w:pos="8306"/>
      </w:tabs>
      <w:spacing w:before="0"/>
      <w:ind w:left="-91"/>
      <w:jc w:val="left"/>
    </w:pPr>
    <w:rPr>
      <w:rFonts w:ascii="Centaur" w:hAnsi="Centaur" w:cs="Times New Roman"/>
      <w:noProof/>
      <w:sz w:val="16"/>
      <w:szCs w:val="24"/>
      <w:lang w:eastAsia="en-AU"/>
    </w:rPr>
  </w:style>
  <w:style w:type="paragraph" w:styleId="Date">
    <w:name w:val="Date"/>
    <w:basedOn w:val="Normal"/>
    <w:next w:val="Normal"/>
    <w:link w:val="DateChar"/>
    <w:uiPriority w:val="98"/>
    <w:semiHidden/>
    <w:rsid w:val="000B27B9"/>
    <w:pPr>
      <w:spacing w:after="0" w:line="240" w:lineRule="auto"/>
      <w:ind w:left="-91"/>
    </w:pPr>
    <w:rPr>
      <w:rFonts w:ascii="Verdana" w:hAnsi="Verdana"/>
      <w:noProof/>
      <w:sz w:val="20"/>
      <w:szCs w:val="24"/>
      <w:lang w:eastAsia="en-AU"/>
    </w:rPr>
  </w:style>
  <w:style w:type="character" w:customStyle="1" w:styleId="DateChar">
    <w:name w:val="Date Char"/>
    <w:basedOn w:val="DefaultParagraphFont"/>
    <w:link w:val="Date"/>
    <w:uiPriority w:val="98"/>
    <w:semiHidden/>
    <w:rsid w:val="000B27B9"/>
    <w:rPr>
      <w:rFonts w:ascii="Verdana" w:hAnsi="Verdana"/>
      <w:noProof/>
      <w:szCs w:val="24"/>
    </w:rPr>
  </w:style>
  <w:style w:type="paragraph" w:customStyle="1" w:styleId="Superscript">
    <w:name w:val="Superscript"/>
    <w:basedOn w:val="Normal"/>
    <w:link w:val="SuperscriptChar"/>
    <w:autoRedefine/>
    <w:uiPriority w:val="99"/>
    <w:semiHidden/>
    <w:rsid w:val="000B27B9"/>
    <w:pPr>
      <w:spacing w:after="200" w:line="276" w:lineRule="auto"/>
      <w:ind w:left="-91"/>
    </w:pPr>
    <w:rPr>
      <w:rFonts w:ascii="CorporateSBQ-Regular" w:hAnsi="CorporateSBQ-Regular"/>
      <w:bCs/>
      <w:sz w:val="20"/>
      <w:szCs w:val="17"/>
      <w:vertAlign w:val="superscript"/>
      <w:lang w:val="en-US"/>
    </w:rPr>
  </w:style>
  <w:style w:type="paragraph" w:customStyle="1" w:styleId="TableFotternotewithbullets">
    <w:name w:val="Table Fotter note with bullets"/>
    <w:basedOn w:val="Tablefooternote"/>
    <w:autoRedefine/>
    <w:uiPriority w:val="99"/>
    <w:semiHidden/>
    <w:rsid w:val="000B27B9"/>
    <w:pPr>
      <w:numPr>
        <w:numId w:val="2"/>
      </w:numPr>
      <w:tabs>
        <w:tab w:val="num" w:pos="360"/>
      </w:tabs>
      <w:spacing w:before="0" w:after="0" w:line="276" w:lineRule="auto"/>
    </w:pPr>
    <w:rPr>
      <w:rFonts w:cs="Times New Roman"/>
      <w:szCs w:val="16"/>
      <w:lang w:val="en-AU" w:eastAsia="en-US"/>
    </w:rPr>
  </w:style>
  <w:style w:type="paragraph" w:customStyle="1" w:styleId="Tablefirstlineheader">
    <w:name w:val="Table first line header"/>
    <w:basedOn w:val="Normal"/>
    <w:autoRedefine/>
    <w:uiPriority w:val="99"/>
    <w:semiHidden/>
    <w:rsid w:val="000B27B9"/>
    <w:pPr>
      <w:spacing w:before="30" w:after="30" w:line="276" w:lineRule="auto"/>
      <w:ind w:left="-91"/>
    </w:pPr>
    <w:rPr>
      <w:rFonts w:ascii="CorporateSBQ-Med" w:hAnsi="CorporateSBQ-Med"/>
      <w:bCs/>
      <w:sz w:val="20"/>
      <w:szCs w:val="17"/>
      <w:lang w:val="en-US"/>
    </w:rPr>
  </w:style>
  <w:style w:type="character" w:customStyle="1" w:styleId="SuperscriptChar">
    <w:name w:val="Superscript Char"/>
    <w:link w:val="Superscript"/>
    <w:uiPriority w:val="99"/>
    <w:locked/>
    <w:rsid w:val="000B27B9"/>
    <w:rPr>
      <w:rFonts w:ascii="CorporateSBQ-Regular" w:hAnsi="CorporateSBQ-Regular"/>
      <w:bCs/>
      <w:szCs w:val="17"/>
      <w:vertAlign w:val="superscript"/>
      <w:lang w:val="en-US" w:eastAsia="en-US"/>
    </w:rPr>
  </w:style>
  <w:style w:type="paragraph" w:styleId="BodyText2">
    <w:name w:val="Body Text 2"/>
    <w:basedOn w:val="Normal"/>
    <w:link w:val="BodyText2Char"/>
    <w:uiPriority w:val="98"/>
    <w:semiHidden/>
    <w:rsid w:val="000B27B9"/>
    <w:pPr>
      <w:spacing w:line="480" w:lineRule="auto"/>
      <w:ind w:left="-91"/>
    </w:pPr>
    <w:rPr>
      <w:rFonts w:ascii="Verdana" w:hAnsi="Verdana"/>
      <w:sz w:val="20"/>
      <w:szCs w:val="22"/>
    </w:rPr>
  </w:style>
  <w:style w:type="character" w:customStyle="1" w:styleId="BodyText2Char">
    <w:name w:val="Body Text 2 Char"/>
    <w:basedOn w:val="DefaultParagraphFont"/>
    <w:link w:val="BodyText2"/>
    <w:uiPriority w:val="98"/>
    <w:semiHidden/>
    <w:rsid w:val="000B27B9"/>
    <w:rPr>
      <w:rFonts w:ascii="Verdana" w:hAnsi="Verdana"/>
      <w:szCs w:val="22"/>
      <w:lang w:eastAsia="en-US"/>
    </w:rPr>
  </w:style>
  <w:style w:type="paragraph" w:styleId="BodyText3">
    <w:name w:val="Body Text 3"/>
    <w:basedOn w:val="Normal"/>
    <w:link w:val="BodyText3Char"/>
    <w:uiPriority w:val="98"/>
    <w:semiHidden/>
    <w:rsid w:val="000B27B9"/>
    <w:pPr>
      <w:spacing w:line="276" w:lineRule="auto"/>
      <w:ind w:left="-91"/>
    </w:pPr>
    <w:rPr>
      <w:rFonts w:ascii="Verdana" w:hAnsi="Verdana"/>
      <w:sz w:val="16"/>
      <w:szCs w:val="16"/>
    </w:rPr>
  </w:style>
  <w:style w:type="character" w:customStyle="1" w:styleId="BodyText3Char">
    <w:name w:val="Body Text 3 Char"/>
    <w:basedOn w:val="DefaultParagraphFont"/>
    <w:link w:val="BodyText3"/>
    <w:uiPriority w:val="98"/>
    <w:semiHidden/>
    <w:rsid w:val="000B27B9"/>
    <w:rPr>
      <w:rFonts w:ascii="Verdana" w:hAnsi="Verdana"/>
      <w:sz w:val="16"/>
      <w:szCs w:val="16"/>
      <w:lang w:eastAsia="en-US"/>
    </w:rPr>
  </w:style>
  <w:style w:type="paragraph" w:styleId="BodyTextFirstIndent">
    <w:name w:val="Body Text First Indent"/>
    <w:basedOn w:val="BodyText"/>
    <w:link w:val="BodyTextFirstIndentChar"/>
    <w:uiPriority w:val="98"/>
    <w:semiHidden/>
    <w:rsid w:val="000B27B9"/>
    <w:pPr>
      <w:spacing w:after="120" w:line="276" w:lineRule="auto"/>
      <w:ind w:left="-91" w:firstLine="210"/>
    </w:pPr>
    <w:rPr>
      <w:sz w:val="20"/>
      <w:szCs w:val="22"/>
    </w:rPr>
  </w:style>
  <w:style w:type="character" w:customStyle="1" w:styleId="BodyTextFirstIndentChar">
    <w:name w:val="Body Text First Indent Char"/>
    <w:basedOn w:val="BodyTextChar"/>
    <w:link w:val="BodyTextFirstIndent"/>
    <w:uiPriority w:val="98"/>
    <w:semiHidden/>
    <w:rsid w:val="000B27B9"/>
    <w:rPr>
      <w:rFonts w:ascii="Verdana" w:hAnsi="Verdana"/>
      <w:sz w:val="21"/>
      <w:szCs w:val="22"/>
      <w:lang w:eastAsia="en-US"/>
    </w:rPr>
  </w:style>
  <w:style w:type="character" w:customStyle="1" w:styleId="BodyTextChar1">
    <w:name w:val="Body Text Char1"/>
    <w:link w:val="BodyText"/>
    <w:uiPriority w:val="98"/>
    <w:semiHidden/>
    <w:locked/>
    <w:rsid w:val="000B27B9"/>
    <w:rPr>
      <w:rFonts w:ascii="Verdana" w:hAnsi="Verdana"/>
      <w:sz w:val="18"/>
      <w:lang w:eastAsia="en-US"/>
    </w:rPr>
  </w:style>
  <w:style w:type="paragraph" w:styleId="BodyTextIndent">
    <w:name w:val="Body Text Indent"/>
    <w:basedOn w:val="Normal"/>
    <w:link w:val="BodyTextIndentChar"/>
    <w:uiPriority w:val="98"/>
    <w:semiHidden/>
    <w:rsid w:val="000B27B9"/>
    <w:pPr>
      <w:spacing w:line="276" w:lineRule="auto"/>
      <w:ind w:left="283"/>
    </w:pPr>
    <w:rPr>
      <w:rFonts w:ascii="Verdana" w:hAnsi="Verdana"/>
      <w:sz w:val="20"/>
      <w:szCs w:val="22"/>
    </w:rPr>
  </w:style>
  <w:style w:type="character" w:customStyle="1" w:styleId="BodyTextIndentChar">
    <w:name w:val="Body Text Indent Char"/>
    <w:basedOn w:val="DefaultParagraphFont"/>
    <w:link w:val="BodyTextIndent"/>
    <w:uiPriority w:val="98"/>
    <w:semiHidden/>
    <w:rsid w:val="000B27B9"/>
    <w:rPr>
      <w:rFonts w:ascii="Verdana" w:hAnsi="Verdana"/>
      <w:szCs w:val="22"/>
      <w:lang w:eastAsia="en-US"/>
    </w:rPr>
  </w:style>
  <w:style w:type="paragraph" w:styleId="BodyTextFirstIndent2">
    <w:name w:val="Body Text First Indent 2"/>
    <w:basedOn w:val="BodyTextIndent"/>
    <w:link w:val="BodyTextFirstIndent2Char"/>
    <w:uiPriority w:val="98"/>
    <w:semiHidden/>
    <w:rsid w:val="000B27B9"/>
    <w:pPr>
      <w:ind w:firstLine="210"/>
    </w:pPr>
  </w:style>
  <w:style w:type="character" w:customStyle="1" w:styleId="BodyTextFirstIndent2Char">
    <w:name w:val="Body Text First Indent 2 Char"/>
    <w:basedOn w:val="BodyTextIndentChar"/>
    <w:link w:val="BodyTextFirstIndent2"/>
    <w:uiPriority w:val="98"/>
    <w:semiHidden/>
    <w:rsid w:val="000B27B9"/>
    <w:rPr>
      <w:rFonts w:ascii="Verdana" w:hAnsi="Verdana"/>
      <w:szCs w:val="22"/>
      <w:lang w:eastAsia="en-US"/>
    </w:rPr>
  </w:style>
  <w:style w:type="paragraph" w:styleId="BodyTextIndent2">
    <w:name w:val="Body Text Indent 2"/>
    <w:basedOn w:val="Normal"/>
    <w:link w:val="BodyTextIndent2Char"/>
    <w:uiPriority w:val="98"/>
    <w:semiHidden/>
    <w:rsid w:val="000B27B9"/>
    <w:pPr>
      <w:spacing w:line="480" w:lineRule="auto"/>
      <w:ind w:left="283"/>
    </w:pPr>
    <w:rPr>
      <w:rFonts w:ascii="Verdana" w:hAnsi="Verdana"/>
      <w:sz w:val="20"/>
      <w:szCs w:val="22"/>
    </w:rPr>
  </w:style>
  <w:style w:type="character" w:customStyle="1" w:styleId="BodyTextIndent2Char">
    <w:name w:val="Body Text Indent 2 Char"/>
    <w:basedOn w:val="DefaultParagraphFont"/>
    <w:link w:val="BodyTextIndent2"/>
    <w:uiPriority w:val="98"/>
    <w:semiHidden/>
    <w:rsid w:val="000B27B9"/>
    <w:rPr>
      <w:rFonts w:ascii="Verdana" w:hAnsi="Verdana"/>
      <w:szCs w:val="22"/>
      <w:lang w:eastAsia="en-US"/>
    </w:rPr>
  </w:style>
  <w:style w:type="paragraph" w:styleId="BodyTextIndent3">
    <w:name w:val="Body Text Indent 3"/>
    <w:basedOn w:val="Normal"/>
    <w:link w:val="BodyTextIndent3Char"/>
    <w:uiPriority w:val="98"/>
    <w:semiHidden/>
    <w:rsid w:val="000B27B9"/>
    <w:pPr>
      <w:spacing w:line="276" w:lineRule="auto"/>
      <w:ind w:left="283"/>
    </w:pPr>
    <w:rPr>
      <w:rFonts w:ascii="Verdana" w:hAnsi="Verdana"/>
      <w:sz w:val="16"/>
      <w:szCs w:val="16"/>
    </w:rPr>
  </w:style>
  <w:style w:type="character" w:customStyle="1" w:styleId="BodyTextIndent3Char">
    <w:name w:val="Body Text Indent 3 Char"/>
    <w:basedOn w:val="DefaultParagraphFont"/>
    <w:link w:val="BodyTextIndent3"/>
    <w:uiPriority w:val="98"/>
    <w:semiHidden/>
    <w:rsid w:val="000B27B9"/>
    <w:rPr>
      <w:rFonts w:ascii="Verdana" w:hAnsi="Verdana"/>
      <w:sz w:val="16"/>
      <w:szCs w:val="16"/>
      <w:lang w:eastAsia="en-US"/>
    </w:rPr>
  </w:style>
  <w:style w:type="paragraph" w:styleId="E-mailSignature">
    <w:name w:val="E-mail Signature"/>
    <w:basedOn w:val="Normal"/>
    <w:link w:val="E-mailSignatureChar"/>
    <w:uiPriority w:val="98"/>
    <w:semiHidden/>
    <w:rsid w:val="000B27B9"/>
    <w:pPr>
      <w:spacing w:after="200" w:line="276" w:lineRule="auto"/>
      <w:ind w:left="-91"/>
    </w:pPr>
    <w:rPr>
      <w:rFonts w:ascii="Verdana" w:hAnsi="Verdana"/>
      <w:sz w:val="20"/>
      <w:szCs w:val="22"/>
    </w:rPr>
  </w:style>
  <w:style w:type="character" w:customStyle="1" w:styleId="E-mailSignatureChar">
    <w:name w:val="E-mail Signature Char"/>
    <w:basedOn w:val="DefaultParagraphFont"/>
    <w:link w:val="E-mailSignature"/>
    <w:uiPriority w:val="98"/>
    <w:semiHidden/>
    <w:rsid w:val="000B27B9"/>
    <w:rPr>
      <w:rFonts w:ascii="Verdana" w:hAnsi="Verdana"/>
      <w:szCs w:val="22"/>
      <w:lang w:eastAsia="en-US"/>
    </w:rPr>
  </w:style>
  <w:style w:type="paragraph" w:styleId="EnvelopeAddress">
    <w:name w:val="envelope address"/>
    <w:basedOn w:val="Normal"/>
    <w:uiPriority w:val="98"/>
    <w:semiHidden/>
    <w:rsid w:val="000B27B9"/>
    <w:pPr>
      <w:framePr w:w="7920" w:h="1980" w:hRule="exact" w:hSpace="180" w:wrap="auto" w:hAnchor="page" w:xAlign="center" w:yAlign="bottom"/>
      <w:spacing w:after="200" w:line="276" w:lineRule="auto"/>
      <w:ind w:left="2880"/>
    </w:pPr>
    <w:rPr>
      <w:sz w:val="24"/>
      <w:szCs w:val="24"/>
    </w:rPr>
  </w:style>
  <w:style w:type="paragraph" w:styleId="EnvelopeReturn">
    <w:name w:val="envelope return"/>
    <w:basedOn w:val="Normal"/>
    <w:uiPriority w:val="98"/>
    <w:semiHidden/>
    <w:rsid w:val="000B27B9"/>
    <w:pPr>
      <w:spacing w:after="200" w:line="276" w:lineRule="auto"/>
      <w:ind w:left="-91"/>
    </w:pPr>
    <w:rPr>
      <w:sz w:val="20"/>
      <w:szCs w:val="22"/>
    </w:rPr>
  </w:style>
  <w:style w:type="character" w:styleId="HTMLAcronym">
    <w:name w:val="HTML Acronym"/>
    <w:uiPriority w:val="98"/>
    <w:semiHidden/>
    <w:rsid w:val="000B27B9"/>
    <w:rPr>
      <w:rFonts w:cs="Times New Roman"/>
    </w:rPr>
  </w:style>
  <w:style w:type="character" w:styleId="HTMLCode">
    <w:name w:val="HTML Code"/>
    <w:uiPriority w:val="98"/>
    <w:semiHidden/>
    <w:rsid w:val="000B27B9"/>
    <w:rPr>
      <w:rFonts w:ascii="Courier New" w:hAnsi="Courier New" w:cs="Times New Roman"/>
      <w:sz w:val="20"/>
    </w:rPr>
  </w:style>
  <w:style w:type="character" w:styleId="HTMLDefinition">
    <w:name w:val="HTML Definition"/>
    <w:uiPriority w:val="98"/>
    <w:semiHidden/>
    <w:rsid w:val="000B27B9"/>
    <w:rPr>
      <w:rFonts w:cs="Times New Roman"/>
      <w:i/>
    </w:rPr>
  </w:style>
  <w:style w:type="character" w:styleId="HTMLKeyboard">
    <w:name w:val="HTML Keyboard"/>
    <w:uiPriority w:val="98"/>
    <w:semiHidden/>
    <w:rsid w:val="000B27B9"/>
    <w:rPr>
      <w:rFonts w:ascii="Courier New" w:hAnsi="Courier New" w:cs="Times New Roman"/>
      <w:sz w:val="20"/>
    </w:rPr>
  </w:style>
  <w:style w:type="paragraph" w:styleId="HTMLPreformatted">
    <w:name w:val="HTML Preformatted"/>
    <w:basedOn w:val="Normal"/>
    <w:link w:val="HTMLPreformattedChar"/>
    <w:uiPriority w:val="98"/>
    <w:semiHidden/>
    <w:rsid w:val="000B27B9"/>
    <w:pPr>
      <w:spacing w:after="200" w:line="276" w:lineRule="auto"/>
      <w:ind w:left="-91"/>
    </w:pPr>
    <w:rPr>
      <w:rFonts w:ascii="Courier New" w:hAnsi="Courier New" w:cs="Courier New"/>
      <w:sz w:val="20"/>
      <w:szCs w:val="22"/>
    </w:rPr>
  </w:style>
  <w:style w:type="character" w:customStyle="1" w:styleId="HTMLPreformattedChar">
    <w:name w:val="HTML Preformatted Char"/>
    <w:basedOn w:val="DefaultParagraphFont"/>
    <w:link w:val="HTMLPreformatted"/>
    <w:uiPriority w:val="98"/>
    <w:semiHidden/>
    <w:rsid w:val="000B27B9"/>
    <w:rPr>
      <w:rFonts w:ascii="Courier New" w:hAnsi="Courier New" w:cs="Courier New"/>
      <w:szCs w:val="22"/>
      <w:lang w:eastAsia="en-US"/>
    </w:rPr>
  </w:style>
  <w:style w:type="character" w:styleId="HTMLSample">
    <w:name w:val="HTML Sample"/>
    <w:uiPriority w:val="98"/>
    <w:semiHidden/>
    <w:rsid w:val="000B27B9"/>
    <w:rPr>
      <w:rFonts w:ascii="Courier New" w:hAnsi="Courier New" w:cs="Times New Roman"/>
    </w:rPr>
  </w:style>
  <w:style w:type="character" w:styleId="HTMLTypewriter">
    <w:name w:val="HTML Typewriter"/>
    <w:uiPriority w:val="98"/>
    <w:semiHidden/>
    <w:rsid w:val="000B27B9"/>
    <w:rPr>
      <w:rFonts w:ascii="Courier New" w:hAnsi="Courier New" w:cs="Times New Roman"/>
      <w:sz w:val="20"/>
    </w:rPr>
  </w:style>
  <w:style w:type="character" w:styleId="HTMLVariable">
    <w:name w:val="HTML Variable"/>
    <w:uiPriority w:val="98"/>
    <w:semiHidden/>
    <w:rsid w:val="000B27B9"/>
    <w:rPr>
      <w:rFonts w:cs="Times New Roman"/>
      <w:i/>
    </w:rPr>
  </w:style>
  <w:style w:type="character" w:styleId="LineNumber">
    <w:name w:val="line number"/>
    <w:uiPriority w:val="98"/>
    <w:semiHidden/>
    <w:rsid w:val="000B27B9"/>
    <w:rPr>
      <w:rFonts w:cs="Times New Roman"/>
    </w:rPr>
  </w:style>
  <w:style w:type="paragraph" w:styleId="List">
    <w:name w:val="List"/>
    <w:basedOn w:val="Normal"/>
    <w:uiPriority w:val="98"/>
    <w:semiHidden/>
    <w:rsid w:val="000B27B9"/>
    <w:pPr>
      <w:spacing w:after="200" w:line="276" w:lineRule="auto"/>
      <w:ind w:left="283" w:hanging="283"/>
    </w:pPr>
    <w:rPr>
      <w:rFonts w:ascii="Verdana" w:hAnsi="Verdana"/>
      <w:sz w:val="20"/>
      <w:szCs w:val="22"/>
    </w:rPr>
  </w:style>
  <w:style w:type="paragraph" w:styleId="List2">
    <w:name w:val="List 2"/>
    <w:basedOn w:val="Normal"/>
    <w:uiPriority w:val="98"/>
    <w:semiHidden/>
    <w:rsid w:val="000B27B9"/>
    <w:pPr>
      <w:spacing w:after="200" w:line="276" w:lineRule="auto"/>
      <w:ind w:left="566" w:hanging="283"/>
    </w:pPr>
    <w:rPr>
      <w:rFonts w:ascii="Verdana" w:hAnsi="Verdana"/>
      <w:sz w:val="20"/>
      <w:szCs w:val="22"/>
    </w:rPr>
  </w:style>
  <w:style w:type="paragraph" w:styleId="List3">
    <w:name w:val="List 3"/>
    <w:basedOn w:val="Normal"/>
    <w:uiPriority w:val="98"/>
    <w:semiHidden/>
    <w:rsid w:val="000B27B9"/>
    <w:pPr>
      <w:spacing w:after="200" w:line="276" w:lineRule="auto"/>
      <w:ind w:left="849" w:hanging="283"/>
    </w:pPr>
    <w:rPr>
      <w:rFonts w:ascii="Verdana" w:hAnsi="Verdana"/>
      <w:sz w:val="20"/>
      <w:szCs w:val="22"/>
    </w:rPr>
  </w:style>
  <w:style w:type="paragraph" w:styleId="List4">
    <w:name w:val="List 4"/>
    <w:basedOn w:val="Normal"/>
    <w:uiPriority w:val="98"/>
    <w:semiHidden/>
    <w:rsid w:val="000B27B9"/>
    <w:pPr>
      <w:spacing w:after="200" w:line="276" w:lineRule="auto"/>
      <w:ind w:left="1132" w:hanging="283"/>
    </w:pPr>
    <w:rPr>
      <w:rFonts w:ascii="Verdana" w:hAnsi="Verdana"/>
      <w:sz w:val="20"/>
      <w:szCs w:val="22"/>
    </w:rPr>
  </w:style>
  <w:style w:type="paragraph" w:styleId="List5">
    <w:name w:val="List 5"/>
    <w:basedOn w:val="Normal"/>
    <w:uiPriority w:val="98"/>
    <w:semiHidden/>
    <w:rsid w:val="000B27B9"/>
    <w:pPr>
      <w:spacing w:after="200" w:line="276" w:lineRule="auto"/>
      <w:ind w:left="1415" w:hanging="283"/>
    </w:pPr>
    <w:rPr>
      <w:rFonts w:ascii="Verdana" w:hAnsi="Verdana"/>
      <w:sz w:val="20"/>
      <w:szCs w:val="22"/>
    </w:rPr>
  </w:style>
  <w:style w:type="paragraph" w:styleId="ListBullet2">
    <w:name w:val="List Bullet 2"/>
    <w:basedOn w:val="Normal"/>
    <w:uiPriority w:val="98"/>
    <w:semiHidden/>
    <w:rsid w:val="000B27B9"/>
    <w:pPr>
      <w:tabs>
        <w:tab w:val="num" w:pos="643"/>
        <w:tab w:val="num" w:pos="3015"/>
      </w:tabs>
      <w:spacing w:after="200" w:line="276" w:lineRule="auto"/>
      <w:ind w:left="643" w:hanging="870"/>
    </w:pPr>
    <w:rPr>
      <w:rFonts w:ascii="Verdana" w:hAnsi="Verdana"/>
      <w:sz w:val="20"/>
      <w:szCs w:val="22"/>
    </w:rPr>
  </w:style>
  <w:style w:type="paragraph" w:styleId="ListBullet3">
    <w:name w:val="List Bullet 3"/>
    <w:basedOn w:val="Normal"/>
    <w:uiPriority w:val="98"/>
    <w:semiHidden/>
    <w:rsid w:val="000B27B9"/>
    <w:pPr>
      <w:tabs>
        <w:tab w:val="num" w:pos="360"/>
        <w:tab w:val="num" w:pos="926"/>
      </w:tabs>
      <w:spacing w:after="200" w:line="276" w:lineRule="auto"/>
      <w:ind w:left="926" w:hanging="283"/>
    </w:pPr>
    <w:rPr>
      <w:rFonts w:ascii="Verdana" w:hAnsi="Verdana"/>
      <w:sz w:val="20"/>
      <w:szCs w:val="22"/>
    </w:rPr>
  </w:style>
  <w:style w:type="paragraph" w:styleId="ListBullet4">
    <w:name w:val="List Bullet 4"/>
    <w:basedOn w:val="Normal"/>
    <w:uiPriority w:val="98"/>
    <w:semiHidden/>
    <w:rsid w:val="000B27B9"/>
    <w:pPr>
      <w:tabs>
        <w:tab w:val="num" w:pos="360"/>
        <w:tab w:val="num" w:pos="1209"/>
      </w:tabs>
      <w:spacing w:after="200" w:line="276" w:lineRule="auto"/>
      <w:ind w:left="1209" w:hanging="360"/>
    </w:pPr>
    <w:rPr>
      <w:rFonts w:ascii="Verdana" w:hAnsi="Verdana"/>
      <w:sz w:val="20"/>
      <w:szCs w:val="22"/>
    </w:rPr>
  </w:style>
  <w:style w:type="paragraph" w:styleId="ListBullet5">
    <w:name w:val="List Bullet 5"/>
    <w:basedOn w:val="Normal"/>
    <w:uiPriority w:val="98"/>
    <w:semiHidden/>
    <w:rsid w:val="000B27B9"/>
    <w:pPr>
      <w:tabs>
        <w:tab w:val="num" w:pos="720"/>
        <w:tab w:val="num" w:pos="1492"/>
      </w:tabs>
      <w:spacing w:after="200" w:line="276" w:lineRule="auto"/>
      <w:ind w:left="1492" w:hanging="360"/>
    </w:pPr>
    <w:rPr>
      <w:rFonts w:ascii="Verdana" w:hAnsi="Verdana"/>
      <w:sz w:val="20"/>
      <w:szCs w:val="22"/>
    </w:rPr>
  </w:style>
  <w:style w:type="paragraph" w:styleId="ListContinue">
    <w:name w:val="List Continue"/>
    <w:basedOn w:val="Normal"/>
    <w:uiPriority w:val="98"/>
    <w:semiHidden/>
    <w:rsid w:val="000B27B9"/>
    <w:pPr>
      <w:spacing w:line="276" w:lineRule="auto"/>
      <w:ind w:left="283"/>
    </w:pPr>
    <w:rPr>
      <w:rFonts w:ascii="Verdana" w:hAnsi="Verdana"/>
      <w:sz w:val="20"/>
      <w:szCs w:val="22"/>
    </w:rPr>
  </w:style>
  <w:style w:type="paragraph" w:styleId="ListContinue2">
    <w:name w:val="List Continue 2"/>
    <w:basedOn w:val="Normal"/>
    <w:uiPriority w:val="98"/>
    <w:semiHidden/>
    <w:rsid w:val="000B27B9"/>
    <w:pPr>
      <w:spacing w:line="276" w:lineRule="auto"/>
      <w:ind w:left="566"/>
    </w:pPr>
    <w:rPr>
      <w:rFonts w:ascii="Verdana" w:hAnsi="Verdana"/>
      <w:sz w:val="20"/>
      <w:szCs w:val="22"/>
    </w:rPr>
  </w:style>
  <w:style w:type="paragraph" w:styleId="ListContinue3">
    <w:name w:val="List Continue 3"/>
    <w:basedOn w:val="Normal"/>
    <w:uiPriority w:val="98"/>
    <w:semiHidden/>
    <w:rsid w:val="000B27B9"/>
    <w:pPr>
      <w:spacing w:line="276" w:lineRule="auto"/>
      <w:ind w:left="849"/>
    </w:pPr>
    <w:rPr>
      <w:rFonts w:ascii="Verdana" w:hAnsi="Verdana"/>
      <w:sz w:val="20"/>
      <w:szCs w:val="22"/>
    </w:rPr>
  </w:style>
  <w:style w:type="paragraph" w:styleId="ListContinue4">
    <w:name w:val="List Continue 4"/>
    <w:basedOn w:val="Normal"/>
    <w:uiPriority w:val="98"/>
    <w:semiHidden/>
    <w:rsid w:val="000B27B9"/>
    <w:pPr>
      <w:spacing w:line="276" w:lineRule="auto"/>
      <w:ind w:left="1132"/>
    </w:pPr>
    <w:rPr>
      <w:rFonts w:ascii="Verdana" w:hAnsi="Verdana"/>
      <w:sz w:val="20"/>
      <w:szCs w:val="22"/>
    </w:rPr>
  </w:style>
  <w:style w:type="paragraph" w:styleId="ListContinue5">
    <w:name w:val="List Continue 5"/>
    <w:basedOn w:val="Normal"/>
    <w:uiPriority w:val="98"/>
    <w:semiHidden/>
    <w:rsid w:val="000B27B9"/>
    <w:pPr>
      <w:spacing w:line="276" w:lineRule="auto"/>
      <w:ind w:left="1415"/>
    </w:pPr>
    <w:rPr>
      <w:rFonts w:ascii="Verdana" w:hAnsi="Verdana"/>
      <w:sz w:val="20"/>
      <w:szCs w:val="22"/>
    </w:rPr>
  </w:style>
  <w:style w:type="paragraph" w:styleId="ListNumber2">
    <w:name w:val="List Number 2"/>
    <w:basedOn w:val="Normal"/>
    <w:uiPriority w:val="98"/>
    <w:semiHidden/>
    <w:rsid w:val="000B27B9"/>
    <w:pPr>
      <w:tabs>
        <w:tab w:val="num" w:pos="207"/>
        <w:tab w:val="num" w:pos="643"/>
      </w:tabs>
      <w:spacing w:after="200" w:line="276" w:lineRule="auto"/>
      <w:ind w:left="643" w:hanging="851"/>
    </w:pPr>
    <w:rPr>
      <w:rFonts w:ascii="Verdana" w:hAnsi="Verdana"/>
      <w:sz w:val="20"/>
      <w:szCs w:val="22"/>
    </w:rPr>
  </w:style>
  <w:style w:type="paragraph" w:styleId="ListNumber3">
    <w:name w:val="List Number 3"/>
    <w:basedOn w:val="Normal"/>
    <w:uiPriority w:val="98"/>
    <w:semiHidden/>
    <w:rsid w:val="000B27B9"/>
    <w:pPr>
      <w:tabs>
        <w:tab w:val="num" w:pos="207"/>
        <w:tab w:val="num" w:pos="926"/>
      </w:tabs>
      <w:spacing w:after="200" w:line="276" w:lineRule="auto"/>
      <w:ind w:left="926" w:hanging="851"/>
    </w:pPr>
    <w:rPr>
      <w:rFonts w:ascii="Verdana" w:hAnsi="Verdana"/>
      <w:sz w:val="20"/>
      <w:szCs w:val="22"/>
    </w:rPr>
  </w:style>
  <w:style w:type="paragraph" w:styleId="ListNumber4">
    <w:name w:val="List Number 4"/>
    <w:basedOn w:val="Normal"/>
    <w:uiPriority w:val="98"/>
    <w:semiHidden/>
    <w:rsid w:val="000B27B9"/>
    <w:pPr>
      <w:tabs>
        <w:tab w:val="num" w:pos="207"/>
        <w:tab w:val="num" w:pos="1209"/>
      </w:tabs>
      <w:spacing w:after="200" w:line="276" w:lineRule="auto"/>
      <w:ind w:left="1209" w:hanging="851"/>
    </w:pPr>
    <w:rPr>
      <w:rFonts w:ascii="Verdana" w:hAnsi="Verdana"/>
      <w:sz w:val="20"/>
      <w:szCs w:val="22"/>
    </w:rPr>
  </w:style>
  <w:style w:type="paragraph" w:styleId="ListNumber5">
    <w:name w:val="List Number 5"/>
    <w:basedOn w:val="Normal"/>
    <w:uiPriority w:val="98"/>
    <w:semiHidden/>
    <w:rsid w:val="000B27B9"/>
    <w:pPr>
      <w:tabs>
        <w:tab w:val="num" w:pos="1492"/>
        <w:tab w:val="num" w:pos="2836"/>
      </w:tabs>
      <w:spacing w:after="200" w:line="276" w:lineRule="auto"/>
      <w:ind w:left="1492" w:hanging="907"/>
    </w:pPr>
    <w:rPr>
      <w:rFonts w:ascii="Verdana" w:hAnsi="Verdana"/>
      <w:sz w:val="20"/>
      <w:szCs w:val="22"/>
    </w:rPr>
  </w:style>
  <w:style w:type="paragraph" w:styleId="MessageHeader">
    <w:name w:val="Message Header"/>
    <w:basedOn w:val="Normal"/>
    <w:link w:val="MessageHeaderChar"/>
    <w:uiPriority w:val="98"/>
    <w:semiHidden/>
    <w:rsid w:val="000B27B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sz w:val="24"/>
      <w:szCs w:val="24"/>
    </w:rPr>
  </w:style>
  <w:style w:type="character" w:customStyle="1" w:styleId="MessageHeaderChar">
    <w:name w:val="Message Header Char"/>
    <w:basedOn w:val="DefaultParagraphFont"/>
    <w:link w:val="MessageHeader"/>
    <w:uiPriority w:val="98"/>
    <w:semiHidden/>
    <w:rsid w:val="000B27B9"/>
    <w:rPr>
      <w:rFonts w:ascii="Arial" w:hAnsi="Arial"/>
      <w:sz w:val="24"/>
      <w:szCs w:val="24"/>
      <w:shd w:val="pct20" w:color="auto" w:fill="auto"/>
      <w:lang w:eastAsia="en-US"/>
    </w:rPr>
  </w:style>
  <w:style w:type="paragraph" w:styleId="NormalIndent">
    <w:name w:val="Normal Indent"/>
    <w:basedOn w:val="Normal"/>
    <w:uiPriority w:val="98"/>
    <w:semiHidden/>
    <w:rsid w:val="000B27B9"/>
    <w:pPr>
      <w:spacing w:after="200" w:line="276" w:lineRule="auto"/>
      <w:ind w:left="720"/>
    </w:pPr>
    <w:rPr>
      <w:rFonts w:ascii="Verdana" w:hAnsi="Verdana"/>
      <w:sz w:val="20"/>
      <w:szCs w:val="22"/>
    </w:rPr>
  </w:style>
  <w:style w:type="paragraph" w:styleId="PlainText">
    <w:name w:val="Plain Text"/>
    <w:basedOn w:val="Normal"/>
    <w:link w:val="PlainTextChar"/>
    <w:uiPriority w:val="98"/>
    <w:semiHidden/>
    <w:rsid w:val="000B27B9"/>
    <w:pPr>
      <w:spacing w:after="200" w:line="276" w:lineRule="auto"/>
      <w:ind w:left="-91"/>
    </w:pPr>
    <w:rPr>
      <w:rFonts w:ascii="Courier New" w:hAnsi="Courier New" w:cs="Courier New"/>
      <w:sz w:val="20"/>
      <w:szCs w:val="22"/>
    </w:rPr>
  </w:style>
  <w:style w:type="character" w:customStyle="1" w:styleId="PlainTextChar">
    <w:name w:val="Plain Text Char"/>
    <w:basedOn w:val="DefaultParagraphFont"/>
    <w:link w:val="PlainText"/>
    <w:uiPriority w:val="98"/>
    <w:semiHidden/>
    <w:rsid w:val="000B27B9"/>
    <w:rPr>
      <w:rFonts w:ascii="Courier New" w:hAnsi="Courier New" w:cs="Courier New"/>
      <w:szCs w:val="22"/>
      <w:lang w:eastAsia="en-US"/>
    </w:rPr>
  </w:style>
  <w:style w:type="paragraph" w:styleId="Salutation">
    <w:name w:val="Salutation"/>
    <w:basedOn w:val="Normal"/>
    <w:next w:val="Normal"/>
    <w:link w:val="SalutationChar"/>
    <w:uiPriority w:val="98"/>
    <w:semiHidden/>
    <w:rsid w:val="000B27B9"/>
    <w:pPr>
      <w:spacing w:after="200" w:line="276" w:lineRule="auto"/>
      <w:ind w:left="-91"/>
    </w:pPr>
    <w:rPr>
      <w:rFonts w:ascii="Verdana" w:hAnsi="Verdana"/>
      <w:sz w:val="20"/>
      <w:szCs w:val="22"/>
    </w:rPr>
  </w:style>
  <w:style w:type="character" w:customStyle="1" w:styleId="SalutationChar">
    <w:name w:val="Salutation Char"/>
    <w:basedOn w:val="DefaultParagraphFont"/>
    <w:link w:val="Salutation"/>
    <w:uiPriority w:val="98"/>
    <w:semiHidden/>
    <w:rsid w:val="000B27B9"/>
    <w:rPr>
      <w:rFonts w:ascii="Verdana" w:hAnsi="Verdana"/>
      <w:szCs w:val="22"/>
      <w:lang w:eastAsia="en-US"/>
    </w:rPr>
  </w:style>
  <w:style w:type="paragraph" w:styleId="Signature">
    <w:name w:val="Signature"/>
    <w:basedOn w:val="Normal"/>
    <w:link w:val="SignatureChar"/>
    <w:uiPriority w:val="98"/>
    <w:semiHidden/>
    <w:rsid w:val="000B27B9"/>
    <w:pPr>
      <w:spacing w:after="200" w:line="276" w:lineRule="auto"/>
      <w:ind w:left="4252"/>
    </w:pPr>
    <w:rPr>
      <w:rFonts w:ascii="Verdana" w:hAnsi="Verdana"/>
      <w:sz w:val="20"/>
      <w:szCs w:val="22"/>
    </w:rPr>
  </w:style>
  <w:style w:type="character" w:customStyle="1" w:styleId="SignatureChar">
    <w:name w:val="Signature Char"/>
    <w:basedOn w:val="DefaultParagraphFont"/>
    <w:link w:val="Signature"/>
    <w:uiPriority w:val="98"/>
    <w:semiHidden/>
    <w:rsid w:val="000B27B9"/>
    <w:rPr>
      <w:rFonts w:ascii="Verdana" w:hAnsi="Verdana"/>
      <w:szCs w:val="22"/>
      <w:lang w:eastAsia="en-US"/>
    </w:rPr>
  </w:style>
  <w:style w:type="table" w:styleId="TableClassic2">
    <w:name w:val="Table Classic 2"/>
    <w:basedOn w:val="TableNormal"/>
    <w:uiPriority w:val="99"/>
    <w:rsid w:val="000B27B9"/>
    <w:pPr>
      <w:autoSpaceDE w:val="0"/>
      <w:autoSpaceDN w:val="0"/>
      <w:adjustRightInd w:val="0"/>
    </w:pPr>
    <w:rPr>
      <w:rFonts w:ascii="Calibri" w:hAnsi="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B27B9"/>
    <w:pPr>
      <w:autoSpaceDE w:val="0"/>
      <w:autoSpaceDN w:val="0"/>
      <w:adjustRightInd w:val="0"/>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B27B9"/>
    <w:pPr>
      <w:autoSpaceDE w:val="0"/>
      <w:autoSpaceDN w:val="0"/>
      <w:adjustRightInd w:val="0"/>
    </w:pPr>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B27B9"/>
    <w:pPr>
      <w:autoSpaceDE w:val="0"/>
      <w:autoSpaceDN w:val="0"/>
      <w:adjustRightInd w:val="0"/>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B27B9"/>
    <w:pPr>
      <w:autoSpaceDE w:val="0"/>
      <w:autoSpaceDN w:val="0"/>
      <w:adjustRightInd w:val="0"/>
    </w:pPr>
    <w:rPr>
      <w:rFonts w:ascii="Calibri" w:hAnsi="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B27B9"/>
    <w:pPr>
      <w:autoSpaceDE w:val="0"/>
      <w:autoSpaceDN w:val="0"/>
      <w:adjustRightInd w:val="0"/>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B27B9"/>
    <w:pPr>
      <w:autoSpaceDE w:val="0"/>
      <w:autoSpaceDN w:val="0"/>
      <w:adjustRightInd w:val="0"/>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0B27B9"/>
    <w:pPr>
      <w:autoSpaceDE w:val="0"/>
      <w:autoSpaceDN w:val="0"/>
      <w:adjustRightInd w:val="0"/>
    </w:pPr>
    <w:rPr>
      <w:rFonts w:ascii="Calibri" w:hAnsi="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B27B9"/>
    <w:pPr>
      <w:autoSpaceDE w:val="0"/>
      <w:autoSpaceDN w:val="0"/>
      <w:adjustRightInd w:val="0"/>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0B27B9"/>
    <w:pPr>
      <w:autoSpaceDE w:val="0"/>
      <w:autoSpaceDN w:val="0"/>
      <w:adjustRightInd w:val="0"/>
    </w:pPr>
    <w:rPr>
      <w:rFonts w:ascii="Calibri" w:hAnsi="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0B27B9"/>
    <w:pPr>
      <w:autoSpaceDE w:val="0"/>
      <w:autoSpaceDN w:val="0"/>
      <w:adjustRightInd w:val="0"/>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0B27B9"/>
    <w:pPr>
      <w:autoSpaceDE w:val="0"/>
      <w:autoSpaceDN w:val="0"/>
      <w:adjustRightInd w:val="0"/>
    </w:pPr>
    <w:rPr>
      <w:rFonts w:ascii="Calibri" w:hAnsi="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B27B9"/>
    <w:pPr>
      <w:autoSpaceDE w:val="0"/>
      <w:autoSpaceDN w:val="0"/>
      <w:adjustRightInd w:val="0"/>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rsid w:val="000B27B9"/>
    <w:pPr>
      <w:autoSpaceDE w:val="0"/>
      <w:autoSpaceDN w:val="0"/>
      <w:adjustRightInd w:val="0"/>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0B27B9"/>
    <w:pPr>
      <w:autoSpaceDE w:val="0"/>
      <w:autoSpaceDN w:val="0"/>
      <w:adjustRightInd w:val="0"/>
    </w:pPr>
    <w:rPr>
      <w:rFonts w:ascii="Calibri" w:hAnsi="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0B27B9"/>
    <w:pPr>
      <w:autoSpaceDE w:val="0"/>
      <w:autoSpaceDN w:val="0"/>
      <w:adjustRightInd w:val="0"/>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0B27B9"/>
    <w:pPr>
      <w:autoSpaceDE w:val="0"/>
      <w:autoSpaceDN w:val="0"/>
      <w:adjustRightInd w:val="0"/>
    </w:pPr>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0B27B9"/>
    <w:pPr>
      <w:autoSpaceDE w:val="0"/>
      <w:autoSpaceDN w:val="0"/>
      <w:adjustRightInd w:val="0"/>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0B27B9"/>
    <w:pPr>
      <w:autoSpaceDE w:val="0"/>
      <w:autoSpaceDN w:val="0"/>
      <w:adjustRightInd w:val="0"/>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B27B9"/>
    <w:pPr>
      <w:autoSpaceDE w:val="0"/>
      <w:autoSpaceDN w:val="0"/>
      <w:adjustRightInd w:val="0"/>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0B27B9"/>
    <w:pPr>
      <w:autoSpaceDE w:val="0"/>
      <w:autoSpaceDN w:val="0"/>
      <w:adjustRightInd w:val="0"/>
    </w:pPr>
    <w:rPr>
      <w:rFonts w:ascii="Calibri" w:hAnsi="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0B27B9"/>
    <w:pPr>
      <w:autoSpaceDE w:val="0"/>
      <w:autoSpaceDN w:val="0"/>
      <w:adjustRightInd w:val="0"/>
    </w:pPr>
    <w:rPr>
      <w:rFonts w:ascii="Calibri" w:hAnsi="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B27B9"/>
    <w:pPr>
      <w:autoSpaceDE w:val="0"/>
      <w:autoSpaceDN w:val="0"/>
      <w:adjustRightInd w:val="0"/>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0B27B9"/>
    <w:pPr>
      <w:autoSpaceDE w:val="0"/>
      <w:autoSpaceDN w:val="0"/>
      <w:adjustRightInd w:val="0"/>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B27B9"/>
    <w:pPr>
      <w:autoSpaceDE w:val="0"/>
      <w:autoSpaceDN w:val="0"/>
      <w:adjustRightInd w:val="0"/>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B27B9"/>
    <w:pPr>
      <w:autoSpaceDE w:val="0"/>
      <w:autoSpaceDN w:val="0"/>
      <w:adjustRightInd w:val="0"/>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rsid w:val="000B27B9"/>
    <w:pPr>
      <w:autoSpaceDE w:val="0"/>
      <w:autoSpaceDN w:val="0"/>
      <w:adjustRightInd w:val="0"/>
    </w:pPr>
    <w:rPr>
      <w:rFonts w:ascii="Calibri" w:hAnsi="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B27B9"/>
    <w:pPr>
      <w:autoSpaceDE w:val="0"/>
      <w:autoSpaceDN w:val="0"/>
      <w:adjustRightInd w:val="0"/>
    </w:pPr>
    <w:rPr>
      <w:rFonts w:ascii="Calibri" w:hAnsi="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B27B9"/>
    <w:pPr>
      <w:autoSpaceDE w:val="0"/>
      <w:autoSpaceDN w:val="0"/>
      <w:adjustRightInd w:val="0"/>
    </w:pPr>
    <w:rPr>
      <w:rFonts w:ascii="Calibri" w:hAnsi="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0B27B9"/>
    <w:pPr>
      <w:autoSpaceDE w:val="0"/>
      <w:autoSpaceDN w:val="0"/>
      <w:adjustRightInd w:val="0"/>
    </w:pPr>
    <w:rPr>
      <w:rFonts w:ascii="Calibri" w:hAnsi="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0B27B9"/>
    <w:pPr>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B27B9"/>
    <w:pPr>
      <w:autoSpaceDE w:val="0"/>
      <w:autoSpaceDN w:val="0"/>
      <w:adjustRightInd w:val="0"/>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0B27B9"/>
    <w:pPr>
      <w:autoSpaceDE w:val="0"/>
      <w:autoSpaceDN w:val="0"/>
      <w:adjustRightInd w:val="0"/>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0B27B9"/>
    <w:pPr>
      <w:autoSpaceDE w:val="0"/>
      <w:autoSpaceDN w:val="0"/>
      <w:adjustRightInd w:val="0"/>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TMLAddress">
    <w:name w:val="HTML Address"/>
    <w:basedOn w:val="Normal"/>
    <w:link w:val="HTMLAddressChar"/>
    <w:uiPriority w:val="98"/>
    <w:semiHidden/>
    <w:rsid w:val="000B27B9"/>
    <w:pPr>
      <w:spacing w:after="200" w:line="276" w:lineRule="auto"/>
      <w:ind w:left="-91"/>
    </w:pPr>
    <w:rPr>
      <w:rFonts w:ascii="Verdana" w:hAnsi="Verdana"/>
      <w:i/>
      <w:iCs/>
      <w:sz w:val="20"/>
      <w:szCs w:val="22"/>
    </w:rPr>
  </w:style>
  <w:style w:type="character" w:customStyle="1" w:styleId="HTMLAddressChar">
    <w:name w:val="HTML Address Char"/>
    <w:basedOn w:val="DefaultParagraphFont"/>
    <w:link w:val="HTMLAddress"/>
    <w:uiPriority w:val="98"/>
    <w:semiHidden/>
    <w:rsid w:val="000B27B9"/>
    <w:rPr>
      <w:rFonts w:ascii="Verdana" w:hAnsi="Verdana"/>
      <w:i/>
      <w:iCs/>
      <w:szCs w:val="22"/>
      <w:lang w:eastAsia="en-US"/>
    </w:rPr>
  </w:style>
  <w:style w:type="paragraph" w:customStyle="1" w:styleId="IntenseEmphasis1">
    <w:name w:val="Intense Emphasis1"/>
    <w:basedOn w:val="Normal"/>
    <w:next w:val="Normal"/>
    <w:link w:val="IntenseEmphasisChar"/>
    <w:uiPriority w:val="99"/>
    <w:semiHidden/>
    <w:rsid w:val="000B27B9"/>
    <w:pPr>
      <w:spacing w:after="200" w:line="276" w:lineRule="auto"/>
      <w:ind w:left="-91"/>
    </w:pPr>
    <w:rPr>
      <w:rFonts w:ascii="Verdana" w:hAnsi="Verdana"/>
      <w:i/>
      <w:iCs/>
      <w:color w:val="000000"/>
      <w:sz w:val="20"/>
    </w:rPr>
  </w:style>
  <w:style w:type="character" w:customStyle="1" w:styleId="IntenseEmphasisChar">
    <w:name w:val="Intense Emphasis Char"/>
    <w:link w:val="IntenseEmphasis1"/>
    <w:uiPriority w:val="99"/>
    <w:semiHidden/>
    <w:locked/>
    <w:rsid w:val="000B27B9"/>
    <w:rPr>
      <w:rFonts w:ascii="Verdana" w:hAnsi="Verdana"/>
      <w:i/>
      <w:iCs/>
      <w:color w:val="000000"/>
      <w:lang w:eastAsia="en-US"/>
    </w:rPr>
  </w:style>
  <w:style w:type="character" w:customStyle="1" w:styleId="SubtleReference1">
    <w:name w:val="Subtle Reference1"/>
    <w:uiPriority w:val="99"/>
    <w:semiHidden/>
    <w:rsid w:val="000B27B9"/>
    <w:rPr>
      <w:smallCaps/>
      <w:color w:val="C0504D"/>
      <w:u w:val="single"/>
    </w:rPr>
  </w:style>
  <w:style w:type="character" w:customStyle="1" w:styleId="CommentTextChar1">
    <w:name w:val="Comment Text Char1"/>
    <w:uiPriority w:val="99"/>
    <w:semiHidden/>
    <w:locked/>
    <w:rsid w:val="000B27B9"/>
    <w:rPr>
      <w:rFonts w:ascii="Verdana" w:hAnsi="Verdana"/>
      <w:lang w:eastAsia="en-US"/>
    </w:rPr>
  </w:style>
  <w:style w:type="paragraph" w:customStyle="1" w:styleId="MediumList2-Accent21">
    <w:name w:val="Medium List 2 - Accent 21"/>
    <w:hidden/>
    <w:uiPriority w:val="99"/>
    <w:rsid w:val="000B27B9"/>
    <w:rPr>
      <w:rFonts w:ascii="Cambria" w:hAnsi="Cambria"/>
      <w:lang w:eastAsia="en-US"/>
    </w:rPr>
  </w:style>
  <w:style w:type="paragraph" w:customStyle="1" w:styleId="SubtleEmphasis2">
    <w:name w:val="Subtle Emphasis2"/>
    <w:basedOn w:val="Normal"/>
    <w:uiPriority w:val="99"/>
    <w:semiHidden/>
    <w:rsid w:val="000B27B9"/>
    <w:pPr>
      <w:spacing w:after="0" w:line="240" w:lineRule="auto"/>
      <w:ind w:left="720"/>
      <w:contextualSpacing/>
    </w:pPr>
    <w:rPr>
      <w:rFonts w:ascii="Verdana" w:hAnsi="Verdana"/>
      <w:sz w:val="20"/>
    </w:rPr>
  </w:style>
  <w:style w:type="paragraph" w:customStyle="1" w:styleId="ColorfulGrid-Accent62">
    <w:name w:val="Colorful Grid - Accent 62"/>
    <w:hidden/>
    <w:uiPriority w:val="99"/>
    <w:rsid w:val="000B27B9"/>
    <w:rPr>
      <w:rFonts w:ascii="Verdana" w:hAnsi="Verdana"/>
      <w:lang w:eastAsia="en-US"/>
    </w:rPr>
  </w:style>
  <w:style w:type="paragraph" w:customStyle="1" w:styleId="IntenseEmphasis2">
    <w:name w:val="Intense Emphasis2"/>
    <w:basedOn w:val="Normal"/>
    <w:next w:val="Normal"/>
    <w:uiPriority w:val="99"/>
    <w:semiHidden/>
    <w:rsid w:val="000B27B9"/>
    <w:pPr>
      <w:spacing w:after="200" w:line="276" w:lineRule="auto"/>
      <w:ind w:left="-91"/>
    </w:pPr>
    <w:rPr>
      <w:rFonts w:ascii="Verdana" w:hAnsi="Verdana"/>
      <w:i/>
      <w:iCs/>
      <w:color w:val="000000"/>
      <w:sz w:val="20"/>
      <w:szCs w:val="22"/>
    </w:rPr>
  </w:style>
  <w:style w:type="character" w:customStyle="1" w:styleId="SubtleReference2">
    <w:name w:val="Subtle Reference2"/>
    <w:uiPriority w:val="99"/>
    <w:semiHidden/>
    <w:rsid w:val="000B27B9"/>
    <w:rPr>
      <w:smallCaps/>
      <w:color w:val="C0504D"/>
      <w:u w:val="single"/>
    </w:rPr>
  </w:style>
  <w:style w:type="numbering" w:customStyle="1" w:styleId="1ai1">
    <w:name w:val="1 / a / i1"/>
    <w:rsid w:val="000B27B9"/>
    <w:pPr>
      <w:numPr>
        <w:numId w:val="16"/>
      </w:numPr>
    </w:pPr>
  </w:style>
  <w:style w:type="numbering" w:styleId="111111">
    <w:name w:val="Outline List 2"/>
    <w:basedOn w:val="NoList"/>
    <w:uiPriority w:val="99"/>
    <w:semiHidden/>
    <w:unhideWhenUsed/>
    <w:rsid w:val="000B27B9"/>
    <w:pPr>
      <w:numPr>
        <w:numId w:val="17"/>
      </w:numPr>
    </w:pPr>
  </w:style>
  <w:style w:type="numbering" w:customStyle="1" w:styleId="1111111">
    <w:name w:val="1 / 1.1 / 1.1.11"/>
    <w:rsid w:val="000B27B9"/>
    <w:pPr>
      <w:numPr>
        <w:numId w:val="15"/>
      </w:numPr>
    </w:pPr>
  </w:style>
  <w:style w:type="paragraph" w:customStyle="1" w:styleId="Tabletext8pt">
    <w:name w:val="Table text 8pt"/>
    <w:basedOn w:val="Tabletext9pt"/>
    <w:qFormat/>
    <w:rsid w:val="000B27B9"/>
    <w:rPr>
      <w:sz w:val="16"/>
      <w:szCs w:val="16"/>
    </w:rPr>
  </w:style>
  <w:style w:type="paragraph" w:customStyle="1" w:styleId="ColorfulShading-Accent110">
    <w:name w:val="Colorful Shading - Accent 110"/>
    <w:hidden/>
    <w:uiPriority w:val="99"/>
    <w:semiHidden/>
    <w:rsid w:val="000B27B9"/>
    <w:rPr>
      <w:rFonts w:ascii="Cambria" w:hAnsi="Cambria"/>
      <w:lang w:eastAsia="en-US"/>
    </w:rPr>
  </w:style>
  <w:style w:type="character" w:customStyle="1" w:styleId="BookTitle1">
    <w:name w:val="Book Title1"/>
    <w:uiPriority w:val="33"/>
    <w:semiHidden/>
    <w:qFormat/>
    <w:rsid w:val="000B27B9"/>
    <w:rPr>
      <w:b/>
      <w:bCs/>
      <w:smallCaps/>
      <w:spacing w:val="5"/>
    </w:rPr>
  </w:style>
  <w:style w:type="paragraph" w:customStyle="1" w:styleId="Heading3notforTOC">
    <w:name w:val="Heading 3 not for TOC"/>
    <w:basedOn w:val="Heading3"/>
    <w:uiPriority w:val="98"/>
    <w:rsid w:val="000B27B9"/>
    <w:pPr>
      <w:spacing w:before="200" w:after="90"/>
    </w:pPr>
    <w:rPr>
      <w:rFonts w:cs="Arial"/>
      <w:b w:val="0"/>
      <w:color w:val="201547"/>
      <w:sz w:val="28"/>
    </w:rPr>
  </w:style>
  <w:style w:type="paragraph" w:customStyle="1" w:styleId="Boxbullet1">
    <w:name w:val="Box bullet 1"/>
    <w:basedOn w:val="Normal"/>
    <w:link w:val="Boxbullet1Char"/>
    <w:uiPriority w:val="98"/>
    <w:qFormat/>
    <w:rsid w:val="006832EE"/>
    <w:pPr>
      <w:numPr>
        <w:numId w:val="13"/>
      </w:numPr>
      <w:spacing w:after="80" w:line="220" w:lineRule="atLeast"/>
    </w:pPr>
    <w:rPr>
      <w:rFonts w:eastAsia="MS Mincho"/>
      <w:sz w:val="18"/>
      <w:szCs w:val="24"/>
    </w:rPr>
  </w:style>
  <w:style w:type="character" w:customStyle="1" w:styleId="Boxbullet1Char">
    <w:name w:val="Box bullet 1 Char"/>
    <w:link w:val="Boxbullet1"/>
    <w:uiPriority w:val="98"/>
    <w:locked/>
    <w:rsid w:val="006832EE"/>
    <w:rPr>
      <w:rFonts w:ascii="Arial" w:eastAsia="MS Mincho" w:hAnsi="Arial"/>
      <w:sz w:val="18"/>
      <w:szCs w:val="24"/>
      <w:lang w:eastAsia="en-US"/>
    </w:rPr>
  </w:style>
  <w:style w:type="paragraph" w:customStyle="1" w:styleId="Boxbullet2">
    <w:name w:val="Box bullet 2"/>
    <w:basedOn w:val="Normal"/>
    <w:link w:val="Boxbullet2Char"/>
    <w:uiPriority w:val="98"/>
    <w:qFormat/>
    <w:rsid w:val="006832EE"/>
    <w:pPr>
      <w:numPr>
        <w:ilvl w:val="1"/>
        <w:numId w:val="13"/>
      </w:numPr>
      <w:spacing w:after="80" w:line="220" w:lineRule="atLeast"/>
    </w:pPr>
    <w:rPr>
      <w:rFonts w:eastAsia="MS Mincho"/>
      <w:sz w:val="18"/>
      <w:szCs w:val="24"/>
    </w:rPr>
  </w:style>
  <w:style w:type="character" w:customStyle="1" w:styleId="Boxbullet2Char">
    <w:name w:val="Box bullet 2 Char"/>
    <w:link w:val="Boxbullet2"/>
    <w:uiPriority w:val="98"/>
    <w:locked/>
    <w:rsid w:val="006832EE"/>
    <w:rPr>
      <w:rFonts w:ascii="Arial" w:eastAsia="MS Mincho" w:hAnsi="Arial"/>
      <w:sz w:val="18"/>
      <w:szCs w:val="24"/>
      <w:lang w:eastAsia="en-US"/>
    </w:rPr>
  </w:style>
  <w:style w:type="paragraph" w:customStyle="1" w:styleId="Tablenoteroman">
    <w:name w:val="Table note roman"/>
    <w:basedOn w:val="Tablefigurenote9pt"/>
    <w:uiPriority w:val="4"/>
    <w:qFormat/>
    <w:rsid w:val="006832EE"/>
    <w:pPr>
      <w:numPr>
        <w:numId w:val="24"/>
      </w:numPr>
      <w:tabs>
        <w:tab w:val="num" w:pos="720"/>
      </w:tabs>
    </w:pPr>
    <w:rPr>
      <w:rFonts w:eastAsia="Times"/>
    </w:rPr>
  </w:style>
  <w:style w:type="paragraph" w:customStyle="1" w:styleId="Heading2Addendums">
    <w:name w:val="Heading 2 Addendums"/>
    <w:basedOn w:val="Heading2"/>
    <w:link w:val="Heading2AddendumsChar"/>
    <w:uiPriority w:val="99"/>
    <w:rsid w:val="006832EE"/>
    <w:pPr>
      <w:numPr>
        <w:ilvl w:val="0"/>
        <w:numId w:val="25"/>
      </w:numPr>
      <w:spacing w:after="440"/>
    </w:pPr>
    <w:rPr>
      <w:rFonts w:cs="Arial"/>
    </w:rPr>
  </w:style>
  <w:style w:type="character" w:customStyle="1" w:styleId="Heading2AddendumsChar">
    <w:name w:val="Heading 2 Addendums Char"/>
    <w:link w:val="Heading2Addendums"/>
    <w:uiPriority w:val="99"/>
    <w:locked/>
    <w:rsid w:val="006832EE"/>
    <w:rPr>
      <w:rFonts w:ascii="Arial" w:hAnsi="Arial" w:cs="Arial"/>
      <w:color w:val="201547"/>
      <w:sz w:val="44"/>
      <w:szCs w:val="28"/>
      <w:lang w:eastAsia="en-US"/>
    </w:rPr>
  </w:style>
  <w:style w:type="paragraph" w:customStyle="1" w:styleId="Heading3Addendums">
    <w:name w:val="Heading 3 Addendums"/>
    <w:basedOn w:val="Heading3"/>
    <w:link w:val="Heading3AddendumsChar"/>
    <w:uiPriority w:val="99"/>
    <w:rsid w:val="006832EE"/>
    <w:pPr>
      <w:numPr>
        <w:ilvl w:val="1"/>
        <w:numId w:val="25"/>
      </w:numPr>
    </w:pPr>
    <w:rPr>
      <w:rFonts w:cs="Arial"/>
    </w:rPr>
  </w:style>
  <w:style w:type="character" w:customStyle="1" w:styleId="Heading3AddendumsChar">
    <w:name w:val="Heading 3 Addendums Char"/>
    <w:link w:val="Heading3Addendums"/>
    <w:uiPriority w:val="99"/>
    <w:locked/>
    <w:rsid w:val="006832EE"/>
    <w:rPr>
      <w:rFonts w:ascii="Arial" w:eastAsia="MS Gothic" w:hAnsi="Arial" w:cs="Arial"/>
      <w:b/>
      <w:bCs/>
      <w:color w:val="53565A"/>
      <w:sz w:val="32"/>
      <w:szCs w:val="26"/>
      <w:lang w:eastAsia="en-US"/>
    </w:rPr>
  </w:style>
  <w:style w:type="paragraph" w:customStyle="1" w:styleId="Heading4Addendums">
    <w:name w:val="Heading 4 Addendums"/>
    <w:basedOn w:val="Heading4"/>
    <w:link w:val="Heading4AddendumsChar"/>
    <w:uiPriority w:val="99"/>
    <w:rsid w:val="006832EE"/>
    <w:pPr>
      <w:numPr>
        <w:ilvl w:val="2"/>
        <w:numId w:val="25"/>
      </w:numPr>
      <w:tabs>
        <w:tab w:val="num" w:pos="6917"/>
      </w:tabs>
      <w:spacing w:line="320" w:lineRule="atLeast"/>
    </w:pPr>
    <w:rPr>
      <w:rFonts w:cs="Arial"/>
      <w:sz w:val="30"/>
      <w:szCs w:val="20"/>
    </w:rPr>
  </w:style>
  <w:style w:type="character" w:customStyle="1" w:styleId="Heading4AddendumsChar">
    <w:name w:val="Heading 4 Addendums Char"/>
    <w:link w:val="Heading4Addendums"/>
    <w:uiPriority w:val="99"/>
    <w:locked/>
    <w:rsid w:val="006832EE"/>
    <w:rPr>
      <w:rFonts w:ascii="Arial" w:eastAsia="MS Mincho" w:hAnsi="Arial" w:cs="Arial"/>
      <w:bCs/>
      <w:color w:val="53565A"/>
      <w:sz w:val="30"/>
      <w:lang w:eastAsia="en-US"/>
    </w:rPr>
  </w:style>
  <w:style w:type="numbering" w:customStyle="1" w:styleId="ZZBoxbullets">
    <w:name w:val="ZZ Box bullets"/>
    <w:basedOn w:val="NoList"/>
    <w:uiPriority w:val="99"/>
    <w:rsid w:val="006832EE"/>
    <w:pPr>
      <w:numPr>
        <w:numId w:val="13"/>
      </w:numPr>
    </w:pPr>
  </w:style>
  <w:style w:type="numbering" w:customStyle="1" w:styleId="ZZTablenoteroman">
    <w:name w:val="ZZ Table note roman"/>
    <w:basedOn w:val="NoList"/>
    <w:rsid w:val="006832EE"/>
    <w:pPr>
      <w:numPr>
        <w:numId w:val="23"/>
      </w:numPr>
    </w:pPr>
  </w:style>
  <w:style w:type="paragraph" w:customStyle="1" w:styleId="Boxtext">
    <w:name w:val="Box text"/>
    <w:link w:val="BoxtextChar"/>
    <w:qFormat/>
    <w:rsid w:val="000B27B9"/>
    <w:pPr>
      <w:tabs>
        <w:tab w:val="left" w:pos="340"/>
        <w:tab w:val="left" w:pos="680"/>
        <w:tab w:val="left" w:pos="1021"/>
        <w:tab w:val="left" w:pos="1361"/>
        <w:tab w:val="left" w:pos="1701"/>
      </w:tabs>
      <w:spacing w:after="80" w:line="220" w:lineRule="atLeast"/>
    </w:pPr>
    <w:rPr>
      <w:rFonts w:ascii="Arial" w:eastAsia="MS Mincho" w:hAnsi="Arial"/>
      <w:sz w:val="18"/>
      <w:szCs w:val="24"/>
      <w:lang w:eastAsia="en-US"/>
    </w:rPr>
  </w:style>
  <w:style w:type="character" w:customStyle="1" w:styleId="BoxtextChar">
    <w:name w:val="Box text Char"/>
    <w:link w:val="Boxtext"/>
    <w:rsid w:val="000B27B9"/>
    <w:rPr>
      <w:rFonts w:ascii="Arial" w:eastAsia="MS Mincho" w:hAnsi="Arial"/>
      <w:sz w:val="18"/>
      <w:szCs w:val="24"/>
      <w:lang w:eastAsia="en-US"/>
    </w:rPr>
  </w:style>
  <w:style w:type="paragraph" w:customStyle="1" w:styleId="Boxcaption">
    <w:name w:val="Box caption"/>
    <w:basedOn w:val="Normal"/>
    <w:next w:val="Normal"/>
    <w:link w:val="BoxcaptionChar"/>
    <w:uiPriority w:val="1"/>
    <w:rsid w:val="009C3286"/>
    <w:pPr>
      <w:keepNext/>
      <w:keepLines/>
      <w:spacing w:before="240" w:line="240" w:lineRule="atLeast"/>
    </w:pPr>
    <w:rPr>
      <w:rFonts w:eastAsia="MS Mincho"/>
      <w:b/>
      <w:sz w:val="20"/>
      <w:lang w:eastAsia="en-AU"/>
    </w:rPr>
  </w:style>
  <w:style w:type="character" w:customStyle="1" w:styleId="BoxcaptionChar">
    <w:name w:val="Box caption Char"/>
    <w:link w:val="Boxcaption"/>
    <w:uiPriority w:val="1"/>
    <w:locked/>
    <w:rsid w:val="000B27B9"/>
    <w:rPr>
      <w:rFonts w:ascii="Arial" w:eastAsia="MS Mincho" w:hAnsi="Arial"/>
      <w:b/>
    </w:rPr>
  </w:style>
  <w:style w:type="paragraph" w:customStyle="1" w:styleId="Boxnumberroman">
    <w:name w:val="Box number roman"/>
    <w:basedOn w:val="Boxtext"/>
    <w:uiPriority w:val="14"/>
    <w:qFormat/>
    <w:rsid w:val="006832EE"/>
    <w:pPr>
      <w:numPr>
        <w:numId w:val="14"/>
      </w:numPr>
      <w:tabs>
        <w:tab w:val="clear" w:pos="340"/>
        <w:tab w:val="clear" w:pos="680"/>
        <w:tab w:val="left" w:pos="397"/>
      </w:tabs>
      <w:ind w:left="227" w:hanging="227"/>
    </w:pPr>
  </w:style>
  <w:style w:type="paragraph" w:customStyle="1" w:styleId="Tablecolhead8pt">
    <w:name w:val="Table col head 8pt"/>
    <w:basedOn w:val="Tablecolhead9pt"/>
    <w:uiPriority w:val="98"/>
    <w:qFormat/>
    <w:rsid w:val="000B27B9"/>
    <w:rPr>
      <w:sz w:val="16"/>
      <w:szCs w:val="16"/>
    </w:rPr>
  </w:style>
  <w:style w:type="paragraph" w:customStyle="1" w:styleId="Tablesubheadrownavy8pt">
    <w:name w:val="Table subhead row navy 8pt"/>
    <w:basedOn w:val="Tablecolhead9pt"/>
    <w:uiPriority w:val="98"/>
    <w:qFormat/>
    <w:rsid w:val="00555153"/>
    <w:pPr>
      <w:keepNext/>
    </w:pPr>
    <w:rPr>
      <w:rFonts w:eastAsiaTheme="minorHAnsi" w:cstheme="minorBidi"/>
      <w:color w:val="201547"/>
      <w:sz w:val="16"/>
      <w:szCs w:val="16"/>
      <w:lang w:eastAsia="en-AU"/>
    </w:rPr>
  </w:style>
  <w:style w:type="paragraph" w:customStyle="1" w:styleId="ColorfulShading-Accent12">
    <w:name w:val="Colorful Shading - Accent 12"/>
    <w:hidden/>
    <w:uiPriority w:val="71"/>
    <w:rsid w:val="000B27B9"/>
    <w:rPr>
      <w:rFonts w:ascii="Cambria" w:hAnsi="Cambria"/>
      <w:lang w:eastAsia="en-US"/>
    </w:rPr>
  </w:style>
  <w:style w:type="paragraph" w:customStyle="1" w:styleId="ColorfulShading-Accent111">
    <w:name w:val="Colorful Shading - Accent 111"/>
    <w:hidden/>
    <w:uiPriority w:val="99"/>
    <w:rsid w:val="000B27B9"/>
    <w:rPr>
      <w:rFonts w:ascii="Cambria" w:hAnsi="Cambria"/>
      <w:lang w:eastAsia="en-US"/>
    </w:rPr>
  </w:style>
  <w:style w:type="table" w:customStyle="1" w:styleId="AppendicesBox">
    <w:name w:val="Appendices Box"/>
    <w:basedOn w:val="TableNormal"/>
    <w:uiPriority w:val="99"/>
    <w:rsid w:val="000B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Pr>
  </w:style>
  <w:style w:type="character" w:styleId="PlaceholderText">
    <w:name w:val="Placeholder Text"/>
    <w:basedOn w:val="DefaultParagraphFont"/>
    <w:uiPriority w:val="98"/>
    <w:semiHidden/>
    <w:rsid w:val="000B27B9"/>
    <w:rPr>
      <w:color w:val="808080"/>
    </w:rPr>
  </w:style>
  <w:style w:type="paragraph" w:customStyle="1" w:styleId="LightGrid-Accent31">
    <w:name w:val="Light Grid - Accent 31"/>
    <w:basedOn w:val="Normal"/>
    <w:uiPriority w:val="72"/>
    <w:semiHidden/>
    <w:qFormat/>
    <w:rsid w:val="000B27B9"/>
    <w:pPr>
      <w:spacing w:after="0" w:line="240" w:lineRule="auto"/>
      <w:ind w:left="720"/>
    </w:pPr>
    <w:rPr>
      <w:rFonts w:ascii="Cambria" w:hAnsi="Cambria"/>
      <w:sz w:val="20"/>
    </w:rPr>
  </w:style>
  <w:style w:type="paragraph" w:customStyle="1" w:styleId="Footerleft">
    <w:name w:val="Footer left"/>
    <w:basedOn w:val="Footer"/>
    <w:uiPriority w:val="98"/>
    <w:qFormat/>
    <w:rsid w:val="000B27B9"/>
    <w:pPr>
      <w:tabs>
        <w:tab w:val="left" w:pos="1134"/>
        <w:tab w:val="right" w:pos="9299"/>
      </w:tabs>
      <w:spacing w:before="0"/>
      <w:jc w:val="left"/>
    </w:pPr>
    <w:rPr>
      <w:sz w:val="18"/>
    </w:rPr>
  </w:style>
  <w:style w:type="table" w:customStyle="1" w:styleId="TableGrid11">
    <w:name w:val="Table Grid11"/>
    <w:basedOn w:val="TableNormal"/>
    <w:next w:val="TableGrid"/>
    <w:uiPriority w:val="59"/>
    <w:rsid w:val="000B27B9"/>
    <w:rPr>
      <w:rFonts w:ascii="Calibri" w:eastAsia="Calibri" w:hAnsi="Calibri"/>
      <w:sz w:val="22"/>
      <w:szCs w:val="22"/>
      <w:lang w:eastAsia="en-US"/>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tblPr/>
      <w:tcPr>
        <w:shd w:val="clear" w:color="auto" w:fill="201547"/>
        <w:vAlign w:val="bottom"/>
      </w:tcPr>
    </w:tblStylePr>
  </w:style>
  <w:style w:type="numbering" w:customStyle="1" w:styleId="ZZNumberedheadingsaddendums">
    <w:name w:val="ZZ Numbered headings addendums"/>
    <w:basedOn w:val="NoList"/>
    <w:uiPriority w:val="99"/>
    <w:rsid w:val="006832EE"/>
    <w:pPr>
      <w:numPr>
        <w:numId w:val="19"/>
      </w:numPr>
    </w:pPr>
  </w:style>
  <w:style w:type="paragraph" w:customStyle="1" w:styleId="Heading2nonumber">
    <w:name w:val="Heading 2 no number"/>
    <w:next w:val="Normal"/>
    <w:uiPriority w:val="98"/>
    <w:rsid w:val="00B05F25"/>
    <w:pPr>
      <w:keepNext/>
      <w:keepLines/>
      <w:suppressAutoHyphens/>
      <w:spacing w:before="360" w:after="120" w:line="340" w:lineRule="atLeast"/>
      <w:outlineLvl w:val="1"/>
    </w:pPr>
    <w:rPr>
      <w:rFonts w:ascii="Arial" w:hAnsi="Arial" w:cs="Arial"/>
      <w:b/>
      <w:color w:val="53565A"/>
      <w:sz w:val="32"/>
      <w:szCs w:val="28"/>
      <w:lang w:eastAsia="en-US"/>
    </w:rPr>
  </w:style>
  <w:style w:type="paragraph" w:customStyle="1" w:styleId="Heading3nonumber">
    <w:name w:val="Heading 3 no number"/>
    <w:uiPriority w:val="98"/>
    <w:rsid w:val="00382CFB"/>
    <w:pPr>
      <w:keepNext/>
      <w:keepLines/>
      <w:spacing w:before="360" w:after="120" w:line="320" w:lineRule="atLeast"/>
      <w:outlineLvl w:val="2"/>
    </w:pPr>
    <w:rPr>
      <w:rFonts w:ascii="Arial" w:eastAsia="MS Mincho" w:hAnsi="Arial" w:cs="Arial"/>
      <w:bCs/>
      <w:color w:val="53565A"/>
      <w:sz w:val="28"/>
      <w:lang w:eastAsia="en-US"/>
    </w:rPr>
  </w:style>
  <w:style w:type="numbering" w:customStyle="1" w:styleId="ZZBoxnumbersroman">
    <w:name w:val="ZZ Box numbers roman"/>
    <w:basedOn w:val="NoList"/>
    <w:uiPriority w:val="99"/>
    <w:rsid w:val="006832EE"/>
    <w:pPr>
      <w:numPr>
        <w:numId w:val="14"/>
      </w:numPr>
    </w:pPr>
  </w:style>
  <w:style w:type="paragraph" w:customStyle="1" w:styleId="Bodynospace">
    <w:name w:val="Body no space"/>
    <w:basedOn w:val="Body"/>
    <w:uiPriority w:val="1"/>
    <w:rsid w:val="00DE520F"/>
    <w:pPr>
      <w:spacing w:after="0"/>
    </w:pPr>
  </w:style>
  <w:style w:type="character" w:styleId="Mention">
    <w:name w:val="Mention"/>
    <w:basedOn w:val="DefaultParagraphFont"/>
    <w:uiPriority w:val="99"/>
    <w:unhideWhenUsed/>
    <w:rsid w:val="004568FD"/>
    <w:rPr>
      <w:color w:val="2B579A"/>
      <w:shd w:val="clear" w:color="auto" w:fill="E1DFDD"/>
    </w:rPr>
  </w:style>
  <w:style w:type="paragraph" w:customStyle="1" w:styleId="xmsonormal">
    <w:name w:val="x_msonormal"/>
    <w:basedOn w:val="Normal"/>
    <w:uiPriority w:val="98"/>
    <w:rsid w:val="00E42B8E"/>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xnormaltextrun">
    <w:name w:val="x_normaltextrun"/>
    <w:basedOn w:val="DefaultParagraphFont"/>
    <w:rsid w:val="00E42B8E"/>
  </w:style>
  <w:style w:type="character" w:customStyle="1" w:styleId="xfindhit">
    <w:name w:val="x_findhit"/>
    <w:basedOn w:val="DefaultParagraphFont"/>
    <w:rsid w:val="00E42B8E"/>
  </w:style>
  <w:style w:type="character" w:customStyle="1" w:styleId="xeop">
    <w:name w:val="x_eop"/>
    <w:basedOn w:val="DefaultParagraphFont"/>
    <w:rsid w:val="00E42B8E"/>
  </w:style>
  <w:style w:type="paragraph" w:customStyle="1" w:styleId="xparagraph">
    <w:name w:val="x_paragraph"/>
    <w:basedOn w:val="Normal"/>
    <w:uiPriority w:val="98"/>
    <w:rsid w:val="00C35D61"/>
    <w:pPr>
      <w:spacing w:after="0" w:line="240" w:lineRule="auto"/>
    </w:pPr>
    <w:rPr>
      <w:rFonts w:ascii="Calibri" w:eastAsiaTheme="minorHAnsi" w:hAnsi="Calibri" w:cs="Calibri"/>
      <w:sz w:val="22"/>
      <w:szCs w:val="22"/>
      <w:lang w:eastAsia="en-AU"/>
    </w:rPr>
  </w:style>
  <w:style w:type="character" w:customStyle="1" w:styleId="xtextrun">
    <w:name w:val="x_textrun"/>
    <w:basedOn w:val="DefaultParagraphFont"/>
    <w:rsid w:val="0048052F"/>
  </w:style>
  <w:style w:type="paragraph" w:customStyle="1" w:styleId="DHHSbody">
    <w:name w:val="DHHS body"/>
    <w:link w:val="DHHSbodyChar"/>
    <w:qFormat/>
    <w:rsid w:val="005D703B"/>
    <w:pPr>
      <w:spacing w:after="120" w:line="270" w:lineRule="atLeast"/>
    </w:pPr>
    <w:rPr>
      <w:rFonts w:ascii="Arial" w:eastAsia="Times" w:hAnsi="Arial"/>
      <w:lang w:eastAsia="en-US"/>
    </w:rPr>
  </w:style>
  <w:style w:type="character" w:customStyle="1" w:styleId="DHHSbodyChar">
    <w:name w:val="DHHS body Char"/>
    <w:link w:val="DHHSbody"/>
    <w:locked/>
    <w:rsid w:val="005D703B"/>
    <w:rPr>
      <w:rFonts w:ascii="Arial" w:eastAsia="Times" w:hAnsi="Arial"/>
      <w:lang w:eastAsia="en-US"/>
    </w:rPr>
  </w:style>
  <w:style w:type="paragraph" w:customStyle="1" w:styleId="Heading4nonumber">
    <w:name w:val="Heading 4 no number"/>
    <w:basedOn w:val="Heading5"/>
    <w:uiPriority w:val="11"/>
    <w:rsid w:val="00296999"/>
    <w:pPr>
      <w:outlineLvl w:val="3"/>
    </w:pPr>
  </w:style>
  <w:style w:type="paragraph" w:customStyle="1" w:styleId="NOTOCHeading2">
    <w:name w:val="NO TOC Heading 2"/>
    <w:basedOn w:val="Heading2nonumber"/>
    <w:uiPriority w:val="11"/>
    <w:rsid w:val="007D64B5"/>
  </w:style>
  <w:style w:type="paragraph" w:customStyle="1" w:styleId="NOTOCHeading3">
    <w:name w:val="NO TOC Heading 3"/>
    <w:basedOn w:val="Heading3nonumber"/>
    <w:uiPriority w:val="11"/>
    <w:rsid w:val="007D64B5"/>
  </w:style>
  <w:style w:type="paragraph" w:customStyle="1" w:styleId="DHHSbodyafterbullets">
    <w:name w:val="DHHS body after bullets"/>
    <w:basedOn w:val="DHHSbody"/>
    <w:uiPriority w:val="98"/>
    <w:qFormat/>
    <w:rsid w:val="00115126"/>
    <w:pPr>
      <w:spacing w:before="120"/>
    </w:pPr>
  </w:style>
  <w:style w:type="paragraph" w:customStyle="1" w:styleId="DHHSbullet1">
    <w:name w:val="DHHS bullet 1"/>
    <w:basedOn w:val="DHHSbody"/>
    <w:link w:val="DHHSbullet1Char"/>
    <w:qFormat/>
    <w:rsid w:val="00A1506E"/>
    <w:pPr>
      <w:spacing w:after="40"/>
      <w:ind w:left="284" w:hanging="284"/>
    </w:pPr>
  </w:style>
  <w:style w:type="paragraph" w:customStyle="1" w:styleId="DHHSbullet2">
    <w:name w:val="DHHS bullet 2"/>
    <w:basedOn w:val="DHHSbody"/>
    <w:uiPriority w:val="2"/>
    <w:qFormat/>
    <w:rsid w:val="00A1506E"/>
    <w:pPr>
      <w:spacing w:after="40"/>
      <w:ind w:left="567" w:hanging="283"/>
    </w:pPr>
  </w:style>
  <w:style w:type="character" w:customStyle="1" w:styleId="DHHSbullet1Char">
    <w:name w:val="DHHS bullet 1 Char"/>
    <w:link w:val="DHHSbullet1"/>
    <w:rsid w:val="00A1506E"/>
    <w:rPr>
      <w:rFonts w:ascii="Arial" w:eastAsia="Times" w:hAnsi="Arial"/>
      <w:lang w:eastAsia="en-US"/>
    </w:rPr>
  </w:style>
  <w:style w:type="paragraph" w:customStyle="1" w:styleId="DHHStabletext">
    <w:name w:val="DHHS table text"/>
    <w:uiPriority w:val="3"/>
    <w:qFormat/>
    <w:rsid w:val="000D02B0"/>
    <w:pPr>
      <w:spacing w:before="80" w:after="60"/>
    </w:pPr>
    <w:rPr>
      <w:rFonts w:ascii="Arial" w:hAnsi="Arial"/>
      <w:sz w:val="18"/>
      <w:lang w:eastAsia="en-US"/>
    </w:rPr>
  </w:style>
  <w:style w:type="character" w:customStyle="1" w:styleId="normaltextrun">
    <w:name w:val="normaltextrun"/>
    <w:basedOn w:val="DefaultParagraphFont"/>
    <w:rsid w:val="007914BD"/>
  </w:style>
  <w:style w:type="paragraph" w:customStyle="1" w:styleId="sub">
    <w:name w:val="sub"/>
    <w:basedOn w:val="Body"/>
    <w:uiPriority w:val="11"/>
    <w:rsid w:val="00D47072"/>
    <w:pPr>
      <w:keepNext/>
      <w:spacing w:before="240"/>
    </w:pPr>
    <w:rPr>
      <w:rFonts w:eastAsia="MS Mincho"/>
      <w:b/>
      <w:bCs/>
      <w:iCs/>
      <w:color w:val="53565A"/>
      <w:sz w:val="24"/>
      <w:szCs w:val="26"/>
    </w:rPr>
  </w:style>
  <w:style w:type="paragraph" w:customStyle="1" w:styleId="paragraph">
    <w:name w:val="paragraph"/>
    <w:basedOn w:val="Normal"/>
    <w:uiPriority w:val="98"/>
    <w:rsid w:val="005B4D83"/>
    <w:pPr>
      <w:spacing w:before="100" w:beforeAutospacing="1" w:after="100" w:afterAutospacing="1" w:line="240" w:lineRule="auto"/>
    </w:pPr>
    <w:rPr>
      <w:rFonts w:ascii="Times New Roman" w:hAnsi="Times New Roman"/>
      <w:sz w:val="24"/>
      <w:szCs w:val="24"/>
      <w:lang w:eastAsia="en-AU"/>
    </w:rPr>
  </w:style>
  <w:style w:type="paragraph" w:customStyle="1" w:styleId="Imprint">
    <w:name w:val="Imprint"/>
    <w:basedOn w:val="Normal"/>
    <w:uiPriority w:val="11"/>
    <w:rsid w:val="0035453F"/>
    <w:pPr>
      <w:spacing w:after="60" w:line="270" w:lineRule="atLeast"/>
    </w:pPr>
    <w:rPr>
      <w:rFonts w:eastAsia="Times"/>
      <w:color w:val="000000"/>
      <w:sz w:val="20"/>
    </w:rPr>
  </w:style>
  <w:style w:type="paragraph" w:customStyle="1" w:styleId="PFGPart">
    <w:name w:val="PFG Part"/>
    <w:basedOn w:val="Heading1PartOpener"/>
    <w:uiPriority w:val="11"/>
    <w:rsid w:val="0035453F"/>
  </w:style>
  <w:style w:type="character" w:customStyle="1" w:styleId="eop">
    <w:name w:val="eop"/>
    <w:basedOn w:val="DefaultParagraphFont"/>
    <w:rsid w:val="00EB25DC"/>
  </w:style>
  <w:style w:type="character" w:styleId="SmartLink">
    <w:name w:val="Smart Link"/>
    <w:basedOn w:val="DefaultParagraphFont"/>
    <w:uiPriority w:val="99"/>
    <w:semiHidden/>
    <w:unhideWhenUsed/>
    <w:rsid w:val="008152C3"/>
    <w:rPr>
      <w:color w:val="0000FF"/>
      <w:u w:val="single"/>
      <w:shd w:val="clear" w:color="auto" w:fill="F3F2F1"/>
    </w:rPr>
  </w:style>
  <w:style w:type="paragraph" w:customStyle="1" w:styleId="DHHSfooter">
    <w:name w:val="DHHS footer"/>
    <w:qFormat/>
    <w:rsid w:val="00D00A67"/>
    <w:pPr>
      <w:tabs>
        <w:tab w:val="right" w:pos="9299"/>
      </w:tabs>
    </w:pPr>
    <w:rPr>
      <w:rFonts w:ascii="Arial" w:hAnsi="Arial" w:cs="Arial"/>
      <w:sz w:val="18"/>
      <w:szCs w:val="18"/>
      <w:lang w:eastAsia="en-US"/>
    </w:rPr>
  </w:style>
  <w:style w:type="paragraph" w:customStyle="1" w:styleId="DHHSheaderright">
    <w:name w:val="DHHS header right"/>
    <w:basedOn w:val="Normal"/>
    <w:rsid w:val="00D00A67"/>
    <w:pPr>
      <w:tabs>
        <w:tab w:val="right" w:pos="9299"/>
      </w:tabs>
      <w:spacing w:after="0" w:line="240" w:lineRule="auto"/>
      <w:jc w:val="right"/>
    </w:pPr>
    <w:rPr>
      <w:sz w:val="18"/>
      <w:szCs w:val="18"/>
    </w:rPr>
  </w:style>
  <w:style w:type="paragraph" w:customStyle="1" w:styleId="msonormal0">
    <w:name w:val="msonormal"/>
    <w:basedOn w:val="Normal"/>
    <w:rsid w:val="0077295B"/>
    <w:pPr>
      <w:spacing w:before="100" w:beforeAutospacing="1" w:after="100" w:afterAutospacing="1" w:line="240" w:lineRule="auto"/>
    </w:pPr>
    <w:rPr>
      <w:rFonts w:ascii="Times New Roman" w:hAnsi="Times New Roman"/>
      <w:sz w:val="24"/>
      <w:szCs w:val="24"/>
      <w:lang w:eastAsia="en-AU"/>
    </w:rPr>
  </w:style>
  <w:style w:type="paragraph" w:customStyle="1" w:styleId="Introtext">
    <w:name w:val="Intro text"/>
    <w:basedOn w:val="Body"/>
    <w:uiPriority w:val="11"/>
    <w:semiHidden/>
    <w:rsid w:val="0077295B"/>
    <w:pPr>
      <w:spacing w:line="320" w:lineRule="atLeast"/>
    </w:pPr>
    <w:rPr>
      <w:color w:val="201547"/>
      <w:sz w:val="24"/>
    </w:rPr>
  </w:style>
  <w:style w:type="paragraph" w:customStyle="1" w:styleId="Tabletext6pt">
    <w:name w:val="Table text + 6pt"/>
    <w:basedOn w:val="Tabletext"/>
    <w:uiPriority w:val="98"/>
    <w:semiHidden/>
    <w:rsid w:val="0077295B"/>
    <w:pPr>
      <w:spacing w:after="120"/>
    </w:pPr>
  </w:style>
  <w:style w:type="numbering" w:customStyle="1" w:styleId="ZZTablebullets">
    <w:name w:val="ZZ Table bullets"/>
    <w:rsid w:val="0077295B"/>
    <w:pPr>
      <w:numPr>
        <w:numId w:val="33"/>
      </w:numPr>
    </w:pPr>
  </w:style>
  <w:style w:type="numbering" w:customStyle="1" w:styleId="CurrentList1">
    <w:name w:val="Current List1"/>
    <w:uiPriority w:val="99"/>
    <w:rsid w:val="0077295B"/>
    <w:pPr>
      <w:numPr>
        <w:numId w:val="34"/>
      </w:numPr>
    </w:pPr>
  </w:style>
  <w:style w:type="paragraph" w:customStyle="1" w:styleId="DHHSaccessibilitypara">
    <w:name w:val="DHHS accessibility para"/>
    <w:uiPriority w:val="8"/>
    <w:rsid w:val="00741904"/>
    <w:pPr>
      <w:spacing w:after="300" w:line="300" w:lineRule="atLeast"/>
    </w:pPr>
    <w:rPr>
      <w:rFonts w:ascii="Arial" w:eastAsia="Times" w:hAnsi="Arial"/>
      <w:sz w:val="24"/>
      <w:szCs w:val="19"/>
      <w:lang w:eastAsia="en-US"/>
    </w:rPr>
  </w:style>
  <w:style w:type="paragraph" w:customStyle="1" w:styleId="xl65">
    <w:name w:val="xl65"/>
    <w:basedOn w:val="Normal"/>
    <w:rsid w:val="008776E3"/>
    <w:pPr>
      <w:spacing w:before="100" w:beforeAutospacing="1" w:after="100" w:afterAutospacing="1" w:line="240" w:lineRule="auto"/>
    </w:pPr>
    <w:rPr>
      <w:rFonts w:ascii="Times New Roman" w:hAnsi="Times New Roman"/>
      <w:sz w:val="24"/>
      <w:szCs w:val="24"/>
      <w:lang w:eastAsia="en-AU"/>
    </w:rPr>
  </w:style>
  <w:style w:type="paragraph" w:customStyle="1" w:styleId="xl66">
    <w:name w:val="xl66"/>
    <w:basedOn w:val="Normal"/>
    <w:rsid w:val="008776E3"/>
    <w:pPr>
      <w:pBdr>
        <w:top w:val="single" w:sz="4" w:space="0" w:color="auto"/>
        <w:left w:val="single" w:sz="4" w:space="0" w:color="auto"/>
        <w:bottom w:val="single" w:sz="4" w:space="0" w:color="auto"/>
        <w:right w:val="single" w:sz="4" w:space="0" w:color="auto"/>
      </w:pBdr>
      <w:shd w:val="clear" w:color="000000" w:fill="201547"/>
      <w:spacing w:before="100" w:beforeAutospacing="1" w:after="100" w:afterAutospacing="1" w:line="240" w:lineRule="auto"/>
    </w:pPr>
    <w:rPr>
      <w:rFonts w:cs="Arial"/>
      <w:b/>
      <w:bCs/>
      <w:color w:val="FFFFFF"/>
      <w:sz w:val="16"/>
      <w:szCs w:val="16"/>
      <w:lang w:eastAsia="en-AU"/>
    </w:rPr>
  </w:style>
  <w:style w:type="paragraph" w:customStyle="1" w:styleId="xl67">
    <w:name w:val="xl67"/>
    <w:basedOn w:val="Normal"/>
    <w:rsid w:val="00877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6"/>
      <w:szCs w:val="16"/>
      <w:lang w:eastAsia="en-AU"/>
    </w:rPr>
  </w:style>
  <w:style w:type="paragraph" w:customStyle="1" w:styleId="xl68">
    <w:name w:val="xl68"/>
    <w:basedOn w:val="Normal"/>
    <w:rsid w:val="00877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6"/>
      <w:szCs w:val="16"/>
      <w:lang w:eastAsia="en-AU"/>
    </w:rPr>
  </w:style>
  <w:style w:type="paragraph" w:customStyle="1" w:styleId="xl69">
    <w:name w:val="xl69"/>
    <w:basedOn w:val="Normal"/>
    <w:rsid w:val="008776E3"/>
    <w:pPr>
      <w:pBdr>
        <w:top w:val="single" w:sz="4" w:space="0" w:color="auto"/>
        <w:left w:val="single" w:sz="4" w:space="0" w:color="auto"/>
        <w:bottom w:val="single" w:sz="4" w:space="0" w:color="auto"/>
        <w:right w:val="single" w:sz="4" w:space="0" w:color="auto"/>
      </w:pBdr>
      <w:shd w:val="clear" w:color="000000" w:fill="201547"/>
      <w:spacing w:before="100" w:beforeAutospacing="1" w:after="100" w:afterAutospacing="1" w:line="240" w:lineRule="auto"/>
    </w:pPr>
    <w:rPr>
      <w:rFonts w:cs="Arial"/>
      <w:b/>
      <w:bCs/>
      <w:color w:val="FFFFFF"/>
      <w:sz w:val="16"/>
      <w:szCs w:val="16"/>
      <w:lang w:eastAsia="en-AU"/>
    </w:rPr>
  </w:style>
  <w:style w:type="paragraph" w:customStyle="1" w:styleId="xl71">
    <w:name w:val="xl71"/>
    <w:basedOn w:val="Normal"/>
    <w:rsid w:val="008776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cs="Arial"/>
      <w:sz w:val="16"/>
      <w:szCs w:val="16"/>
      <w:lang w:eastAsia="en-AU"/>
    </w:rPr>
  </w:style>
  <w:style w:type="paragraph" w:customStyle="1" w:styleId="xl72">
    <w:name w:val="xl72"/>
    <w:basedOn w:val="Normal"/>
    <w:rsid w:val="008776E3"/>
    <w:pPr>
      <w:pBdr>
        <w:top w:val="single" w:sz="4" w:space="0" w:color="auto"/>
        <w:left w:val="single" w:sz="4" w:space="0" w:color="auto"/>
        <w:bottom w:val="single" w:sz="4" w:space="0" w:color="auto"/>
        <w:right w:val="single" w:sz="4" w:space="0" w:color="auto"/>
      </w:pBdr>
      <w:shd w:val="clear" w:color="000000" w:fill="201547"/>
      <w:spacing w:before="100" w:beforeAutospacing="1" w:after="100" w:afterAutospacing="1" w:line="240" w:lineRule="auto"/>
    </w:pPr>
    <w:rPr>
      <w:rFonts w:cs="Arial"/>
      <w:b/>
      <w:bCs/>
      <w:color w:val="FFFFFF"/>
      <w:sz w:val="13"/>
      <w:szCs w:val="13"/>
      <w:lang w:eastAsia="en-AU"/>
    </w:rPr>
  </w:style>
  <w:style w:type="paragraph" w:customStyle="1" w:styleId="xl273">
    <w:name w:val="xl273"/>
    <w:basedOn w:val="Normal"/>
    <w:rsid w:val="007D2325"/>
    <w:pPr>
      <w:spacing w:before="100" w:beforeAutospacing="1" w:after="100" w:afterAutospacing="1" w:line="240" w:lineRule="auto"/>
    </w:pPr>
    <w:rPr>
      <w:rFonts w:ascii="Times New Roman" w:hAnsi="Times New Roman"/>
      <w:b/>
      <w:bCs/>
      <w:sz w:val="24"/>
      <w:szCs w:val="24"/>
      <w:lang w:eastAsia="en-AU"/>
    </w:rPr>
  </w:style>
  <w:style w:type="paragraph" w:customStyle="1" w:styleId="xl274">
    <w:name w:val="xl274"/>
    <w:basedOn w:val="Normal"/>
    <w:rsid w:val="007D232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sz w:val="16"/>
      <w:szCs w:val="16"/>
      <w:lang w:eastAsia="en-AU"/>
    </w:rPr>
  </w:style>
  <w:style w:type="paragraph" w:customStyle="1" w:styleId="xl275">
    <w:name w:val="xl275"/>
    <w:basedOn w:val="Normal"/>
    <w:rsid w:val="007D2325"/>
    <w:pPr>
      <w:pBdr>
        <w:left w:val="single" w:sz="8" w:space="0" w:color="auto"/>
        <w:bottom w:val="single" w:sz="8" w:space="0" w:color="auto"/>
        <w:right w:val="single" w:sz="8" w:space="0" w:color="auto"/>
      </w:pBdr>
      <w:shd w:val="clear" w:color="000000" w:fill="201547"/>
      <w:spacing w:before="100" w:beforeAutospacing="1" w:after="100" w:afterAutospacing="1" w:line="240" w:lineRule="auto"/>
      <w:textAlignment w:val="center"/>
    </w:pPr>
    <w:rPr>
      <w:rFonts w:cs="Arial"/>
      <w:b/>
      <w:bCs/>
      <w:color w:val="FFFFFF"/>
      <w:sz w:val="16"/>
      <w:szCs w:val="16"/>
      <w:lang w:eastAsia="en-AU"/>
    </w:rPr>
  </w:style>
  <w:style w:type="paragraph" w:customStyle="1" w:styleId="xl276">
    <w:name w:val="xl276"/>
    <w:basedOn w:val="Normal"/>
    <w:rsid w:val="007D232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sz w:val="16"/>
      <w:szCs w:val="16"/>
      <w:lang w:eastAsia="en-AU"/>
    </w:rPr>
  </w:style>
  <w:style w:type="paragraph" w:customStyle="1" w:styleId="xl277">
    <w:name w:val="xl277"/>
    <w:basedOn w:val="Normal"/>
    <w:rsid w:val="007D2325"/>
    <w:pPr>
      <w:pBdr>
        <w:left w:val="single" w:sz="8" w:space="0" w:color="auto"/>
        <w:bottom w:val="single" w:sz="8" w:space="0" w:color="auto"/>
        <w:right w:val="single" w:sz="8" w:space="0" w:color="auto"/>
      </w:pBdr>
      <w:shd w:val="clear" w:color="000000" w:fill="201547"/>
      <w:spacing w:before="100" w:beforeAutospacing="1" w:after="100" w:afterAutospacing="1" w:line="240" w:lineRule="auto"/>
      <w:textAlignment w:val="center"/>
    </w:pPr>
    <w:rPr>
      <w:rFonts w:cs="Arial"/>
      <w:b/>
      <w:bCs/>
      <w:color w:val="FFFFFF"/>
      <w:sz w:val="16"/>
      <w:szCs w:val="16"/>
      <w:lang w:eastAsia="en-AU"/>
    </w:rPr>
  </w:style>
  <w:style w:type="paragraph" w:customStyle="1" w:styleId="xl278">
    <w:name w:val="xl278"/>
    <w:basedOn w:val="Normal"/>
    <w:rsid w:val="007D2325"/>
    <w:pPr>
      <w:pBdr>
        <w:left w:val="single" w:sz="8" w:space="0" w:color="auto"/>
        <w:bottom w:val="single" w:sz="8" w:space="0" w:color="auto"/>
      </w:pBdr>
      <w:shd w:val="clear" w:color="000000" w:fill="201547"/>
      <w:spacing w:before="100" w:beforeAutospacing="1" w:after="100" w:afterAutospacing="1" w:line="240" w:lineRule="auto"/>
      <w:jc w:val="center"/>
      <w:textAlignment w:val="center"/>
    </w:pPr>
    <w:rPr>
      <w:rFonts w:cs="Arial"/>
      <w:b/>
      <w:bCs/>
      <w:color w:val="FFFFFF"/>
      <w:sz w:val="16"/>
      <w:szCs w:val="16"/>
      <w:lang w:eastAsia="en-AU"/>
    </w:rPr>
  </w:style>
  <w:style w:type="paragraph" w:customStyle="1" w:styleId="xl279">
    <w:name w:val="xl279"/>
    <w:basedOn w:val="Normal"/>
    <w:rsid w:val="007D2325"/>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280">
    <w:name w:val="xl280"/>
    <w:basedOn w:val="Normal"/>
    <w:rsid w:val="007D232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281">
    <w:name w:val="xl281"/>
    <w:basedOn w:val="Normal"/>
    <w:rsid w:val="007D2325"/>
    <w:pPr>
      <w:pBdr>
        <w:left w:val="single" w:sz="8" w:space="0" w:color="auto"/>
        <w:right w:val="single" w:sz="8" w:space="0" w:color="auto"/>
      </w:pBdr>
      <w:shd w:val="clear" w:color="000000" w:fill="201547"/>
      <w:spacing w:before="100" w:beforeAutospacing="1" w:after="100" w:afterAutospacing="1" w:line="240" w:lineRule="auto"/>
    </w:pPr>
    <w:rPr>
      <w:rFonts w:cs="Arial"/>
      <w:b/>
      <w:bCs/>
      <w:color w:val="FFFFFF"/>
      <w:sz w:val="16"/>
      <w:szCs w:val="16"/>
      <w:lang w:eastAsia="en-AU"/>
    </w:rPr>
  </w:style>
  <w:style w:type="paragraph" w:customStyle="1" w:styleId="xl282">
    <w:name w:val="xl282"/>
    <w:basedOn w:val="Normal"/>
    <w:rsid w:val="007D232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283">
    <w:name w:val="xl283"/>
    <w:basedOn w:val="Normal"/>
    <w:rsid w:val="007D232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703">
      <w:bodyDiv w:val="1"/>
      <w:marLeft w:val="0"/>
      <w:marRight w:val="0"/>
      <w:marTop w:val="0"/>
      <w:marBottom w:val="0"/>
      <w:divBdr>
        <w:top w:val="none" w:sz="0" w:space="0" w:color="auto"/>
        <w:left w:val="none" w:sz="0" w:space="0" w:color="auto"/>
        <w:bottom w:val="none" w:sz="0" w:space="0" w:color="auto"/>
        <w:right w:val="none" w:sz="0" w:space="0" w:color="auto"/>
      </w:divBdr>
    </w:div>
    <w:div w:id="33581954">
      <w:bodyDiv w:val="1"/>
      <w:marLeft w:val="0"/>
      <w:marRight w:val="0"/>
      <w:marTop w:val="0"/>
      <w:marBottom w:val="0"/>
      <w:divBdr>
        <w:top w:val="none" w:sz="0" w:space="0" w:color="auto"/>
        <w:left w:val="none" w:sz="0" w:space="0" w:color="auto"/>
        <w:bottom w:val="none" w:sz="0" w:space="0" w:color="auto"/>
        <w:right w:val="none" w:sz="0" w:space="0" w:color="auto"/>
      </w:divBdr>
    </w:div>
    <w:div w:id="47844938">
      <w:bodyDiv w:val="1"/>
      <w:marLeft w:val="0"/>
      <w:marRight w:val="0"/>
      <w:marTop w:val="0"/>
      <w:marBottom w:val="0"/>
      <w:divBdr>
        <w:top w:val="none" w:sz="0" w:space="0" w:color="auto"/>
        <w:left w:val="none" w:sz="0" w:space="0" w:color="auto"/>
        <w:bottom w:val="none" w:sz="0" w:space="0" w:color="auto"/>
        <w:right w:val="none" w:sz="0" w:space="0" w:color="auto"/>
      </w:divBdr>
    </w:div>
    <w:div w:id="52195044">
      <w:bodyDiv w:val="1"/>
      <w:marLeft w:val="0"/>
      <w:marRight w:val="0"/>
      <w:marTop w:val="0"/>
      <w:marBottom w:val="0"/>
      <w:divBdr>
        <w:top w:val="none" w:sz="0" w:space="0" w:color="auto"/>
        <w:left w:val="none" w:sz="0" w:space="0" w:color="auto"/>
        <w:bottom w:val="none" w:sz="0" w:space="0" w:color="auto"/>
        <w:right w:val="none" w:sz="0" w:space="0" w:color="auto"/>
      </w:divBdr>
    </w:div>
    <w:div w:id="64190051">
      <w:bodyDiv w:val="1"/>
      <w:marLeft w:val="0"/>
      <w:marRight w:val="0"/>
      <w:marTop w:val="0"/>
      <w:marBottom w:val="0"/>
      <w:divBdr>
        <w:top w:val="none" w:sz="0" w:space="0" w:color="auto"/>
        <w:left w:val="none" w:sz="0" w:space="0" w:color="auto"/>
        <w:bottom w:val="none" w:sz="0" w:space="0" w:color="auto"/>
        <w:right w:val="none" w:sz="0" w:space="0" w:color="auto"/>
      </w:divBdr>
    </w:div>
    <w:div w:id="71585061">
      <w:bodyDiv w:val="1"/>
      <w:marLeft w:val="0"/>
      <w:marRight w:val="0"/>
      <w:marTop w:val="0"/>
      <w:marBottom w:val="0"/>
      <w:divBdr>
        <w:top w:val="none" w:sz="0" w:space="0" w:color="auto"/>
        <w:left w:val="none" w:sz="0" w:space="0" w:color="auto"/>
        <w:bottom w:val="none" w:sz="0" w:space="0" w:color="auto"/>
        <w:right w:val="none" w:sz="0" w:space="0" w:color="auto"/>
      </w:divBdr>
    </w:div>
    <w:div w:id="100030408">
      <w:bodyDiv w:val="1"/>
      <w:marLeft w:val="0"/>
      <w:marRight w:val="0"/>
      <w:marTop w:val="0"/>
      <w:marBottom w:val="0"/>
      <w:divBdr>
        <w:top w:val="none" w:sz="0" w:space="0" w:color="auto"/>
        <w:left w:val="none" w:sz="0" w:space="0" w:color="auto"/>
        <w:bottom w:val="none" w:sz="0" w:space="0" w:color="auto"/>
        <w:right w:val="none" w:sz="0" w:space="0" w:color="auto"/>
      </w:divBdr>
      <w:divsChild>
        <w:div w:id="368459983">
          <w:marLeft w:val="403"/>
          <w:marRight w:val="0"/>
          <w:marTop w:val="80"/>
          <w:marBottom w:val="80"/>
          <w:divBdr>
            <w:top w:val="none" w:sz="0" w:space="0" w:color="auto"/>
            <w:left w:val="none" w:sz="0" w:space="0" w:color="auto"/>
            <w:bottom w:val="none" w:sz="0" w:space="0" w:color="auto"/>
            <w:right w:val="none" w:sz="0" w:space="0" w:color="auto"/>
          </w:divBdr>
        </w:div>
        <w:div w:id="1297489319">
          <w:marLeft w:val="792"/>
          <w:marRight w:val="0"/>
          <w:marTop w:val="0"/>
          <w:marBottom w:val="80"/>
          <w:divBdr>
            <w:top w:val="none" w:sz="0" w:space="0" w:color="auto"/>
            <w:left w:val="none" w:sz="0" w:space="0" w:color="auto"/>
            <w:bottom w:val="none" w:sz="0" w:space="0" w:color="auto"/>
            <w:right w:val="none" w:sz="0" w:space="0" w:color="auto"/>
          </w:divBdr>
        </w:div>
        <w:div w:id="2030720636">
          <w:marLeft w:val="792"/>
          <w:marRight w:val="0"/>
          <w:marTop w:val="0"/>
          <w:marBottom w:val="80"/>
          <w:divBdr>
            <w:top w:val="none" w:sz="0" w:space="0" w:color="auto"/>
            <w:left w:val="none" w:sz="0" w:space="0" w:color="auto"/>
            <w:bottom w:val="none" w:sz="0" w:space="0" w:color="auto"/>
            <w:right w:val="none" w:sz="0" w:space="0" w:color="auto"/>
          </w:divBdr>
        </w:div>
        <w:div w:id="2054770864">
          <w:marLeft w:val="792"/>
          <w:marRight w:val="0"/>
          <w:marTop w:val="0"/>
          <w:marBottom w:val="80"/>
          <w:divBdr>
            <w:top w:val="none" w:sz="0" w:space="0" w:color="auto"/>
            <w:left w:val="none" w:sz="0" w:space="0" w:color="auto"/>
            <w:bottom w:val="none" w:sz="0" w:space="0" w:color="auto"/>
            <w:right w:val="none" w:sz="0" w:space="0" w:color="auto"/>
          </w:divBdr>
        </w:div>
        <w:div w:id="2066099471">
          <w:marLeft w:val="792"/>
          <w:marRight w:val="0"/>
          <w:marTop w:val="0"/>
          <w:marBottom w:val="80"/>
          <w:divBdr>
            <w:top w:val="none" w:sz="0" w:space="0" w:color="auto"/>
            <w:left w:val="none" w:sz="0" w:space="0" w:color="auto"/>
            <w:bottom w:val="none" w:sz="0" w:space="0" w:color="auto"/>
            <w:right w:val="none" w:sz="0" w:space="0" w:color="auto"/>
          </w:divBdr>
        </w:div>
        <w:div w:id="2069957785">
          <w:marLeft w:val="792"/>
          <w:marRight w:val="0"/>
          <w:marTop w:val="0"/>
          <w:marBottom w:val="80"/>
          <w:divBdr>
            <w:top w:val="none" w:sz="0" w:space="0" w:color="auto"/>
            <w:left w:val="none" w:sz="0" w:space="0" w:color="auto"/>
            <w:bottom w:val="none" w:sz="0" w:space="0" w:color="auto"/>
            <w:right w:val="none" w:sz="0" w:space="0" w:color="auto"/>
          </w:divBdr>
        </w:div>
        <w:div w:id="2075471461">
          <w:marLeft w:val="403"/>
          <w:marRight w:val="0"/>
          <w:marTop w:val="80"/>
          <w:marBottom w:val="80"/>
          <w:divBdr>
            <w:top w:val="none" w:sz="0" w:space="0" w:color="auto"/>
            <w:left w:val="none" w:sz="0" w:space="0" w:color="auto"/>
            <w:bottom w:val="none" w:sz="0" w:space="0" w:color="auto"/>
            <w:right w:val="none" w:sz="0" w:space="0" w:color="auto"/>
          </w:divBdr>
        </w:div>
      </w:divsChild>
    </w:div>
    <w:div w:id="122774738">
      <w:bodyDiv w:val="1"/>
      <w:marLeft w:val="0"/>
      <w:marRight w:val="0"/>
      <w:marTop w:val="0"/>
      <w:marBottom w:val="0"/>
      <w:divBdr>
        <w:top w:val="none" w:sz="0" w:space="0" w:color="auto"/>
        <w:left w:val="none" w:sz="0" w:space="0" w:color="auto"/>
        <w:bottom w:val="none" w:sz="0" w:space="0" w:color="auto"/>
        <w:right w:val="none" w:sz="0" w:space="0" w:color="auto"/>
      </w:divBdr>
    </w:div>
    <w:div w:id="130176913">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0343643">
      <w:bodyDiv w:val="1"/>
      <w:marLeft w:val="0"/>
      <w:marRight w:val="0"/>
      <w:marTop w:val="0"/>
      <w:marBottom w:val="0"/>
      <w:divBdr>
        <w:top w:val="none" w:sz="0" w:space="0" w:color="auto"/>
        <w:left w:val="none" w:sz="0" w:space="0" w:color="auto"/>
        <w:bottom w:val="none" w:sz="0" w:space="0" w:color="auto"/>
        <w:right w:val="none" w:sz="0" w:space="0" w:color="auto"/>
      </w:divBdr>
    </w:div>
    <w:div w:id="170415582">
      <w:bodyDiv w:val="1"/>
      <w:marLeft w:val="0"/>
      <w:marRight w:val="0"/>
      <w:marTop w:val="0"/>
      <w:marBottom w:val="0"/>
      <w:divBdr>
        <w:top w:val="none" w:sz="0" w:space="0" w:color="auto"/>
        <w:left w:val="none" w:sz="0" w:space="0" w:color="auto"/>
        <w:bottom w:val="none" w:sz="0" w:space="0" w:color="auto"/>
        <w:right w:val="none" w:sz="0" w:space="0" w:color="auto"/>
      </w:divBdr>
    </w:div>
    <w:div w:id="175122351">
      <w:bodyDiv w:val="1"/>
      <w:marLeft w:val="0"/>
      <w:marRight w:val="0"/>
      <w:marTop w:val="0"/>
      <w:marBottom w:val="0"/>
      <w:divBdr>
        <w:top w:val="none" w:sz="0" w:space="0" w:color="auto"/>
        <w:left w:val="none" w:sz="0" w:space="0" w:color="auto"/>
        <w:bottom w:val="none" w:sz="0" w:space="0" w:color="auto"/>
        <w:right w:val="none" w:sz="0" w:space="0" w:color="auto"/>
      </w:divBdr>
    </w:div>
    <w:div w:id="175727695">
      <w:bodyDiv w:val="1"/>
      <w:marLeft w:val="0"/>
      <w:marRight w:val="0"/>
      <w:marTop w:val="0"/>
      <w:marBottom w:val="0"/>
      <w:divBdr>
        <w:top w:val="none" w:sz="0" w:space="0" w:color="auto"/>
        <w:left w:val="none" w:sz="0" w:space="0" w:color="auto"/>
        <w:bottom w:val="none" w:sz="0" w:space="0" w:color="auto"/>
        <w:right w:val="none" w:sz="0" w:space="0" w:color="auto"/>
      </w:divBdr>
    </w:div>
    <w:div w:id="178786497">
      <w:bodyDiv w:val="1"/>
      <w:marLeft w:val="0"/>
      <w:marRight w:val="0"/>
      <w:marTop w:val="0"/>
      <w:marBottom w:val="0"/>
      <w:divBdr>
        <w:top w:val="none" w:sz="0" w:space="0" w:color="auto"/>
        <w:left w:val="none" w:sz="0" w:space="0" w:color="auto"/>
        <w:bottom w:val="none" w:sz="0" w:space="0" w:color="auto"/>
        <w:right w:val="none" w:sz="0" w:space="0" w:color="auto"/>
      </w:divBdr>
    </w:div>
    <w:div w:id="186023378">
      <w:bodyDiv w:val="1"/>
      <w:marLeft w:val="0"/>
      <w:marRight w:val="0"/>
      <w:marTop w:val="0"/>
      <w:marBottom w:val="0"/>
      <w:divBdr>
        <w:top w:val="none" w:sz="0" w:space="0" w:color="auto"/>
        <w:left w:val="none" w:sz="0" w:space="0" w:color="auto"/>
        <w:bottom w:val="none" w:sz="0" w:space="0" w:color="auto"/>
        <w:right w:val="none" w:sz="0" w:space="0" w:color="auto"/>
      </w:divBdr>
    </w:div>
    <w:div w:id="186794831">
      <w:bodyDiv w:val="1"/>
      <w:marLeft w:val="0"/>
      <w:marRight w:val="0"/>
      <w:marTop w:val="0"/>
      <w:marBottom w:val="0"/>
      <w:divBdr>
        <w:top w:val="none" w:sz="0" w:space="0" w:color="auto"/>
        <w:left w:val="none" w:sz="0" w:space="0" w:color="auto"/>
        <w:bottom w:val="none" w:sz="0" w:space="0" w:color="auto"/>
        <w:right w:val="none" w:sz="0" w:space="0" w:color="auto"/>
      </w:divBdr>
    </w:div>
    <w:div w:id="189804133">
      <w:bodyDiv w:val="1"/>
      <w:marLeft w:val="0"/>
      <w:marRight w:val="0"/>
      <w:marTop w:val="0"/>
      <w:marBottom w:val="0"/>
      <w:divBdr>
        <w:top w:val="none" w:sz="0" w:space="0" w:color="auto"/>
        <w:left w:val="none" w:sz="0" w:space="0" w:color="auto"/>
        <w:bottom w:val="none" w:sz="0" w:space="0" w:color="auto"/>
        <w:right w:val="none" w:sz="0" w:space="0" w:color="auto"/>
      </w:divBdr>
    </w:div>
    <w:div w:id="200747003">
      <w:bodyDiv w:val="1"/>
      <w:marLeft w:val="0"/>
      <w:marRight w:val="0"/>
      <w:marTop w:val="0"/>
      <w:marBottom w:val="0"/>
      <w:divBdr>
        <w:top w:val="none" w:sz="0" w:space="0" w:color="auto"/>
        <w:left w:val="none" w:sz="0" w:space="0" w:color="auto"/>
        <w:bottom w:val="none" w:sz="0" w:space="0" w:color="auto"/>
        <w:right w:val="none" w:sz="0" w:space="0" w:color="auto"/>
      </w:divBdr>
    </w:div>
    <w:div w:id="204609586">
      <w:bodyDiv w:val="1"/>
      <w:marLeft w:val="0"/>
      <w:marRight w:val="0"/>
      <w:marTop w:val="0"/>
      <w:marBottom w:val="0"/>
      <w:divBdr>
        <w:top w:val="none" w:sz="0" w:space="0" w:color="auto"/>
        <w:left w:val="none" w:sz="0" w:space="0" w:color="auto"/>
        <w:bottom w:val="none" w:sz="0" w:space="0" w:color="auto"/>
        <w:right w:val="none" w:sz="0" w:space="0" w:color="auto"/>
      </w:divBdr>
    </w:div>
    <w:div w:id="211230235">
      <w:bodyDiv w:val="1"/>
      <w:marLeft w:val="0"/>
      <w:marRight w:val="0"/>
      <w:marTop w:val="0"/>
      <w:marBottom w:val="0"/>
      <w:divBdr>
        <w:top w:val="none" w:sz="0" w:space="0" w:color="auto"/>
        <w:left w:val="none" w:sz="0" w:space="0" w:color="auto"/>
        <w:bottom w:val="none" w:sz="0" w:space="0" w:color="auto"/>
        <w:right w:val="none" w:sz="0" w:space="0" w:color="auto"/>
      </w:divBdr>
    </w:div>
    <w:div w:id="223565101">
      <w:bodyDiv w:val="1"/>
      <w:marLeft w:val="0"/>
      <w:marRight w:val="0"/>
      <w:marTop w:val="0"/>
      <w:marBottom w:val="0"/>
      <w:divBdr>
        <w:top w:val="none" w:sz="0" w:space="0" w:color="auto"/>
        <w:left w:val="none" w:sz="0" w:space="0" w:color="auto"/>
        <w:bottom w:val="none" w:sz="0" w:space="0" w:color="auto"/>
        <w:right w:val="none" w:sz="0" w:space="0" w:color="auto"/>
      </w:divBdr>
    </w:div>
    <w:div w:id="239800727">
      <w:bodyDiv w:val="1"/>
      <w:marLeft w:val="0"/>
      <w:marRight w:val="0"/>
      <w:marTop w:val="0"/>
      <w:marBottom w:val="0"/>
      <w:divBdr>
        <w:top w:val="none" w:sz="0" w:space="0" w:color="auto"/>
        <w:left w:val="none" w:sz="0" w:space="0" w:color="auto"/>
        <w:bottom w:val="none" w:sz="0" w:space="0" w:color="auto"/>
        <w:right w:val="none" w:sz="0" w:space="0" w:color="auto"/>
      </w:divBdr>
    </w:div>
    <w:div w:id="241331900">
      <w:bodyDiv w:val="1"/>
      <w:marLeft w:val="0"/>
      <w:marRight w:val="0"/>
      <w:marTop w:val="0"/>
      <w:marBottom w:val="0"/>
      <w:divBdr>
        <w:top w:val="none" w:sz="0" w:space="0" w:color="auto"/>
        <w:left w:val="none" w:sz="0" w:space="0" w:color="auto"/>
        <w:bottom w:val="none" w:sz="0" w:space="0" w:color="auto"/>
        <w:right w:val="none" w:sz="0" w:space="0" w:color="auto"/>
      </w:divBdr>
    </w:div>
    <w:div w:id="243340973">
      <w:bodyDiv w:val="1"/>
      <w:marLeft w:val="0"/>
      <w:marRight w:val="0"/>
      <w:marTop w:val="0"/>
      <w:marBottom w:val="0"/>
      <w:divBdr>
        <w:top w:val="none" w:sz="0" w:space="0" w:color="auto"/>
        <w:left w:val="none" w:sz="0" w:space="0" w:color="auto"/>
        <w:bottom w:val="none" w:sz="0" w:space="0" w:color="auto"/>
        <w:right w:val="none" w:sz="0" w:space="0" w:color="auto"/>
      </w:divBdr>
    </w:div>
    <w:div w:id="266425369">
      <w:bodyDiv w:val="1"/>
      <w:marLeft w:val="0"/>
      <w:marRight w:val="0"/>
      <w:marTop w:val="0"/>
      <w:marBottom w:val="0"/>
      <w:divBdr>
        <w:top w:val="none" w:sz="0" w:space="0" w:color="auto"/>
        <w:left w:val="none" w:sz="0" w:space="0" w:color="auto"/>
        <w:bottom w:val="none" w:sz="0" w:space="0" w:color="auto"/>
        <w:right w:val="none" w:sz="0" w:space="0" w:color="auto"/>
      </w:divBdr>
    </w:div>
    <w:div w:id="281503458">
      <w:bodyDiv w:val="1"/>
      <w:marLeft w:val="0"/>
      <w:marRight w:val="0"/>
      <w:marTop w:val="0"/>
      <w:marBottom w:val="0"/>
      <w:divBdr>
        <w:top w:val="none" w:sz="0" w:space="0" w:color="auto"/>
        <w:left w:val="none" w:sz="0" w:space="0" w:color="auto"/>
        <w:bottom w:val="none" w:sz="0" w:space="0" w:color="auto"/>
        <w:right w:val="none" w:sz="0" w:space="0" w:color="auto"/>
      </w:divBdr>
    </w:div>
    <w:div w:id="28524180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9651628">
      <w:bodyDiv w:val="1"/>
      <w:marLeft w:val="0"/>
      <w:marRight w:val="0"/>
      <w:marTop w:val="0"/>
      <w:marBottom w:val="0"/>
      <w:divBdr>
        <w:top w:val="none" w:sz="0" w:space="0" w:color="auto"/>
        <w:left w:val="none" w:sz="0" w:space="0" w:color="auto"/>
        <w:bottom w:val="none" w:sz="0" w:space="0" w:color="auto"/>
        <w:right w:val="none" w:sz="0" w:space="0" w:color="auto"/>
      </w:divBdr>
    </w:div>
    <w:div w:id="354811970">
      <w:bodyDiv w:val="1"/>
      <w:marLeft w:val="0"/>
      <w:marRight w:val="0"/>
      <w:marTop w:val="0"/>
      <w:marBottom w:val="0"/>
      <w:divBdr>
        <w:top w:val="none" w:sz="0" w:space="0" w:color="auto"/>
        <w:left w:val="none" w:sz="0" w:space="0" w:color="auto"/>
        <w:bottom w:val="none" w:sz="0" w:space="0" w:color="auto"/>
        <w:right w:val="none" w:sz="0" w:space="0" w:color="auto"/>
      </w:divBdr>
    </w:div>
    <w:div w:id="390930045">
      <w:bodyDiv w:val="1"/>
      <w:marLeft w:val="0"/>
      <w:marRight w:val="0"/>
      <w:marTop w:val="0"/>
      <w:marBottom w:val="0"/>
      <w:divBdr>
        <w:top w:val="none" w:sz="0" w:space="0" w:color="auto"/>
        <w:left w:val="none" w:sz="0" w:space="0" w:color="auto"/>
        <w:bottom w:val="none" w:sz="0" w:space="0" w:color="auto"/>
        <w:right w:val="none" w:sz="0" w:space="0" w:color="auto"/>
      </w:divBdr>
    </w:div>
    <w:div w:id="394817387">
      <w:bodyDiv w:val="1"/>
      <w:marLeft w:val="0"/>
      <w:marRight w:val="0"/>
      <w:marTop w:val="0"/>
      <w:marBottom w:val="0"/>
      <w:divBdr>
        <w:top w:val="none" w:sz="0" w:space="0" w:color="auto"/>
        <w:left w:val="none" w:sz="0" w:space="0" w:color="auto"/>
        <w:bottom w:val="none" w:sz="0" w:space="0" w:color="auto"/>
        <w:right w:val="none" w:sz="0" w:space="0" w:color="auto"/>
      </w:divBdr>
    </w:div>
    <w:div w:id="407122164">
      <w:bodyDiv w:val="1"/>
      <w:marLeft w:val="0"/>
      <w:marRight w:val="0"/>
      <w:marTop w:val="0"/>
      <w:marBottom w:val="0"/>
      <w:divBdr>
        <w:top w:val="none" w:sz="0" w:space="0" w:color="auto"/>
        <w:left w:val="none" w:sz="0" w:space="0" w:color="auto"/>
        <w:bottom w:val="none" w:sz="0" w:space="0" w:color="auto"/>
        <w:right w:val="none" w:sz="0" w:space="0" w:color="auto"/>
      </w:divBdr>
    </w:div>
    <w:div w:id="427887940">
      <w:bodyDiv w:val="1"/>
      <w:marLeft w:val="0"/>
      <w:marRight w:val="0"/>
      <w:marTop w:val="0"/>
      <w:marBottom w:val="0"/>
      <w:divBdr>
        <w:top w:val="none" w:sz="0" w:space="0" w:color="auto"/>
        <w:left w:val="none" w:sz="0" w:space="0" w:color="auto"/>
        <w:bottom w:val="none" w:sz="0" w:space="0" w:color="auto"/>
        <w:right w:val="none" w:sz="0" w:space="0" w:color="auto"/>
      </w:divBdr>
      <w:divsChild>
        <w:div w:id="1635214854">
          <w:marLeft w:val="792"/>
          <w:marRight w:val="0"/>
          <w:marTop w:val="0"/>
          <w:marBottom w:val="80"/>
          <w:divBdr>
            <w:top w:val="none" w:sz="0" w:space="0" w:color="auto"/>
            <w:left w:val="none" w:sz="0" w:space="0" w:color="auto"/>
            <w:bottom w:val="none" w:sz="0" w:space="0" w:color="auto"/>
            <w:right w:val="none" w:sz="0" w:space="0" w:color="auto"/>
          </w:divBdr>
        </w:div>
      </w:divsChild>
    </w:div>
    <w:div w:id="451486989">
      <w:bodyDiv w:val="1"/>
      <w:marLeft w:val="0"/>
      <w:marRight w:val="0"/>
      <w:marTop w:val="0"/>
      <w:marBottom w:val="0"/>
      <w:divBdr>
        <w:top w:val="none" w:sz="0" w:space="0" w:color="auto"/>
        <w:left w:val="none" w:sz="0" w:space="0" w:color="auto"/>
        <w:bottom w:val="none" w:sz="0" w:space="0" w:color="auto"/>
        <w:right w:val="none" w:sz="0" w:space="0" w:color="auto"/>
      </w:divBdr>
    </w:div>
    <w:div w:id="455954113">
      <w:bodyDiv w:val="1"/>
      <w:marLeft w:val="0"/>
      <w:marRight w:val="0"/>
      <w:marTop w:val="0"/>
      <w:marBottom w:val="0"/>
      <w:divBdr>
        <w:top w:val="none" w:sz="0" w:space="0" w:color="auto"/>
        <w:left w:val="none" w:sz="0" w:space="0" w:color="auto"/>
        <w:bottom w:val="none" w:sz="0" w:space="0" w:color="auto"/>
        <w:right w:val="none" w:sz="0" w:space="0" w:color="auto"/>
      </w:divBdr>
    </w:div>
    <w:div w:id="472985343">
      <w:bodyDiv w:val="1"/>
      <w:marLeft w:val="0"/>
      <w:marRight w:val="0"/>
      <w:marTop w:val="0"/>
      <w:marBottom w:val="0"/>
      <w:divBdr>
        <w:top w:val="none" w:sz="0" w:space="0" w:color="auto"/>
        <w:left w:val="none" w:sz="0" w:space="0" w:color="auto"/>
        <w:bottom w:val="none" w:sz="0" w:space="0" w:color="auto"/>
        <w:right w:val="none" w:sz="0" w:space="0" w:color="auto"/>
      </w:divBdr>
    </w:div>
    <w:div w:id="503786269">
      <w:bodyDiv w:val="1"/>
      <w:marLeft w:val="0"/>
      <w:marRight w:val="0"/>
      <w:marTop w:val="0"/>
      <w:marBottom w:val="0"/>
      <w:divBdr>
        <w:top w:val="none" w:sz="0" w:space="0" w:color="auto"/>
        <w:left w:val="none" w:sz="0" w:space="0" w:color="auto"/>
        <w:bottom w:val="none" w:sz="0" w:space="0" w:color="auto"/>
        <w:right w:val="none" w:sz="0" w:space="0" w:color="auto"/>
      </w:divBdr>
    </w:div>
    <w:div w:id="565921841">
      <w:bodyDiv w:val="1"/>
      <w:marLeft w:val="0"/>
      <w:marRight w:val="0"/>
      <w:marTop w:val="0"/>
      <w:marBottom w:val="0"/>
      <w:divBdr>
        <w:top w:val="none" w:sz="0" w:space="0" w:color="auto"/>
        <w:left w:val="none" w:sz="0" w:space="0" w:color="auto"/>
        <w:bottom w:val="none" w:sz="0" w:space="0" w:color="auto"/>
        <w:right w:val="none" w:sz="0" w:space="0" w:color="auto"/>
      </w:divBdr>
    </w:div>
    <w:div w:id="566771757">
      <w:bodyDiv w:val="1"/>
      <w:marLeft w:val="0"/>
      <w:marRight w:val="0"/>
      <w:marTop w:val="0"/>
      <w:marBottom w:val="0"/>
      <w:divBdr>
        <w:top w:val="none" w:sz="0" w:space="0" w:color="auto"/>
        <w:left w:val="none" w:sz="0" w:space="0" w:color="auto"/>
        <w:bottom w:val="none" w:sz="0" w:space="0" w:color="auto"/>
        <w:right w:val="none" w:sz="0" w:space="0" w:color="auto"/>
      </w:divBdr>
    </w:div>
    <w:div w:id="569585230">
      <w:bodyDiv w:val="1"/>
      <w:marLeft w:val="0"/>
      <w:marRight w:val="0"/>
      <w:marTop w:val="0"/>
      <w:marBottom w:val="0"/>
      <w:divBdr>
        <w:top w:val="none" w:sz="0" w:space="0" w:color="auto"/>
        <w:left w:val="none" w:sz="0" w:space="0" w:color="auto"/>
        <w:bottom w:val="none" w:sz="0" w:space="0" w:color="auto"/>
        <w:right w:val="none" w:sz="0" w:space="0" w:color="auto"/>
      </w:divBdr>
    </w:div>
    <w:div w:id="579215937">
      <w:bodyDiv w:val="1"/>
      <w:marLeft w:val="0"/>
      <w:marRight w:val="0"/>
      <w:marTop w:val="0"/>
      <w:marBottom w:val="0"/>
      <w:divBdr>
        <w:top w:val="none" w:sz="0" w:space="0" w:color="auto"/>
        <w:left w:val="none" w:sz="0" w:space="0" w:color="auto"/>
        <w:bottom w:val="none" w:sz="0" w:space="0" w:color="auto"/>
        <w:right w:val="none" w:sz="0" w:space="0" w:color="auto"/>
      </w:divBdr>
    </w:div>
    <w:div w:id="580212355">
      <w:bodyDiv w:val="1"/>
      <w:marLeft w:val="0"/>
      <w:marRight w:val="0"/>
      <w:marTop w:val="0"/>
      <w:marBottom w:val="0"/>
      <w:divBdr>
        <w:top w:val="none" w:sz="0" w:space="0" w:color="auto"/>
        <w:left w:val="none" w:sz="0" w:space="0" w:color="auto"/>
        <w:bottom w:val="none" w:sz="0" w:space="0" w:color="auto"/>
        <w:right w:val="none" w:sz="0" w:space="0" w:color="auto"/>
      </w:divBdr>
    </w:div>
    <w:div w:id="592517587">
      <w:bodyDiv w:val="1"/>
      <w:marLeft w:val="0"/>
      <w:marRight w:val="0"/>
      <w:marTop w:val="0"/>
      <w:marBottom w:val="0"/>
      <w:divBdr>
        <w:top w:val="none" w:sz="0" w:space="0" w:color="auto"/>
        <w:left w:val="none" w:sz="0" w:space="0" w:color="auto"/>
        <w:bottom w:val="none" w:sz="0" w:space="0" w:color="auto"/>
        <w:right w:val="none" w:sz="0" w:space="0" w:color="auto"/>
      </w:divBdr>
    </w:div>
    <w:div w:id="610555422">
      <w:bodyDiv w:val="1"/>
      <w:marLeft w:val="0"/>
      <w:marRight w:val="0"/>
      <w:marTop w:val="0"/>
      <w:marBottom w:val="0"/>
      <w:divBdr>
        <w:top w:val="none" w:sz="0" w:space="0" w:color="auto"/>
        <w:left w:val="none" w:sz="0" w:space="0" w:color="auto"/>
        <w:bottom w:val="none" w:sz="0" w:space="0" w:color="auto"/>
        <w:right w:val="none" w:sz="0" w:space="0" w:color="auto"/>
      </w:divBdr>
    </w:div>
    <w:div w:id="628366171">
      <w:bodyDiv w:val="1"/>
      <w:marLeft w:val="0"/>
      <w:marRight w:val="0"/>
      <w:marTop w:val="0"/>
      <w:marBottom w:val="0"/>
      <w:divBdr>
        <w:top w:val="none" w:sz="0" w:space="0" w:color="auto"/>
        <w:left w:val="none" w:sz="0" w:space="0" w:color="auto"/>
        <w:bottom w:val="none" w:sz="0" w:space="0" w:color="auto"/>
        <w:right w:val="none" w:sz="0" w:space="0" w:color="auto"/>
      </w:divBdr>
    </w:div>
    <w:div w:id="641690782">
      <w:bodyDiv w:val="1"/>
      <w:marLeft w:val="0"/>
      <w:marRight w:val="0"/>
      <w:marTop w:val="0"/>
      <w:marBottom w:val="0"/>
      <w:divBdr>
        <w:top w:val="none" w:sz="0" w:space="0" w:color="auto"/>
        <w:left w:val="none" w:sz="0" w:space="0" w:color="auto"/>
        <w:bottom w:val="none" w:sz="0" w:space="0" w:color="auto"/>
        <w:right w:val="none" w:sz="0" w:space="0" w:color="auto"/>
      </w:divBdr>
    </w:div>
    <w:div w:id="642273488">
      <w:bodyDiv w:val="1"/>
      <w:marLeft w:val="0"/>
      <w:marRight w:val="0"/>
      <w:marTop w:val="0"/>
      <w:marBottom w:val="0"/>
      <w:divBdr>
        <w:top w:val="none" w:sz="0" w:space="0" w:color="auto"/>
        <w:left w:val="none" w:sz="0" w:space="0" w:color="auto"/>
        <w:bottom w:val="none" w:sz="0" w:space="0" w:color="auto"/>
        <w:right w:val="none" w:sz="0" w:space="0" w:color="auto"/>
      </w:divBdr>
    </w:div>
    <w:div w:id="642736058">
      <w:bodyDiv w:val="1"/>
      <w:marLeft w:val="0"/>
      <w:marRight w:val="0"/>
      <w:marTop w:val="0"/>
      <w:marBottom w:val="0"/>
      <w:divBdr>
        <w:top w:val="none" w:sz="0" w:space="0" w:color="auto"/>
        <w:left w:val="none" w:sz="0" w:space="0" w:color="auto"/>
        <w:bottom w:val="none" w:sz="0" w:space="0" w:color="auto"/>
        <w:right w:val="none" w:sz="0" w:space="0" w:color="auto"/>
      </w:divBdr>
    </w:div>
    <w:div w:id="647248191">
      <w:bodyDiv w:val="1"/>
      <w:marLeft w:val="0"/>
      <w:marRight w:val="0"/>
      <w:marTop w:val="0"/>
      <w:marBottom w:val="0"/>
      <w:divBdr>
        <w:top w:val="none" w:sz="0" w:space="0" w:color="auto"/>
        <w:left w:val="none" w:sz="0" w:space="0" w:color="auto"/>
        <w:bottom w:val="none" w:sz="0" w:space="0" w:color="auto"/>
        <w:right w:val="none" w:sz="0" w:space="0" w:color="auto"/>
      </w:divBdr>
    </w:div>
    <w:div w:id="668753460">
      <w:bodyDiv w:val="1"/>
      <w:marLeft w:val="0"/>
      <w:marRight w:val="0"/>
      <w:marTop w:val="0"/>
      <w:marBottom w:val="0"/>
      <w:divBdr>
        <w:top w:val="none" w:sz="0" w:space="0" w:color="auto"/>
        <w:left w:val="none" w:sz="0" w:space="0" w:color="auto"/>
        <w:bottom w:val="none" w:sz="0" w:space="0" w:color="auto"/>
        <w:right w:val="none" w:sz="0" w:space="0" w:color="auto"/>
      </w:divBdr>
    </w:div>
    <w:div w:id="695278375">
      <w:bodyDiv w:val="1"/>
      <w:marLeft w:val="0"/>
      <w:marRight w:val="0"/>
      <w:marTop w:val="0"/>
      <w:marBottom w:val="0"/>
      <w:divBdr>
        <w:top w:val="none" w:sz="0" w:space="0" w:color="auto"/>
        <w:left w:val="none" w:sz="0" w:space="0" w:color="auto"/>
        <w:bottom w:val="none" w:sz="0" w:space="0" w:color="auto"/>
        <w:right w:val="none" w:sz="0" w:space="0" w:color="auto"/>
      </w:divBdr>
    </w:div>
    <w:div w:id="697580652">
      <w:bodyDiv w:val="1"/>
      <w:marLeft w:val="0"/>
      <w:marRight w:val="0"/>
      <w:marTop w:val="0"/>
      <w:marBottom w:val="0"/>
      <w:divBdr>
        <w:top w:val="none" w:sz="0" w:space="0" w:color="auto"/>
        <w:left w:val="none" w:sz="0" w:space="0" w:color="auto"/>
        <w:bottom w:val="none" w:sz="0" w:space="0" w:color="auto"/>
        <w:right w:val="none" w:sz="0" w:space="0" w:color="auto"/>
      </w:divBdr>
    </w:div>
    <w:div w:id="698512622">
      <w:bodyDiv w:val="1"/>
      <w:marLeft w:val="0"/>
      <w:marRight w:val="0"/>
      <w:marTop w:val="0"/>
      <w:marBottom w:val="0"/>
      <w:divBdr>
        <w:top w:val="none" w:sz="0" w:space="0" w:color="auto"/>
        <w:left w:val="none" w:sz="0" w:space="0" w:color="auto"/>
        <w:bottom w:val="none" w:sz="0" w:space="0" w:color="auto"/>
        <w:right w:val="none" w:sz="0" w:space="0" w:color="auto"/>
      </w:divBdr>
    </w:div>
    <w:div w:id="705564009">
      <w:bodyDiv w:val="1"/>
      <w:marLeft w:val="0"/>
      <w:marRight w:val="0"/>
      <w:marTop w:val="0"/>
      <w:marBottom w:val="0"/>
      <w:divBdr>
        <w:top w:val="none" w:sz="0" w:space="0" w:color="auto"/>
        <w:left w:val="none" w:sz="0" w:space="0" w:color="auto"/>
        <w:bottom w:val="none" w:sz="0" w:space="0" w:color="auto"/>
        <w:right w:val="none" w:sz="0" w:space="0" w:color="auto"/>
      </w:divBdr>
    </w:div>
    <w:div w:id="711268539">
      <w:bodyDiv w:val="1"/>
      <w:marLeft w:val="0"/>
      <w:marRight w:val="0"/>
      <w:marTop w:val="0"/>
      <w:marBottom w:val="0"/>
      <w:divBdr>
        <w:top w:val="none" w:sz="0" w:space="0" w:color="auto"/>
        <w:left w:val="none" w:sz="0" w:space="0" w:color="auto"/>
        <w:bottom w:val="none" w:sz="0" w:space="0" w:color="auto"/>
        <w:right w:val="none" w:sz="0" w:space="0" w:color="auto"/>
      </w:divBdr>
    </w:div>
    <w:div w:id="727194484">
      <w:bodyDiv w:val="1"/>
      <w:marLeft w:val="0"/>
      <w:marRight w:val="0"/>
      <w:marTop w:val="0"/>
      <w:marBottom w:val="0"/>
      <w:divBdr>
        <w:top w:val="none" w:sz="0" w:space="0" w:color="auto"/>
        <w:left w:val="none" w:sz="0" w:space="0" w:color="auto"/>
        <w:bottom w:val="none" w:sz="0" w:space="0" w:color="auto"/>
        <w:right w:val="none" w:sz="0" w:space="0" w:color="auto"/>
      </w:divBdr>
    </w:div>
    <w:div w:id="729354007">
      <w:bodyDiv w:val="1"/>
      <w:marLeft w:val="0"/>
      <w:marRight w:val="0"/>
      <w:marTop w:val="0"/>
      <w:marBottom w:val="0"/>
      <w:divBdr>
        <w:top w:val="none" w:sz="0" w:space="0" w:color="auto"/>
        <w:left w:val="none" w:sz="0" w:space="0" w:color="auto"/>
        <w:bottom w:val="none" w:sz="0" w:space="0" w:color="auto"/>
        <w:right w:val="none" w:sz="0" w:space="0" w:color="auto"/>
      </w:divBdr>
    </w:div>
    <w:div w:id="758134908">
      <w:bodyDiv w:val="1"/>
      <w:marLeft w:val="0"/>
      <w:marRight w:val="0"/>
      <w:marTop w:val="0"/>
      <w:marBottom w:val="0"/>
      <w:divBdr>
        <w:top w:val="none" w:sz="0" w:space="0" w:color="auto"/>
        <w:left w:val="none" w:sz="0" w:space="0" w:color="auto"/>
        <w:bottom w:val="none" w:sz="0" w:space="0" w:color="auto"/>
        <w:right w:val="none" w:sz="0" w:space="0" w:color="auto"/>
      </w:divBdr>
      <w:divsChild>
        <w:div w:id="672728115">
          <w:marLeft w:val="792"/>
          <w:marRight w:val="0"/>
          <w:marTop w:val="0"/>
          <w:marBottom w:val="80"/>
          <w:divBdr>
            <w:top w:val="none" w:sz="0" w:space="0" w:color="auto"/>
            <w:left w:val="none" w:sz="0" w:space="0" w:color="auto"/>
            <w:bottom w:val="none" w:sz="0" w:space="0" w:color="auto"/>
            <w:right w:val="none" w:sz="0" w:space="0" w:color="auto"/>
          </w:divBdr>
        </w:div>
      </w:divsChild>
    </w:div>
    <w:div w:id="759453789">
      <w:bodyDiv w:val="1"/>
      <w:marLeft w:val="0"/>
      <w:marRight w:val="0"/>
      <w:marTop w:val="0"/>
      <w:marBottom w:val="0"/>
      <w:divBdr>
        <w:top w:val="none" w:sz="0" w:space="0" w:color="auto"/>
        <w:left w:val="none" w:sz="0" w:space="0" w:color="auto"/>
        <w:bottom w:val="none" w:sz="0" w:space="0" w:color="auto"/>
        <w:right w:val="none" w:sz="0" w:space="0" w:color="auto"/>
      </w:divBdr>
    </w:div>
    <w:div w:id="783767394">
      <w:bodyDiv w:val="1"/>
      <w:marLeft w:val="0"/>
      <w:marRight w:val="0"/>
      <w:marTop w:val="0"/>
      <w:marBottom w:val="0"/>
      <w:divBdr>
        <w:top w:val="none" w:sz="0" w:space="0" w:color="auto"/>
        <w:left w:val="none" w:sz="0" w:space="0" w:color="auto"/>
        <w:bottom w:val="none" w:sz="0" w:space="0" w:color="auto"/>
        <w:right w:val="none" w:sz="0" w:space="0" w:color="auto"/>
      </w:divBdr>
    </w:div>
    <w:div w:id="786656810">
      <w:bodyDiv w:val="1"/>
      <w:marLeft w:val="0"/>
      <w:marRight w:val="0"/>
      <w:marTop w:val="0"/>
      <w:marBottom w:val="0"/>
      <w:divBdr>
        <w:top w:val="none" w:sz="0" w:space="0" w:color="auto"/>
        <w:left w:val="none" w:sz="0" w:space="0" w:color="auto"/>
        <w:bottom w:val="none" w:sz="0" w:space="0" w:color="auto"/>
        <w:right w:val="none" w:sz="0" w:space="0" w:color="auto"/>
      </w:divBdr>
    </w:div>
    <w:div w:id="813331183">
      <w:bodyDiv w:val="1"/>
      <w:marLeft w:val="0"/>
      <w:marRight w:val="0"/>
      <w:marTop w:val="0"/>
      <w:marBottom w:val="0"/>
      <w:divBdr>
        <w:top w:val="none" w:sz="0" w:space="0" w:color="auto"/>
        <w:left w:val="none" w:sz="0" w:space="0" w:color="auto"/>
        <w:bottom w:val="none" w:sz="0" w:space="0" w:color="auto"/>
        <w:right w:val="none" w:sz="0" w:space="0" w:color="auto"/>
      </w:divBdr>
    </w:div>
    <w:div w:id="819152475">
      <w:bodyDiv w:val="1"/>
      <w:marLeft w:val="0"/>
      <w:marRight w:val="0"/>
      <w:marTop w:val="0"/>
      <w:marBottom w:val="0"/>
      <w:divBdr>
        <w:top w:val="none" w:sz="0" w:space="0" w:color="auto"/>
        <w:left w:val="none" w:sz="0" w:space="0" w:color="auto"/>
        <w:bottom w:val="none" w:sz="0" w:space="0" w:color="auto"/>
        <w:right w:val="none" w:sz="0" w:space="0" w:color="auto"/>
      </w:divBdr>
    </w:div>
    <w:div w:id="820804845">
      <w:bodyDiv w:val="1"/>
      <w:marLeft w:val="0"/>
      <w:marRight w:val="0"/>
      <w:marTop w:val="0"/>
      <w:marBottom w:val="0"/>
      <w:divBdr>
        <w:top w:val="none" w:sz="0" w:space="0" w:color="auto"/>
        <w:left w:val="none" w:sz="0" w:space="0" w:color="auto"/>
        <w:bottom w:val="none" w:sz="0" w:space="0" w:color="auto"/>
        <w:right w:val="none" w:sz="0" w:space="0" w:color="auto"/>
      </w:divBdr>
    </w:div>
    <w:div w:id="822234739">
      <w:bodyDiv w:val="1"/>
      <w:marLeft w:val="0"/>
      <w:marRight w:val="0"/>
      <w:marTop w:val="0"/>
      <w:marBottom w:val="0"/>
      <w:divBdr>
        <w:top w:val="none" w:sz="0" w:space="0" w:color="auto"/>
        <w:left w:val="none" w:sz="0" w:space="0" w:color="auto"/>
        <w:bottom w:val="none" w:sz="0" w:space="0" w:color="auto"/>
        <w:right w:val="none" w:sz="0" w:space="0" w:color="auto"/>
      </w:divBdr>
    </w:div>
    <w:div w:id="825902841">
      <w:bodyDiv w:val="1"/>
      <w:marLeft w:val="0"/>
      <w:marRight w:val="0"/>
      <w:marTop w:val="0"/>
      <w:marBottom w:val="0"/>
      <w:divBdr>
        <w:top w:val="none" w:sz="0" w:space="0" w:color="auto"/>
        <w:left w:val="none" w:sz="0" w:space="0" w:color="auto"/>
        <w:bottom w:val="none" w:sz="0" w:space="0" w:color="auto"/>
        <w:right w:val="none" w:sz="0" w:space="0" w:color="auto"/>
      </w:divBdr>
    </w:div>
    <w:div w:id="832793141">
      <w:bodyDiv w:val="1"/>
      <w:marLeft w:val="0"/>
      <w:marRight w:val="0"/>
      <w:marTop w:val="0"/>
      <w:marBottom w:val="0"/>
      <w:divBdr>
        <w:top w:val="none" w:sz="0" w:space="0" w:color="auto"/>
        <w:left w:val="none" w:sz="0" w:space="0" w:color="auto"/>
        <w:bottom w:val="none" w:sz="0" w:space="0" w:color="auto"/>
        <w:right w:val="none" w:sz="0" w:space="0" w:color="auto"/>
      </w:divBdr>
    </w:div>
    <w:div w:id="834610038">
      <w:bodyDiv w:val="1"/>
      <w:marLeft w:val="0"/>
      <w:marRight w:val="0"/>
      <w:marTop w:val="0"/>
      <w:marBottom w:val="0"/>
      <w:divBdr>
        <w:top w:val="none" w:sz="0" w:space="0" w:color="auto"/>
        <w:left w:val="none" w:sz="0" w:space="0" w:color="auto"/>
        <w:bottom w:val="none" w:sz="0" w:space="0" w:color="auto"/>
        <w:right w:val="none" w:sz="0" w:space="0" w:color="auto"/>
      </w:divBdr>
    </w:div>
    <w:div w:id="83853834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2717257">
      <w:bodyDiv w:val="1"/>
      <w:marLeft w:val="0"/>
      <w:marRight w:val="0"/>
      <w:marTop w:val="0"/>
      <w:marBottom w:val="0"/>
      <w:divBdr>
        <w:top w:val="none" w:sz="0" w:space="0" w:color="auto"/>
        <w:left w:val="none" w:sz="0" w:space="0" w:color="auto"/>
        <w:bottom w:val="none" w:sz="0" w:space="0" w:color="auto"/>
        <w:right w:val="none" w:sz="0" w:space="0" w:color="auto"/>
      </w:divBdr>
    </w:div>
    <w:div w:id="887766065">
      <w:bodyDiv w:val="1"/>
      <w:marLeft w:val="0"/>
      <w:marRight w:val="0"/>
      <w:marTop w:val="0"/>
      <w:marBottom w:val="0"/>
      <w:divBdr>
        <w:top w:val="none" w:sz="0" w:space="0" w:color="auto"/>
        <w:left w:val="none" w:sz="0" w:space="0" w:color="auto"/>
        <w:bottom w:val="none" w:sz="0" w:space="0" w:color="auto"/>
        <w:right w:val="none" w:sz="0" w:space="0" w:color="auto"/>
      </w:divBdr>
    </w:div>
    <w:div w:id="904947651">
      <w:bodyDiv w:val="1"/>
      <w:marLeft w:val="0"/>
      <w:marRight w:val="0"/>
      <w:marTop w:val="0"/>
      <w:marBottom w:val="0"/>
      <w:divBdr>
        <w:top w:val="none" w:sz="0" w:space="0" w:color="auto"/>
        <w:left w:val="none" w:sz="0" w:space="0" w:color="auto"/>
        <w:bottom w:val="none" w:sz="0" w:space="0" w:color="auto"/>
        <w:right w:val="none" w:sz="0" w:space="0" w:color="auto"/>
      </w:divBdr>
    </w:div>
    <w:div w:id="92931675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6199521">
      <w:bodyDiv w:val="1"/>
      <w:marLeft w:val="0"/>
      <w:marRight w:val="0"/>
      <w:marTop w:val="0"/>
      <w:marBottom w:val="0"/>
      <w:divBdr>
        <w:top w:val="none" w:sz="0" w:space="0" w:color="auto"/>
        <w:left w:val="none" w:sz="0" w:space="0" w:color="auto"/>
        <w:bottom w:val="none" w:sz="0" w:space="0" w:color="auto"/>
        <w:right w:val="none" w:sz="0" w:space="0" w:color="auto"/>
      </w:divBdr>
    </w:div>
    <w:div w:id="968055166">
      <w:bodyDiv w:val="1"/>
      <w:marLeft w:val="0"/>
      <w:marRight w:val="0"/>
      <w:marTop w:val="0"/>
      <w:marBottom w:val="0"/>
      <w:divBdr>
        <w:top w:val="none" w:sz="0" w:space="0" w:color="auto"/>
        <w:left w:val="none" w:sz="0" w:space="0" w:color="auto"/>
        <w:bottom w:val="none" w:sz="0" w:space="0" w:color="auto"/>
        <w:right w:val="none" w:sz="0" w:space="0" w:color="auto"/>
      </w:divBdr>
    </w:div>
    <w:div w:id="980380116">
      <w:bodyDiv w:val="1"/>
      <w:marLeft w:val="0"/>
      <w:marRight w:val="0"/>
      <w:marTop w:val="0"/>
      <w:marBottom w:val="0"/>
      <w:divBdr>
        <w:top w:val="none" w:sz="0" w:space="0" w:color="auto"/>
        <w:left w:val="none" w:sz="0" w:space="0" w:color="auto"/>
        <w:bottom w:val="none" w:sz="0" w:space="0" w:color="auto"/>
        <w:right w:val="none" w:sz="0" w:space="0" w:color="auto"/>
      </w:divBdr>
    </w:div>
    <w:div w:id="986937452">
      <w:bodyDiv w:val="1"/>
      <w:marLeft w:val="0"/>
      <w:marRight w:val="0"/>
      <w:marTop w:val="0"/>
      <w:marBottom w:val="0"/>
      <w:divBdr>
        <w:top w:val="none" w:sz="0" w:space="0" w:color="auto"/>
        <w:left w:val="none" w:sz="0" w:space="0" w:color="auto"/>
        <w:bottom w:val="none" w:sz="0" w:space="0" w:color="auto"/>
        <w:right w:val="none" w:sz="0" w:space="0" w:color="auto"/>
      </w:divBdr>
    </w:div>
    <w:div w:id="1004824918">
      <w:bodyDiv w:val="1"/>
      <w:marLeft w:val="0"/>
      <w:marRight w:val="0"/>
      <w:marTop w:val="0"/>
      <w:marBottom w:val="0"/>
      <w:divBdr>
        <w:top w:val="none" w:sz="0" w:space="0" w:color="auto"/>
        <w:left w:val="none" w:sz="0" w:space="0" w:color="auto"/>
        <w:bottom w:val="none" w:sz="0" w:space="0" w:color="auto"/>
        <w:right w:val="none" w:sz="0" w:space="0" w:color="auto"/>
      </w:divBdr>
    </w:div>
    <w:div w:id="1010453671">
      <w:bodyDiv w:val="1"/>
      <w:marLeft w:val="0"/>
      <w:marRight w:val="0"/>
      <w:marTop w:val="0"/>
      <w:marBottom w:val="0"/>
      <w:divBdr>
        <w:top w:val="none" w:sz="0" w:space="0" w:color="auto"/>
        <w:left w:val="none" w:sz="0" w:space="0" w:color="auto"/>
        <w:bottom w:val="none" w:sz="0" w:space="0" w:color="auto"/>
        <w:right w:val="none" w:sz="0" w:space="0" w:color="auto"/>
      </w:divBdr>
    </w:div>
    <w:div w:id="1025209430">
      <w:bodyDiv w:val="1"/>
      <w:marLeft w:val="0"/>
      <w:marRight w:val="0"/>
      <w:marTop w:val="0"/>
      <w:marBottom w:val="0"/>
      <w:divBdr>
        <w:top w:val="none" w:sz="0" w:space="0" w:color="auto"/>
        <w:left w:val="none" w:sz="0" w:space="0" w:color="auto"/>
        <w:bottom w:val="none" w:sz="0" w:space="0" w:color="auto"/>
        <w:right w:val="none" w:sz="0" w:space="0" w:color="auto"/>
      </w:divBdr>
    </w:div>
    <w:div w:id="1031300765">
      <w:bodyDiv w:val="1"/>
      <w:marLeft w:val="0"/>
      <w:marRight w:val="0"/>
      <w:marTop w:val="0"/>
      <w:marBottom w:val="0"/>
      <w:divBdr>
        <w:top w:val="none" w:sz="0" w:space="0" w:color="auto"/>
        <w:left w:val="none" w:sz="0" w:space="0" w:color="auto"/>
        <w:bottom w:val="none" w:sz="0" w:space="0" w:color="auto"/>
        <w:right w:val="none" w:sz="0" w:space="0" w:color="auto"/>
      </w:divBdr>
    </w:div>
    <w:div w:id="1034618151">
      <w:bodyDiv w:val="1"/>
      <w:marLeft w:val="0"/>
      <w:marRight w:val="0"/>
      <w:marTop w:val="0"/>
      <w:marBottom w:val="0"/>
      <w:divBdr>
        <w:top w:val="none" w:sz="0" w:space="0" w:color="auto"/>
        <w:left w:val="none" w:sz="0" w:space="0" w:color="auto"/>
        <w:bottom w:val="none" w:sz="0" w:space="0" w:color="auto"/>
        <w:right w:val="none" w:sz="0" w:space="0" w:color="auto"/>
      </w:divBdr>
    </w:div>
    <w:div w:id="1042049999">
      <w:bodyDiv w:val="1"/>
      <w:marLeft w:val="0"/>
      <w:marRight w:val="0"/>
      <w:marTop w:val="0"/>
      <w:marBottom w:val="0"/>
      <w:divBdr>
        <w:top w:val="none" w:sz="0" w:space="0" w:color="auto"/>
        <w:left w:val="none" w:sz="0" w:space="0" w:color="auto"/>
        <w:bottom w:val="none" w:sz="0" w:space="0" w:color="auto"/>
        <w:right w:val="none" w:sz="0" w:space="0" w:color="auto"/>
      </w:divBdr>
    </w:div>
    <w:div w:id="1061366571">
      <w:bodyDiv w:val="1"/>
      <w:marLeft w:val="0"/>
      <w:marRight w:val="0"/>
      <w:marTop w:val="0"/>
      <w:marBottom w:val="0"/>
      <w:divBdr>
        <w:top w:val="none" w:sz="0" w:space="0" w:color="auto"/>
        <w:left w:val="none" w:sz="0" w:space="0" w:color="auto"/>
        <w:bottom w:val="none" w:sz="0" w:space="0" w:color="auto"/>
        <w:right w:val="none" w:sz="0" w:space="0" w:color="auto"/>
      </w:divBdr>
    </w:div>
    <w:div w:id="1088192462">
      <w:bodyDiv w:val="1"/>
      <w:marLeft w:val="0"/>
      <w:marRight w:val="0"/>
      <w:marTop w:val="0"/>
      <w:marBottom w:val="0"/>
      <w:divBdr>
        <w:top w:val="none" w:sz="0" w:space="0" w:color="auto"/>
        <w:left w:val="none" w:sz="0" w:space="0" w:color="auto"/>
        <w:bottom w:val="none" w:sz="0" w:space="0" w:color="auto"/>
        <w:right w:val="none" w:sz="0" w:space="0" w:color="auto"/>
      </w:divBdr>
    </w:div>
    <w:div w:id="1094933744">
      <w:bodyDiv w:val="1"/>
      <w:marLeft w:val="0"/>
      <w:marRight w:val="0"/>
      <w:marTop w:val="0"/>
      <w:marBottom w:val="0"/>
      <w:divBdr>
        <w:top w:val="none" w:sz="0" w:space="0" w:color="auto"/>
        <w:left w:val="none" w:sz="0" w:space="0" w:color="auto"/>
        <w:bottom w:val="none" w:sz="0" w:space="0" w:color="auto"/>
        <w:right w:val="none" w:sz="0" w:space="0" w:color="auto"/>
      </w:divBdr>
    </w:div>
    <w:div w:id="1102532358">
      <w:bodyDiv w:val="1"/>
      <w:marLeft w:val="0"/>
      <w:marRight w:val="0"/>
      <w:marTop w:val="0"/>
      <w:marBottom w:val="0"/>
      <w:divBdr>
        <w:top w:val="none" w:sz="0" w:space="0" w:color="auto"/>
        <w:left w:val="none" w:sz="0" w:space="0" w:color="auto"/>
        <w:bottom w:val="none" w:sz="0" w:space="0" w:color="auto"/>
        <w:right w:val="none" w:sz="0" w:space="0" w:color="auto"/>
      </w:divBdr>
    </w:div>
    <w:div w:id="1107459836">
      <w:bodyDiv w:val="1"/>
      <w:marLeft w:val="0"/>
      <w:marRight w:val="0"/>
      <w:marTop w:val="0"/>
      <w:marBottom w:val="0"/>
      <w:divBdr>
        <w:top w:val="none" w:sz="0" w:space="0" w:color="auto"/>
        <w:left w:val="none" w:sz="0" w:space="0" w:color="auto"/>
        <w:bottom w:val="none" w:sz="0" w:space="0" w:color="auto"/>
        <w:right w:val="none" w:sz="0" w:space="0" w:color="auto"/>
      </w:divBdr>
    </w:div>
    <w:div w:id="1110393569">
      <w:bodyDiv w:val="1"/>
      <w:marLeft w:val="0"/>
      <w:marRight w:val="0"/>
      <w:marTop w:val="0"/>
      <w:marBottom w:val="0"/>
      <w:divBdr>
        <w:top w:val="none" w:sz="0" w:space="0" w:color="auto"/>
        <w:left w:val="none" w:sz="0" w:space="0" w:color="auto"/>
        <w:bottom w:val="none" w:sz="0" w:space="0" w:color="auto"/>
        <w:right w:val="none" w:sz="0" w:space="0" w:color="auto"/>
      </w:divBdr>
    </w:div>
    <w:div w:id="1110586480">
      <w:bodyDiv w:val="1"/>
      <w:marLeft w:val="0"/>
      <w:marRight w:val="0"/>
      <w:marTop w:val="0"/>
      <w:marBottom w:val="0"/>
      <w:divBdr>
        <w:top w:val="none" w:sz="0" w:space="0" w:color="auto"/>
        <w:left w:val="none" w:sz="0" w:space="0" w:color="auto"/>
        <w:bottom w:val="none" w:sz="0" w:space="0" w:color="auto"/>
        <w:right w:val="none" w:sz="0" w:space="0" w:color="auto"/>
      </w:divBdr>
    </w:div>
    <w:div w:id="1114638825">
      <w:bodyDiv w:val="1"/>
      <w:marLeft w:val="0"/>
      <w:marRight w:val="0"/>
      <w:marTop w:val="0"/>
      <w:marBottom w:val="0"/>
      <w:divBdr>
        <w:top w:val="none" w:sz="0" w:space="0" w:color="auto"/>
        <w:left w:val="none" w:sz="0" w:space="0" w:color="auto"/>
        <w:bottom w:val="none" w:sz="0" w:space="0" w:color="auto"/>
        <w:right w:val="none" w:sz="0" w:space="0" w:color="auto"/>
      </w:divBdr>
    </w:div>
    <w:div w:id="1123311386">
      <w:bodyDiv w:val="1"/>
      <w:marLeft w:val="0"/>
      <w:marRight w:val="0"/>
      <w:marTop w:val="0"/>
      <w:marBottom w:val="0"/>
      <w:divBdr>
        <w:top w:val="none" w:sz="0" w:space="0" w:color="auto"/>
        <w:left w:val="none" w:sz="0" w:space="0" w:color="auto"/>
        <w:bottom w:val="none" w:sz="0" w:space="0" w:color="auto"/>
        <w:right w:val="none" w:sz="0" w:space="0" w:color="auto"/>
      </w:divBdr>
    </w:div>
    <w:div w:id="1130368343">
      <w:bodyDiv w:val="1"/>
      <w:marLeft w:val="0"/>
      <w:marRight w:val="0"/>
      <w:marTop w:val="0"/>
      <w:marBottom w:val="0"/>
      <w:divBdr>
        <w:top w:val="none" w:sz="0" w:space="0" w:color="auto"/>
        <w:left w:val="none" w:sz="0" w:space="0" w:color="auto"/>
        <w:bottom w:val="none" w:sz="0" w:space="0" w:color="auto"/>
        <w:right w:val="none" w:sz="0" w:space="0" w:color="auto"/>
      </w:divBdr>
    </w:div>
    <w:div w:id="1139110371">
      <w:bodyDiv w:val="1"/>
      <w:marLeft w:val="0"/>
      <w:marRight w:val="0"/>
      <w:marTop w:val="0"/>
      <w:marBottom w:val="0"/>
      <w:divBdr>
        <w:top w:val="none" w:sz="0" w:space="0" w:color="auto"/>
        <w:left w:val="none" w:sz="0" w:space="0" w:color="auto"/>
        <w:bottom w:val="none" w:sz="0" w:space="0" w:color="auto"/>
        <w:right w:val="none" w:sz="0" w:space="0" w:color="auto"/>
      </w:divBdr>
    </w:div>
    <w:div w:id="1141264160">
      <w:bodyDiv w:val="1"/>
      <w:marLeft w:val="0"/>
      <w:marRight w:val="0"/>
      <w:marTop w:val="0"/>
      <w:marBottom w:val="0"/>
      <w:divBdr>
        <w:top w:val="none" w:sz="0" w:space="0" w:color="auto"/>
        <w:left w:val="none" w:sz="0" w:space="0" w:color="auto"/>
        <w:bottom w:val="none" w:sz="0" w:space="0" w:color="auto"/>
        <w:right w:val="none" w:sz="0" w:space="0" w:color="auto"/>
      </w:divBdr>
    </w:div>
    <w:div w:id="1157305190">
      <w:bodyDiv w:val="1"/>
      <w:marLeft w:val="0"/>
      <w:marRight w:val="0"/>
      <w:marTop w:val="0"/>
      <w:marBottom w:val="0"/>
      <w:divBdr>
        <w:top w:val="none" w:sz="0" w:space="0" w:color="auto"/>
        <w:left w:val="none" w:sz="0" w:space="0" w:color="auto"/>
        <w:bottom w:val="none" w:sz="0" w:space="0" w:color="auto"/>
        <w:right w:val="none" w:sz="0" w:space="0" w:color="auto"/>
      </w:divBdr>
    </w:div>
    <w:div w:id="1159882008">
      <w:bodyDiv w:val="1"/>
      <w:marLeft w:val="0"/>
      <w:marRight w:val="0"/>
      <w:marTop w:val="0"/>
      <w:marBottom w:val="0"/>
      <w:divBdr>
        <w:top w:val="none" w:sz="0" w:space="0" w:color="auto"/>
        <w:left w:val="none" w:sz="0" w:space="0" w:color="auto"/>
        <w:bottom w:val="none" w:sz="0" w:space="0" w:color="auto"/>
        <w:right w:val="none" w:sz="0" w:space="0" w:color="auto"/>
      </w:divBdr>
    </w:div>
    <w:div w:id="1163007098">
      <w:bodyDiv w:val="1"/>
      <w:marLeft w:val="0"/>
      <w:marRight w:val="0"/>
      <w:marTop w:val="0"/>
      <w:marBottom w:val="0"/>
      <w:divBdr>
        <w:top w:val="none" w:sz="0" w:space="0" w:color="auto"/>
        <w:left w:val="none" w:sz="0" w:space="0" w:color="auto"/>
        <w:bottom w:val="none" w:sz="0" w:space="0" w:color="auto"/>
        <w:right w:val="none" w:sz="0" w:space="0" w:color="auto"/>
      </w:divBdr>
    </w:div>
    <w:div w:id="1168666681">
      <w:bodyDiv w:val="1"/>
      <w:marLeft w:val="0"/>
      <w:marRight w:val="0"/>
      <w:marTop w:val="0"/>
      <w:marBottom w:val="0"/>
      <w:divBdr>
        <w:top w:val="none" w:sz="0" w:space="0" w:color="auto"/>
        <w:left w:val="none" w:sz="0" w:space="0" w:color="auto"/>
        <w:bottom w:val="none" w:sz="0" w:space="0" w:color="auto"/>
        <w:right w:val="none" w:sz="0" w:space="0" w:color="auto"/>
      </w:divBdr>
    </w:div>
    <w:div w:id="1174147101">
      <w:bodyDiv w:val="1"/>
      <w:marLeft w:val="0"/>
      <w:marRight w:val="0"/>
      <w:marTop w:val="0"/>
      <w:marBottom w:val="0"/>
      <w:divBdr>
        <w:top w:val="none" w:sz="0" w:space="0" w:color="auto"/>
        <w:left w:val="none" w:sz="0" w:space="0" w:color="auto"/>
        <w:bottom w:val="none" w:sz="0" w:space="0" w:color="auto"/>
        <w:right w:val="none" w:sz="0" w:space="0" w:color="auto"/>
      </w:divBdr>
    </w:div>
    <w:div w:id="1179151573">
      <w:bodyDiv w:val="1"/>
      <w:marLeft w:val="0"/>
      <w:marRight w:val="0"/>
      <w:marTop w:val="0"/>
      <w:marBottom w:val="0"/>
      <w:divBdr>
        <w:top w:val="none" w:sz="0" w:space="0" w:color="auto"/>
        <w:left w:val="none" w:sz="0" w:space="0" w:color="auto"/>
        <w:bottom w:val="none" w:sz="0" w:space="0" w:color="auto"/>
        <w:right w:val="none" w:sz="0" w:space="0" w:color="auto"/>
      </w:divBdr>
    </w:div>
    <w:div w:id="1211770728">
      <w:bodyDiv w:val="1"/>
      <w:marLeft w:val="0"/>
      <w:marRight w:val="0"/>
      <w:marTop w:val="0"/>
      <w:marBottom w:val="0"/>
      <w:divBdr>
        <w:top w:val="none" w:sz="0" w:space="0" w:color="auto"/>
        <w:left w:val="none" w:sz="0" w:space="0" w:color="auto"/>
        <w:bottom w:val="none" w:sz="0" w:space="0" w:color="auto"/>
        <w:right w:val="none" w:sz="0" w:space="0" w:color="auto"/>
      </w:divBdr>
    </w:div>
    <w:div w:id="1217008598">
      <w:bodyDiv w:val="1"/>
      <w:marLeft w:val="0"/>
      <w:marRight w:val="0"/>
      <w:marTop w:val="0"/>
      <w:marBottom w:val="0"/>
      <w:divBdr>
        <w:top w:val="none" w:sz="0" w:space="0" w:color="auto"/>
        <w:left w:val="none" w:sz="0" w:space="0" w:color="auto"/>
        <w:bottom w:val="none" w:sz="0" w:space="0" w:color="auto"/>
        <w:right w:val="none" w:sz="0" w:space="0" w:color="auto"/>
      </w:divBdr>
    </w:div>
    <w:div w:id="1229339348">
      <w:bodyDiv w:val="1"/>
      <w:marLeft w:val="0"/>
      <w:marRight w:val="0"/>
      <w:marTop w:val="0"/>
      <w:marBottom w:val="0"/>
      <w:divBdr>
        <w:top w:val="none" w:sz="0" w:space="0" w:color="auto"/>
        <w:left w:val="none" w:sz="0" w:space="0" w:color="auto"/>
        <w:bottom w:val="none" w:sz="0" w:space="0" w:color="auto"/>
        <w:right w:val="none" w:sz="0" w:space="0" w:color="auto"/>
      </w:divBdr>
    </w:div>
    <w:div w:id="1230769832">
      <w:bodyDiv w:val="1"/>
      <w:marLeft w:val="0"/>
      <w:marRight w:val="0"/>
      <w:marTop w:val="0"/>
      <w:marBottom w:val="0"/>
      <w:divBdr>
        <w:top w:val="none" w:sz="0" w:space="0" w:color="auto"/>
        <w:left w:val="none" w:sz="0" w:space="0" w:color="auto"/>
        <w:bottom w:val="none" w:sz="0" w:space="0" w:color="auto"/>
        <w:right w:val="none" w:sz="0" w:space="0" w:color="auto"/>
      </w:divBdr>
    </w:div>
    <w:div w:id="1243760106">
      <w:bodyDiv w:val="1"/>
      <w:marLeft w:val="0"/>
      <w:marRight w:val="0"/>
      <w:marTop w:val="0"/>
      <w:marBottom w:val="0"/>
      <w:divBdr>
        <w:top w:val="none" w:sz="0" w:space="0" w:color="auto"/>
        <w:left w:val="none" w:sz="0" w:space="0" w:color="auto"/>
        <w:bottom w:val="none" w:sz="0" w:space="0" w:color="auto"/>
        <w:right w:val="none" w:sz="0" w:space="0" w:color="auto"/>
      </w:divBdr>
    </w:div>
    <w:div w:id="1260454065">
      <w:bodyDiv w:val="1"/>
      <w:marLeft w:val="0"/>
      <w:marRight w:val="0"/>
      <w:marTop w:val="0"/>
      <w:marBottom w:val="0"/>
      <w:divBdr>
        <w:top w:val="none" w:sz="0" w:space="0" w:color="auto"/>
        <w:left w:val="none" w:sz="0" w:space="0" w:color="auto"/>
        <w:bottom w:val="none" w:sz="0" w:space="0" w:color="auto"/>
        <w:right w:val="none" w:sz="0" w:space="0" w:color="auto"/>
      </w:divBdr>
    </w:div>
    <w:div w:id="1261138634">
      <w:bodyDiv w:val="1"/>
      <w:marLeft w:val="0"/>
      <w:marRight w:val="0"/>
      <w:marTop w:val="0"/>
      <w:marBottom w:val="0"/>
      <w:divBdr>
        <w:top w:val="none" w:sz="0" w:space="0" w:color="auto"/>
        <w:left w:val="none" w:sz="0" w:space="0" w:color="auto"/>
        <w:bottom w:val="none" w:sz="0" w:space="0" w:color="auto"/>
        <w:right w:val="none" w:sz="0" w:space="0" w:color="auto"/>
      </w:divBdr>
    </w:div>
    <w:div w:id="1281112808">
      <w:bodyDiv w:val="1"/>
      <w:marLeft w:val="0"/>
      <w:marRight w:val="0"/>
      <w:marTop w:val="0"/>
      <w:marBottom w:val="0"/>
      <w:divBdr>
        <w:top w:val="none" w:sz="0" w:space="0" w:color="auto"/>
        <w:left w:val="none" w:sz="0" w:space="0" w:color="auto"/>
        <w:bottom w:val="none" w:sz="0" w:space="0" w:color="auto"/>
        <w:right w:val="none" w:sz="0" w:space="0" w:color="auto"/>
      </w:divBdr>
    </w:div>
    <w:div w:id="1290550077">
      <w:bodyDiv w:val="1"/>
      <w:marLeft w:val="0"/>
      <w:marRight w:val="0"/>
      <w:marTop w:val="0"/>
      <w:marBottom w:val="0"/>
      <w:divBdr>
        <w:top w:val="none" w:sz="0" w:space="0" w:color="auto"/>
        <w:left w:val="none" w:sz="0" w:space="0" w:color="auto"/>
        <w:bottom w:val="none" w:sz="0" w:space="0" w:color="auto"/>
        <w:right w:val="none" w:sz="0" w:space="0" w:color="auto"/>
      </w:divBdr>
    </w:div>
    <w:div w:id="1293712716">
      <w:bodyDiv w:val="1"/>
      <w:marLeft w:val="0"/>
      <w:marRight w:val="0"/>
      <w:marTop w:val="0"/>
      <w:marBottom w:val="0"/>
      <w:divBdr>
        <w:top w:val="none" w:sz="0" w:space="0" w:color="auto"/>
        <w:left w:val="none" w:sz="0" w:space="0" w:color="auto"/>
        <w:bottom w:val="none" w:sz="0" w:space="0" w:color="auto"/>
        <w:right w:val="none" w:sz="0" w:space="0" w:color="auto"/>
      </w:divBdr>
    </w:div>
    <w:div w:id="1294484076">
      <w:bodyDiv w:val="1"/>
      <w:marLeft w:val="0"/>
      <w:marRight w:val="0"/>
      <w:marTop w:val="0"/>
      <w:marBottom w:val="0"/>
      <w:divBdr>
        <w:top w:val="none" w:sz="0" w:space="0" w:color="auto"/>
        <w:left w:val="none" w:sz="0" w:space="0" w:color="auto"/>
        <w:bottom w:val="none" w:sz="0" w:space="0" w:color="auto"/>
        <w:right w:val="none" w:sz="0" w:space="0" w:color="auto"/>
      </w:divBdr>
    </w:div>
    <w:div w:id="1301839161">
      <w:bodyDiv w:val="1"/>
      <w:marLeft w:val="0"/>
      <w:marRight w:val="0"/>
      <w:marTop w:val="0"/>
      <w:marBottom w:val="0"/>
      <w:divBdr>
        <w:top w:val="none" w:sz="0" w:space="0" w:color="auto"/>
        <w:left w:val="none" w:sz="0" w:space="0" w:color="auto"/>
        <w:bottom w:val="none" w:sz="0" w:space="0" w:color="auto"/>
        <w:right w:val="none" w:sz="0" w:space="0" w:color="auto"/>
      </w:divBdr>
    </w:div>
    <w:div w:id="1303996593">
      <w:bodyDiv w:val="1"/>
      <w:marLeft w:val="0"/>
      <w:marRight w:val="0"/>
      <w:marTop w:val="0"/>
      <w:marBottom w:val="0"/>
      <w:divBdr>
        <w:top w:val="none" w:sz="0" w:space="0" w:color="auto"/>
        <w:left w:val="none" w:sz="0" w:space="0" w:color="auto"/>
        <w:bottom w:val="none" w:sz="0" w:space="0" w:color="auto"/>
        <w:right w:val="none" w:sz="0" w:space="0" w:color="auto"/>
      </w:divBdr>
    </w:div>
    <w:div w:id="1327903288">
      <w:bodyDiv w:val="1"/>
      <w:marLeft w:val="0"/>
      <w:marRight w:val="0"/>
      <w:marTop w:val="0"/>
      <w:marBottom w:val="0"/>
      <w:divBdr>
        <w:top w:val="none" w:sz="0" w:space="0" w:color="auto"/>
        <w:left w:val="none" w:sz="0" w:space="0" w:color="auto"/>
        <w:bottom w:val="none" w:sz="0" w:space="0" w:color="auto"/>
        <w:right w:val="none" w:sz="0" w:space="0" w:color="auto"/>
      </w:divBdr>
    </w:div>
    <w:div w:id="1330331176">
      <w:bodyDiv w:val="1"/>
      <w:marLeft w:val="0"/>
      <w:marRight w:val="0"/>
      <w:marTop w:val="0"/>
      <w:marBottom w:val="0"/>
      <w:divBdr>
        <w:top w:val="none" w:sz="0" w:space="0" w:color="auto"/>
        <w:left w:val="none" w:sz="0" w:space="0" w:color="auto"/>
        <w:bottom w:val="none" w:sz="0" w:space="0" w:color="auto"/>
        <w:right w:val="none" w:sz="0" w:space="0" w:color="auto"/>
      </w:divBdr>
    </w:div>
    <w:div w:id="1339502232">
      <w:bodyDiv w:val="1"/>
      <w:marLeft w:val="0"/>
      <w:marRight w:val="0"/>
      <w:marTop w:val="0"/>
      <w:marBottom w:val="0"/>
      <w:divBdr>
        <w:top w:val="none" w:sz="0" w:space="0" w:color="auto"/>
        <w:left w:val="none" w:sz="0" w:space="0" w:color="auto"/>
        <w:bottom w:val="none" w:sz="0" w:space="0" w:color="auto"/>
        <w:right w:val="none" w:sz="0" w:space="0" w:color="auto"/>
      </w:divBdr>
    </w:div>
    <w:div w:id="1375041146">
      <w:bodyDiv w:val="1"/>
      <w:marLeft w:val="0"/>
      <w:marRight w:val="0"/>
      <w:marTop w:val="0"/>
      <w:marBottom w:val="0"/>
      <w:divBdr>
        <w:top w:val="none" w:sz="0" w:space="0" w:color="auto"/>
        <w:left w:val="none" w:sz="0" w:space="0" w:color="auto"/>
        <w:bottom w:val="none" w:sz="0" w:space="0" w:color="auto"/>
        <w:right w:val="none" w:sz="0" w:space="0" w:color="auto"/>
      </w:divBdr>
    </w:div>
    <w:div w:id="140517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5687884">
      <w:bodyDiv w:val="1"/>
      <w:marLeft w:val="0"/>
      <w:marRight w:val="0"/>
      <w:marTop w:val="0"/>
      <w:marBottom w:val="0"/>
      <w:divBdr>
        <w:top w:val="none" w:sz="0" w:space="0" w:color="auto"/>
        <w:left w:val="none" w:sz="0" w:space="0" w:color="auto"/>
        <w:bottom w:val="none" w:sz="0" w:space="0" w:color="auto"/>
        <w:right w:val="none" w:sz="0" w:space="0" w:color="auto"/>
      </w:divBdr>
    </w:div>
    <w:div w:id="1427187168">
      <w:bodyDiv w:val="1"/>
      <w:marLeft w:val="0"/>
      <w:marRight w:val="0"/>
      <w:marTop w:val="0"/>
      <w:marBottom w:val="0"/>
      <w:divBdr>
        <w:top w:val="none" w:sz="0" w:space="0" w:color="auto"/>
        <w:left w:val="none" w:sz="0" w:space="0" w:color="auto"/>
        <w:bottom w:val="none" w:sz="0" w:space="0" w:color="auto"/>
        <w:right w:val="none" w:sz="0" w:space="0" w:color="auto"/>
      </w:divBdr>
    </w:div>
    <w:div w:id="1430733731">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5877847">
      <w:bodyDiv w:val="1"/>
      <w:marLeft w:val="0"/>
      <w:marRight w:val="0"/>
      <w:marTop w:val="0"/>
      <w:marBottom w:val="0"/>
      <w:divBdr>
        <w:top w:val="none" w:sz="0" w:space="0" w:color="auto"/>
        <w:left w:val="none" w:sz="0" w:space="0" w:color="auto"/>
        <w:bottom w:val="none" w:sz="0" w:space="0" w:color="auto"/>
        <w:right w:val="none" w:sz="0" w:space="0" w:color="auto"/>
      </w:divBdr>
    </w:div>
    <w:div w:id="1451819502">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7840464">
      <w:bodyDiv w:val="1"/>
      <w:marLeft w:val="0"/>
      <w:marRight w:val="0"/>
      <w:marTop w:val="0"/>
      <w:marBottom w:val="0"/>
      <w:divBdr>
        <w:top w:val="none" w:sz="0" w:space="0" w:color="auto"/>
        <w:left w:val="none" w:sz="0" w:space="0" w:color="auto"/>
        <w:bottom w:val="none" w:sz="0" w:space="0" w:color="auto"/>
        <w:right w:val="none" w:sz="0" w:space="0" w:color="auto"/>
      </w:divBdr>
    </w:div>
    <w:div w:id="1531845648">
      <w:bodyDiv w:val="1"/>
      <w:marLeft w:val="0"/>
      <w:marRight w:val="0"/>
      <w:marTop w:val="0"/>
      <w:marBottom w:val="0"/>
      <w:divBdr>
        <w:top w:val="none" w:sz="0" w:space="0" w:color="auto"/>
        <w:left w:val="none" w:sz="0" w:space="0" w:color="auto"/>
        <w:bottom w:val="none" w:sz="0" w:space="0" w:color="auto"/>
        <w:right w:val="none" w:sz="0" w:space="0" w:color="auto"/>
      </w:divBdr>
    </w:div>
    <w:div w:id="1547835836">
      <w:bodyDiv w:val="1"/>
      <w:marLeft w:val="0"/>
      <w:marRight w:val="0"/>
      <w:marTop w:val="0"/>
      <w:marBottom w:val="0"/>
      <w:divBdr>
        <w:top w:val="none" w:sz="0" w:space="0" w:color="auto"/>
        <w:left w:val="none" w:sz="0" w:space="0" w:color="auto"/>
        <w:bottom w:val="none" w:sz="0" w:space="0" w:color="auto"/>
        <w:right w:val="none" w:sz="0" w:space="0" w:color="auto"/>
      </w:divBdr>
    </w:div>
    <w:div w:id="1575890155">
      <w:bodyDiv w:val="1"/>
      <w:marLeft w:val="0"/>
      <w:marRight w:val="0"/>
      <w:marTop w:val="0"/>
      <w:marBottom w:val="0"/>
      <w:divBdr>
        <w:top w:val="none" w:sz="0" w:space="0" w:color="auto"/>
        <w:left w:val="none" w:sz="0" w:space="0" w:color="auto"/>
        <w:bottom w:val="none" w:sz="0" w:space="0" w:color="auto"/>
        <w:right w:val="none" w:sz="0" w:space="0" w:color="auto"/>
      </w:divBdr>
    </w:div>
    <w:div w:id="1589726342">
      <w:bodyDiv w:val="1"/>
      <w:marLeft w:val="0"/>
      <w:marRight w:val="0"/>
      <w:marTop w:val="0"/>
      <w:marBottom w:val="0"/>
      <w:divBdr>
        <w:top w:val="none" w:sz="0" w:space="0" w:color="auto"/>
        <w:left w:val="none" w:sz="0" w:space="0" w:color="auto"/>
        <w:bottom w:val="none" w:sz="0" w:space="0" w:color="auto"/>
        <w:right w:val="none" w:sz="0" w:space="0" w:color="auto"/>
      </w:divBdr>
    </w:div>
    <w:div w:id="1592078768">
      <w:bodyDiv w:val="1"/>
      <w:marLeft w:val="0"/>
      <w:marRight w:val="0"/>
      <w:marTop w:val="0"/>
      <w:marBottom w:val="0"/>
      <w:divBdr>
        <w:top w:val="none" w:sz="0" w:space="0" w:color="auto"/>
        <w:left w:val="none" w:sz="0" w:space="0" w:color="auto"/>
        <w:bottom w:val="none" w:sz="0" w:space="0" w:color="auto"/>
        <w:right w:val="none" w:sz="0" w:space="0" w:color="auto"/>
      </w:divBdr>
    </w:div>
    <w:div w:id="1593736235">
      <w:bodyDiv w:val="1"/>
      <w:marLeft w:val="0"/>
      <w:marRight w:val="0"/>
      <w:marTop w:val="0"/>
      <w:marBottom w:val="0"/>
      <w:divBdr>
        <w:top w:val="none" w:sz="0" w:space="0" w:color="auto"/>
        <w:left w:val="none" w:sz="0" w:space="0" w:color="auto"/>
        <w:bottom w:val="none" w:sz="0" w:space="0" w:color="auto"/>
        <w:right w:val="none" w:sz="0" w:space="0" w:color="auto"/>
      </w:divBdr>
    </w:div>
    <w:div w:id="160322725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5746036">
      <w:bodyDiv w:val="1"/>
      <w:marLeft w:val="0"/>
      <w:marRight w:val="0"/>
      <w:marTop w:val="0"/>
      <w:marBottom w:val="0"/>
      <w:divBdr>
        <w:top w:val="none" w:sz="0" w:space="0" w:color="auto"/>
        <w:left w:val="none" w:sz="0" w:space="0" w:color="auto"/>
        <w:bottom w:val="none" w:sz="0" w:space="0" w:color="auto"/>
        <w:right w:val="none" w:sz="0" w:space="0" w:color="auto"/>
      </w:divBdr>
    </w:div>
    <w:div w:id="1635019273">
      <w:bodyDiv w:val="1"/>
      <w:marLeft w:val="0"/>
      <w:marRight w:val="0"/>
      <w:marTop w:val="0"/>
      <w:marBottom w:val="0"/>
      <w:divBdr>
        <w:top w:val="none" w:sz="0" w:space="0" w:color="auto"/>
        <w:left w:val="none" w:sz="0" w:space="0" w:color="auto"/>
        <w:bottom w:val="none" w:sz="0" w:space="0" w:color="auto"/>
        <w:right w:val="none" w:sz="0" w:space="0" w:color="auto"/>
      </w:divBdr>
    </w:div>
    <w:div w:id="1639190068">
      <w:bodyDiv w:val="1"/>
      <w:marLeft w:val="0"/>
      <w:marRight w:val="0"/>
      <w:marTop w:val="0"/>
      <w:marBottom w:val="0"/>
      <w:divBdr>
        <w:top w:val="none" w:sz="0" w:space="0" w:color="auto"/>
        <w:left w:val="none" w:sz="0" w:space="0" w:color="auto"/>
        <w:bottom w:val="none" w:sz="0" w:space="0" w:color="auto"/>
        <w:right w:val="none" w:sz="0" w:space="0" w:color="auto"/>
      </w:divBdr>
    </w:div>
    <w:div w:id="1645771453">
      <w:bodyDiv w:val="1"/>
      <w:marLeft w:val="0"/>
      <w:marRight w:val="0"/>
      <w:marTop w:val="0"/>
      <w:marBottom w:val="0"/>
      <w:divBdr>
        <w:top w:val="none" w:sz="0" w:space="0" w:color="auto"/>
        <w:left w:val="none" w:sz="0" w:space="0" w:color="auto"/>
        <w:bottom w:val="none" w:sz="0" w:space="0" w:color="auto"/>
        <w:right w:val="none" w:sz="0" w:space="0" w:color="auto"/>
      </w:divBdr>
    </w:div>
    <w:div w:id="1647777868">
      <w:bodyDiv w:val="1"/>
      <w:marLeft w:val="0"/>
      <w:marRight w:val="0"/>
      <w:marTop w:val="0"/>
      <w:marBottom w:val="0"/>
      <w:divBdr>
        <w:top w:val="none" w:sz="0" w:space="0" w:color="auto"/>
        <w:left w:val="none" w:sz="0" w:space="0" w:color="auto"/>
        <w:bottom w:val="none" w:sz="0" w:space="0" w:color="auto"/>
        <w:right w:val="none" w:sz="0" w:space="0" w:color="auto"/>
      </w:divBdr>
    </w:div>
    <w:div w:id="1654406134">
      <w:bodyDiv w:val="1"/>
      <w:marLeft w:val="0"/>
      <w:marRight w:val="0"/>
      <w:marTop w:val="0"/>
      <w:marBottom w:val="0"/>
      <w:divBdr>
        <w:top w:val="none" w:sz="0" w:space="0" w:color="auto"/>
        <w:left w:val="none" w:sz="0" w:space="0" w:color="auto"/>
        <w:bottom w:val="none" w:sz="0" w:space="0" w:color="auto"/>
        <w:right w:val="none" w:sz="0" w:space="0" w:color="auto"/>
      </w:divBdr>
    </w:div>
    <w:div w:id="1657219256">
      <w:bodyDiv w:val="1"/>
      <w:marLeft w:val="0"/>
      <w:marRight w:val="0"/>
      <w:marTop w:val="0"/>
      <w:marBottom w:val="0"/>
      <w:divBdr>
        <w:top w:val="none" w:sz="0" w:space="0" w:color="auto"/>
        <w:left w:val="none" w:sz="0" w:space="0" w:color="auto"/>
        <w:bottom w:val="none" w:sz="0" w:space="0" w:color="auto"/>
        <w:right w:val="none" w:sz="0" w:space="0" w:color="auto"/>
      </w:divBdr>
    </w:div>
    <w:div w:id="1667434929">
      <w:bodyDiv w:val="1"/>
      <w:marLeft w:val="0"/>
      <w:marRight w:val="0"/>
      <w:marTop w:val="0"/>
      <w:marBottom w:val="0"/>
      <w:divBdr>
        <w:top w:val="none" w:sz="0" w:space="0" w:color="auto"/>
        <w:left w:val="none" w:sz="0" w:space="0" w:color="auto"/>
        <w:bottom w:val="none" w:sz="0" w:space="0" w:color="auto"/>
        <w:right w:val="none" w:sz="0" w:space="0" w:color="auto"/>
      </w:divBdr>
    </w:div>
    <w:div w:id="1690837267">
      <w:bodyDiv w:val="1"/>
      <w:marLeft w:val="0"/>
      <w:marRight w:val="0"/>
      <w:marTop w:val="0"/>
      <w:marBottom w:val="0"/>
      <w:divBdr>
        <w:top w:val="none" w:sz="0" w:space="0" w:color="auto"/>
        <w:left w:val="none" w:sz="0" w:space="0" w:color="auto"/>
        <w:bottom w:val="none" w:sz="0" w:space="0" w:color="auto"/>
        <w:right w:val="none" w:sz="0" w:space="0" w:color="auto"/>
      </w:divBdr>
    </w:div>
    <w:div w:id="1692800694">
      <w:bodyDiv w:val="1"/>
      <w:marLeft w:val="0"/>
      <w:marRight w:val="0"/>
      <w:marTop w:val="0"/>
      <w:marBottom w:val="0"/>
      <w:divBdr>
        <w:top w:val="none" w:sz="0" w:space="0" w:color="auto"/>
        <w:left w:val="none" w:sz="0" w:space="0" w:color="auto"/>
        <w:bottom w:val="none" w:sz="0" w:space="0" w:color="auto"/>
        <w:right w:val="none" w:sz="0" w:space="0" w:color="auto"/>
      </w:divBdr>
      <w:divsChild>
        <w:div w:id="1935362339">
          <w:marLeft w:val="0"/>
          <w:marRight w:val="0"/>
          <w:marTop w:val="0"/>
          <w:marBottom w:val="0"/>
          <w:divBdr>
            <w:top w:val="none" w:sz="0" w:space="0" w:color="auto"/>
            <w:left w:val="none" w:sz="0" w:space="0" w:color="auto"/>
            <w:bottom w:val="none" w:sz="0" w:space="0" w:color="auto"/>
            <w:right w:val="none" w:sz="0" w:space="0" w:color="auto"/>
          </w:divBdr>
        </w:div>
        <w:div w:id="2052802845">
          <w:marLeft w:val="0"/>
          <w:marRight w:val="0"/>
          <w:marTop w:val="0"/>
          <w:marBottom w:val="0"/>
          <w:divBdr>
            <w:top w:val="none" w:sz="0" w:space="0" w:color="auto"/>
            <w:left w:val="none" w:sz="0" w:space="0" w:color="auto"/>
            <w:bottom w:val="none" w:sz="0" w:space="0" w:color="auto"/>
            <w:right w:val="none" w:sz="0" w:space="0" w:color="auto"/>
          </w:divBdr>
          <w:divsChild>
            <w:div w:id="1722634329">
              <w:marLeft w:val="-75"/>
              <w:marRight w:val="0"/>
              <w:marTop w:val="30"/>
              <w:marBottom w:val="30"/>
              <w:divBdr>
                <w:top w:val="none" w:sz="0" w:space="0" w:color="auto"/>
                <w:left w:val="none" w:sz="0" w:space="0" w:color="auto"/>
                <w:bottom w:val="none" w:sz="0" w:space="0" w:color="auto"/>
                <w:right w:val="none" w:sz="0" w:space="0" w:color="auto"/>
              </w:divBdr>
              <w:divsChild>
                <w:div w:id="13727182">
                  <w:marLeft w:val="0"/>
                  <w:marRight w:val="0"/>
                  <w:marTop w:val="0"/>
                  <w:marBottom w:val="0"/>
                  <w:divBdr>
                    <w:top w:val="none" w:sz="0" w:space="0" w:color="auto"/>
                    <w:left w:val="none" w:sz="0" w:space="0" w:color="auto"/>
                    <w:bottom w:val="none" w:sz="0" w:space="0" w:color="auto"/>
                    <w:right w:val="none" w:sz="0" w:space="0" w:color="auto"/>
                  </w:divBdr>
                  <w:divsChild>
                    <w:div w:id="1404256237">
                      <w:marLeft w:val="0"/>
                      <w:marRight w:val="0"/>
                      <w:marTop w:val="0"/>
                      <w:marBottom w:val="0"/>
                      <w:divBdr>
                        <w:top w:val="none" w:sz="0" w:space="0" w:color="auto"/>
                        <w:left w:val="none" w:sz="0" w:space="0" w:color="auto"/>
                        <w:bottom w:val="none" w:sz="0" w:space="0" w:color="auto"/>
                        <w:right w:val="none" w:sz="0" w:space="0" w:color="auto"/>
                      </w:divBdr>
                    </w:div>
                  </w:divsChild>
                </w:div>
                <w:div w:id="57287226">
                  <w:marLeft w:val="0"/>
                  <w:marRight w:val="0"/>
                  <w:marTop w:val="0"/>
                  <w:marBottom w:val="0"/>
                  <w:divBdr>
                    <w:top w:val="none" w:sz="0" w:space="0" w:color="auto"/>
                    <w:left w:val="none" w:sz="0" w:space="0" w:color="auto"/>
                    <w:bottom w:val="none" w:sz="0" w:space="0" w:color="auto"/>
                    <w:right w:val="none" w:sz="0" w:space="0" w:color="auto"/>
                  </w:divBdr>
                  <w:divsChild>
                    <w:div w:id="2035229785">
                      <w:marLeft w:val="0"/>
                      <w:marRight w:val="0"/>
                      <w:marTop w:val="0"/>
                      <w:marBottom w:val="0"/>
                      <w:divBdr>
                        <w:top w:val="none" w:sz="0" w:space="0" w:color="auto"/>
                        <w:left w:val="none" w:sz="0" w:space="0" w:color="auto"/>
                        <w:bottom w:val="none" w:sz="0" w:space="0" w:color="auto"/>
                        <w:right w:val="none" w:sz="0" w:space="0" w:color="auto"/>
                      </w:divBdr>
                    </w:div>
                  </w:divsChild>
                </w:div>
                <w:div w:id="62534775">
                  <w:marLeft w:val="0"/>
                  <w:marRight w:val="0"/>
                  <w:marTop w:val="0"/>
                  <w:marBottom w:val="0"/>
                  <w:divBdr>
                    <w:top w:val="none" w:sz="0" w:space="0" w:color="auto"/>
                    <w:left w:val="none" w:sz="0" w:space="0" w:color="auto"/>
                    <w:bottom w:val="none" w:sz="0" w:space="0" w:color="auto"/>
                    <w:right w:val="none" w:sz="0" w:space="0" w:color="auto"/>
                  </w:divBdr>
                  <w:divsChild>
                    <w:div w:id="275989686">
                      <w:marLeft w:val="0"/>
                      <w:marRight w:val="0"/>
                      <w:marTop w:val="0"/>
                      <w:marBottom w:val="0"/>
                      <w:divBdr>
                        <w:top w:val="none" w:sz="0" w:space="0" w:color="auto"/>
                        <w:left w:val="none" w:sz="0" w:space="0" w:color="auto"/>
                        <w:bottom w:val="none" w:sz="0" w:space="0" w:color="auto"/>
                        <w:right w:val="none" w:sz="0" w:space="0" w:color="auto"/>
                      </w:divBdr>
                    </w:div>
                  </w:divsChild>
                </w:div>
                <w:div w:id="74010662">
                  <w:marLeft w:val="0"/>
                  <w:marRight w:val="0"/>
                  <w:marTop w:val="0"/>
                  <w:marBottom w:val="0"/>
                  <w:divBdr>
                    <w:top w:val="none" w:sz="0" w:space="0" w:color="auto"/>
                    <w:left w:val="none" w:sz="0" w:space="0" w:color="auto"/>
                    <w:bottom w:val="none" w:sz="0" w:space="0" w:color="auto"/>
                    <w:right w:val="none" w:sz="0" w:space="0" w:color="auto"/>
                  </w:divBdr>
                  <w:divsChild>
                    <w:div w:id="174853982">
                      <w:marLeft w:val="0"/>
                      <w:marRight w:val="0"/>
                      <w:marTop w:val="0"/>
                      <w:marBottom w:val="0"/>
                      <w:divBdr>
                        <w:top w:val="none" w:sz="0" w:space="0" w:color="auto"/>
                        <w:left w:val="none" w:sz="0" w:space="0" w:color="auto"/>
                        <w:bottom w:val="none" w:sz="0" w:space="0" w:color="auto"/>
                        <w:right w:val="none" w:sz="0" w:space="0" w:color="auto"/>
                      </w:divBdr>
                    </w:div>
                  </w:divsChild>
                </w:div>
                <w:div w:id="81416700">
                  <w:marLeft w:val="0"/>
                  <w:marRight w:val="0"/>
                  <w:marTop w:val="0"/>
                  <w:marBottom w:val="0"/>
                  <w:divBdr>
                    <w:top w:val="none" w:sz="0" w:space="0" w:color="auto"/>
                    <w:left w:val="none" w:sz="0" w:space="0" w:color="auto"/>
                    <w:bottom w:val="none" w:sz="0" w:space="0" w:color="auto"/>
                    <w:right w:val="none" w:sz="0" w:space="0" w:color="auto"/>
                  </w:divBdr>
                  <w:divsChild>
                    <w:div w:id="1195581676">
                      <w:marLeft w:val="0"/>
                      <w:marRight w:val="0"/>
                      <w:marTop w:val="0"/>
                      <w:marBottom w:val="0"/>
                      <w:divBdr>
                        <w:top w:val="none" w:sz="0" w:space="0" w:color="auto"/>
                        <w:left w:val="none" w:sz="0" w:space="0" w:color="auto"/>
                        <w:bottom w:val="none" w:sz="0" w:space="0" w:color="auto"/>
                        <w:right w:val="none" w:sz="0" w:space="0" w:color="auto"/>
                      </w:divBdr>
                    </w:div>
                  </w:divsChild>
                </w:div>
                <w:div w:id="137654759">
                  <w:marLeft w:val="0"/>
                  <w:marRight w:val="0"/>
                  <w:marTop w:val="0"/>
                  <w:marBottom w:val="0"/>
                  <w:divBdr>
                    <w:top w:val="none" w:sz="0" w:space="0" w:color="auto"/>
                    <w:left w:val="none" w:sz="0" w:space="0" w:color="auto"/>
                    <w:bottom w:val="none" w:sz="0" w:space="0" w:color="auto"/>
                    <w:right w:val="none" w:sz="0" w:space="0" w:color="auto"/>
                  </w:divBdr>
                  <w:divsChild>
                    <w:div w:id="701051150">
                      <w:marLeft w:val="0"/>
                      <w:marRight w:val="0"/>
                      <w:marTop w:val="0"/>
                      <w:marBottom w:val="0"/>
                      <w:divBdr>
                        <w:top w:val="none" w:sz="0" w:space="0" w:color="auto"/>
                        <w:left w:val="none" w:sz="0" w:space="0" w:color="auto"/>
                        <w:bottom w:val="none" w:sz="0" w:space="0" w:color="auto"/>
                        <w:right w:val="none" w:sz="0" w:space="0" w:color="auto"/>
                      </w:divBdr>
                    </w:div>
                  </w:divsChild>
                </w:div>
                <w:div w:id="140930309">
                  <w:marLeft w:val="0"/>
                  <w:marRight w:val="0"/>
                  <w:marTop w:val="0"/>
                  <w:marBottom w:val="0"/>
                  <w:divBdr>
                    <w:top w:val="none" w:sz="0" w:space="0" w:color="auto"/>
                    <w:left w:val="none" w:sz="0" w:space="0" w:color="auto"/>
                    <w:bottom w:val="none" w:sz="0" w:space="0" w:color="auto"/>
                    <w:right w:val="none" w:sz="0" w:space="0" w:color="auto"/>
                  </w:divBdr>
                  <w:divsChild>
                    <w:div w:id="1242105216">
                      <w:marLeft w:val="0"/>
                      <w:marRight w:val="0"/>
                      <w:marTop w:val="0"/>
                      <w:marBottom w:val="0"/>
                      <w:divBdr>
                        <w:top w:val="none" w:sz="0" w:space="0" w:color="auto"/>
                        <w:left w:val="none" w:sz="0" w:space="0" w:color="auto"/>
                        <w:bottom w:val="none" w:sz="0" w:space="0" w:color="auto"/>
                        <w:right w:val="none" w:sz="0" w:space="0" w:color="auto"/>
                      </w:divBdr>
                    </w:div>
                  </w:divsChild>
                </w:div>
                <w:div w:id="155194428">
                  <w:marLeft w:val="0"/>
                  <w:marRight w:val="0"/>
                  <w:marTop w:val="0"/>
                  <w:marBottom w:val="0"/>
                  <w:divBdr>
                    <w:top w:val="none" w:sz="0" w:space="0" w:color="auto"/>
                    <w:left w:val="none" w:sz="0" w:space="0" w:color="auto"/>
                    <w:bottom w:val="none" w:sz="0" w:space="0" w:color="auto"/>
                    <w:right w:val="none" w:sz="0" w:space="0" w:color="auto"/>
                  </w:divBdr>
                  <w:divsChild>
                    <w:div w:id="533232732">
                      <w:marLeft w:val="0"/>
                      <w:marRight w:val="0"/>
                      <w:marTop w:val="0"/>
                      <w:marBottom w:val="0"/>
                      <w:divBdr>
                        <w:top w:val="none" w:sz="0" w:space="0" w:color="auto"/>
                        <w:left w:val="none" w:sz="0" w:space="0" w:color="auto"/>
                        <w:bottom w:val="none" w:sz="0" w:space="0" w:color="auto"/>
                        <w:right w:val="none" w:sz="0" w:space="0" w:color="auto"/>
                      </w:divBdr>
                    </w:div>
                  </w:divsChild>
                </w:div>
                <w:div w:id="165949963">
                  <w:marLeft w:val="0"/>
                  <w:marRight w:val="0"/>
                  <w:marTop w:val="0"/>
                  <w:marBottom w:val="0"/>
                  <w:divBdr>
                    <w:top w:val="none" w:sz="0" w:space="0" w:color="auto"/>
                    <w:left w:val="none" w:sz="0" w:space="0" w:color="auto"/>
                    <w:bottom w:val="none" w:sz="0" w:space="0" w:color="auto"/>
                    <w:right w:val="none" w:sz="0" w:space="0" w:color="auto"/>
                  </w:divBdr>
                  <w:divsChild>
                    <w:div w:id="1457523076">
                      <w:marLeft w:val="0"/>
                      <w:marRight w:val="0"/>
                      <w:marTop w:val="0"/>
                      <w:marBottom w:val="0"/>
                      <w:divBdr>
                        <w:top w:val="none" w:sz="0" w:space="0" w:color="auto"/>
                        <w:left w:val="none" w:sz="0" w:space="0" w:color="auto"/>
                        <w:bottom w:val="none" w:sz="0" w:space="0" w:color="auto"/>
                        <w:right w:val="none" w:sz="0" w:space="0" w:color="auto"/>
                      </w:divBdr>
                    </w:div>
                  </w:divsChild>
                </w:div>
                <w:div w:id="173230149">
                  <w:marLeft w:val="0"/>
                  <w:marRight w:val="0"/>
                  <w:marTop w:val="0"/>
                  <w:marBottom w:val="0"/>
                  <w:divBdr>
                    <w:top w:val="none" w:sz="0" w:space="0" w:color="auto"/>
                    <w:left w:val="none" w:sz="0" w:space="0" w:color="auto"/>
                    <w:bottom w:val="none" w:sz="0" w:space="0" w:color="auto"/>
                    <w:right w:val="none" w:sz="0" w:space="0" w:color="auto"/>
                  </w:divBdr>
                  <w:divsChild>
                    <w:div w:id="769620717">
                      <w:marLeft w:val="0"/>
                      <w:marRight w:val="0"/>
                      <w:marTop w:val="0"/>
                      <w:marBottom w:val="0"/>
                      <w:divBdr>
                        <w:top w:val="none" w:sz="0" w:space="0" w:color="auto"/>
                        <w:left w:val="none" w:sz="0" w:space="0" w:color="auto"/>
                        <w:bottom w:val="none" w:sz="0" w:space="0" w:color="auto"/>
                        <w:right w:val="none" w:sz="0" w:space="0" w:color="auto"/>
                      </w:divBdr>
                    </w:div>
                  </w:divsChild>
                </w:div>
                <w:div w:id="177892544">
                  <w:marLeft w:val="0"/>
                  <w:marRight w:val="0"/>
                  <w:marTop w:val="0"/>
                  <w:marBottom w:val="0"/>
                  <w:divBdr>
                    <w:top w:val="none" w:sz="0" w:space="0" w:color="auto"/>
                    <w:left w:val="none" w:sz="0" w:space="0" w:color="auto"/>
                    <w:bottom w:val="none" w:sz="0" w:space="0" w:color="auto"/>
                    <w:right w:val="none" w:sz="0" w:space="0" w:color="auto"/>
                  </w:divBdr>
                  <w:divsChild>
                    <w:div w:id="264650750">
                      <w:marLeft w:val="0"/>
                      <w:marRight w:val="0"/>
                      <w:marTop w:val="0"/>
                      <w:marBottom w:val="0"/>
                      <w:divBdr>
                        <w:top w:val="none" w:sz="0" w:space="0" w:color="auto"/>
                        <w:left w:val="none" w:sz="0" w:space="0" w:color="auto"/>
                        <w:bottom w:val="none" w:sz="0" w:space="0" w:color="auto"/>
                        <w:right w:val="none" w:sz="0" w:space="0" w:color="auto"/>
                      </w:divBdr>
                    </w:div>
                  </w:divsChild>
                </w:div>
                <w:div w:id="225839766">
                  <w:marLeft w:val="0"/>
                  <w:marRight w:val="0"/>
                  <w:marTop w:val="0"/>
                  <w:marBottom w:val="0"/>
                  <w:divBdr>
                    <w:top w:val="none" w:sz="0" w:space="0" w:color="auto"/>
                    <w:left w:val="none" w:sz="0" w:space="0" w:color="auto"/>
                    <w:bottom w:val="none" w:sz="0" w:space="0" w:color="auto"/>
                    <w:right w:val="none" w:sz="0" w:space="0" w:color="auto"/>
                  </w:divBdr>
                  <w:divsChild>
                    <w:div w:id="608778751">
                      <w:marLeft w:val="0"/>
                      <w:marRight w:val="0"/>
                      <w:marTop w:val="0"/>
                      <w:marBottom w:val="0"/>
                      <w:divBdr>
                        <w:top w:val="none" w:sz="0" w:space="0" w:color="auto"/>
                        <w:left w:val="none" w:sz="0" w:space="0" w:color="auto"/>
                        <w:bottom w:val="none" w:sz="0" w:space="0" w:color="auto"/>
                        <w:right w:val="none" w:sz="0" w:space="0" w:color="auto"/>
                      </w:divBdr>
                    </w:div>
                  </w:divsChild>
                </w:div>
                <w:div w:id="233129195">
                  <w:marLeft w:val="0"/>
                  <w:marRight w:val="0"/>
                  <w:marTop w:val="0"/>
                  <w:marBottom w:val="0"/>
                  <w:divBdr>
                    <w:top w:val="none" w:sz="0" w:space="0" w:color="auto"/>
                    <w:left w:val="none" w:sz="0" w:space="0" w:color="auto"/>
                    <w:bottom w:val="none" w:sz="0" w:space="0" w:color="auto"/>
                    <w:right w:val="none" w:sz="0" w:space="0" w:color="auto"/>
                  </w:divBdr>
                  <w:divsChild>
                    <w:div w:id="1377119689">
                      <w:marLeft w:val="0"/>
                      <w:marRight w:val="0"/>
                      <w:marTop w:val="0"/>
                      <w:marBottom w:val="0"/>
                      <w:divBdr>
                        <w:top w:val="none" w:sz="0" w:space="0" w:color="auto"/>
                        <w:left w:val="none" w:sz="0" w:space="0" w:color="auto"/>
                        <w:bottom w:val="none" w:sz="0" w:space="0" w:color="auto"/>
                        <w:right w:val="none" w:sz="0" w:space="0" w:color="auto"/>
                      </w:divBdr>
                    </w:div>
                  </w:divsChild>
                </w:div>
                <w:div w:id="277834399">
                  <w:marLeft w:val="0"/>
                  <w:marRight w:val="0"/>
                  <w:marTop w:val="0"/>
                  <w:marBottom w:val="0"/>
                  <w:divBdr>
                    <w:top w:val="none" w:sz="0" w:space="0" w:color="auto"/>
                    <w:left w:val="none" w:sz="0" w:space="0" w:color="auto"/>
                    <w:bottom w:val="none" w:sz="0" w:space="0" w:color="auto"/>
                    <w:right w:val="none" w:sz="0" w:space="0" w:color="auto"/>
                  </w:divBdr>
                  <w:divsChild>
                    <w:div w:id="1608464155">
                      <w:marLeft w:val="0"/>
                      <w:marRight w:val="0"/>
                      <w:marTop w:val="0"/>
                      <w:marBottom w:val="0"/>
                      <w:divBdr>
                        <w:top w:val="none" w:sz="0" w:space="0" w:color="auto"/>
                        <w:left w:val="none" w:sz="0" w:space="0" w:color="auto"/>
                        <w:bottom w:val="none" w:sz="0" w:space="0" w:color="auto"/>
                        <w:right w:val="none" w:sz="0" w:space="0" w:color="auto"/>
                      </w:divBdr>
                    </w:div>
                  </w:divsChild>
                </w:div>
                <w:div w:id="283004799">
                  <w:marLeft w:val="0"/>
                  <w:marRight w:val="0"/>
                  <w:marTop w:val="0"/>
                  <w:marBottom w:val="0"/>
                  <w:divBdr>
                    <w:top w:val="none" w:sz="0" w:space="0" w:color="auto"/>
                    <w:left w:val="none" w:sz="0" w:space="0" w:color="auto"/>
                    <w:bottom w:val="none" w:sz="0" w:space="0" w:color="auto"/>
                    <w:right w:val="none" w:sz="0" w:space="0" w:color="auto"/>
                  </w:divBdr>
                  <w:divsChild>
                    <w:div w:id="1547986975">
                      <w:marLeft w:val="0"/>
                      <w:marRight w:val="0"/>
                      <w:marTop w:val="0"/>
                      <w:marBottom w:val="0"/>
                      <w:divBdr>
                        <w:top w:val="none" w:sz="0" w:space="0" w:color="auto"/>
                        <w:left w:val="none" w:sz="0" w:space="0" w:color="auto"/>
                        <w:bottom w:val="none" w:sz="0" w:space="0" w:color="auto"/>
                        <w:right w:val="none" w:sz="0" w:space="0" w:color="auto"/>
                      </w:divBdr>
                    </w:div>
                  </w:divsChild>
                </w:div>
                <w:div w:id="304629212">
                  <w:marLeft w:val="0"/>
                  <w:marRight w:val="0"/>
                  <w:marTop w:val="0"/>
                  <w:marBottom w:val="0"/>
                  <w:divBdr>
                    <w:top w:val="none" w:sz="0" w:space="0" w:color="auto"/>
                    <w:left w:val="none" w:sz="0" w:space="0" w:color="auto"/>
                    <w:bottom w:val="none" w:sz="0" w:space="0" w:color="auto"/>
                    <w:right w:val="none" w:sz="0" w:space="0" w:color="auto"/>
                  </w:divBdr>
                  <w:divsChild>
                    <w:div w:id="1891459229">
                      <w:marLeft w:val="0"/>
                      <w:marRight w:val="0"/>
                      <w:marTop w:val="0"/>
                      <w:marBottom w:val="0"/>
                      <w:divBdr>
                        <w:top w:val="none" w:sz="0" w:space="0" w:color="auto"/>
                        <w:left w:val="none" w:sz="0" w:space="0" w:color="auto"/>
                        <w:bottom w:val="none" w:sz="0" w:space="0" w:color="auto"/>
                        <w:right w:val="none" w:sz="0" w:space="0" w:color="auto"/>
                      </w:divBdr>
                    </w:div>
                  </w:divsChild>
                </w:div>
                <w:div w:id="323709447">
                  <w:marLeft w:val="0"/>
                  <w:marRight w:val="0"/>
                  <w:marTop w:val="0"/>
                  <w:marBottom w:val="0"/>
                  <w:divBdr>
                    <w:top w:val="none" w:sz="0" w:space="0" w:color="auto"/>
                    <w:left w:val="none" w:sz="0" w:space="0" w:color="auto"/>
                    <w:bottom w:val="none" w:sz="0" w:space="0" w:color="auto"/>
                    <w:right w:val="none" w:sz="0" w:space="0" w:color="auto"/>
                  </w:divBdr>
                  <w:divsChild>
                    <w:div w:id="675113745">
                      <w:marLeft w:val="0"/>
                      <w:marRight w:val="0"/>
                      <w:marTop w:val="0"/>
                      <w:marBottom w:val="0"/>
                      <w:divBdr>
                        <w:top w:val="none" w:sz="0" w:space="0" w:color="auto"/>
                        <w:left w:val="none" w:sz="0" w:space="0" w:color="auto"/>
                        <w:bottom w:val="none" w:sz="0" w:space="0" w:color="auto"/>
                        <w:right w:val="none" w:sz="0" w:space="0" w:color="auto"/>
                      </w:divBdr>
                    </w:div>
                  </w:divsChild>
                </w:div>
                <w:div w:id="355734808">
                  <w:marLeft w:val="0"/>
                  <w:marRight w:val="0"/>
                  <w:marTop w:val="0"/>
                  <w:marBottom w:val="0"/>
                  <w:divBdr>
                    <w:top w:val="none" w:sz="0" w:space="0" w:color="auto"/>
                    <w:left w:val="none" w:sz="0" w:space="0" w:color="auto"/>
                    <w:bottom w:val="none" w:sz="0" w:space="0" w:color="auto"/>
                    <w:right w:val="none" w:sz="0" w:space="0" w:color="auto"/>
                  </w:divBdr>
                  <w:divsChild>
                    <w:div w:id="207113459">
                      <w:marLeft w:val="0"/>
                      <w:marRight w:val="0"/>
                      <w:marTop w:val="0"/>
                      <w:marBottom w:val="0"/>
                      <w:divBdr>
                        <w:top w:val="none" w:sz="0" w:space="0" w:color="auto"/>
                        <w:left w:val="none" w:sz="0" w:space="0" w:color="auto"/>
                        <w:bottom w:val="none" w:sz="0" w:space="0" w:color="auto"/>
                        <w:right w:val="none" w:sz="0" w:space="0" w:color="auto"/>
                      </w:divBdr>
                    </w:div>
                  </w:divsChild>
                </w:div>
                <w:div w:id="392391167">
                  <w:marLeft w:val="0"/>
                  <w:marRight w:val="0"/>
                  <w:marTop w:val="0"/>
                  <w:marBottom w:val="0"/>
                  <w:divBdr>
                    <w:top w:val="none" w:sz="0" w:space="0" w:color="auto"/>
                    <w:left w:val="none" w:sz="0" w:space="0" w:color="auto"/>
                    <w:bottom w:val="none" w:sz="0" w:space="0" w:color="auto"/>
                    <w:right w:val="none" w:sz="0" w:space="0" w:color="auto"/>
                  </w:divBdr>
                  <w:divsChild>
                    <w:div w:id="1607149411">
                      <w:marLeft w:val="0"/>
                      <w:marRight w:val="0"/>
                      <w:marTop w:val="0"/>
                      <w:marBottom w:val="0"/>
                      <w:divBdr>
                        <w:top w:val="none" w:sz="0" w:space="0" w:color="auto"/>
                        <w:left w:val="none" w:sz="0" w:space="0" w:color="auto"/>
                        <w:bottom w:val="none" w:sz="0" w:space="0" w:color="auto"/>
                        <w:right w:val="none" w:sz="0" w:space="0" w:color="auto"/>
                      </w:divBdr>
                    </w:div>
                  </w:divsChild>
                </w:div>
                <w:div w:id="396561771">
                  <w:marLeft w:val="0"/>
                  <w:marRight w:val="0"/>
                  <w:marTop w:val="0"/>
                  <w:marBottom w:val="0"/>
                  <w:divBdr>
                    <w:top w:val="none" w:sz="0" w:space="0" w:color="auto"/>
                    <w:left w:val="none" w:sz="0" w:space="0" w:color="auto"/>
                    <w:bottom w:val="none" w:sz="0" w:space="0" w:color="auto"/>
                    <w:right w:val="none" w:sz="0" w:space="0" w:color="auto"/>
                  </w:divBdr>
                  <w:divsChild>
                    <w:div w:id="1558206694">
                      <w:marLeft w:val="0"/>
                      <w:marRight w:val="0"/>
                      <w:marTop w:val="0"/>
                      <w:marBottom w:val="0"/>
                      <w:divBdr>
                        <w:top w:val="none" w:sz="0" w:space="0" w:color="auto"/>
                        <w:left w:val="none" w:sz="0" w:space="0" w:color="auto"/>
                        <w:bottom w:val="none" w:sz="0" w:space="0" w:color="auto"/>
                        <w:right w:val="none" w:sz="0" w:space="0" w:color="auto"/>
                      </w:divBdr>
                    </w:div>
                  </w:divsChild>
                </w:div>
                <w:div w:id="405146971">
                  <w:marLeft w:val="0"/>
                  <w:marRight w:val="0"/>
                  <w:marTop w:val="0"/>
                  <w:marBottom w:val="0"/>
                  <w:divBdr>
                    <w:top w:val="none" w:sz="0" w:space="0" w:color="auto"/>
                    <w:left w:val="none" w:sz="0" w:space="0" w:color="auto"/>
                    <w:bottom w:val="none" w:sz="0" w:space="0" w:color="auto"/>
                    <w:right w:val="none" w:sz="0" w:space="0" w:color="auto"/>
                  </w:divBdr>
                  <w:divsChild>
                    <w:div w:id="653491246">
                      <w:marLeft w:val="0"/>
                      <w:marRight w:val="0"/>
                      <w:marTop w:val="0"/>
                      <w:marBottom w:val="0"/>
                      <w:divBdr>
                        <w:top w:val="none" w:sz="0" w:space="0" w:color="auto"/>
                        <w:left w:val="none" w:sz="0" w:space="0" w:color="auto"/>
                        <w:bottom w:val="none" w:sz="0" w:space="0" w:color="auto"/>
                        <w:right w:val="none" w:sz="0" w:space="0" w:color="auto"/>
                      </w:divBdr>
                    </w:div>
                  </w:divsChild>
                </w:div>
                <w:div w:id="413094395">
                  <w:marLeft w:val="0"/>
                  <w:marRight w:val="0"/>
                  <w:marTop w:val="0"/>
                  <w:marBottom w:val="0"/>
                  <w:divBdr>
                    <w:top w:val="none" w:sz="0" w:space="0" w:color="auto"/>
                    <w:left w:val="none" w:sz="0" w:space="0" w:color="auto"/>
                    <w:bottom w:val="none" w:sz="0" w:space="0" w:color="auto"/>
                    <w:right w:val="none" w:sz="0" w:space="0" w:color="auto"/>
                  </w:divBdr>
                  <w:divsChild>
                    <w:div w:id="1400832014">
                      <w:marLeft w:val="0"/>
                      <w:marRight w:val="0"/>
                      <w:marTop w:val="0"/>
                      <w:marBottom w:val="0"/>
                      <w:divBdr>
                        <w:top w:val="none" w:sz="0" w:space="0" w:color="auto"/>
                        <w:left w:val="none" w:sz="0" w:space="0" w:color="auto"/>
                        <w:bottom w:val="none" w:sz="0" w:space="0" w:color="auto"/>
                        <w:right w:val="none" w:sz="0" w:space="0" w:color="auto"/>
                      </w:divBdr>
                    </w:div>
                  </w:divsChild>
                </w:div>
                <w:div w:id="446122257">
                  <w:marLeft w:val="0"/>
                  <w:marRight w:val="0"/>
                  <w:marTop w:val="0"/>
                  <w:marBottom w:val="0"/>
                  <w:divBdr>
                    <w:top w:val="none" w:sz="0" w:space="0" w:color="auto"/>
                    <w:left w:val="none" w:sz="0" w:space="0" w:color="auto"/>
                    <w:bottom w:val="none" w:sz="0" w:space="0" w:color="auto"/>
                    <w:right w:val="none" w:sz="0" w:space="0" w:color="auto"/>
                  </w:divBdr>
                  <w:divsChild>
                    <w:div w:id="1283027463">
                      <w:marLeft w:val="0"/>
                      <w:marRight w:val="0"/>
                      <w:marTop w:val="0"/>
                      <w:marBottom w:val="0"/>
                      <w:divBdr>
                        <w:top w:val="none" w:sz="0" w:space="0" w:color="auto"/>
                        <w:left w:val="none" w:sz="0" w:space="0" w:color="auto"/>
                        <w:bottom w:val="none" w:sz="0" w:space="0" w:color="auto"/>
                        <w:right w:val="none" w:sz="0" w:space="0" w:color="auto"/>
                      </w:divBdr>
                    </w:div>
                  </w:divsChild>
                </w:div>
                <w:div w:id="446582018">
                  <w:marLeft w:val="0"/>
                  <w:marRight w:val="0"/>
                  <w:marTop w:val="0"/>
                  <w:marBottom w:val="0"/>
                  <w:divBdr>
                    <w:top w:val="none" w:sz="0" w:space="0" w:color="auto"/>
                    <w:left w:val="none" w:sz="0" w:space="0" w:color="auto"/>
                    <w:bottom w:val="none" w:sz="0" w:space="0" w:color="auto"/>
                    <w:right w:val="none" w:sz="0" w:space="0" w:color="auto"/>
                  </w:divBdr>
                  <w:divsChild>
                    <w:div w:id="537553174">
                      <w:marLeft w:val="0"/>
                      <w:marRight w:val="0"/>
                      <w:marTop w:val="0"/>
                      <w:marBottom w:val="0"/>
                      <w:divBdr>
                        <w:top w:val="none" w:sz="0" w:space="0" w:color="auto"/>
                        <w:left w:val="none" w:sz="0" w:space="0" w:color="auto"/>
                        <w:bottom w:val="none" w:sz="0" w:space="0" w:color="auto"/>
                        <w:right w:val="none" w:sz="0" w:space="0" w:color="auto"/>
                      </w:divBdr>
                    </w:div>
                  </w:divsChild>
                </w:div>
                <w:div w:id="474301934">
                  <w:marLeft w:val="0"/>
                  <w:marRight w:val="0"/>
                  <w:marTop w:val="0"/>
                  <w:marBottom w:val="0"/>
                  <w:divBdr>
                    <w:top w:val="none" w:sz="0" w:space="0" w:color="auto"/>
                    <w:left w:val="none" w:sz="0" w:space="0" w:color="auto"/>
                    <w:bottom w:val="none" w:sz="0" w:space="0" w:color="auto"/>
                    <w:right w:val="none" w:sz="0" w:space="0" w:color="auto"/>
                  </w:divBdr>
                  <w:divsChild>
                    <w:div w:id="555707437">
                      <w:marLeft w:val="0"/>
                      <w:marRight w:val="0"/>
                      <w:marTop w:val="0"/>
                      <w:marBottom w:val="0"/>
                      <w:divBdr>
                        <w:top w:val="none" w:sz="0" w:space="0" w:color="auto"/>
                        <w:left w:val="none" w:sz="0" w:space="0" w:color="auto"/>
                        <w:bottom w:val="none" w:sz="0" w:space="0" w:color="auto"/>
                        <w:right w:val="none" w:sz="0" w:space="0" w:color="auto"/>
                      </w:divBdr>
                    </w:div>
                  </w:divsChild>
                </w:div>
                <w:div w:id="475027446">
                  <w:marLeft w:val="0"/>
                  <w:marRight w:val="0"/>
                  <w:marTop w:val="0"/>
                  <w:marBottom w:val="0"/>
                  <w:divBdr>
                    <w:top w:val="none" w:sz="0" w:space="0" w:color="auto"/>
                    <w:left w:val="none" w:sz="0" w:space="0" w:color="auto"/>
                    <w:bottom w:val="none" w:sz="0" w:space="0" w:color="auto"/>
                    <w:right w:val="none" w:sz="0" w:space="0" w:color="auto"/>
                  </w:divBdr>
                  <w:divsChild>
                    <w:div w:id="272826836">
                      <w:marLeft w:val="0"/>
                      <w:marRight w:val="0"/>
                      <w:marTop w:val="0"/>
                      <w:marBottom w:val="0"/>
                      <w:divBdr>
                        <w:top w:val="none" w:sz="0" w:space="0" w:color="auto"/>
                        <w:left w:val="none" w:sz="0" w:space="0" w:color="auto"/>
                        <w:bottom w:val="none" w:sz="0" w:space="0" w:color="auto"/>
                        <w:right w:val="none" w:sz="0" w:space="0" w:color="auto"/>
                      </w:divBdr>
                    </w:div>
                  </w:divsChild>
                </w:div>
                <w:div w:id="509224006">
                  <w:marLeft w:val="0"/>
                  <w:marRight w:val="0"/>
                  <w:marTop w:val="0"/>
                  <w:marBottom w:val="0"/>
                  <w:divBdr>
                    <w:top w:val="none" w:sz="0" w:space="0" w:color="auto"/>
                    <w:left w:val="none" w:sz="0" w:space="0" w:color="auto"/>
                    <w:bottom w:val="none" w:sz="0" w:space="0" w:color="auto"/>
                    <w:right w:val="none" w:sz="0" w:space="0" w:color="auto"/>
                  </w:divBdr>
                  <w:divsChild>
                    <w:div w:id="1056778721">
                      <w:marLeft w:val="0"/>
                      <w:marRight w:val="0"/>
                      <w:marTop w:val="0"/>
                      <w:marBottom w:val="0"/>
                      <w:divBdr>
                        <w:top w:val="none" w:sz="0" w:space="0" w:color="auto"/>
                        <w:left w:val="none" w:sz="0" w:space="0" w:color="auto"/>
                        <w:bottom w:val="none" w:sz="0" w:space="0" w:color="auto"/>
                        <w:right w:val="none" w:sz="0" w:space="0" w:color="auto"/>
                      </w:divBdr>
                    </w:div>
                  </w:divsChild>
                </w:div>
                <w:div w:id="517354155">
                  <w:marLeft w:val="0"/>
                  <w:marRight w:val="0"/>
                  <w:marTop w:val="0"/>
                  <w:marBottom w:val="0"/>
                  <w:divBdr>
                    <w:top w:val="none" w:sz="0" w:space="0" w:color="auto"/>
                    <w:left w:val="none" w:sz="0" w:space="0" w:color="auto"/>
                    <w:bottom w:val="none" w:sz="0" w:space="0" w:color="auto"/>
                    <w:right w:val="none" w:sz="0" w:space="0" w:color="auto"/>
                  </w:divBdr>
                  <w:divsChild>
                    <w:div w:id="428505404">
                      <w:marLeft w:val="0"/>
                      <w:marRight w:val="0"/>
                      <w:marTop w:val="0"/>
                      <w:marBottom w:val="0"/>
                      <w:divBdr>
                        <w:top w:val="none" w:sz="0" w:space="0" w:color="auto"/>
                        <w:left w:val="none" w:sz="0" w:space="0" w:color="auto"/>
                        <w:bottom w:val="none" w:sz="0" w:space="0" w:color="auto"/>
                        <w:right w:val="none" w:sz="0" w:space="0" w:color="auto"/>
                      </w:divBdr>
                    </w:div>
                  </w:divsChild>
                </w:div>
                <w:div w:id="531918813">
                  <w:marLeft w:val="0"/>
                  <w:marRight w:val="0"/>
                  <w:marTop w:val="0"/>
                  <w:marBottom w:val="0"/>
                  <w:divBdr>
                    <w:top w:val="none" w:sz="0" w:space="0" w:color="auto"/>
                    <w:left w:val="none" w:sz="0" w:space="0" w:color="auto"/>
                    <w:bottom w:val="none" w:sz="0" w:space="0" w:color="auto"/>
                    <w:right w:val="none" w:sz="0" w:space="0" w:color="auto"/>
                  </w:divBdr>
                  <w:divsChild>
                    <w:div w:id="1095439549">
                      <w:marLeft w:val="0"/>
                      <w:marRight w:val="0"/>
                      <w:marTop w:val="0"/>
                      <w:marBottom w:val="0"/>
                      <w:divBdr>
                        <w:top w:val="none" w:sz="0" w:space="0" w:color="auto"/>
                        <w:left w:val="none" w:sz="0" w:space="0" w:color="auto"/>
                        <w:bottom w:val="none" w:sz="0" w:space="0" w:color="auto"/>
                        <w:right w:val="none" w:sz="0" w:space="0" w:color="auto"/>
                      </w:divBdr>
                    </w:div>
                  </w:divsChild>
                </w:div>
                <w:div w:id="542863962">
                  <w:marLeft w:val="0"/>
                  <w:marRight w:val="0"/>
                  <w:marTop w:val="0"/>
                  <w:marBottom w:val="0"/>
                  <w:divBdr>
                    <w:top w:val="none" w:sz="0" w:space="0" w:color="auto"/>
                    <w:left w:val="none" w:sz="0" w:space="0" w:color="auto"/>
                    <w:bottom w:val="none" w:sz="0" w:space="0" w:color="auto"/>
                    <w:right w:val="none" w:sz="0" w:space="0" w:color="auto"/>
                  </w:divBdr>
                  <w:divsChild>
                    <w:div w:id="982394443">
                      <w:marLeft w:val="0"/>
                      <w:marRight w:val="0"/>
                      <w:marTop w:val="0"/>
                      <w:marBottom w:val="0"/>
                      <w:divBdr>
                        <w:top w:val="none" w:sz="0" w:space="0" w:color="auto"/>
                        <w:left w:val="none" w:sz="0" w:space="0" w:color="auto"/>
                        <w:bottom w:val="none" w:sz="0" w:space="0" w:color="auto"/>
                        <w:right w:val="none" w:sz="0" w:space="0" w:color="auto"/>
                      </w:divBdr>
                    </w:div>
                  </w:divsChild>
                </w:div>
                <w:div w:id="558517653">
                  <w:marLeft w:val="0"/>
                  <w:marRight w:val="0"/>
                  <w:marTop w:val="0"/>
                  <w:marBottom w:val="0"/>
                  <w:divBdr>
                    <w:top w:val="none" w:sz="0" w:space="0" w:color="auto"/>
                    <w:left w:val="none" w:sz="0" w:space="0" w:color="auto"/>
                    <w:bottom w:val="none" w:sz="0" w:space="0" w:color="auto"/>
                    <w:right w:val="none" w:sz="0" w:space="0" w:color="auto"/>
                  </w:divBdr>
                  <w:divsChild>
                    <w:div w:id="297076851">
                      <w:marLeft w:val="0"/>
                      <w:marRight w:val="0"/>
                      <w:marTop w:val="0"/>
                      <w:marBottom w:val="0"/>
                      <w:divBdr>
                        <w:top w:val="none" w:sz="0" w:space="0" w:color="auto"/>
                        <w:left w:val="none" w:sz="0" w:space="0" w:color="auto"/>
                        <w:bottom w:val="none" w:sz="0" w:space="0" w:color="auto"/>
                        <w:right w:val="none" w:sz="0" w:space="0" w:color="auto"/>
                      </w:divBdr>
                    </w:div>
                  </w:divsChild>
                </w:div>
                <w:div w:id="590704488">
                  <w:marLeft w:val="0"/>
                  <w:marRight w:val="0"/>
                  <w:marTop w:val="0"/>
                  <w:marBottom w:val="0"/>
                  <w:divBdr>
                    <w:top w:val="none" w:sz="0" w:space="0" w:color="auto"/>
                    <w:left w:val="none" w:sz="0" w:space="0" w:color="auto"/>
                    <w:bottom w:val="none" w:sz="0" w:space="0" w:color="auto"/>
                    <w:right w:val="none" w:sz="0" w:space="0" w:color="auto"/>
                  </w:divBdr>
                  <w:divsChild>
                    <w:div w:id="1266772633">
                      <w:marLeft w:val="0"/>
                      <w:marRight w:val="0"/>
                      <w:marTop w:val="0"/>
                      <w:marBottom w:val="0"/>
                      <w:divBdr>
                        <w:top w:val="none" w:sz="0" w:space="0" w:color="auto"/>
                        <w:left w:val="none" w:sz="0" w:space="0" w:color="auto"/>
                        <w:bottom w:val="none" w:sz="0" w:space="0" w:color="auto"/>
                        <w:right w:val="none" w:sz="0" w:space="0" w:color="auto"/>
                      </w:divBdr>
                    </w:div>
                  </w:divsChild>
                </w:div>
                <w:div w:id="601381832">
                  <w:marLeft w:val="0"/>
                  <w:marRight w:val="0"/>
                  <w:marTop w:val="0"/>
                  <w:marBottom w:val="0"/>
                  <w:divBdr>
                    <w:top w:val="none" w:sz="0" w:space="0" w:color="auto"/>
                    <w:left w:val="none" w:sz="0" w:space="0" w:color="auto"/>
                    <w:bottom w:val="none" w:sz="0" w:space="0" w:color="auto"/>
                    <w:right w:val="none" w:sz="0" w:space="0" w:color="auto"/>
                  </w:divBdr>
                  <w:divsChild>
                    <w:div w:id="301817079">
                      <w:marLeft w:val="0"/>
                      <w:marRight w:val="0"/>
                      <w:marTop w:val="0"/>
                      <w:marBottom w:val="0"/>
                      <w:divBdr>
                        <w:top w:val="none" w:sz="0" w:space="0" w:color="auto"/>
                        <w:left w:val="none" w:sz="0" w:space="0" w:color="auto"/>
                        <w:bottom w:val="none" w:sz="0" w:space="0" w:color="auto"/>
                        <w:right w:val="none" w:sz="0" w:space="0" w:color="auto"/>
                      </w:divBdr>
                    </w:div>
                  </w:divsChild>
                </w:div>
                <w:div w:id="602031615">
                  <w:marLeft w:val="0"/>
                  <w:marRight w:val="0"/>
                  <w:marTop w:val="0"/>
                  <w:marBottom w:val="0"/>
                  <w:divBdr>
                    <w:top w:val="none" w:sz="0" w:space="0" w:color="auto"/>
                    <w:left w:val="none" w:sz="0" w:space="0" w:color="auto"/>
                    <w:bottom w:val="none" w:sz="0" w:space="0" w:color="auto"/>
                    <w:right w:val="none" w:sz="0" w:space="0" w:color="auto"/>
                  </w:divBdr>
                  <w:divsChild>
                    <w:div w:id="1628504989">
                      <w:marLeft w:val="0"/>
                      <w:marRight w:val="0"/>
                      <w:marTop w:val="0"/>
                      <w:marBottom w:val="0"/>
                      <w:divBdr>
                        <w:top w:val="none" w:sz="0" w:space="0" w:color="auto"/>
                        <w:left w:val="none" w:sz="0" w:space="0" w:color="auto"/>
                        <w:bottom w:val="none" w:sz="0" w:space="0" w:color="auto"/>
                        <w:right w:val="none" w:sz="0" w:space="0" w:color="auto"/>
                      </w:divBdr>
                    </w:div>
                  </w:divsChild>
                </w:div>
                <w:div w:id="624196512">
                  <w:marLeft w:val="0"/>
                  <w:marRight w:val="0"/>
                  <w:marTop w:val="0"/>
                  <w:marBottom w:val="0"/>
                  <w:divBdr>
                    <w:top w:val="none" w:sz="0" w:space="0" w:color="auto"/>
                    <w:left w:val="none" w:sz="0" w:space="0" w:color="auto"/>
                    <w:bottom w:val="none" w:sz="0" w:space="0" w:color="auto"/>
                    <w:right w:val="none" w:sz="0" w:space="0" w:color="auto"/>
                  </w:divBdr>
                  <w:divsChild>
                    <w:div w:id="1771658991">
                      <w:marLeft w:val="0"/>
                      <w:marRight w:val="0"/>
                      <w:marTop w:val="0"/>
                      <w:marBottom w:val="0"/>
                      <w:divBdr>
                        <w:top w:val="none" w:sz="0" w:space="0" w:color="auto"/>
                        <w:left w:val="none" w:sz="0" w:space="0" w:color="auto"/>
                        <w:bottom w:val="none" w:sz="0" w:space="0" w:color="auto"/>
                        <w:right w:val="none" w:sz="0" w:space="0" w:color="auto"/>
                      </w:divBdr>
                    </w:div>
                  </w:divsChild>
                </w:div>
                <w:div w:id="648629327">
                  <w:marLeft w:val="0"/>
                  <w:marRight w:val="0"/>
                  <w:marTop w:val="0"/>
                  <w:marBottom w:val="0"/>
                  <w:divBdr>
                    <w:top w:val="none" w:sz="0" w:space="0" w:color="auto"/>
                    <w:left w:val="none" w:sz="0" w:space="0" w:color="auto"/>
                    <w:bottom w:val="none" w:sz="0" w:space="0" w:color="auto"/>
                    <w:right w:val="none" w:sz="0" w:space="0" w:color="auto"/>
                  </w:divBdr>
                  <w:divsChild>
                    <w:div w:id="1641960898">
                      <w:marLeft w:val="0"/>
                      <w:marRight w:val="0"/>
                      <w:marTop w:val="0"/>
                      <w:marBottom w:val="0"/>
                      <w:divBdr>
                        <w:top w:val="none" w:sz="0" w:space="0" w:color="auto"/>
                        <w:left w:val="none" w:sz="0" w:space="0" w:color="auto"/>
                        <w:bottom w:val="none" w:sz="0" w:space="0" w:color="auto"/>
                        <w:right w:val="none" w:sz="0" w:space="0" w:color="auto"/>
                      </w:divBdr>
                    </w:div>
                  </w:divsChild>
                </w:div>
                <w:div w:id="656303192">
                  <w:marLeft w:val="0"/>
                  <w:marRight w:val="0"/>
                  <w:marTop w:val="0"/>
                  <w:marBottom w:val="0"/>
                  <w:divBdr>
                    <w:top w:val="none" w:sz="0" w:space="0" w:color="auto"/>
                    <w:left w:val="none" w:sz="0" w:space="0" w:color="auto"/>
                    <w:bottom w:val="none" w:sz="0" w:space="0" w:color="auto"/>
                    <w:right w:val="none" w:sz="0" w:space="0" w:color="auto"/>
                  </w:divBdr>
                  <w:divsChild>
                    <w:div w:id="1460681833">
                      <w:marLeft w:val="0"/>
                      <w:marRight w:val="0"/>
                      <w:marTop w:val="0"/>
                      <w:marBottom w:val="0"/>
                      <w:divBdr>
                        <w:top w:val="none" w:sz="0" w:space="0" w:color="auto"/>
                        <w:left w:val="none" w:sz="0" w:space="0" w:color="auto"/>
                        <w:bottom w:val="none" w:sz="0" w:space="0" w:color="auto"/>
                        <w:right w:val="none" w:sz="0" w:space="0" w:color="auto"/>
                      </w:divBdr>
                    </w:div>
                  </w:divsChild>
                </w:div>
                <w:div w:id="674964621">
                  <w:marLeft w:val="0"/>
                  <w:marRight w:val="0"/>
                  <w:marTop w:val="0"/>
                  <w:marBottom w:val="0"/>
                  <w:divBdr>
                    <w:top w:val="none" w:sz="0" w:space="0" w:color="auto"/>
                    <w:left w:val="none" w:sz="0" w:space="0" w:color="auto"/>
                    <w:bottom w:val="none" w:sz="0" w:space="0" w:color="auto"/>
                    <w:right w:val="none" w:sz="0" w:space="0" w:color="auto"/>
                  </w:divBdr>
                  <w:divsChild>
                    <w:div w:id="992416020">
                      <w:marLeft w:val="0"/>
                      <w:marRight w:val="0"/>
                      <w:marTop w:val="0"/>
                      <w:marBottom w:val="0"/>
                      <w:divBdr>
                        <w:top w:val="none" w:sz="0" w:space="0" w:color="auto"/>
                        <w:left w:val="none" w:sz="0" w:space="0" w:color="auto"/>
                        <w:bottom w:val="none" w:sz="0" w:space="0" w:color="auto"/>
                        <w:right w:val="none" w:sz="0" w:space="0" w:color="auto"/>
                      </w:divBdr>
                    </w:div>
                  </w:divsChild>
                </w:div>
                <w:div w:id="689112283">
                  <w:marLeft w:val="0"/>
                  <w:marRight w:val="0"/>
                  <w:marTop w:val="0"/>
                  <w:marBottom w:val="0"/>
                  <w:divBdr>
                    <w:top w:val="none" w:sz="0" w:space="0" w:color="auto"/>
                    <w:left w:val="none" w:sz="0" w:space="0" w:color="auto"/>
                    <w:bottom w:val="none" w:sz="0" w:space="0" w:color="auto"/>
                    <w:right w:val="none" w:sz="0" w:space="0" w:color="auto"/>
                  </w:divBdr>
                  <w:divsChild>
                    <w:div w:id="2104573203">
                      <w:marLeft w:val="0"/>
                      <w:marRight w:val="0"/>
                      <w:marTop w:val="0"/>
                      <w:marBottom w:val="0"/>
                      <w:divBdr>
                        <w:top w:val="none" w:sz="0" w:space="0" w:color="auto"/>
                        <w:left w:val="none" w:sz="0" w:space="0" w:color="auto"/>
                        <w:bottom w:val="none" w:sz="0" w:space="0" w:color="auto"/>
                        <w:right w:val="none" w:sz="0" w:space="0" w:color="auto"/>
                      </w:divBdr>
                    </w:div>
                  </w:divsChild>
                </w:div>
                <w:div w:id="697700056">
                  <w:marLeft w:val="0"/>
                  <w:marRight w:val="0"/>
                  <w:marTop w:val="0"/>
                  <w:marBottom w:val="0"/>
                  <w:divBdr>
                    <w:top w:val="none" w:sz="0" w:space="0" w:color="auto"/>
                    <w:left w:val="none" w:sz="0" w:space="0" w:color="auto"/>
                    <w:bottom w:val="none" w:sz="0" w:space="0" w:color="auto"/>
                    <w:right w:val="none" w:sz="0" w:space="0" w:color="auto"/>
                  </w:divBdr>
                  <w:divsChild>
                    <w:div w:id="460151905">
                      <w:marLeft w:val="0"/>
                      <w:marRight w:val="0"/>
                      <w:marTop w:val="0"/>
                      <w:marBottom w:val="0"/>
                      <w:divBdr>
                        <w:top w:val="none" w:sz="0" w:space="0" w:color="auto"/>
                        <w:left w:val="none" w:sz="0" w:space="0" w:color="auto"/>
                        <w:bottom w:val="none" w:sz="0" w:space="0" w:color="auto"/>
                        <w:right w:val="none" w:sz="0" w:space="0" w:color="auto"/>
                      </w:divBdr>
                    </w:div>
                  </w:divsChild>
                </w:div>
                <w:div w:id="714743136">
                  <w:marLeft w:val="0"/>
                  <w:marRight w:val="0"/>
                  <w:marTop w:val="0"/>
                  <w:marBottom w:val="0"/>
                  <w:divBdr>
                    <w:top w:val="none" w:sz="0" w:space="0" w:color="auto"/>
                    <w:left w:val="none" w:sz="0" w:space="0" w:color="auto"/>
                    <w:bottom w:val="none" w:sz="0" w:space="0" w:color="auto"/>
                    <w:right w:val="none" w:sz="0" w:space="0" w:color="auto"/>
                  </w:divBdr>
                  <w:divsChild>
                    <w:div w:id="90705605">
                      <w:marLeft w:val="0"/>
                      <w:marRight w:val="0"/>
                      <w:marTop w:val="0"/>
                      <w:marBottom w:val="0"/>
                      <w:divBdr>
                        <w:top w:val="none" w:sz="0" w:space="0" w:color="auto"/>
                        <w:left w:val="none" w:sz="0" w:space="0" w:color="auto"/>
                        <w:bottom w:val="none" w:sz="0" w:space="0" w:color="auto"/>
                        <w:right w:val="none" w:sz="0" w:space="0" w:color="auto"/>
                      </w:divBdr>
                    </w:div>
                  </w:divsChild>
                </w:div>
                <w:div w:id="721749938">
                  <w:marLeft w:val="0"/>
                  <w:marRight w:val="0"/>
                  <w:marTop w:val="0"/>
                  <w:marBottom w:val="0"/>
                  <w:divBdr>
                    <w:top w:val="none" w:sz="0" w:space="0" w:color="auto"/>
                    <w:left w:val="none" w:sz="0" w:space="0" w:color="auto"/>
                    <w:bottom w:val="none" w:sz="0" w:space="0" w:color="auto"/>
                    <w:right w:val="none" w:sz="0" w:space="0" w:color="auto"/>
                  </w:divBdr>
                  <w:divsChild>
                    <w:div w:id="1749647337">
                      <w:marLeft w:val="0"/>
                      <w:marRight w:val="0"/>
                      <w:marTop w:val="0"/>
                      <w:marBottom w:val="0"/>
                      <w:divBdr>
                        <w:top w:val="none" w:sz="0" w:space="0" w:color="auto"/>
                        <w:left w:val="none" w:sz="0" w:space="0" w:color="auto"/>
                        <w:bottom w:val="none" w:sz="0" w:space="0" w:color="auto"/>
                        <w:right w:val="none" w:sz="0" w:space="0" w:color="auto"/>
                      </w:divBdr>
                    </w:div>
                  </w:divsChild>
                </w:div>
                <w:div w:id="784496469">
                  <w:marLeft w:val="0"/>
                  <w:marRight w:val="0"/>
                  <w:marTop w:val="0"/>
                  <w:marBottom w:val="0"/>
                  <w:divBdr>
                    <w:top w:val="none" w:sz="0" w:space="0" w:color="auto"/>
                    <w:left w:val="none" w:sz="0" w:space="0" w:color="auto"/>
                    <w:bottom w:val="none" w:sz="0" w:space="0" w:color="auto"/>
                    <w:right w:val="none" w:sz="0" w:space="0" w:color="auto"/>
                  </w:divBdr>
                  <w:divsChild>
                    <w:div w:id="1325472844">
                      <w:marLeft w:val="0"/>
                      <w:marRight w:val="0"/>
                      <w:marTop w:val="0"/>
                      <w:marBottom w:val="0"/>
                      <w:divBdr>
                        <w:top w:val="none" w:sz="0" w:space="0" w:color="auto"/>
                        <w:left w:val="none" w:sz="0" w:space="0" w:color="auto"/>
                        <w:bottom w:val="none" w:sz="0" w:space="0" w:color="auto"/>
                        <w:right w:val="none" w:sz="0" w:space="0" w:color="auto"/>
                      </w:divBdr>
                    </w:div>
                  </w:divsChild>
                </w:div>
                <w:div w:id="789520312">
                  <w:marLeft w:val="0"/>
                  <w:marRight w:val="0"/>
                  <w:marTop w:val="0"/>
                  <w:marBottom w:val="0"/>
                  <w:divBdr>
                    <w:top w:val="none" w:sz="0" w:space="0" w:color="auto"/>
                    <w:left w:val="none" w:sz="0" w:space="0" w:color="auto"/>
                    <w:bottom w:val="none" w:sz="0" w:space="0" w:color="auto"/>
                    <w:right w:val="none" w:sz="0" w:space="0" w:color="auto"/>
                  </w:divBdr>
                  <w:divsChild>
                    <w:div w:id="574902786">
                      <w:marLeft w:val="0"/>
                      <w:marRight w:val="0"/>
                      <w:marTop w:val="0"/>
                      <w:marBottom w:val="0"/>
                      <w:divBdr>
                        <w:top w:val="none" w:sz="0" w:space="0" w:color="auto"/>
                        <w:left w:val="none" w:sz="0" w:space="0" w:color="auto"/>
                        <w:bottom w:val="none" w:sz="0" w:space="0" w:color="auto"/>
                        <w:right w:val="none" w:sz="0" w:space="0" w:color="auto"/>
                      </w:divBdr>
                    </w:div>
                  </w:divsChild>
                </w:div>
                <w:div w:id="802237550">
                  <w:marLeft w:val="0"/>
                  <w:marRight w:val="0"/>
                  <w:marTop w:val="0"/>
                  <w:marBottom w:val="0"/>
                  <w:divBdr>
                    <w:top w:val="none" w:sz="0" w:space="0" w:color="auto"/>
                    <w:left w:val="none" w:sz="0" w:space="0" w:color="auto"/>
                    <w:bottom w:val="none" w:sz="0" w:space="0" w:color="auto"/>
                    <w:right w:val="none" w:sz="0" w:space="0" w:color="auto"/>
                  </w:divBdr>
                  <w:divsChild>
                    <w:div w:id="1112631408">
                      <w:marLeft w:val="0"/>
                      <w:marRight w:val="0"/>
                      <w:marTop w:val="0"/>
                      <w:marBottom w:val="0"/>
                      <w:divBdr>
                        <w:top w:val="none" w:sz="0" w:space="0" w:color="auto"/>
                        <w:left w:val="none" w:sz="0" w:space="0" w:color="auto"/>
                        <w:bottom w:val="none" w:sz="0" w:space="0" w:color="auto"/>
                        <w:right w:val="none" w:sz="0" w:space="0" w:color="auto"/>
                      </w:divBdr>
                    </w:div>
                  </w:divsChild>
                </w:div>
                <w:div w:id="828866550">
                  <w:marLeft w:val="0"/>
                  <w:marRight w:val="0"/>
                  <w:marTop w:val="0"/>
                  <w:marBottom w:val="0"/>
                  <w:divBdr>
                    <w:top w:val="none" w:sz="0" w:space="0" w:color="auto"/>
                    <w:left w:val="none" w:sz="0" w:space="0" w:color="auto"/>
                    <w:bottom w:val="none" w:sz="0" w:space="0" w:color="auto"/>
                    <w:right w:val="none" w:sz="0" w:space="0" w:color="auto"/>
                  </w:divBdr>
                  <w:divsChild>
                    <w:div w:id="9138315">
                      <w:marLeft w:val="0"/>
                      <w:marRight w:val="0"/>
                      <w:marTop w:val="0"/>
                      <w:marBottom w:val="0"/>
                      <w:divBdr>
                        <w:top w:val="none" w:sz="0" w:space="0" w:color="auto"/>
                        <w:left w:val="none" w:sz="0" w:space="0" w:color="auto"/>
                        <w:bottom w:val="none" w:sz="0" w:space="0" w:color="auto"/>
                        <w:right w:val="none" w:sz="0" w:space="0" w:color="auto"/>
                      </w:divBdr>
                    </w:div>
                  </w:divsChild>
                </w:div>
                <w:div w:id="830103339">
                  <w:marLeft w:val="0"/>
                  <w:marRight w:val="0"/>
                  <w:marTop w:val="0"/>
                  <w:marBottom w:val="0"/>
                  <w:divBdr>
                    <w:top w:val="none" w:sz="0" w:space="0" w:color="auto"/>
                    <w:left w:val="none" w:sz="0" w:space="0" w:color="auto"/>
                    <w:bottom w:val="none" w:sz="0" w:space="0" w:color="auto"/>
                    <w:right w:val="none" w:sz="0" w:space="0" w:color="auto"/>
                  </w:divBdr>
                  <w:divsChild>
                    <w:div w:id="1847673211">
                      <w:marLeft w:val="0"/>
                      <w:marRight w:val="0"/>
                      <w:marTop w:val="0"/>
                      <w:marBottom w:val="0"/>
                      <w:divBdr>
                        <w:top w:val="none" w:sz="0" w:space="0" w:color="auto"/>
                        <w:left w:val="none" w:sz="0" w:space="0" w:color="auto"/>
                        <w:bottom w:val="none" w:sz="0" w:space="0" w:color="auto"/>
                        <w:right w:val="none" w:sz="0" w:space="0" w:color="auto"/>
                      </w:divBdr>
                    </w:div>
                  </w:divsChild>
                </w:div>
                <w:div w:id="838271472">
                  <w:marLeft w:val="0"/>
                  <w:marRight w:val="0"/>
                  <w:marTop w:val="0"/>
                  <w:marBottom w:val="0"/>
                  <w:divBdr>
                    <w:top w:val="none" w:sz="0" w:space="0" w:color="auto"/>
                    <w:left w:val="none" w:sz="0" w:space="0" w:color="auto"/>
                    <w:bottom w:val="none" w:sz="0" w:space="0" w:color="auto"/>
                    <w:right w:val="none" w:sz="0" w:space="0" w:color="auto"/>
                  </w:divBdr>
                  <w:divsChild>
                    <w:div w:id="1988120923">
                      <w:marLeft w:val="0"/>
                      <w:marRight w:val="0"/>
                      <w:marTop w:val="0"/>
                      <w:marBottom w:val="0"/>
                      <w:divBdr>
                        <w:top w:val="none" w:sz="0" w:space="0" w:color="auto"/>
                        <w:left w:val="none" w:sz="0" w:space="0" w:color="auto"/>
                        <w:bottom w:val="none" w:sz="0" w:space="0" w:color="auto"/>
                        <w:right w:val="none" w:sz="0" w:space="0" w:color="auto"/>
                      </w:divBdr>
                    </w:div>
                  </w:divsChild>
                </w:div>
                <w:div w:id="856577120">
                  <w:marLeft w:val="0"/>
                  <w:marRight w:val="0"/>
                  <w:marTop w:val="0"/>
                  <w:marBottom w:val="0"/>
                  <w:divBdr>
                    <w:top w:val="none" w:sz="0" w:space="0" w:color="auto"/>
                    <w:left w:val="none" w:sz="0" w:space="0" w:color="auto"/>
                    <w:bottom w:val="none" w:sz="0" w:space="0" w:color="auto"/>
                    <w:right w:val="none" w:sz="0" w:space="0" w:color="auto"/>
                  </w:divBdr>
                  <w:divsChild>
                    <w:div w:id="1562403251">
                      <w:marLeft w:val="0"/>
                      <w:marRight w:val="0"/>
                      <w:marTop w:val="0"/>
                      <w:marBottom w:val="0"/>
                      <w:divBdr>
                        <w:top w:val="none" w:sz="0" w:space="0" w:color="auto"/>
                        <w:left w:val="none" w:sz="0" w:space="0" w:color="auto"/>
                        <w:bottom w:val="none" w:sz="0" w:space="0" w:color="auto"/>
                        <w:right w:val="none" w:sz="0" w:space="0" w:color="auto"/>
                      </w:divBdr>
                    </w:div>
                  </w:divsChild>
                </w:div>
                <w:div w:id="922642730">
                  <w:marLeft w:val="0"/>
                  <w:marRight w:val="0"/>
                  <w:marTop w:val="0"/>
                  <w:marBottom w:val="0"/>
                  <w:divBdr>
                    <w:top w:val="none" w:sz="0" w:space="0" w:color="auto"/>
                    <w:left w:val="none" w:sz="0" w:space="0" w:color="auto"/>
                    <w:bottom w:val="none" w:sz="0" w:space="0" w:color="auto"/>
                    <w:right w:val="none" w:sz="0" w:space="0" w:color="auto"/>
                  </w:divBdr>
                  <w:divsChild>
                    <w:div w:id="124126403">
                      <w:marLeft w:val="0"/>
                      <w:marRight w:val="0"/>
                      <w:marTop w:val="0"/>
                      <w:marBottom w:val="0"/>
                      <w:divBdr>
                        <w:top w:val="none" w:sz="0" w:space="0" w:color="auto"/>
                        <w:left w:val="none" w:sz="0" w:space="0" w:color="auto"/>
                        <w:bottom w:val="none" w:sz="0" w:space="0" w:color="auto"/>
                        <w:right w:val="none" w:sz="0" w:space="0" w:color="auto"/>
                      </w:divBdr>
                    </w:div>
                  </w:divsChild>
                </w:div>
                <w:div w:id="941380973">
                  <w:marLeft w:val="0"/>
                  <w:marRight w:val="0"/>
                  <w:marTop w:val="0"/>
                  <w:marBottom w:val="0"/>
                  <w:divBdr>
                    <w:top w:val="none" w:sz="0" w:space="0" w:color="auto"/>
                    <w:left w:val="none" w:sz="0" w:space="0" w:color="auto"/>
                    <w:bottom w:val="none" w:sz="0" w:space="0" w:color="auto"/>
                    <w:right w:val="none" w:sz="0" w:space="0" w:color="auto"/>
                  </w:divBdr>
                  <w:divsChild>
                    <w:div w:id="266010709">
                      <w:marLeft w:val="0"/>
                      <w:marRight w:val="0"/>
                      <w:marTop w:val="0"/>
                      <w:marBottom w:val="0"/>
                      <w:divBdr>
                        <w:top w:val="none" w:sz="0" w:space="0" w:color="auto"/>
                        <w:left w:val="none" w:sz="0" w:space="0" w:color="auto"/>
                        <w:bottom w:val="none" w:sz="0" w:space="0" w:color="auto"/>
                        <w:right w:val="none" w:sz="0" w:space="0" w:color="auto"/>
                      </w:divBdr>
                    </w:div>
                  </w:divsChild>
                </w:div>
                <w:div w:id="947736080">
                  <w:marLeft w:val="0"/>
                  <w:marRight w:val="0"/>
                  <w:marTop w:val="0"/>
                  <w:marBottom w:val="0"/>
                  <w:divBdr>
                    <w:top w:val="none" w:sz="0" w:space="0" w:color="auto"/>
                    <w:left w:val="none" w:sz="0" w:space="0" w:color="auto"/>
                    <w:bottom w:val="none" w:sz="0" w:space="0" w:color="auto"/>
                    <w:right w:val="none" w:sz="0" w:space="0" w:color="auto"/>
                  </w:divBdr>
                  <w:divsChild>
                    <w:div w:id="750929126">
                      <w:marLeft w:val="0"/>
                      <w:marRight w:val="0"/>
                      <w:marTop w:val="0"/>
                      <w:marBottom w:val="0"/>
                      <w:divBdr>
                        <w:top w:val="none" w:sz="0" w:space="0" w:color="auto"/>
                        <w:left w:val="none" w:sz="0" w:space="0" w:color="auto"/>
                        <w:bottom w:val="none" w:sz="0" w:space="0" w:color="auto"/>
                        <w:right w:val="none" w:sz="0" w:space="0" w:color="auto"/>
                      </w:divBdr>
                    </w:div>
                  </w:divsChild>
                </w:div>
                <w:div w:id="1002196978">
                  <w:marLeft w:val="0"/>
                  <w:marRight w:val="0"/>
                  <w:marTop w:val="0"/>
                  <w:marBottom w:val="0"/>
                  <w:divBdr>
                    <w:top w:val="none" w:sz="0" w:space="0" w:color="auto"/>
                    <w:left w:val="none" w:sz="0" w:space="0" w:color="auto"/>
                    <w:bottom w:val="none" w:sz="0" w:space="0" w:color="auto"/>
                    <w:right w:val="none" w:sz="0" w:space="0" w:color="auto"/>
                  </w:divBdr>
                  <w:divsChild>
                    <w:div w:id="2023169207">
                      <w:marLeft w:val="0"/>
                      <w:marRight w:val="0"/>
                      <w:marTop w:val="0"/>
                      <w:marBottom w:val="0"/>
                      <w:divBdr>
                        <w:top w:val="none" w:sz="0" w:space="0" w:color="auto"/>
                        <w:left w:val="none" w:sz="0" w:space="0" w:color="auto"/>
                        <w:bottom w:val="none" w:sz="0" w:space="0" w:color="auto"/>
                        <w:right w:val="none" w:sz="0" w:space="0" w:color="auto"/>
                      </w:divBdr>
                    </w:div>
                  </w:divsChild>
                </w:div>
                <w:div w:id="1045569944">
                  <w:marLeft w:val="0"/>
                  <w:marRight w:val="0"/>
                  <w:marTop w:val="0"/>
                  <w:marBottom w:val="0"/>
                  <w:divBdr>
                    <w:top w:val="none" w:sz="0" w:space="0" w:color="auto"/>
                    <w:left w:val="none" w:sz="0" w:space="0" w:color="auto"/>
                    <w:bottom w:val="none" w:sz="0" w:space="0" w:color="auto"/>
                    <w:right w:val="none" w:sz="0" w:space="0" w:color="auto"/>
                  </w:divBdr>
                  <w:divsChild>
                    <w:div w:id="53630590">
                      <w:marLeft w:val="0"/>
                      <w:marRight w:val="0"/>
                      <w:marTop w:val="0"/>
                      <w:marBottom w:val="0"/>
                      <w:divBdr>
                        <w:top w:val="none" w:sz="0" w:space="0" w:color="auto"/>
                        <w:left w:val="none" w:sz="0" w:space="0" w:color="auto"/>
                        <w:bottom w:val="none" w:sz="0" w:space="0" w:color="auto"/>
                        <w:right w:val="none" w:sz="0" w:space="0" w:color="auto"/>
                      </w:divBdr>
                    </w:div>
                  </w:divsChild>
                </w:div>
                <w:div w:id="1079715496">
                  <w:marLeft w:val="0"/>
                  <w:marRight w:val="0"/>
                  <w:marTop w:val="0"/>
                  <w:marBottom w:val="0"/>
                  <w:divBdr>
                    <w:top w:val="none" w:sz="0" w:space="0" w:color="auto"/>
                    <w:left w:val="none" w:sz="0" w:space="0" w:color="auto"/>
                    <w:bottom w:val="none" w:sz="0" w:space="0" w:color="auto"/>
                    <w:right w:val="none" w:sz="0" w:space="0" w:color="auto"/>
                  </w:divBdr>
                  <w:divsChild>
                    <w:div w:id="813258219">
                      <w:marLeft w:val="0"/>
                      <w:marRight w:val="0"/>
                      <w:marTop w:val="0"/>
                      <w:marBottom w:val="0"/>
                      <w:divBdr>
                        <w:top w:val="none" w:sz="0" w:space="0" w:color="auto"/>
                        <w:left w:val="none" w:sz="0" w:space="0" w:color="auto"/>
                        <w:bottom w:val="none" w:sz="0" w:space="0" w:color="auto"/>
                        <w:right w:val="none" w:sz="0" w:space="0" w:color="auto"/>
                      </w:divBdr>
                    </w:div>
                  </w:divsChild>
                </w:div>
                <w:div w:id="1083599195">
                  <w:marLeft w:val="0"/>
                  <w:marRight w:val="0"/>
                  <w:marTop w:val="0"/>
                  <w:marBottom w:val="0"/>
                  <w:divBdr>
                    <w:top w:val="none" w:sz="0" w:space="0" w:color="auto"/>
                    <w:left w:val="none" w:sz="0" w:space="0" w:color="auto"/>
                    <w:bottom w:val="none" w:sz="0" w:space="0" w:color="auto"/>
                    <w:right w:val="none" w:sz="0" w:space="0" w:color="auto"/>
                  </w:divBdr>
                  <w:divsChild>
                    <w:div w:id="19745712">
                      <w:marLeft w:val="0"/>
                      <w:marRight w:val="0"/>
                      <w:marTop w:val="0"/>
                      <w:marBottom w:val="0"/>
                      <w:divBdr>
                        <w:top w:val="none" w:sz="0" w:space="0" w:color="auto"/>
                        <w:left w:val="none" w:sz="0" w:space="0" w:color="auto"/>
                        <w:bottom w:val="none" w:sz="0" w:space="0" w:color="auto"/>
                        <w:right w:val="none" w:sz="0" w:space="0" w:color="auto"/>
                      </w:divBdr>
                    </w:div>
                  </w:divsChild>
                </w:div>
                <w:div w:id="1119296587">
                  <w:marLeft w:val="0"/>
                  <w:marRight w:val="0"/>
                  <w:marTop w:val="0"/>
                  <w:marBottom w:val="0"/>
                  <w:divBdr>
                    <w:top w:val="none" w:sz="0" w:space="0" w:color="auto"/>
                    <w:left w:val="none" w:sz="0" w:space="0" w:color="auto"/>
                    <w:bottom w:val="none" w:sz="0" w:space="0" w:color="auto"/>
                    <w:right w:val="none" w:sz="0" w:space="0" w:color="auto"/>
                  </w:divBdr>
                  <w:divsChild>
                    <w:div w:id="633948901">
                      <w:marLeft w:val="0"/>
                      <w:marRight w:val="0"/>
                      <w:marTop w:val="0"/>
                      <w:marBottom w:val="0"/>
                      <w:divBdr>
                        <w:top w:val="none" w:sz="0" w:space="0" w:color="auto"/>
                        <w:left w:val="none" w:sz="0" w:space="0" w:color="auto"/>
                        <w:bottom w:val="none" w:sz="0" w:space="0" w:color="auto"/>
                        <w:right w:val="none" w:sz="0" w:space="0" w:color="auto"/>
                      </w:divBdr>
                    </w:div>
                  </w:divsChild>
                </w:div>
                <w:div w:id="1136338547">
                  <w:marLeft w:val="0"/>
                  <w:marRight w:val="0"/>
                  <w:marTop w:val="0"/>
                  <w:marBottom w:val="0"/>
                  <w:divBdr>
                    <w:top w:val="none" w:sz="0" w:space="0" w:color="auto"/>
                    <w:left w:val="none" w:sz="0" w:space="0" w:color="auto"/>
                    <w:bottom w:val="none" w:sz="0" w:space="0" w:color="auto"/>
                    <w:right w:val="none" w:sz="0" w:space="0" w:color="auto"/>
                  </w:divBdr>
                  <w:divsChild>
                    <w:div w:id="596796335">
                      <w:marLeft w:val="0"/>
                      <w:marRight w:val="0"/>
                      <w:marTop w:val="0"/>
                      <w:marBottom w:val="0"/>
                      <w:divBdr>
                        <w:top w:val="none" w:sz="0" w:space="0" w:color="auto"/>
                        <w:left w:val="none" w:sz="0" w:space="0" w:color="auto"/>
                        <w:bottom w:val="none" w:sz="0" w:space="0" w:color="auto"/>
                        <w:right w:val="none" w:sz="0" w:space="0" w:color="auto"/>
                      </w:divBdr>
                    </w:div>
                  </w:divsChild>
                </w:div>
                <w:div w:id="1185364758">
                  <w:marLeft w:val="0"/>
                  <w:marRight w:val="0"/>
                  <w:marTop w:val="0"/>
                  <w:marBottom w:val="0"/>
                  <w:divBdr>
                    <w:top w:val="none" w:sz="0" w:space="0" w:color="auto"/>
                    <w:left w:val="none" w:sz="0" w:space="0" w:color="auto"/>
                    <w:bottom w:val="none" w:sz="0" w:space="0" w:color="auto"/>
                    <w:right w:val="none" w:sz="0" w:space="0" w:color="auto"/>
                  </w:divBdr>
                  <w:divsChild>
                    <w:div w:id="71781233">
                      <w:marLeft w:val="0"/>
                      <w:marRight w:val="0"/>
                      <w:marTop w:val="0"/>
                      <w:marBottom w:val="0"/>
                      <w:divBdr>
                        <w:top w:val="none" w:sz="0" w:space="0" w:color="auto"/>
                        <w:left w:val="none" w:sz="0" w:space="0" w:color="auto"/>
                        <w:bottom w:val="none" w:sz="0" w:space="0" w:color="auto"/>
                        <w:right w:val="none" w:sz="0" w:space="0" w:color="auto"/>
                      </w:divBdr>
                    </w:div>
                  </w:divsChild>
                </w:div>
                <w:div w:id="1188566516">
                  <w:marLeft w:val="0"/>
                  <w:marRight w:val="0"/>
                  <w:marTop w:val="0"/>
                  <w:marBottom w:val="0"/>
                  <w:divBdr>
                    <w:top w:val="none" w:sz="0" w:space="0" w:color="auto"/>
                    <w:left w:val="none" w:sz="0" w:space="0" w:color="auto"/>
                    <w:bottom w:val="none" w:sz="0" w:space="0" w:color="auto"/>
                    <w:right w:val="none" w:sz="0" w:space="0" w:color="auto"/>
                  </w:divBdr>
                  <w:divsChild>
                    <w:div w:id="1645158304">
                      <w:marLeft w:val="0"/>
                      <w:marRight w:val="0"/>
                      <w:marTop w:val="0"/>
                      <w:marBottom w:val="0"/>
                      <w:divBdr>
                        <w:top w:val="none" w:sz="0" w:space="0" w:color="auto"/>
                        <w:left w:val="none" w:sz="0" w:space="0" w:color="auto"/>
                        <w:bottom w:val="none" w:sz="0" w:space="0" w:color="auto"/>
                        <w:right w:val="none" w:sz="0" w:space="0" w:color="auto"/>
                      </w:divBdr>
                    </w:div>
                  </w:divsChild>
                </w:div>
                <w:div w:id="1190804336">
                  <w:marLeft w:val="0"/>
                  <w:marRight w:val="0"/>
                  <w:marTop w:val="0"/>
                  <w:marBottom w:val="0"/>
                  <w:divBdr>
                    <w:top w:val="none" w:sz="0" w:space="0" w:color="auto"/>
                    <w:left w:val="none" w:sz="0" w:space="0" w:color="auto"/>
                    <w:bottom w:val="none" w:sz="0" w:space="0" w:color="auto"/>
                    <w:right w:val="none" w:sz="0" w:space="0" w:color="auto"/>
                  </w:divBdr>
                  <w:divsChild>
                    <w:div w:id="1121997098">
                      <w:marLeft w:val="0"/>
                      <w:marRight w:val="0"/>
                      <w:marTop w:val="0"/>
                      <w:marBottom w:val="0"/>
                      <w:divBdr>
                        <w:top w:val="none" w:sz="0" w:space="0" w:color="auto"/>
                        <w:left w:val="none" w:sz="0" w:space="0" w:color="auto"/>
                        <w:bottom w:val="none" w:sz="0" w:space="0" w:color="auto"/>
                        <w:right w:val="none" w:sz="0" w:space="0" w:color="auto"/>
                      </w:divBdr>
                    </w:div>
                  </w:divsChild>
                </w:div>
                <w:div w:id="1298072452">
                  <w:marLeft w:val="0"/>
                  <w:marRight w:val="0"/>
                  <w:marTop w:val="0"/>
                  <w:marBottom w:val="0"/>
                  <w:divBdr>
                    <w:top w:val="none" w:sz="0" w:space="0" w:color="auto"/>
                    <w:left w:val="none" w:sz="0" w:space="0" w:color="auto"/>
                    <w:bottom w:val="none" w:sz="0" w:space="0" w:color="auto"/>
                    <w:right w:val="none" w:sz="0" w:space="0" w:color="auto"/>
                  </w:divBdr>
                  <w:divsChild>
                    <w:div w:id="1665626702">
                      <w:marLeft w:val="0"/>
                      <w:marRight w:val="0"/>
                      <w:marTop w:val="0"/>
                      <w:marBottom w:val="0"/>
                      <w:divBdr>
                        <w:top w:val="none" w:sz="0" w:space="0" w:color="auto"/>
                        <w:left w:val="none" w:sz="0" w:space="0" w:color="auto"/>
                        <w:bottom w:val="none" w:sz="0" w:space="0" w:color="auto"/>
                        <w:right w:val="none" w:sz="0" w:space="0" w:color="auto"/>
                      </w:divBdr>
                    </w:div>
                  </w:divsChild>
                </w:div>
                <w:div w:id="1307247625">
                  <w:marLeft w:val="0"/>
                  <w:marRight w:val="0"/>
                  <w:marTop w:val="0"/>
                  <w:marBottom w:val="0"/>
                  <w:divBdr>
                    <w:top w:val="none" w:sz="0" w:space="0" w:color="auto"/>
                    <w:left w:val="none" w:sz="0" w:space="0" w:color="auto"/>
                    <w:bottom w:val="none" w:sz="0" w:space="0" w:color="auto"/>
                    <w:right w:val="none" w:sz="0" w:space="0" w:color="auto"/>
                  </w:divBdr>
                  <w:divsChild>
                    <w:div w:id="60374002">
                      <w:marLeft w:val="0"/>
                      <w:marRight w:val="0"/>
                      <w:marTop w:val="0"/>
                      <w:marBottom w:val="0"/>
                      <w:divBdr>
                        <w:top w:val="none" w:sz="0" w:space="0" w:color="auto"/>
                        <w:left w:val="none" w:sz="0" w:space="0" w:color="auto"/>
                        <w:bottom w:val="none" w:sz="0" w:space="0" w:color="auto"/>
                        <w:right w:val="none" w:sz="0" w:space="0" w:color="auto"/>
                      </w:divBdr>
                    </w:div>
                  </w:divsChild>
                </w:div>
                <w:div w:id="1357660586">
                  <w:marLeft w:val="0"/>
                  <w:marRight w:val="0"/>
                  <w:marTop w:val="0"/>
                  <w:marBottom w:val="0"/>
                  <w:divBdr>
                    <w:top w:val="none" w:sz="0" w:space="0" w:color="auto"/>
                    <w:left w:val="none" w:sz="0" w:space="0" w:color="auto"/>
                    <w:bottom w:val="none" w:sz="0" w:space="0" w:color="auto"/>
                    <w:right w:val="none" w:sz="0" w:space="0" w:color="auto"/>
                  </w:divBdr>
                  <w:divsChild>
                    <w:div w:id="229967347">
                      <w:marLeft w:val="0"/>
                      <w:marRight w:val="0"/>
                      <w:marTop w:val="0"/>
                      <w:marBottom w:val="0"/>
                      <w:divBdr>
                        <w:top w:val="none" w:sz="0" w:space="0" w:color="auto"/>
                        <w:left w:val="none" w:sz="0" w:space="0" w:color="auto"/>
                        <w:bottom w:val="none" w:sz="0" w:space="0" w:color="auto"/>
                        <w:right w:val="none" w:sz="0" w:space="0" w:color="auto"/>
                      </w:divBdr>
                    </w:div>
                  </w:divsChild>
                </w:div>
                <w:div w:id="1379430161">
                  <w:marLeft w:val="0"/>
                  <w:marRight w:val="0"/>
                  <w:marTop w:val="0"/>
                  <w:marBottom w:val="0"/>
                  <w:divBdr>
                    <w:top w:val="none" w:sz="0" w:space="0" w:color="auto"/>
                    <w:left w:val="none" w:sz="0" w:space="0" w:color="auto"/>
                    <w:bottom w:val="none" w:sz="0" w:space="0" w:color="auto"/>
                    <w:right w:val="none" w:sz="0" w:space="0" w:color="auto"/>
                  </w:divBdr>
                  <w:divsChild>
                    <w:div w:id="482816155">
                      <w:marLeft w:val="0"/>
                      <w:marRight w:val="0"/>
                      <w:marTop w:val="0"/>
                      <w:marBottom w:val="0"/>
                      <w:divBdr>
                        <w:top w:val="none" w:sz="0" w:space="0" w:color="auto"/>
                        <w:left w:val="none" w:sz="0" w:space="0" w:color="auto"/>
                        <w:bottom w:val="none" w:sz="0" w:space="0" w:color="auto"/>
                        <w:right w:val="none" w:sz="0" w:space="0" w:color="auto"/>
                      </w:divBdr>
                    </w:div>
                  </w:divsChild>
                </w:div>
                <w:div w:id="1388142571">
                  <w:marLeft w:val="0"/>
                  <w:marRight w:val="0"/>
                  <w:marTop w:val="0"/>
                  <w:marBottom w:val="0"/>
                  <w:divBdr>
                    <w:top w:val="none" w:sz="0" w:space="0" w:color="auto"/>
                    <w:left w:val="none" w:sz="0" w:space="0" w:color="auto"/>
                    <w:bottom w:val="none" w:sz="0" w:space="0" w:color="auto"/>
                    <w:right w:val="none" w:sz="0" w:space="0" w:color="auto"/>
                  </w:divBdr>
                  <w:divsChild>
                    <w:div w:id="12804725">
                      <w:marLeft w:val="0"/>
                      <w:marRight w:val="0"/>
                      <w:marTop w:val="0"/>
                      <w:marBottom w:val="0"/>
                      <w:divBdr>
                        <w:top w:val="none" w:sz="0" w:space="0" w:color="auto"/>
                        <w:left w:val="none" w:sz="0" w:space="0" w:color="auto"/>
                        <w:bottom w:val="none" w:sz="0" w:space="0" w:color="auto"/>
                        <w:right w:val="none" w:sz="0" w:space="0" w:color="auto"/>
                      </w:divBdr>
                    </w:div>
                  </w:divsChild>
                </w:div>
                <w:div w:id="1396784636">
                  <w:marLeft w:val="0"/>
                  <w:marRight w:val="0"/>
                  <w:marTop w:val="0"/>
                  <w:marBottom w:val="0"/>
                  <w:divBdr>
                    <w:top w:val="none" w:sz="0" w:space="0" w:color="auto"/>
                    <w:left w:val="none" w:sz="0" w:space="0" w:color="auto"/>
                    <w:bottom w:val="none" w:sz="0" w:space="0" w:color="auto"/>
                    <w:right w:val="none" w:sz="0" w:space="0" w:color="auto"/>
                  </w:divBdr>
                  <w:divsChild>
                    <w:div w:id="1487480376">
                      <w:marLeft w:val="0"/>
                      <w:marRight w:val="0"/>
                      <w:marTop w:val="0"/>
                      <w:marBottom w:val="0"/>
                      <w:divBdr>
                        <w:top w:val="none" w:sz="0" w:space="0" w:color="auto"/>
                        <w:left w:val="none" w:sz="0" w:space="0" w:color="auto"/>
                        <w:bottom w:val="none" w:sz="0" w:space="0" w:color="auto"/>
                        <w:right w:val="none" w:sz="0" w:space="0" w:color="auto"/>
                      </w:divBdr>
                    </w:div>
                  </w:divsChild>
                </w:div>
                <w:div w:id="1453475374">
                  <w:marLeft w:val="0"/>
                  <w:marRight w:val="0"/>
                  <w:marTop w:val="0"/>
                  <w:marBottom w:val="0"/>
                  <w:divBdr>
                    <w:top w:val="none" w:sz="0" w:space="0" w:color="auto"/>
                    <w:left w:val="none" w:sz="0" w:space="0" w:color="auto"/>
                    <w:bottom w:val="none" w:sz="0" w:space="0" w:color="auto"/>
                    <w:right w:val="none" w:sz="0" w:space="0" w:color="auto"/>
                  </w:divBdr>
                  <w:divsChild>
                    <w:div w:id="1029985778">
                      <w:marLeft w:val="0"/>
                      <w:marRight w:val="0"/>
                      <w:marTop w:val="0"/>
                      <w:marBottom w:val="0"/>
                      <w:divBdr>
                        <w:top w:val="none" w:sz="0" w:space="0" w:color="auto"/>
                        <w:left w:val="none" w:sz="0" w:space="0" w:color="auto"/>
                        <w:bottom w:val="none" w:sz="0" w:space="0" w:color="auto"/>
                        <w:right w:val="none" w:sz="0" w:space="0" w:color="auto"/>
                      </w:divBdr>
                    </w:div>
                  </w:divsChild>
                </w:div>
                <w:div w:id="1481462746">
                  <w:marLeft w:val="0"/>
                  <w:marRight w:val="0"/>
                  <w:marTop w:val="0"/>
                  <w:marBottom w:val="0"/>
                  <w:divBdr>
                    <w:top w:val="none" w:sz="0" w:space="0" w:color="auto"/>
                    <w:left w:val="none" w:sz="0" w:space="0" w:color="auto"/>
                    <w:bottom w:val="none" w:sz="0" w:space="0" w:color="auto"/>
                    <w:right w:val="none" w:sz="0" w:space="0" w:color="auto"/>
                  </w:divBdr>
                  <w:divsChild>
                    <w:div w:id="109446170">
                      <w:marLeft w:val="0"/>
                      <w:marRight w:val="0"/>
                      <w:marTop w:val="0"/>
                      <w:marBottom w:val="0"/>
                      <w:divBdr>
                        <w:top w:val="none" w:sz="0" w:space="0" w:color="auto"/>
                        <w:left w:val="none" w:sz="0" w:space="0" w:color="auto"/>
                        <w:bottom w:val="none" w:sz="0" w:space="0" w:color="auto"/>
                        <w:right w:val="none" w:sz="0" w:space="0" w:color="auto"/>
                      </w:divBdr>
                    </w:div>
                  </w:divsChild>
                </w:div>
                <w:div w:id="1503737131">
                  <w:marLeft w:val="0"/>
                  <w:marRight w:val="0"/>
                  <w:marTop w:val="0"/>
                  <w:marBottom w:val="0"/>
                  <w:divBdr>
                    <w:top w:val="none" w:sz="0" w:space="0" w:color="auto"/>
                    <w:left w:val="none" w:sz="0" w:space="0" w:color="auto"/>
                    <w:bottom w:val="none" w:sz="0" w:space="0" w:color="auto"/>
                    <w:right w:val="none" w:sz="0" w:space="0" w:color="auto"/>
                  </w:divBdr>
                  <w:divsChild>
                    <w:div w:id="1937515588">
                      <w:marLeft w:val="0"/>
                      <w:marRight w:val="0"/>
                      <w:marTop w:val="0"/>
                      <w:marBottom w:val="0"/>
                      <w:divBdr>
                        <w:top w:val="none" w:sz="0" w:space="0" w:color="auto"/>
                        <w:left w:val="none" w:sz="0" w:space="0" w:color="auto"/>
                        <w:bottom w:val="none" w:sz="0" w:space="0" w:color="auto"/>
                        <w:right w:val="none" w:sz="0" w:space="0" w:color="auto"/>
                      </w:divBdr>
                    </w:div>
                  </w:divsChild>
                </w:div>
                <w:div w:id="1504737647">
                  <w:marLeft w:val="0"/>
                  <w:marRight w:val="0"/>
                  <w:marTop w:val="0"/>
                  <w:marBottom w:val="0"/>
                  <w:divBdr>
                    <w:top w:val="none" w:sz="0" w:space="0" w:color="auto"/>
                    <w:left w:val="none" w:sz="0" w:space="0" w:color="auto"/>
                    <w:bottom w:val="none" w:sz="0" w:space="0" w:color="auto"/>
                    <w:right w:val="none" w:sz="0" w:space="0" w:color="auto"/>
                  </w:divBdr>
                  <w:divsChild>
                    <w:div w:id="986980466">
                      <w:marLeft w:val="0"/>
                      <w:marRight w:val="0"/>
                      <w:marTop w:val="0"/>
                      <w:marBottom w:val="0"/>
                      <w:divBdr>
                        <w:top w:val="none" w:sz="0" w:space="0" w:color="auto"/>
                        <w:left w:val="none" w:sz="0" w:space="0" w:color="auto"/>
                        <w:bottom w:val="none" w:sz="0" w:space="0" w:color="auto"/>
                        <w:right w:val="none" w:sz="0" w:space="0" w:color="auto"/>
                      </w:divBdr>
                    </w:div>
                  </w:divsChild>
                </w:div>
                <w:div w:id="1508904304">
                  <w:marLeft w:val="0"/>
                  <w:marRight w:val="0"/>
                  <w:marTop w:val="0"/>
                  <w:marBottom w:val="0"/>
                  <w:divBdr>
                    <w:top w:val="none" w:sz="0" w:space="0" w:color="auto"/>
                    <w:left w:val="none" w:sz="0" w:space="0" w:color="auto"/>
                    <w:bottom w:val="none" w:sz="0" w:space="0" w:color="auto"/>
                    <w:right w:val="none" w:sz="0" w:space="0" w:color="auto"/>
                  </w:divBdr>
                  <w:divsChild>
                    <w:div w:id="510683699">
                      <w:marLeft w:val="0"/>
                      <w:marRight w:val="0"/>
                      <w:marTop w:val="0"/>
                      <w:marBottom w:val="0"/>
                      <w:divBdr>
                        <w:top w:val="none" w:sz="0" w:space="0" w:color="auto"/>
                        <w:left w:val="none" w:sz="0" w:space="0" w:color="auto"/>
                        <w:bottom w:val="none" w:sz="0" w:space="0" w:color="auto"/>
                        <w:right w:val="none" w:sz="0" w:space="0" w:color="auto"/>
                      </w:divBdr>
                    </w:div>
                  </w:divsChild>
                </w:div>
                <w:div w:id="1515729787">
                  <w:marLeft w:val="0"/>
                  <w:marRight w:val="0"/>
                  <w:marTop w:val="0"/>
                  <w:marBottom w:val="0"/>
                  <w:divBdr>
                    <w:top w:val="none" w:sz="0" w:space="0" w:color="auto"/>
                    <w:left w:val="none" w:sz="0" w:space="0" w:color="auto"/>
                    <w:bottom w:val="none" w:sz="0" w:space="0" w:color="auto"/>
                    <w:right w:val="none" w:sz="0" w:space="0" w:color="auto"/>
                  </w:divBdr>
                  <w:divsChild>
                    <w:div w:id="1032153104">
                      <w:marLeft w:val="0"/>
                      <w:marRight w:val="0"/>
                      <w:marTop w:val="0"/>
                      <w:marBottom w:val="0"/>
                      <w:divBdr>
                        <w:top w:val="none" w:sz="0" w:space="0" w:color="auto"/>
                        <w:left w:val="none" w:sz="0" w:space="0" w:color="auto"/>
                        <w:bottom w:val="none" w:sz="0" w:space="0" w:color="auto"/>
                        <w:right w:val="none" w:sz="0" w:space="0" w:color="auto"/>
                      </w:divBdr>
                    </w:div>
                  </w:divsChild>
                </w:div>
                <w:div w:id="1539313851">
                  <w:marLeft w:val="0"/>
                  <w:marRight w:val="0"/>
                  <w:marTop w:val="0"/>
                  <w:marBottom w:val="0"/>
                  <w:divBdr>
                    <w:top w:val="none" w:sz="0" w:space="0" w:color="auto"/>
                    <w:left w:val="none" w:sz="0" w:space="0" w:color="auto"/>
                    <w:bottom w:val="none" w:sz="0" w:space="0" w:color="auto"/>
                    <w:right w:val="none" w:sz="0" w:space="0" w:color="auto"/>
                  </w:divBdr>
                  <w:divsChild>
                    <w:div w:id="1520270540">
                      <w:marLeft w:val="0"/>
                      <w:marRight w:val="0"/>
                      <w:marTop w:val="0"/>
                      <w:marBottom w:val="0"/>
                      <w:divBdr>
                        <w:top w:val="none" w:sz="0" w:space="0" w:color="auto"/>
                        <w:left w:val="none" w:sz="0" w:space="0" w:color="auto"/>
                        <w:bottom w:val="none" w:sz="0" w:space="0" w:color="auto"/>
                        <w:right w:val="none" w:sz="0" w:space="0" w:color="auto"/>
                      </w:divBdr>
                    </w:div>
                  </w:divsChild>
                </w:div>
                <w:div w:id="1555700615">
                  <w:marLeft w:val="0"/>
                  <w:marRight w:val="0"/>
                  <w:marTop w:val="0"/>
                  <w:marBottom w:val="0"/>
                  <w:divBdr>
                    <w:top w:val="none" w:sz="0" w:space="0" w:color="auto"/>
                    <w:left w:val="none" w:sz="0" w:space="0" w:color="auto"/>
                    <w:bottom w:val="none" w:sz="0" w:space="0" w:color="auto"/>
                    <w:right w:val="none" w:sz="0" w:space="0" w:color="auto"/>
                  </w:divBdr>
                  <w:divsChild>
                    <w:div w:id="1836219059">
                      <w:marLeft w:val="0"/>
                      <w:marRight w:val="0"/>
                      <w:marTop w:val="0"/>
                      <w:marBottom w:val="0"/>
                      <w:divBdr>
                        <w:top w:val="none" w:sz="0" w:space="0" w:color="auto"/>
                        <w:left w:val="none" w:sz="0" w:space="0" w:color="auto"/>
                        <w:bottom w:val="none" w:sz="0" w:space="0" w:color="auto"/>
                        <w:right w:val="none" w:sz="0" w:space="0" w:color="auto"/>
                      </w:divBdr>
                    </w:div>
                  </w:divsChild>
                </w:div>
                <w:div w:id="1557930503">
                  <w:marLeft w:val="0"/>
                  <w:marRight w:val="0"/>
                  <w:marTop w:val="0"/>
                  <w:marBottom w:val="0"/>
                  <w:divBdr>
                    <w:top w:val="none" w:sz="0" w:space="0" w:color="auto"/>
                    <w:left w:val="none" w:sz="0" w:space="0" w:color="auto"/>
                    <w:bottom w:val="none" w:sz="0" w:space="0" w:color="auto"/>
                    <w:right w:val="none" w:sz="0" w:space="0" w:color="auto"/>
                  </w:divBdr>
                  <w:divsChild>
                    <w:div w:id="1697972356">
                      <w:marLeft w:val="0"/>
                      <w:marRight w:val="0"/>
                      <w:marTop w:val="0"/>
                      <w:marBottom w:val="0"/>
                      <w:divBdr>
                        <w:top w:val="none" w:sz="0" w:space="0" w:color="auto"/>
                        <w:left w:val="none" w:sz="0" w:space="0" w:color="auto"/>
                        <w:bottom w:val="none" w:sz="0" w:space="0" w:color="auto"/>
                        <w:right w:val="none" w:sz="0" w:space="0" w:color="auto"/>
                      </w:divBdr>
                    </w:div>
                  </w:divsChild>
                </w:div>
                <w:div w:id="1564096819">
                  <w:marLeft w:val="0"/>
                  <w:marRight w:val="0"/>
                  <w:marTop w:val="0"/>
                  <w:marBottom w:val="0"/>
                  <w:divBdr>
                    <w:top w:val="none" w:sz="0" w:space="0" w:color="auto"/>
                    <w:left w:val="none" w:sz="0" w:space="0" w:color="auto"/>
                    <w:bottom w:val="none" w:sz="0" w:space="0" w:color="auto"/>
                    <w:right w:val="none" w:sz="0" w:space="0" w:color="auto"/>
                  </w:divBdr>
                  <w:divsChild>
                    <w:div w:id="236521535">
                      <w:marLeft w:val="0"/>
                      <w:marRight w:val="0"/>
                      <w:marTop w:val="0"/>
                      <w:marBottom w:val="0"/>
                      <w:divBdr>
                        <w:top w:val="none" w:sz="0" w:space="0" w:color="auto"/>
                        <w:left w:val="none" w:sz="0" w:space="0" w:color="auto"/>
                        <w:bottom w:val="none" w:sz="0" w:space="0" w:color="auto"/>
                        <w:right w:val="none" w:sz="0" w:space="0" w:color="auto"/>
                      </w:divBdr>
                    </w:div>
                  </w:divsChild>
                </w:div>
                <w:div w:id="1568343348">
                  <w:marLeft w:val="0"/>
                  <w:marRight w:val="0"/>
                  <w:marTop w:val="0"/>
                  <w:marBottom w:val="0"/>
                  <w:divBdr>
                    <w:top w:val="none" w:sz="0" w:space="0" w:color="auto"/>
                    <w:left w:val="none" w:sz="0" w:space="0" w:color="auto"/>
                    <w:bottom w:val="none" w:sz="0" w:space="0" w:color="auto"/>
                    <w:right w:val="none" w:sz="0" w:space="0" w:color="auto"/>
                  </w:divBdr>
                  <w:divsChild>
                    <w:div w:id="750084532">
                      <w:marLeft w:val="0"/>
                      <w:marRight w:val="0"/>
                      <w:marTop w:val="0"/>
                      <w:marBottom w:val="0"/>
                      <w:divBdr>
                        <w:top w:val="none" w:sz="0" w:space="0" w:color="auto"/>
                        <w:left w:val="none" w:sz="0" w:space="0" w:color="auto"/>
                        <w:bottom w:val="none" w:sz="0" w:space="0" w:color="auto"/>
                        <w:right w:val="none" w:sz="0" w:space="0" w:color="auto"/>
                      </w:divBdr>
                    </w:div>
                  </w:divsChild>
                </w:div>
                <w:div w:id="1576428586">
                  <w:marLeft w:val="0"/>
                  <w:marRight w:val="0"/>
                  <w:marTop w:val="0"/>
                  <w:marBottom w:val="0"/>
                  <w:divBdr>
                    <w:top w:val="none" w:sz="0" w:space="0" w:color="auto"/>
                    <w:left w:val="none" w:sz="0" w:space="0" w:color="auto"/>
                    <w:bottom w:val="none" w:sz="0" w:space="0" w:color="auto"/>
                    <w:right w:val="none" w:sz="0" w:space="0" w:color="auto"/>
                  </w:divBdr>
                  <w:divsChild>
                    <w:div w:id="2033264835">
                      <w:marLeft w:val="0"/>
                      <w:marRight w:val="0"/>
                      <w:marTop w:val="0"/>
                      <w:marBottom w:val="0"/>
                      <w:divBdr>
                        <w:top w:val="none" w:sz="0" w:space="0" w:color="auto"/>
                        <w:left w:val="none" w:sz="0" w:space="0" w:color="auto"/>
                        <w:bottom w:val="none" w:sz="0" w:space="0" w:color="auto"/>
                        <w:right w:val="none" w:sz="0" w:space="0" w:color="auto"/>
                      </w:divBdr>
                    </w:div>
                  </w:divsChild>
                </w:div>
                <w:div w:id="1584534355">
                  <w:marLeft w:val="0"/>
                  <w:marRight w:val="0"/>
                  <w:marTop w:val="0"/>
                  <w:marBottom w:val="0"/>
                  <w:divBdr>
                    <w:top w:val="none" w:sz="0" w:space="0" w:color="auto"/>
                    <w:left w:val="none" w:sz="0" w:space="0" w:color="auto"/>
                    <w:bottom w:val="none" w:sz="0" w:space="0" w:color="auto"/>
                    <w:right w:val="none" w:sz="0" w:space="0" w:color="auto"/>
                  </w:divBdr>
                  <w:divsChild>
                    <w:div w:id="1117456097">
                      <w:marLeft w:val="0"/>
                      <w:marRight w:val="0"/>
                      <w:marTop w:val="0"/>
                      <w:marBottom w:val="0"/>
                      <w:divBdr>
                        <w:top w:val="none" w:sz="0" w:space="0" w:color="auto"/>
                        <w:left w:val="none" w:sz="0" w:space="0" w:color="auto"/>
                        <w:bottom w:val="none" w:sz="0" w:space="0" w:color="auto"/>
                        <w:right w:val="none" w:sz="0" w:space="0" w:color="auto"/>
                      </w:divBdr>
                    </w:div>
                  </w:divsChild>
                </w:div>
                <w:div w:id="1585146796">
                  <w:marLeft w:val="0"/>
                  <w:marRight w:val="0"/>
                  <w:marTop w:val="0"/>
                  <w:marBottom w:val="0"/>
                  <w:divBdr>
                    <w:top w:val="none" w:sz="0" w:space="0" w:color="auto"/>
                    <w:left w:val="none" w:sz="0" w:space="0" w:color="auto"/>
                    <w:bottom w:val="none" w:sz="0" w:space="0" w:color="auto"/>
                    <w:right w:val="none" w:sz="0" w:space="0" w:color="auto"/>
                  </w:divBdr>
                  <w:divsChild>
                    <w:div w:id="189490689">
                      <w:marLeft w:val="0"/>
                      <w:marRight w:val="0"/>
                      <w:marTop w:val="0"/>
                      <w:marBottom w:val="0"/>
                      <w:divBdr>
                        <w:top w:val="none" w:sz="0" w:space="0" w:color="auto"/>
                        <w:left w:val="none" w:sz="0" w:space="0" w:color="auto"/>
                        <w:bottom w:val="none" w:sz="0" w:space="0" w:color="auto"/>
                        <w:right w:val="none" w:sz="0" w:space="0" w:color="auto"/>
                      </w:divBdr>
                    </w:div>
                  </w:divsChild>
                </w:div>
                <w:div w:id="1603300751">
                  <w:marLeft w:val="0"/>
                  <w:marRight w:val="0"/>
                  <w:marTop w:val="0"/>
                  <w:marBottom w:val="0"/>
                  <w:divBdr>
                    <w:top w:val="none" w:sz="0" w:space="0" w:color="auto"/>
                    <w:left w:val="none" w:sz="0" w:space="0" w:color="auto"/>
                    <w:bottom w:val="none" w:sz="0" w:space="0" w:color="auto"/>
                    <w:right w:val="none" w:sz="0" w:space="0" w:color="auto"/>
                  </w:divBdr>
                  <w:divsChild>
                    <w:div w:id="544145510">
                      <w:marLeft w:val="0"/>
                      <w:marRight w:val="0"/>
                      <w:marTop w:val="0"/>
                      <w:marBottom w:val="0"/>
                      <w:divBdr>
                        <w:top w:val="none" w:sz="0" w:space="0" w:color="auto"/>
                        <w:left w:val="none" w:sz="0" w:space="0" w:color="auto"/>
                        <w:bottom w:val="none" w:sz="0" w:space="0" w:color="auto"/>
                        <w:right w:val="none" w:sz="0" w:space="0" w:color="auto"/>
                      </w:divBdr>
                    </w:div>
                  </w:divsChild>
                </w:div>
                <w:div w:id="1615403536">
                  <w:marLeft w:val="0"/>
                  <w:marRight w:val="0"/>
                  <w:marTop w:val="0"/>
                  <w:marBottom w:val="0"/>
                  <w:divBdr>
                    <w:top w:val="none" w:sz="0" w:space="0" w:color="auto"/>
                    <w:left w:val="none" w:sz="0" w:space="0" w:color="auto"/>
                    <w:bottom w:val="none" w:sz="0" w:space="0" w:color="auto"/>
                    <w:right w:val="none" w:sz="0" w:space="0" w:color="auto"/>
                  </w:divBdr>
                  <w:divsChild>
                    <w:div w:id="1378970093">
                      <w:marLeft w:val="0"/>
                      <w:marRight w:val="0"/>
                      <w:marTop w:val="0"/>
                      <w:marBottom w:val="0"/>
                      <w:divBdr>
                        <w:top w:val="none" w:sz="0" w:space="0" w:color="auto"/>
                        <w:left w:val="none" w:sz="0" w:space="0" w:color="auto"/>
                        <w:bottom w:val="none" w:sz="0" w:space="0" w:color="auto"/>
                        <w:right w:val="none" w:sz="0" w:space="0" w:color="auto"/>
                      </w:divBdr>
                    </w:div>
                  </w:divsChild>
                </w:div>
                <w:div w:id="1629775300">
                  <w:marLeft w:val="0"/>
                  <w:marRight w:val="0"/>
                  <w:marTop w:val="0"/>
                  <w:marBottom w:val="0"/>
                  <w:divBdr>
                    <w:top w:val="none" w:sz="0" w:space="0" w:color="auto"/>
                    <w:left w:val="none" w:sz="0" w:space="0" w:color="auto"/>
                    <w:bottom w:val="none" w:sz="0" w:space="0" w:color="auto"/>
                    <w:right w:val="none" w:sz="0" w:space="0" w:color="auto"/>
                  </w:divBdr>
                  <w:divsChild>
                    <w:div w:id="1425103477">
                      <w:marLeft w:val="0"/>
                      <w:marRight w:val="0"/>
                      <w:marTop w:val="0"/>
                      <w:marBottom w:val="0"/>
                      <w:divBdr>
                        <w:top w:val="none" w:sz="0" w:space="0" w:color="auto"/>
                        <w:left w:val="none" w:sz="0" w:space="0" w:color="auto"/>
                        <w:bottom w:val="none" w:sz="0" w:space="0" w:color="auto"/>
                        <w:right w:val="none" w:sz="0" w:space="0" w:color="auto"/>
                      </w:divBdr>
                    </w:div>
                  </w:divsChild>
                </w:div>
                <w:div w:id="1664091862">
                  <w:marLeft w:val="0"/>
                  <w:marRight w:val="0"/>
                  <w:marTop w:val="0"/>
                  <w:marBottom w:val="0"/>
                  <w:divBdr>
                    <w:top w:val="none" w:sz="0" w:space="0" w:color="auto"/>
                    <w:left w:val="none" w:sz="0" w:space="0" w:color="auto"/>
                    <w:bottom w:val="none" w:sz="0" w:space="0" w:color="auto"/>
                    <w:right w:val="none" w:sz="0" w:space="0" w:color="auto"/>
                  </w:divBdr>
                  <w:divsChild>
                    <w:div w:id="392461370">
                      <w:marLeft w:val="0"/>
                      <w:marRight w:val="0"/>
                      <w:marTop w:val="0"/>
                      <w:marBottom w:val="0"/>
                      <w:divBdr>
                        <w:top w:val="none" w:sz="0" w:space="0" w:color="auto"/>
                        <w:left w:val="none" w:sz="0" w:space="0" w:color="auto"/>
                        <w:bottom w:val="none" w:sz="0" w:space="0" w:color="auto"/>
                        <w:right w:val="none" w:sz="0" w:space="0" w:color="auto"/>
                      </w:divBdr>
                    </w:div>
                  </w:divsChild>
                </w:div>
                <w:div w:id="1673920608">
                  <w:marLeft w:val="0"/>
                  <w:marRight w:val="0"/>
                  <w:marTop w:val="0"/>
                  <w:marBottom w:val="0"/>
                  <w:divBdr>
                    <w:top w:val="none" w:sz="0" w:space="0" w:color="auto"/>
                    <w:left w:val="none" w:sz="0" w:space="0" w:color="auto"/>
                    <w:bottom w:val="none" w:sz="0" w:space="0" w:color="auto"/>
                    <w:right w:val="none" w:sz="0" w:space="0" w:color="auto"/>
                  </w:divBdr>
                  <w:divsChild>
                    <w:div w:id="1419213235">
                      <w:marLeft w:val="0"/>
                      <w:marRight w:val="0"/>
                      <w:marTop w:val="0"/>
                      <w:marBottom w:val="0"/>
                      <w:divBdr>
                        <w:top w:val="none" w:sz="0" w:space="0" w:color="auto"/>
                        <w:left w:val="none" w:sz="0" w:space="0" w:color="auto"/>
                        <w:bottom w:val="none" w:sz="0" w:space="0" w:color="auto"/>
                        <w:right w:val="none" w:sz="0" w:space="0" w:color="auto"/>
                      </w:divBdr>
                    </w:div>
                  </w:divsChild>
                </w:div>
                <w:div w:id="1680304931">
                  <w:marLeft w:val="0"/>
                  <w:marRight w:val="0"/>
                  <w:marTop w:val="0"/>
                  <w:marBottom w:val="0"/>
                  <w:divBdr>
                    <w:top w:val="none" w:sz="0" w:space="0" w:color="auto"/>
                    <w:left w:val="none" w:sz="0" w:space="0" w:color="auto"/>
                    <w:bottom w:val="none" w:sz="0" w:space="0" w:color="auto"/>
                    <w:right w:val="none" w:sz="0" w:space="0" w:color="auto"/>
                  </w:divBdr>
                  <w:divsChild>
                    <w:div w:id="517504028">
                      <w:marLeft w:val="0"/>
                      <w:marRight w:val="0"/>
                      <w:marTop w:val="0"/>
                      <w:marBottom w:val="0"/>
                      <w:divBdr>
                        <w:top w:val="none" w:sz="0" w:space="0" w:color="auto"/>
                        <w:left w:val="none" w:sz="0" w:space="0" w:color="auto"/>
                        <w:bottom w:val="none" w:sz="0" w:space="0" w:color="auto"/>
                        <w:right w:val="none" w:sz="0" w:space="0" w:color="auto"/>
                      </w:divBdr>
                    </w:div>
                  </w:divsChild>
                </w:div>
                <w:div w:id="1683436557">
                  <w:marLeft w:val="0"/>
                  <w:marRight w:val="0"/>
                  <w:marTop w:val="0"/>
                  <w:marBottom w:val="0"/>
                  <w:divBdr>
                    <w:top w:val="none" w:sz="0" w:space="0" w:color="auto"/>
                    <w:left w:val="none" w:sz="0" w:space="0" w:color="auto"/>
                    <w:bottom w:val="none" w:sz="0" w:space="0" w:color="auto"/>
                    <w:right w:val="none" w:sz="0" w:space="0" w:color="auto"/>
                  </w:divBdr>
                  <w:divsChild>
                    <w:div w:id="1641885615">
                      <w:marLeft w:val="0"/>
                      <w:marRight w:val="0"/>
                      <w:marTop w:val="0"/>
                      <w:marBottom w:val="0"/>
                      <w:divBdr>
                        <w:top w:val="none" w:sz="0" w:space="0" w:color="auto"/>
                        <w:left w:val="none" w:sz="0" w:space="0" w:color="auto"/>
                        <w:bottom w:val="none" w:sz="0" w:space="0" w:color="auto"/>
                        <w:right w:val="none" w:sz="0" w:space="0" w:color="auto"/>
                      </w:divBdr>
                    </w:div>
                  </w:divsChild>
                </w:div>
                <w:div w:id="1740051614">
                  <w:marLeft w:val="0"/>
                  <w:marRight w:val="0"/>
                  <w:marTop w:val="0"/>
                  <w:marBottom w:val="0"/>
                  <w:divBdr>
                    <w:top w:val="none" w:sz="0" w:space="0" w:color="auto"/>
                    <w:left w:val="none" w:sz="0" w:space="0" w:color="auto"/>
                    <w:bottom w:val="none" w:sz="0" w:space="0" w:color="auto"/>
                    <w:right w:val="none" w:sz="0" w:space="0" w:color="auto"/>
                  </w:divBdr>
                  <w:divsChild>
                    <w:div w:id="1901477718">
                      <w:marLeft w:val="0"/>
                      <w:marRight w:val="0"/>
                      <w:marTop w:val="0"/>
                      <w:marBottom w:val="0"/>
                      <w:divBdr>
                        <w:top w:val="none" w:sz="0" w:space="0" w:color="auto"/>
                        <w:left w:val="none" w:sz="0" w:space="0" w:color="auto"/>
                        <w:bottom w:val="none" w:sz="0" w:space="0" w:color="auto"/>
                        <w:right w:val="none" w:sz="0" w:space="0" w:color="auto"/>
                      </w:divBdr>
                    </w:div>
                  </w:divsChild>
                </w:div>
                <w:div w:id="1778940553">
                  <w:marLeft w:val="0"/>
                  <w:marRight w:val="0"/>
                  <w:marTop w:val="0"/>
                  <w:marBottom w:val="0"/>
                  <w:divBdr>
                    <w:top w:val="none" w:sz="0" w:space="0" w:color="auto"/>
                    <w:left w:val="none" w:sz="0" w:space="0" w:color="auto"/>
                    <w:bottom w:val="none" w:sz="0" w:space="0" w:color="auto"/>
                    <w:right w:val="none" w:sz="0" w:space="0" w:color="auto"/>
                  </w:divBdr>
                  <w:divsChild>
                    <w:div w:id="1658069324">
                      <w:marLeft w:val="0"/>
                      <w:marRight w:val="0"/>
                      <w:marTop w:val="0"/>
                      <w:marBottom w:val="0"/>
                      <w:divBdr>
                        <w:top w:val="none" w:sz="0" w:space="0" w:color="auto"/>
                        <w:left w:val="none" w:sz="0" w:space="0" w:color="auto"/>
                        <w:bottom w:val="none" w:sz="0" w:space="0" w:color="auto"/>
                        <w:right w:val="none" w:sz="0" w:space="0" w:color="auto"/>
                      </w:divBdr>
                    </w:div>
                  </w:divsChild>
                </w:div>
                <w:div w:id="1787651298">
                  <w:marLeft w:val="0"/>
                  <w:marRight w:val="0"/>
                  <w:marTop w:val="0"/>
                  <w:marBottom w:val="0"/>
                  <w:divBdr>
                    <w:top w:val="none" w:sz="0" w:space="0" w:color="auto"/>
                    <w:left w:val="none" w:sz="0" w:space="0" w:color="auto"/>
                    <w:bottom w:val="none" w:sz="0" w:space="0" w:color="auto"/>
                    <w:right w:val="none" w:sz="0" w:space="0" w:color="auto"/>
                  </w:divBdr>
                  <w:divsChild>
                    <w:div w:id="1908489546">
                      <w:marLeft w:val="0"/>
                      <w:marRight w:val="0"/>
                      <w:marTop w:val="0"/>
                      <w:marBottom w:val="0"/>
                      <w:divBdr>
                        <w:top w:val="none" w:sz="0" w:space="0" w:color="auto"/>
                        <w:left w:val="none" w:sz="0" w:space="0" w:color="auto"/>
                        <w:bottom w:val="none" w:sz="0" w:space="0" w:color="auto"/>
                        <w:right w:val="none" w:sz="0" w:space="0" w:color="auto"/>
                      </w:divBdr>
                    </w:div>
                  </w:divsChild>
                </w:div>
                <w:div w:id="1796486987">
                  <w:marLeft w:val="0"/>
                  <w:marRight w:val="0"/>
                  <w:marTop w:val="0"/>
                  <w:marBottom w:val="0"/>
                  <w:divBdr>
                    <w:top w:val="none" w:sz="0" w:space="0" w:color="auto"/>
                    <w:left w:val="none" w:sz="0" w:space="0" w:color="auto"/>
                    <w:bottom w:val="none" w:sz="0" w:space="0" w:color="auto"/>
                    <w:right w:val="none" w:sz="0" w:space="0" w:color="auto"/>
                  </w:divBdr>
                  <w:divsChild>
                    <w:div w:id="496307894">
                      <w:marLeft w:val="0"/>
                      <w:marRight w:val="0"/>
                      <w:marTop w:val="0"/>
                      <w:marBottom w:val="0"/>
                      <w:divBdr>
                        <w:top w:val="none" w:sz="0" w:space="0" w:color="auto"/>
                        <w:left w:val="none" w:sz="0" w:space="0" w:color="auto"/>
                        <w:bottom w:val="none" w:sz="0" w:space="0" w:color="auto"/>
                        <w:right w:val="none" w:sz="0" w:space="0" w:color="auto"/>
                      </w:divBdr>
                    </w:div>
                  </w:divsChild>
                </w:div>
                <w:div w:id="1801267037">
                  <w:marLeft w:val="0"/>
                  <w:marRight w:val="0"/>
                  <w:marTop w:val="0"/>
                  <w:marBottom w:val="0"/>
                  <w:divBdr>
                    <w:top w:val="none" w:sz="0" w:space="0" w:color="auto"/>
                    <w:left w:val="none" w:sz="0" w:space="0" w:color="auto"/>
                    <w:bottom w:val="none" w:sz="0" w:space="0" w:color="auto"/>
                    <w:right w:val="none" w:sz="0" w:space="0" w:color="auto"/>
                  </w:divBdr>
                  <w:divsChild>
                    <w:div w:id="477501481">
                      <w:marLeft w:val="0"/>
                      <w:marRight w:val="0"/>
                      <w:marTop w:val="0"/>
                      <w:marBottom w:val="0"/>
                      <w:divBdr>
                        <w:top w:val="none" w:sz="0" w:space="0" w:color="auto"/>
                        <w:left w:val="none" w:sz="0" w:space="0" w:color="auto"/>
                        <w:bottom w:val="none" w:sz="0" w:space="0" w:color="auto"/>
                        <w:right w:val="none" w:sz="0" w:space="0" w:color="auto"/>
                      </w:divBdr>
                    </w:div>
                  </w:divsChild>
                </w:div>
                <w:div w:id="1830170162">
                  <w:marLeft w:val="0"/>
                  <w:marRight w:val="0"/>
                  <w:marTop w:val="0"/>
                  <w:marBottom w:val="0"/>
                  <w:divBdr>
                    <w:top w:val="none" w:sz="0" w:space="0" w:color="auto"/>
                    <w:left w:val="none" w:sz="0" w:space="0" w:color="auto"/>
                    <w:bottom w:val="none" w:sz="0" w:space="0" w:color="auto"/>
                    <w:right w:val="none" w:sz="0" w:space="0" w:color="auto"/>
                  </w:divBdr>
                  <w:divsChild>
                    <w:div w:id="405998962">
                      <w:marLeft w:val="0"/>
                      <w:marRight w:val="0"/>
                      <w:marTop w:val="0"/>
                      <w:marBottom w:val="0"/>
                      <w:divBdr>
                        <w:top w:val="none" w:sz="0" w:space="0" w:color="auto"/>
                        <w:left w:val="none" w:sz="0" w:space="0" w:color="auto"/>
                        <w:bottom w:val="none" w:sz="0" w:space="0" w:color="auto"/>
                        <w:right w:val="none" w:sz="0" w:space="0" w:color="auto"/>
                      </w:divBdr>
                    </w:div>
                  </w:divsChild>
                </w:div>
                <w:div w:id="1831944277">
                  <w:marLeft w:val="0"/>
                  <w:marRight w:val="0"/>
                  <w:marTop w:val="0"/>
                  <w:marBottom w:val="0"/>
                  <w:divBdr>
                    <w:top w:val="none" w:sz="0" w:space="0" w:color="auto"/>
                    <w:left w:val="none" w:sz="0" w:space="0" w:color="auto"/>
                    <w:bottom w:val="none" w:sz="0" w:space="0" w:color="auto"/>
                    <w:right w:val="none" w:sz="0" w:space="0" w:color="auto"/>
                  </w:divBdr>
                  <w:divsChild>
                    <w:div w:id="1824811382">
                      <w:marLeft w:val="0"/>
                      <w:marRight w:val="0"/>
                      <w:marTop w:val="0"/>
                      <w:marBottom w:val="0"/>
                      <w:divBdr>
                        <w:top w:val="none" w:sz="0" w:space="0" w:color="auto"/>
                        <w:left w:val="none" w:sz="0" w:space="0" w:color="auto"/>
                        <w:bottom w:val="none" w:sz="0" w:space="0" w:color="auto"/>
                        <w:right w:val="none" w:sz="0" w:space="0" w:color="auto"/>
                      </w:divBdr>
                    </w:div>
                  </w:divsChild>
                </w:div>
                <w:div w:id="1877765669">
                  <w:marLeft w:val="0"/>
                  <w:marRight w:val="0"/>
                  <w:marTop w:val="0"/>
                  <w:marBottom w:val="0"/>
                  <w:divBdr>
                    <w:top w:val="none" w:sz="0" w:space="0" w:color="auto"/>
                    <w:left w:val="none" w:sz="0" w:space="0" w:color="auto"/>
                    <w:bottom w:val="none" w:sz="0" w:space="0" w:color="auto"/>
                    <w:right w:val="none" w:sz="0" w:space="0" w:color="auto"/>
                  </w:divBdr>
                  <w:divsChild>
                    <w:div w:id="118114335">
                      <w:marLeft w:val="0"/>
                      <w:marRight w:val="0"/>
                      <w:marTop w:val="0"/>
                      <w:marBottom w:val="0"/>
                      <w:divBdr>
                        <w:top w:val="none" w:sz="0" w:space="0" w:color="auto"/>
                        <w:left w:val="none" w:sz="0" w:space="0" w:color="auto"/>
                        <w:bottom w:val="none" w:sz="0" w:space="0" w:color="auto"/>
                        <w:right w:val="none" w:sz="0" w:space="0" w:color="auto"/>
                      </w:divBdr>
                    </w:div>
                  </w:divsChild>
                </w:div>
                <w:div w:id="1908412933">
                  <w:marLeft w:val="0"/>
                  <w:marRight w:val="0"/>
                  <w:marTop w:val="0"/>
                  <w:marBottom w:val="0"/>
                  <w:divBdr>
                    <w:top w:val="none" w:sz="0" w:space="0" w:color="auto"/>
                    <w:left w:val="none" w:sz="0" w:space="0" w:color="auto"/>
                    <w:bottom w:val="none" w:sz="0" w:space="0" w:color="auto"/>
                    <w:right w:val="none" w:sz="0" w:space="0" w:color="auto"/>
                  </w:divBdr>
                  <w:divsChild>
                    <w:div w:id="727076759">
                      <w:marLeft w:val="0"/>
                      <w:marRight w:val="0"/>
                      <w:marTop w:val="0"/>
                      <w:marBottom w:val="0"/>
                      <w:divBdr>
                        <w:top w:val="none" w:sz="0" w:space="0" w:color="auto"/>
                        <w:left w:val="none" w:sz="0" w:space="0" w:color="auto"/>
                        <w:bottom w:val="none" w:sz="0" w:space="0" w:color="auto"/>
                        <w:right w:val="none" w:sz="0" w:space="0" w:color="auto"/>
                      </w:divBdr>
                    </w:div>
                  </w:divsChild>
                </w:div>
                <w:div w:id="1921331901">
                  <w:marLeft w:val="0"/>
                  <w:marRight w:val="0"/>
                  <w:marTop w:val="0"/>
                  <w:marBottom w:val="0"/>
                  <w:divBdr>
                    <w:top w:val="none" w:sz="0" w:space="0" w:color="auto"/>
                    <w:left w:val="none" w:sz="0" w:space="0" w:color="auto"/>
                    <w:bottom w:val="none" w:sz="0" w:space="0" w:color="auto"/>
                    <w:right w:val="none" w:sz="0" w:space="0" w:color="auto"/>
                  </w:divBdr>
                  <w:divsChild>
                    <w:div w:id="1661694767">
                      <w:marLeft w:val="0"/>
                      <w:marRight w:val="0"/>
                      <w:marTop w:val="0"/>
                      <w:marBottom w:val="0"/>
                      <w:divBdr>
                        <w:top w:val="none" w:sz="0" w:space="0" w:color="auto"/>
                        <w:left w:val="none" w:sz="0" w:space="0" w:color="auto"/>
                        <w:bottom w:val="none" w:sz="0" w:space="0" w:color="auto"/>
                        <w:right w:val="none" w:sz="0" w:space="0" w:color="auto"/>
                      </w:divBdr>
                    </w:div>
                  </w:divsChild>
                </w:div>
                <w:div w:id="1955476110">
                  <w:marLeft w:val="0"/>
                  <w:marRight w:val="0"/>
                  <w:marTop w:val="0"/>
                  <w:marBottom w:val="0"/>
                  <w:divBdr>
                    <w:top w:val="none" w:sz="0" w:space="0" w:color="auto"/>
                    <w:left w:val="none" w:sz="0" w:space="0" w:color="auto"/>
                    <w:bottom w:val="none" w:sz="0" w:space="0" w:color="auto"/>
                    <w:right w:val="none" w:sz="0" w:space="0" w:color="auto"/>
                  </w:divBdr>
                  <w:divsChild>
                    <w:div w:id="917402865">
                      <w:marLeft w:val="0"/>
                      <w:marRight w:val="0"/>
                      <w:marTop w:val="0"/>
                      <w:marBottom w:val="0"/>
                      <w:divBdr>
                        <w:top w:val="none" w:sz="0" w:space="0" w:color="auto"/>
                        <w:left w:val="none" w:sz="0" w:space="0" w:color="auto"/>
                        <w:bottom w:val="none" w:sz="0" w:space="0" w:color="auto"/>
                        <w:right w:val="none" w:sz="0" w:space="0" w:color="auto"/>
                      </w:divBdr>
                    </w:div>
                  </w:divsChild>
                </w:div>
                <w:div w:id="1965574737">
                  <w:marLeft w:val="0"/>
                  <w:marRight w:val="0"/>
                  <w:marTop w:val="0"/>
                  <w:marBottom w:val="0"/>
                  <w:divBdr>
                    <w:top w:val="none" w:sz="0" w:space="0" w:color="auto"/>
                    <w:left w:val="none" w:sz="0" w:space="0" w:color="auto"/>
                    <w:bottom w:val="none" w:sz="0" w:space="0" w:color="auto"/>
                    <w:right w:val="none" w:sz="0" w:space="0" w:color="auto"/>
                  </w:divBdr>
                  <w:divsChild>
                    <w:div w:id="1540779092">
                      <w:marLeft w:val="0"/>
                      <w:marRight w:val="0"/>
                      <w:marTop w:val="0"/>
                      <w:marBottom w:val="0"/>
                      <w:divBdr>
                        <w:top w:val="none" w:sz="0" w:space="0" w:color="auto"/>
                        <w:left w:val="none" w:sz="0" w:space="0" w:color="auto"/>
                        <w:bottom w:val="none" w:sz="0" w:space="0" w:color="auto"/>
                        <w:right w:val="none" w:sz="0" w:space="0" w:color="auto"/>
                      </w:divBdr>
                    </w:div>
                  </w:divsChild>
                </w:div>
                <w:div w:id="1979257530">
                  <w:marLeft w:val="0"/>
                  <w:marRight w:val="0"/>
                  <w:marTop w:val="0"/>
                  <w:marBottom w:val="0"/>
                  <w:divBdr>
                    <w:top w:val="none" w:sz="0" w:space="0" w:color="auto"/>
                    <w:left w:val="none" w:sz="0" w:space="0" w:color="auto"/>
                    <w:bottom w:val="none" w:sz="0" w:space="0" w:color="auto"/>
                    <w:right w:val="none" w:sz="0" w:space="0" w:color="auto"/>
                  </w:divBdr>
                  <w:divsChild>
                    <w:div w:id="326321784">
                      <w:marLeft w:val="0"/>
                      <w:marRight w:val="0"/>
                      <w:marTop w:val="0"/>
                      <w:marBottom w:val="0"/>
                      <w:divBdr>
                        <w:top w:val="none" w:sz="0" w:space="0" w:color="auto"/>
                        <w:left w:val="none" w:sz="0" w:space="0" w:color="auto"/>
                        <w:bottom w:val="none" w:sz="0" w:space="0" w:color="auto"/>
                        <w:right w:val="none" w:sz="0" w:space="0" w:color="auto"/>
                      </w:divBdr>
                    </w:div>
                  </w:divsChild>
                </w:div>
                <w:div w:id="2027441817">
                  <w:marLeft w:val="0"/>
                  <w:marRight w:val="0"/>
                  <w:marTop w:val="0"/>
                  <w:marBottom w:val="0"/>
                  <w:divBdr>
                    <w:top w:val="none" w:sz="0" w:space="0" w:color="auto"/>
                    <w:left w:val="none" w:sz="0" w:space="0" w:color="auto"/>
                    <w:bottom w:val="none" w:sz="0" w:space="0" w:color="auto"/>
                    <w:right w:val="none" w:sz="0" w:space="0" w:color="auto"/>
                  </w:divBdr>
                  <w:divsChild>
                    <w:div w:id="1665667376">
                      <w:marLeft w:val="0"/>
                      <w:marRight w:val="0"/>
                      <w:marTop w:val="0"/>
                      <w:marBottom w:val="0"/>
                      <w:divBdr>
                        <w:top w:val="none" w:sz="0" w:space="0" w:color="auto"/>
                        <w:left w:val="none" w:sz="0" w:space="0" w:color="auto"/>
                        <w:bottom w:val="none" w:sz="0" w:space="0" w:color="auto"/>
                        <w:right w:val="none" w:sz="0" w:space="0" w:color="auto"/>
                      </w:divBdr>
                    </w:div>
                  </w:divsChild>
                </w:div>
                <w:div w:id="2101946692">
                  <w:marLeft w:val="0"/>
                  <w:marRight w:val="0"/>
                  <w:marTop w:val="0"/>
                  <w:marBottom w:val="0"/>
                  <w:divBdr>
                    <w:top w:val="none" w:sz="0" w:space="0" w:color="auto"/>
                    <w:left w:val="none" w:sz="0" w:space="0" w:color="auto"/>
                    <w:bottom w:val="none" w:sz="0" w:space="0" w:color="auto"/>
                    <w:right w:val="none" w:sz="0" w:space="0" w:color="auto"/>
                  </w:divBdr>
                  <w:divsChild>
                    <w:div w:id="1376733572">
                      <w:marLeft w:val="0"/>
                      <w:marRight w:val="0"/>
                      <w:marTop w:val="0"/>
                      <w:marBottom w:val="0"/>
                      <w:divBdr>
                        <w:top w:val="none" w:sz="0" w:space="0" w:color="auto"/>
                        <w:left w:val="none" w:sz="0" w:space="0" w:color="auto"/>
                        <w:bottom w:val="none" w:sz="0" w:space="0" w:color="auto"/>
                        <w:right w:val="none" w:sz="0" w:space="0" w:color="auto"/>
                      </w:divBdr>
                    </w:div>
                  </w:divsChild>
                </w:div>
                <w:div w:id="2139489455">
                  <w:marLeft w:val="0"/>
                  <w:marRight w:val="0"/>
                  <w:marTop w:val="0"/>
                  <w:marBottom w:val="0"/>
                  <w:divBdr>
                    <w:top w:val="none" w:sz="0" w:space="0" w:color="auto"/>
                    <w:left w:val="none" w:sz="0" w:space="0" w:color="auto"/>
                    <w:bottom w:val="none" w:sz="0" w:space="0" w:color="auto"/>
                    <w:right w:val="none" w:sz="0" w:space="0" w:color="auto"/>
                  </w:divBdr>
                  <w:divsChild>
                    <w:div w:id="20238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588">
      <w:bodyDiv w:val="1"/>
      <w:marLeft w:val="0"/>
      <w:marRight w:val="0"/>
      <w:marTop w:val="0"/>
      <w:marBottom w:val="0"/>
      <w:divBdr>
        <w:top w:val="none" w:sz="0" w:space="0" w:color="auto"/>
        <w:left w:val="none" w:sz="0" w:space="0" w:color="auto"/>
        <w:bottom w:val="none" w:sz="0" w:space="0" w:color="auto"/>
        <w:right w:val="none" w:sz="0" w:space="0" w:color="auto"/>
      </w:divBdr>
    </w:div>
    <w:div w:id="1705326811">
      <w:bodyDiv w:val="1"/>
      <w:marLeft w:val="0"/>
      <w:marRight w:val="0"/>
      <w:marTop w:val="0"/>
      <w:marBottom w:val="0"/>
      <w:divBdr>
        <w:top w:val="none" w:sz="0" w:space="0" w:color="auto"/>
        <w:left w:val="none" w:sz="0" w:space="0" w:color="auto"/>
        <w:bottom w:val="none" w:sz="0" w:space="0" w:color="auto"/>
        <w:right w:val="none" w:sz="0" w:space="0" w:color="auto"/>
      </w:divBdr>
    </w:div>
    <w:div w:id="172576201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5736617">
      <w:bodyDiv w:val="1"/>
      <w:marLeft w:val="0"/>
      <w:marRight w:val="0"/>
      <w:marTop w:val="0"/>
      <w:marBottom w:val="0"/>
      <w:divBdr>
        <w:top w:val="none" w:sz="0" w:space="0" w:color="auto"/>
        <w:left w:val="none" w:sz="0" w:space="0" w:color="auto"/>
        <w:bottom w:val="none" w:sz="0" w:space="0" w:color="auto"/>
        <w:right w:val="none" w:sz="0" w:space="0" w:color="auto"/>
      </w:divBdr>
    </w:div>
    <w:div w:id="1757433696">
      <w:bodyDiv w:val="1"/>
      <w:marLeft w:val="0"/>
      <w:marRight w:val="0"/>
      <w:marTop w:val="0"/>
      <w:marBottom w:val="0"/>
      <w:divBdr>
        <w:top w:val="none" w:sz="0" w:space="0" w:color="auto"/>
        <w:left w:val="none" w:sz="0" w:space="0" w:color="auto"/>
        <w:bottom w:val="none" w:sz="0" w:space="0" w:color="auto"/>
        <w:right w:val="none" w:sz="0" w:space="0" w:color="auto"/>
      </w:divBdr>
    </w:div>
    <w:div w:id="1792940049">
      <w:bodyDiv w:val="1"/>
      <w:marLeft w:val="0"/>
      <w:marRight w:val="0"/>
      <w:marTop w:val="0"/>
      <w:marBottom w:val="0"/>
      <w:divBdr>
        <w:top w:val="none" w:sz="0" w:space="0" w:color="auto"/>
        <w:left w:val="none" w:sz="0" w:space="0" w:color="auto"/>
        <w:bottom w:val="none" w:sz="0" w:space="0" w:color="auto"/>
        <w:right w:val="none" w:sz="0" w:space="0" w:color="auto"/>
      </w:divBdr>
    </w:div>
    <w:div w:id="1800612795">
      <w:bodyDiv w:val="1"/>
      <w:marLeft w:val="0"/>
      <w:marRight w:val="0"/>
      <w:marTop w:val="0"/>
      <w:marBottom w:val="0"/>
      <w:divBdr>
        <w:top w:val="none" w:sz="0" w:space="0" w:color="auto"/>
        <w:left w:val="none" w:sz="0" w:space="0" w:color="auto"/>
        <w:bottom w:val="none" w:sz="0" w:space="0" w:color="auto"/>
        <w:right w:val="none" w:sz="0" w:space="0" w:color="auto"/>
      </w:divBdr>
    </w:div>
    <w:div w:id="1806703475">
      <w:bodyDiv w:val="1"/>
      <w:marLeft w:val="0"/>
      <w:marRight w:val="0"/>
      <w:marTop w:val="0"/>
      <w:marBottom w:val="0"/>
      <w:divBdr>
        <w:top w:val="none" w:sz="0" w:space="0" w:color="auto"/>
        <w:left w:val="none" w:sz="0" w:space="0" w:color="auto"/>
        <w:bottom w:val="none" w:sz="0" w:space="0" w:color="auto"/>
        <w:right w:val="none" w:sz="0" w:space="0" w:color="auto"/>
      </w:divBdr>
    </w:div>
    <w:div w:id="1834832140">
      <w:bodyDiv w:val="1"/>
      <w:marLeft w:val="0"/>
      <w:marRight w:val="0"/>
      <w:marTop w:val="0"/>
      <w:marBottom w:val="0"/>
      <w:divBdr>
        <w:top w:val="none" w:sz="0" w:space="0" w:color="auto"/>
        <w:left w:val="none" w:sz="0" w:space="0" w:color="auto"/>
        <w:bottom w:val="none" w:sz="0" w:space="0" w:color="auto"/>
        <w:right w:val="none" w:sz="0" w:space="0" w:color="auto"/>
      </w:divBdr>
    </w:div>
    <w:div w:id="1857690333">
      <w:bodyDiv w:val="1"/>
      <w:marLeft w:val="0"/>
      <w:marRight w:val="0"/>
      <w:marTop w:val="0"/>
      <w:marBottom w:val="0"/>
      <w:divBdr>
        <w:top w:val="none" w:sz="0" w:space="0" w:color="auto"/>
        <w:left w:val="none" w:sz="0" w:space="0" w:color="auto"/>
        <w:bottom w:val="none" w:sz="0" w:space="0" w:color="auto"/>
        <w:right w:val="none" w:sz="0" w:space="0" w:color="auto"/>
      </w:divBdr>
    </w:div>
    <w:div w:id="1866406337">
      <w:bodyDiv w:val="1"/>
      <w:marLeft w:val="0"/>
      <w:marRight w:val="0"/>
      <w:marTop w:val="0"/>
      <w:marBottom w:val="0"/>
      <w:divBdr>
        <w:top w:val="none" w:sz="0" w:space="0" w:color="auto"/>
        <w:left w:val="none" w:sz="0" w:space="0" w:color="auto"/>
        <w:bottom w:val="none" w:sz="0" w:space="0" w:color="auto"/>
        <w:right w:val="none" w:sz="0" w:space="0" w:color="auto"/>
      </w:divBdr>
    </w:div>
    <w:div w:id="1870751281">
      <w:bodyDiv w:val="1"/>
      <w:marLeft w:val="0"/>
      <w:marRight w:val="0"/>
      <w:marTop w:val="0"/>
      <w:marBottom w:val="0"/>
      <w:divBdr>
        <w:top w:val="none" w:sz="0" w:space="0" w:color="auto"/>
        <w:left w:val="none" w:sz="0" w:space="0" w:color="auto"/>
        <w:bottom w:val="none" w:sz="0" w:space="0" w:color="auto"/>
        <w:right w:val="none" w:sz="0" w:space="0" w:color="auto"/>
      </w:divBdr>
    </w:div>
    <w:div w:id="1881937485">
      <w:bodyDiv w:val="1"/>
      <w:marLeft w:val="0"/>
      <w:marRight w:val="0"/>
      <w:marTop w:val="0"/>
      <w:marBottom w:val="0"/>
      <w:divBdr>
        <w:top w:val="none" w:sz="0" w:space="0" w:color="auto"/>
        <w:left w:val="none" w:sz="0" w:space="0" w:color="auto"/>
        <w:bottom w:val="none" w:sz="0" w:space="0" w:color="auto"/>
        <w:right w:val="none" w:sz="0" w:space="0" w:color="auto"/>
      </w:divBdr>
    </w:div>
    <w:div w:id="1904608222">
      <w:bodyDiv w:val="1"/>
      <w:marLeft w:val="0"/>
      <w:marRight w:val="0"/>
      <w:marTop w:val="0"/>
      <w:marBottom w:val="0"/>
      <w:divBdr>
        <w:top w:val="none" w:sz="0" w:space="0" w:color="auto"/>
        <w:left w:val="none" w:sz="0" w:space="0" w:color="auto"/>
        <w:bottom w:val="none" w:sz="0" w:space="0" w:color="auto"/>
        <w:right w:val="none" w:sz="0" w:space="0" w:color="auto"/>
      </w:divBdr>
    </w:div>
    <w:div w:id="1907719569">
      <w:bodyDiv w:val="1"/>
      <w:marLeft w:val="0"/>
      <w:marRight w:val="0"/>
      <w:marTop w:val="0"/>
      <w:marBottom w:val="0"/>
      <w:divBdr>
        <w:top w:val="none" w:sz="0" w:space="0" w:color="auto"/>
        <w:left w:val="none" w:sz="0" w:space="0" w:color="auto"/>
        <w:bottom w:val="none" w:sz="0" w:space="0" w:color="auto"/>
        <w:right w:val="none" w:sz="0" w:space="0" w:color="auto"/>
      </w:divBdr>
    </w:div>
    <w:div w:id="1910647626">
      <w:bodyDiv w:val="1"/>
      <w:marLeft w:val="0"/>
      <w:marRight w:val="0"/>
      <w:marTop w:val="0"/>
      <w:marBottom w:val="0"/>
      <w:divBdr>
        <w:top w:val="none" w:sz="0" w:space="0" w:color="auto"/>
        <w:left w:val="none" w:sz="0" w:space="0" w:color="auto"/>
        <w:bottom w:val="none" w:sz="0" w:space="0" w:color="auto"/>
        <w:right w:val="none" w:sz="0" w:space="0" w:color="auto"/>
      </w:divBdr>
    </w:div>
    <w:div w:id="1912806514">
      <w:bodyDiv w:val="1"/>
      <w:marLeft w:val="0"/>
      <w:marRight w:val="0"/>
      <w:marTop w:val="0"/>
      <w:marBottom w:val="0"/>
      <w:divBdr>
        <w:top w:val="none" w:sz="0" w:space="0" w:color="auto"/>
        <w:left w:val="none" w:sz="0" w:space="0" w:color="auto"/>
        <w:bottom w:val="none" w:sz="0" w:space="0" w:color="auto"/>
        <w:right w:val="none" w:sz="0" w:space="0" w:color="auto"/>
      </w:divBdr>
    </w:div>
    <w:div w:id="1919436180">
      <w:bodyDiv w:val="1"/>
      <w:marLeft w:val="0"/>
      <w:marRight w:val="0"/>
      <w:marTop w:val="0"/>
      <w:marBottom w:val="0"/>
      <w:divBdr>
        <w:top w:val="none" w:sz="0" w:space="0" w:color="auto"/>
        <w:left w:val="none" w:sz="0" w:space="0" w:color="auto"/>
        <w:bottom w:val="none" w:sz="0" w:space="0" w:color="auto"/>
        <w:right w:val="none" w:sz="0" w:space="0" w:color="auto"/>
      </w:divBdr>
    </w:div>
    <w:div w:id="192957808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3419842">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9669117">
      <w:bodyDiv w:val="1"/>
      <w:marLeft w:val="0"/>
      <w:marRight w:val="0"/>
      <w:marTop w:val="0"/>
      <w:marBottom w:val="0"/>
      <w:divBdr>
        <w:top w:val="none" w:sz="0" w:space="0" w:color="auto"/>
        <w:left w:val="none" w:sz="0" w:space="0" w:color="auto"/>
        <w:bottom w:val="none" w:sz="0" w:space="0" w:color="auto"/>
        <w:right w:val="none" w:sz="0" w:space="0" w:color="auto"/>
      </w:divBdr>
    </w:div>
    <w:div w:id="2017338258">
      <w:bodyDiv w:val="1"/>
      <w:marLeft w:val="0"/>
      <w:marRight w:val="0"/>
      <w:marTop w:val="0"/>
      <w:marBottom w:val="0"/>
      <w:divBdr>
        <w:top w:val="none" w:sz="0" w:space="0" w:color="auto"/>
        <w:left w:val="none" w:sz="0" w:space="0" w:color="auto"/>
        <w:bottom w:val="none" w:sz="0" w:space="0" w:color="auto"/>
        <w:right w:val="none" w:sz="0" w:space="0" w:color="auto"/>
      </w:divBdr>
    </w:div>
    <w:div w:id="2029595763">
      <w:bodyDiv w:val="1"/>
      <w:marLeft w:val="0"/>
      <w:marRight w:val="0"/>
      <w:marTop w:val="0"/>
      <w:marBottom w:val="0"/>
      <w:divBdr>
        <w:top w:val="none" w:sz="0" w:space="0" w:color="auto"/>
        <w:left w:val="none" w:sz="0" w:space="0" w:color="auto"/>
        <w:bottom w:val="none" w:sz="0" w:space="0" w:color="auto"/>
        <w:right w:val="none" w:sz="0" w:space="0" w:color="auto"/>
      </w:divBdr>
    </w:div>
    <w:div w:id="2032993765">
      <w:bodyDiv w:val="1"/>
      <w:marLeft w:val="0"/>
      <w:marRight w:val="0"/>
      <w:marTop w:val="0"/>
      <w:marBottom w:val="0"/>
      <w:divBdr>
        <w:top w:val="none" w:sz="0" w:space="0" w:color="auto"/>
        <w:left w:val="none" w:sz="0" w:space="0" w:color="auto"/>
        <w:bottom w:val="none" w:sz="0" w:space="0" w:color="auto"/>
        <w:right w:val="none" w:sz="0" w:space="0" w:color="auto"/>
      </w:divBdr>
    </w:div>
    <w:div w:id="2039351868">
      <w:bodyDiv w:val="1"/>
      <w:marLeft w:val="0"/>
      <w:marRight w:val="0"/>
      <w:marTop w:val="0"/>
      <w:marBottom w:val="0"/>
      <w:divBdr>
        <w:top w:val="none" w:sz="0" w:space="0" w:color="auto"/>
        <w:left w:val="none" w:sz="0" w:space="0" w:color="auto"/>
        <w:bottom w:val="none" w:sz="0" w:space="0" w:color="auto"/>
        <w:right w:val="none" w:sz="0" w:space="0" w:color="auto"/>
      </w:divBdr>
    </w:div>
    <w:div w:id="2051222995">
      <w:bodyDiv w:val="1"/>
      <w:marLeft w:val="0"/>
      <w:marRight w:val="0"/>
      <w:marTop w:val="0"/>
      <w:marBottom w:val="0"/>
      <w:divBdr>
        <w:top w:val="none" w:sz="0" w:space="0" w:color="auto"/>
        <w:left w:val="none" w:sz="0" w:space="0" w:color="auto"/>
        <w:bottom w:val="none" w:sz="0" w:space="0" w:color="auto"/>
        <w:right w:val="none" w:sz="0" w:space="0" w:color="auto"/>
      </w:divBdr>
    </w:div>
    <w:div w:id="2055347120">
      <w:bodyDiv w:val="1"/>
      <w:marLeft w:val="0"/>
      <w:marRight w:val="0"/>
      <w:marTop w:val="0"/>
      <w:marBottom w:val="0"/>
      <w:divBdr>
        <w:top w:val="none" w:sz="0" w:space="0" w:color="auto"/>
        <w:left w:val="none" w:sz="0" w:space="0" w:color="auto"/>
        <w:bottom w:val="none" w:sz="0" w:space="0" w:color="auto"/>
        <w:right w:val="none" w:sz="0" w:space="0" w:color="auto"/>
      </w:divBdr>
    </w:div>
    <w:div w:id="2058578513">
      <w:bodyDiv w:val="1"/>
      <w:marLeft w:val="0"/>
      <w:marRight w:val="0"/>
      <w:marTop w:val="0"/>
      <w:marBottom w:val="0"/>
      <w:divBdr>
        <w:top w:val="none" w:sz="0" w:space="0" w:color="auto"/>
        <w:left w:val="none" w:sz="0" w:space="0" w:color="auto"/>
        <w:bottom w:val="none" w:sz="0" w:space="0" w:color="auto"/>
        <w:right w:val="none" w:sz="0" w:space="0" w:color="auto"/>
      </w:divBdr>
    </w:div>
    <w:div w:id="2059039254">
      <w:bodyDiv w:val="1"/>
      <w:marLeft w:val="0"/>
      <w:marRight w:val="0"/>
      <w:marTop w:val="0"/>
      <w:marBottom w:val="0"/>
      <w:divBdr>
        <w:top w:val="none" w:sz="0" w:space="0" w:color="auto"/>
        <w:left w:val="none" w:sz="0" w:space="0" w:color="auto"/>
        <w:bottom w:val="none" w:sz="0" w:space="0" w:color="auto"/>
        <w:right w:val="none" w:sz="0" w:space="0" w:color="auto"/>
      </w:divBdr>
    </w:div>
    <w:div w:id="2088455671">
      <w:bodyDiv w:val="1"/>
      <w:marLeft w:val="0"/>
      <w:marRight w:val="0"/>
      <w:marTop w:val="0"/>
      <w:marBottom w:val="0"/>
      <w:divBdr>
        <w:top w:val="none" w:sz="0" w:space="0" w:color="auto"/>
        <w:left w:val="none" w:sz="0" w:space="0" w:color="auto"/>
        <w:bottom w:val="none" w:sz="0" w:space="0" w:color="auto"/>
        <w:right w:val="none" w:sz="0" w:space="0" w:color="auto"/>
      </w:divBdr>
    </w:div>
    <w:div w:id="2089308621">
      <w:bodyDiv w:val="1"/>
      <w:marLeft w:val="0"/>
      <w:marRight w:val="0"/>
      <w:marTop w:val="0"/>
      <w:marBottom w:val="0"/>
      <w:divBdr>
        <w:top w:val="none" w:sz="0" w:space="0" w:color="auto"/>
        <w:left w:val="none" w:sz="0" w:space="0" w:color="auto"/>
        <w:bottom w:val="none" w:sz="0" w:space="0" w:color="auto"/>
        <w:right w:val="none" w:sz="0" w:space="0" w:color="auto"/>
      </w:divBdr>
    </w:div>
    <w:div w:id="2094548962">
      <w:bodyDiv w:val="1"/>
      <w:marLeft w:val="0"/>
      <w:marRight w:val="0"/>
      <w:marTop w:val="0"/>
      <w:marBottom w:val="0"/>
      <w:divBdr>
        <w:top w:val="none" w:sz="0" w:space="0" w:color="auto"/>
        <w:left w:val="none" w:sz="0" w:space="0" w:color="auto"/>
        <w:bottom w:val="none" w:sz="0" w:space="0" w:color="auto"/>
        <w:right w:val="none" w:sz="0" w:space="0" w:color="auto"/>
      </w:divBdr>
    </w:div>
    <w:div w:id="2097044827">
      <w:bodyDiv w:val="1"/>
      <w:marLeft w:val="0"/>
      <w:marRight w:val="0"/>
      <w:marTop w:val="0"/>
      <w:marBottom w:val="0"/>
      <w:divBdr>
        <w:top w:val="none" w:sz="0" w:space="0" w:color="auto"/>
        <w:left w:val="none" w:sz="0" w:space="0" w:color="auto"/>
        <w:bottom w:val="none" w:sz="0" w:space="0" w:color="auto"/>
        <w:right w:val="none" w:sz="0" w:space="0" w:color="auto"/>
      </w:divBdr>
    </w:div>
    <w:div w:id="2116828074">
      <w:bodyDiv w:val="1"/>
      <w:marLeft w:val="0"/>
      <w:marRight w:val="0"/>
      <w:marTop w:val="0"/>
      <w:marBottom w:val="0"/>
      <w:divBdr>
        <w:top w:val="none" w:sz="0" w:space="0" w:color="auto"/>
        <w:left w:val="none" w:sz="0" w:space="0" w:color="auto"/>
        <w:bottom w:val="none" w:sz="0" w:space="0" w:color="auto"/>
        <w:right w:val="none" w:sz="0" w:space="0" w:color="auto"/>
      </w:divBdr>
    </w:div>
    <w:div w:id="2120443454">
      <w:bodyDiv w:val="1"/>
      <w:marLeft w:val="0"/>
      <w:marRight w:val="0"/>
      <w:marTop w:val="0"/>
      <w:marBottom w:val="0"/>
      <w:divBdr>
        <w:top w:val="none" w:sz="0" w:space="0" w:color="auto"/>
        <w:left w:val="none" w:sz="0" w:space="0" w:color="auto"/>
        <w:bottom w:val="none" w:sz="0" w:space="0" w:color="auto"/>
        <w:right w:val="none" w:sz="0" w:space="0" w:color="auto"/>
      </w:divBdr>
    </w:div>
    <w:div w:id="2121953212">
      <w:bodyDiv w:val="1"/>
      <w:marLeft w:val="0"/>
      <w:marRight w:val="0"/>
      <w:marTop w:val="0"/>
      <w:marBottom w:val="0"/>
      <w:divBdr>
        <w:top w:val="none" w:sz="0" w:space="0" w:color="auto"/>
        <w:left w:val="none" w:sz="0" w:space="0" w:color="auto"/>
        <w:bottom w:val="none" w:sz="0" w:space="0" w:color="auto"/>
        <w:right w:val="none" w:sz="0" w:space="0" w:color="auto"/>
      </w:divBdr>
      <w:divsChild>
        <w:div w:id="592324393">
          <w:marLeft w:val="0"/>
          <w:marRight w:val="0"/>
          <w:marTop w:val="0"/>
          <w:marBottom w:val="0"/>
          <w:divBdr>
            <w:top w:val="none" w:sz="0" w:space="0" w:color="auto"/>
            <w:left w:val="none" w:sz="0" w:space="0" w:color="auto"/>
            <w:bottom w:val="none" w:sz="0" w:space="0" w:color="auto"/>
            <w:right w:val="none" w:sz="0" w:space="0" w:color="auto"/>
          </w:divBdr>
        </w:div>
        <w:div w:id="889880322">
          <w:marLeft w:val="0"/>
          <w:marRight w:val="0"/>
          <w:marTop w:val="0"/>
          <w:marBottom w:val="0"/>
          <w:divBdr>
            <w:top w:val="none" w:sz="0" w:space="0" w:color="auto"/>
            <w:left w:val="none" w:sz="0" w:space="0" w:color="auto"/>
            <w:bottom w:val="none" w:sz="0" w:space="0" w:color="auto"/>
            <w:right w:val="none" w:sz="0" w:space="0" w:color="auto"/>
          </w:divBdr>
        </w:div>
        <w:div w:id="1912689343">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iders.dffh.vic.gov.au/families-fairness-housing-health-activity-search" TargetMode="External"/><Relationship Id="rId21" Type="http://schemas.openxmlformats.org/officeDocument/2006/relationships/hyperlink" Target="https://www.health.vic.gov.au/policy-and-funding-guidelines-for-health-services" TargetMode="External"/><Relationship Id="rId42" Type="http://schemas.openxmlformats.org/officeDocument/2006/relationships/hyperlink" Target="https://www.health.vic.gov.au/publications/hospital-access-for-people-seeking-asylum" TargetMode="External"/><Relationship Id="rId47" Type="http://schemas.openxmlformats.org/officeDocument/2006/relationships/hyperlink" Target="https://www.health.vic.gov.au/data-reporting/victorian-admitted-episodes-dataset" TargetMode="External"/><Relationship Id="rId63" Type="http://schemas.openxmlformats.org/officeDocument/2006/relationships/hyperlink" Target="https://www.ihacpa.gov.au/resources/national-efficient-price-determination-2022-23" TargetMode="External"/><Relationship Id="rId68" Type="http://schemas.openxmlformats.org/officeDocument/2006/relationships/hyperlink" Target="https://www.healthcollect.vic.gov.au" TargetMode="External"/><Relationship Id="rId84" Type="http://schemas.openxmlformats.org/officeDocument/2006/relationships/hyperlink" Target="https://www.health.vic.gov.au/hospitals-and-health-services/patient-fees-and-charges-for-public-health-services" TargetMode="External"/><Relationship Id="rId89"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ihacpa.gov.au/pricing/national-efficient-price-determination" TargetMode="External"/><Relationship Id="rId107" Type="http://schemas.openxmlformats.org/officeDocument/2006/relationships/header" Target="header16.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image" Target="media/image2.png"/><Relationship Id="rId37" Type="http://schemas.openxmlformats.org/officeDocument/2006/relationships/hyperlink" Target="https://www.safetyandquality.gov.au/our-work/indicators/hospital-acquired-complications" TargetMode="External"/><Relationship Id="rId40" Type="http://schemas.openxmlformats.org/officeDocument/2006/relationships/hyperlink" Target="https://www.health.vic.gov.au/data-reporting/health-data-standards-and-systems" TargetMode="External"/><Relationship Id="rId45" Type="http://schemas.openxmlformats.org/officeDocument/2006/relationships/hyperlink" Target="https://www.health.vic.gov.au/hospitals-and-health-services/patient-fees-and-charges-for-public-health-services" TargetMode="External"/><Relationship Id="rId53" Type="http://schemas.openxmlformats.org/officeDocument/2006/relationships/hyperlink" Target="https://www.ihacpa.gov.au/pricing/national-pricing-model-technical-specifications" TargetMode="External"/><Relationship Id="rId58" Type="http://schemas.openxmlformats.org/officeDocument/2006/relationships/hyperlink" Target="mailto:hdss.helpdesk@health.vic.gov.au" TargetMode="External"/><Relationship Id="rId66" Type="http://schemas.openxmlformats.org/officeDocument/2006/relationships/hyperlink" Target="https://www.health.vic.gov.au/publications/hen-and-tpn-home-delivered-funding-arrangements-for-victorian-public-health-services" TargetMode="External"/><Relationship Id="rId74" Type="http://schemas.openxmlformats.org/officeDocument/2006/relationships/hyperlink" Target="https://www.health.vic.gov.au/data-reporting/victorian-admitted-episodes-dataset" TargetMode="External"/><Relationship Id="rId79" Type="http://schemas.openxmlformats.org/officeDocument/2006/relationships/hyperlink" Target="https://www.health.vic.gov.au/patient-fees-charges/worksafe-patients" TargetMode="External"/><Relationship Id="rId87" Type="http://schemas.openxmlformats.org/officeDocument/2006/relationships/hyperlink" Target="https://auc-word-edit.officeapps.live.com/we/wordeditorframe.aspx?ui=en%2DUS&amp;rs=en%2DAU&amp;wopisrc=https%3A%2F%2Fdhhsvicgovau.sharepoint.com%2Fsites%2FHealthServicePerformanceStrategy%2F_vti_bin%2Fwopi.ashx%2Ffiles%2Fe877230e5d794d8083ee307129a7626e&amp;wdlor=c3D1DD05C-EFB6-44F1-ACE7-A370BBAB93F9&amp;wdenableroaming=1&amp;mscc=1&amp;hid=262C696B-262C-4109-BEA4-45B6C35E8384&amp;wdorigin=Outlook-Body&amp;wdhostclicktime=1629964250913&amp;jsapi=1&amp;jsapiver=v1&amp;newsession=1&amp;corrid=2977343c-59c1-87fd-cd0b-20593153e5b4&amp;usid=2977343c-59c1-87fd-cd0b-20593153e5b4&amp;sftc=1&amp;mtf=1&amp;sfp=1&amp;instantedit=1&amp;wopicomplete=1&amp;wdredirectionreason=Unified_SingleFlush&amp;preseededsessionkey=caca07a6-5bdd-d7fe-4873-9e9d50fd848d&amp;preseededwacsessionid=2977343c-59c1-87fd-cd0b-20593153e5b4&amp;rct=Medium&amp;ctp=LeastProtected" TargetMode="External"/><Relationship Id="rId102" Type="http://schemas.openxmlformats.org/officeDocument/2006/relationships/header" Target="header13.xml"/><Relationship Id="rId110"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www.health.vic.gov.au/publications/vinah-manual-version-17-2022-23" TargetMode="External"/><Relationship Id="rId82" Type="http://schemas.openxmlformats.org/officeDocument/2006/relationships/hyperlink" Target="https://www.health.vic.gov.au/publications/aboriginal-cultural-safety-fixed-grant-guidelines-cultural-safety-planning-and" TargetMode="External"/><Relationship Id="rId90" Type="http://schemas.openxmlformats.org/officeDocument/2006/relationships/header" Target="header7.xml"/><Relationship Id="rId95" Type="http://schemas.openxmlformats.org/officeDocument/2006/relationships/footer" Target="footer8.xml"/><Relationship Id="rId19" Type="http://schemas.openxmlformats.org/officeDocument/2006/relationships/hyperlink" Target="https://fac.dhhs.vic.gov.au/service-agreement"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health.vic.gov.au/funding-performance-accountability/pricing-and-funding-framework" TargetMode="External"/><Relationship Id="rId30" Type="http://schemas.openxmlformats.org/officeDocument/2006/relationships/hyperlink" Target="https://www.ihacpa.gov.au/resources/national-pricing-model-technical-specifications-2022-23" TargetMode="External"/><Relationship Id="rId35" Type="http://schemas.openxmlformats.org/officeDocument/2006/relationships/hyperlink" Target="https://www.ihacpa.gov.au/health-care/pricing/national-efficient-cost-determination" TargetMode="External"/><Relationship Id="rId43" Type="http://schemas.openxmlformats.org/officeDocument/2006/relationships/hyperlink" Target="https://meteor.aihw.gov.au" TargetMode="External"/><Relationship Id="rId48" Type="http://schemas.openxmlformats.org/officeDocument/2006/relationships/hyperlink" Target="https://www.ihacpa.gov.au/resources/national-efficient-price-determination-2022-23" TargetMode="External"/><Relationship Id="rId56" Type="http://schemas.openxmlformats.org/officeDocument/2006/relationships/hyperlink" Target="https://www.ihacpa.gov.au/resources/national-efficient-price-determination-2022-23" TargetMode="External"/><Relationship Id="rId64" Type="http://schemas.openxmlformats.org/officeDocument/2006/relationships/hyperlink" Target="https://www.healthcollect.vic.gov.au" TargetMode="External"/><Relationship Id="rId69" Type="http://schemas.openxmlformats.org/officeDocument/2006/relationships/hyperlink" Target="https://www.health.vic.gov.au/patient-care/conditions-of-funding-for-palliative-care" TargetMode="External"/><Relationship Id="rId77" Type="http://schemas.openxmlformats.org/officeDocument/2006/relationships/hyperlink" Target="https://www.health.vic.gov.au/patient-fees-charges/transport-accident-commission-patients" TargetMode="External"/><Relationship Id="rId100" Type="http://schemas.openxmlformats.org/officeDocument/2006/relationships/footer" Target="footer11.xml"/><Relationship Id="rId105"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hyperlink" Target="https://www.health.vic.gov.au/patient-care/subacute-planning-framework" TargetMode="External"/><Relationship Id="rId72" Type="http://schemas.openxmlformats.org/officeDocument/2006/relationships/hyperlink" Target="https://www.vhba.vic.gov.au/resources/grant-programs" TargetMode="External"/><Relationship Id="rId80" Type="http://schemas.openxmlformats.org/officeDocument/2006/relationships/hyperlink" Target="https://www.health.vic.gov.au/hospitals-and-health-services/patient-fees-and-charges-for-public-health-services" TargetMode="External"/><Relationship Id="rId85" Type="http://schemas.openxmlformats.org/officeDocument/2006/relationships/hyperlink" Target="https://www.health.vic.gov.au/patient-fees-charges/private-patients" TargetMode="External"/><Relationship Id="rId93" Type="http://schemas.openxmlformats.org/officeDocument/2006/relationships/header" Target="header9.xml"/><Relationship Id="rId98"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www.ihacpa.gov.au/resources/pricing-framework-australian-public-hospital-services-2022-23" TargetMode="External"/><Relationship Id="rId38" Type="http://schemas.openxmlformats.org/officeDocument/2006/relationships/hyperlink" Target="https://www.ihacpa.gov.au/resources/national-pricing-model-technical-specifications-2022-23" TargetMode="External"/><Relationship Id="rId46" Type="http://schemas.openxmlformats.org/officeDocument/2006/relationships/hyperlink" Target="https://www.ihacpa.gov.au/health-care/pricing/national-efficient-cost-determination" TargetMode="External"/><Relationship Id="rId59" Type="http://schemas.openxmlformats.org/officeDocument/2006/relationships/hyperlink" Target="file:///C:/Users/vidfr3p/AppData/Local/Microsoft/Windows/INetCache/Content.Outlook/IJH3F8HT/Non-admitted%20patient%20NBEDS%202022&#8211;23" TargetMode="External"/><Relationship Id="rId67" Type="http://schemas.openxmlformats.org/officeDocument/2006/relationships/hyperlink" Target="https://www.health.vic.gov.au/funding-performance-accountability/mbs-billing-policy-framework-victorian-public-hospitals" TargetMode="External"/><Relationship Id="rId103" Type="http://schemas.openxmlformats.org/officeDocument/2006/relationships/header" Target="header14.xml"/><Relationship Id="rId108" Type="http://schemas.openxmlformats.org/officeDocument/2006/relationships/fontTable" Target="fontTable.xml"/><Relationship Id="rId20" Type="http://schemas.openxmlformats.org/officeDocument/2006/relationships/hyperlink" Target="mailto:accountability@health.vic.gov.au" TargetMode="External"/><Relationship Id="rId41" Type="http://schemas.openxmlformats.org/officeDocument/2006/relationships/hyperlink" Target="https://www.health.vic.gov.au/data-reporting/health-data-standards-and-systems" TargetMode="External"/><Relationship Id="rId54" Type="http://schemas.openxmlformats.org/officeDocument/2006/relationships/hyperlink" Target="https://www.ihacpa.gov.au/resources/national-efficient-price-determination-2022-23" TargetMode="External"/><Relationship Id="rId62" Type="http://schemas.openxmlformats.org/officeDocument/2006/relationships/hyperlink" Target="https://www.ihacpa.gov.au/health-care/classifications/non-admitted-care/tier-2" TargetMode="External"/><Relationship Id="rId70" Type="http://schemas.openxmlformats.org/officeDocument/2006/relationships/hyperlink" Target="https://www.health.vic.gov.au/health-strategies/radiotherapy-service-locations" TargetMode="External"/><Relationship Id="rId75" Type="http://schemas.openxmlformats.org/officeDocument/2006/relationships/hyperlink" Target="https://www.dva.gov.au/health-and-wellbeing/home-and-care/rehabilitation-appliances-program-rap" TargetMode="External"/><Relationship Id="rId83" Type="http://schemas.openxmlformats.org/officeDocument/2006/relationships/hyperlink" Target="mailto:hdss.helpdesk@health.vic.gov.au" TargetMode="External"/><Relationship Id="rId88" Type="http://schemas.openxmlformats.org/officeDocument/2006/relationships/header" Target="header6.xml"/><Relationship Id="rId91" Type="http://schemas.openxmlformats.org/officeDocument/2006/relationships/header" Target="header8.xm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f37efa2b978242c6" Type="http://schemas.microsoft.com/office/2019/09/relationships/intelligence" Target="intelligence.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health.vic.gov.au/patient-care/subcutaneous-immunoglobulin-scig-access-program" TargetMode="External"/><Relationship Id="rId36" Type="http://schemas.openxmlformats.org/officeDocument/2006/relationships/hyperlink" Target="https://www.ihacpa.gov.au/resources/national-pricing-model-technical-specifications-2022-23" TargetMode="External"/><Relationship Id="rId49" Type="http://schemas.openxmlformats.org/officeDocument/2006/relationships/hyperlink" Target="https://www.ihacpa.gov.au/resources/national-pricing-model-technical-specifications-2022-23" TargetMode="External"/><Relationship Id="rId57" Type="http://schemas.openxmlformats.org/officeDocument/2006/relationships/hyperlink" Target="https://www.ihacpa.gov.au/resources/national-efficient-price-determination-2022-23" TargetMode="External"/><Relationship Id="rId106" Type="http://schemas.openxmlformats.org/officeDocument/2006/relationships/header" Target="header15.xml"/><Relationship Id="rId10" Type="http://schemas.openxmlformats.org/officeDocument/2006/relationships/endnotes" Target="endnotes.xml"/><Relationship Id="rId31" Type="http://schemas.openxmlformats.org/officeDocument/2006/relationships/hyperlink" Target="https://www.ihacpa.gov.au/resources/national-efficient-price-determination-2022-23" TargetMode="External"/><Relationship Id="rId44" Type="http://schemas.openxmlformats.org/officeDocument/2006/relationships/hyperlink" Target="https://www.health.vic.gov.au/data-reporting/health-data-standards-and-systems" TargetMode="External"/><Relationship Id="rId52" Type="http://schemas.openxmlformats.org/officeDocument/2006/relationships/hyperlink" Target="https://www.ihacpa.gov.au/pricing/national-efficient-price-determination" TargetMode="External"/><Relationship Id="rId60" Type="http://schemas.openxmlformats.org/officeDocument/2006/relationships/hyperlink" Target="https://www.ihacpa.gov.au/resources/tier-2-non-admitted-services-2021-22" TargetMode="External"/><Relationship Id="rId65" Type="http://schemas.openxmlformats.org/officeDocument/2006/relationships/hyperlink" Target="https://www.health.vic.gov.au/publications/hen-and-tpn-home-delivered-funding-arrangements-for-victorian-public-health-services" TargetMode="External"/><Relationship Id="rId73" Type="http://schemas.openxmlformats.org/officeDocument/2006/relationships/hyperlink" Target="https://www.health.vic.gov.au/publications/primary-health-programs-recall-policy-and-guidelines" TargetMode="External"/><Relationship Id="rId78" Type="http://schemas.openxmlformats.org/officeDocument/2006/relationships/hyperlink" Target="https://www.tac.vic.gov.au/providers" TargetMode="External"/><Relationship Id="rId81" Type="http://schemas.openxmlformats.org/officeDocument/2006/relationships/hyperlink" Target="https://www.health.vic.gov.au/publications/aboriginal-cultural-safety-fixed-grant-guidelines-cultural-safety-planning-and" TargetMode="External"/><Relationship Id="rId86" Type="http://schemas.openxmlformats.org/officeDocument/2006/relationships/hyperlink" Target="https://auc-word-edit.officeapps.live.com/we/wordeditorframe.aspx?ui=en%2DUS&amp;rs=en%2DAU&amp;wopisrc=https%3A%2F%2Fdhhsvicgovau.sharepoint.com%2Fsites%2FHealthServicePerformanceStrategy%2F_vti_bin%2Fwopi.ashx%2Ffiles%2Fe877230e5d794d8083ee307129a7626e&amp;wdlor=c3D1DD05C-EFB6-44F1-ACE7-A370BBAB93F9&amp;wdenableroaming=1&amp;mscc=1&amp;hid=262C696B-262C-4109-BEA4-45B6C35E8384&amp;wdorigin=Outlook-Body&amp;wdhostclicktime=1629964250913&amp;jsapi=1&amp;jsapiver=v1&amp;newsession=1&amp;corrid=2977343c-59c1-87fd-cd0b-20593153e5b4&amp;usid=2977343c-59c1-87fd-cd0b-20593153e5b4&amp;sftc=1&amp;mtf=1&amp;sfp=1&amp;instantedit=1&amp;wopicomplete=1&amp;wdredirectionreason=Unified_SingleFlush&amp;preseededsessionkey=caca07a6-5bdd-d7fe-4873-9e9d50fd848d&amp;preseededwacsessionid=2977343c-59c1-87fd-cd0b-20593153e5b4&amp;rct=Medium&amp;ctp=LeastProtected" TargetMode="External"/><Relationship Id="rId94" Type="http://schemas.openxmlformats.org/officeDocument/2006/relationships/header" Target="header10.xml"/><Relationship Id="rId99" Type="http://schemas.openxmlformats.org/officeDocument/2006/relationships/header" Target="header12.xml"/><Relationship Id="rId10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health.vic.gov.au/policy-and-funding-guidelines-for-health-services" TargetMode="External"/><Relationship Id="rId39" Type="http://schemas.openxmlformats.org/officeDocument/2006/relationships/hyperlink" Target="https://www.health.vic.gov.au/data-reporting/victorian-cost-data-collection-vcdc" TargetMode="External"/><Relationship Id="rId109" Type="http://schemas.openxmlformats.org/officeDocument/2006/relationships/theme" Target="theme/theme1.xml"/><Relationship Id="rId34" Type="http://schemas.openxmlformats.org/officeDocument/2006/relationships/hyperlink" Target="https://www.ihacpa.gov.au/pricing/national-efficient-price-determination" TargetMode="External"/><Relationship Id="rId50" Type="http://schemas.openxmlformats.org/officeDocument/2006/relationships/hyperlink" Target="https://www.health.vic.gov.au/data-reporting/victorian-admitted-episodes-dataset" TargetMode="External"/><Relationship Id="rId55" Type="http://schemas.openxmlformats.org/officeDocument/2006/relationships/hyperlink" Target="https://www.ihacpa.gov.au/resources/national-efficient-price-determination-2022-23" TargetMode="External"/><Relationship Id="rId76" Type="http://schemas.openxmlformats.org/officeDocument/2006/relationships/hyperlink" Target="http://www.dva.gov.au" TargetMode="External"/><Relationship Id="rId97" Type="http://schemas.openxmlformats.org/officeDocument/2006/relationships/footer" Target="footer9.xml"/><Relationship Id="rId104" Type="http://schemas.openxmlformats.org/officeDocument/2006/relationships/footer" Target="footer13.xml"/><Relationship Id="rId7" Type="http://schemas.openxmlformats.org/officeDocument/2006/relationships/settings" Target="settings.xml"/><Relationship Id="rId71" Type="http://schemas.openxmlformats.org/officeDocument/2006/relationships/hyperlink" Target="https://www.health.vic.gov.au/health-strategies/radiotherapy-services" TargetMode="External"/><Relationship Id="rId92" Type="http://schemas.openxmlformats.org/officeDocument/2006/relationships/footer" Target="footer7.xml"/></Relationships>
</file>

<file path=word/documenttasks/documenttasks1.xml><?xml version="1.0" encoding="utf-8"?>
<t:Tasks xmlns:t="http://schemas.microsoft.com/office/tasks/2019/documenttasks" xmlns:oel="http://schemas.microsoft.com/office/2019/extlst">
  <t:Task id="{42948F6E-D9DB-4819-907B-9993FD754AB1}">
    <t:Anchor>
      <t:Comment id="618779813"/>
    </t:Anchor>
    <t:History>
      <t:Event id="{091BC38B-F15D-4940-ADDA-0B1200D56122}" time="2021-12-01T02:07:03.586Z">
        <t:Attribution userId="S::caleb.stewart@health.vic.gov.au::b292f7e2-80eb-43b2-94fb-359c48446630" userProvider="AD" userName="Caleb Stewart (Health)"/>
        <t:Anchor>
          <t:Comment id="787888114"/>
        </t:Anchor>
        <t:Create/>
      </t:Event>
      <t:Event id="{6C58E6B8-1994-45A0-ACCD-4837C47C4B50}" time="2021-12-01T02:07:03.586Z">
        <t:Attribution userId="S::caleb.stewart@health.vic.gov.au::b292f7e2-80eb-43b2-94fb-359c48446630" userProvider="AD" userName="Caleb Stewart (Health)"/>
        <t:Anchor>
          <t:Comment id="787888114"/>
        </t:Anchor>
        <t:Assign userId="S::Rosangela.Merlo@health.vic.gov.au::3cc3342e-e8e9-46dd-8c29-8d4b04c61ee5" userProvider="AD" userName="Rosangela Merlo (Health)"/>
      </t:Event>
      <t:Event id="{60D3483D-A7DD-447E-8520-6AC8B6B0DE12}" time="2021-12-01T02:07:03.586Z">
        <t:Attribution userId="S::caleb.stewart@health.vic.gov.au::b292f7e2-80eb-43b2-94fb-359c48446630" userProvider="AD" userName="Caleb Stewart (Health)"/>
        <t:Anchor>
          <t:Comment id="787888114"/>
        </t:Anchor>
        <t:SetTitle title="@Rosangela Merlo (Health) Needs to be reviewed by policy area and/or reporting area. Last paragraph that relates to funding looks ok - no change from last year except unit is now NWAU. @Tim Austin (Health) will need to advise if the approach from last …"/>
      </t:Event>
    </t:History>
  </t:Task>
  <t:Task id="{BF413C0B-A08D-4EC9-9C1E-437C080454AC}">
    <t:Anchor>
      <t:Comment id="355881675"/>
    </t:Anchor>
    <t:History>
      <t:Event id="{15E1856C-5708-49A6-AE97-F48C6630F47E}" time="2021-08-05T23:44:39.62Z">
        <t:Attribution userId="S::caleb.stewart@health.vic.gov.au::b292f7e2-80eb-43b2-94fb-359c48446630" userProvider="AD" userName="Caleb Stewart (Health)"/>
        <t:Anchor>
          <t:Comment id="355881675"/>
        </t:Anchor>
        <t:Create/>
      </t:Event>
      <t:Event id="{699F9687-F6E9-49BD-9FDE-283341C0A41A}" time="2021-08-05T23:44:39.62Z">
        <t:Attribution userId="S::caleb.stewart@health.vic.gov.au::b292f7e2-80eb-43b2-94fb-359c48446630" userProvider="AD" userName="Caleb Stewart (Health)"/>
        <t:Anchor>
          <t:Comment id="355881675"/>
        </t:Anchor>
        <t:Assign userId="S::Jacqui.Hickey@health.vic.gov.au::7960ad19-3329-4fe0-8822-ef4b92e611eb" userProvider="AD" userName="Jacqui Hickey (Health)"/>
      </t:Event>
      <t:Event id="{2CA86AF5-2EF7-40BC-B6C3-E8B6DF5F29CA}" time="2021-08-05T23:44:39.62Z">
        <t:Attribution userId="S::caleb.stewart@health.vic.gov.au::b292f7e2-80eb-43b2-94fb-359c48446630" userProvider="AD" userName="Caleb Stewart (Health)"/>
        <t:Anchor>
          <t:Comment id="355881675"/>
        </t:Anchor>
        <t:SetTitle title="@Jacqui Hickey (Health) may wish to revise"/>
      </t:Event>
      <t:Event id="{12C7655D-1EC7-44BD-B260-A4D5B03B2655}" time="2021-12-02T07:28:27.236Z">
        <t:Attribution userId="S::jacqui.hickey@health.vic.gov.au::7960ad19-3329-4fe0-8822-ef4b92e611eb" userProvider="AD" userName="Jacqui Hickey (Health)"/>
        <t:Progress percentComplete="0"/>
      </t:Event>
      <t:Event id="{8BC2182C-1EB5-41F0-B4DA-50ADA6DE373F}" time="2021-12-02T07:30:35.582Z">
        <t:Attribution userId="S::jacqui.hickey@health.vic.gov.au::7960ad19-3329-4fe0-8822-ef4b92e611eb" userProvider="AD" userName="Jacqui Hickey (Health)"/>
        <t:Anchor>
          <t:Comment id="940512640"/>
        </t:Anchor>
        <t:UnassignAll/>
      </t:Event>
      <t:Event id="{F2C67170-8F18-44F6-BF2A-C64956388552}" time="2021-12-02T07:30:35.582Z">
        <t:Attribution userId="S::jacqui.hickey@health.vic.gov.au::7960ad19-3329-4fe0-8822-ef4b92e611eb" userProvider="AD" userName="Jacqui Hickey (Health)"/>
        <t:Anchor>
          <t:Comment id="940512640"/>
        </t:Anchor>
        <t:Assign userId="S::Rosangela.Merlo@health.vic.gov.au::3cc3342e-e8e9-46dd-8c29-8d4b04c61ee5" userProvider="AD" userName="Rosangela Merlo (Health)"/>
      </t:Event>
      <t:Event id="{49E5D16E-253E-4E96-813C-65BE9FDD7F61}" time="2021-12-28T22:35:55.181Z">
        <t:Attribution userId="S::caleb.stewart@health.vic.gov.au::b292f7e2-80eb-43b2-94fb-359c48446630" userProvider="AD" userName="Caleb Stewart (Health)"/>
        <t:Anchor>
          <t:Comment id="667640718"/>
        </t:Anchor>
        <t:UnassignAll/>
      </t:Event>
      <t:Event id="{FE34C7BE-3CE3-4912-8A55-DEB66EA7EA37}" time="2021-12-28T22:35:55.181Z">
        <t:Attribution userId="S::caleb.stewart@health.vic.gov.au::b292f7e2-80eb-43b2-94fb-359c48446630" userProvider="AD" userName="Caleb Stewart (Health)"/>
        <t:Anchor>
          <t:Comment id="667640718"/>
        </t:Anchor>
        <t:Assign userId="S::jy.yeo@health.vic.gov.au::bdeb43c7-7652-4d73-8806-8af4bbc54b05" userProvider="AD" userName="JY Yeo (Health)"/>
      </t:Event>
    </t:History>
  </t:Task>
  <t:Task id="{D1D473F9-618A-4A4C-9145-250AEB9B1AE3}">
    <t:Anchor>
      <t:Comment id="944843097"/>
    </t:Anchor>
    <t:History>
      <t:Event id="{87F767A2-ABFF-4580-9FD7-3477EA12B1B9}" time="2021-12-20T03:17:02.658Z">
        <t:Attribution userId="S::simon.moy@health.vic.gov.au::98259251-53f3-4510-a0aa-f04f80af91d3" userProvider="AD" userName="Simon Moy (Health)"/>
        <t:Anchor>
          <t:Comment id="944843097"/>
        </t:Anchor>
        <t:Create/>
      </t:Event>
      <t:Event id="{EE95B65F-CDCD-4F33-8FF1-6BEF3F6CD34C}" time="2021-12-20T03:17:02.658Z">
        <t:Attribution userId="S::simon.moy@health.vic.gov.au::98259251-53f3-4510-a0aa-f04f80af91d3" userProvider="AD" userName="Simon Moy (Health)"/>
        <t:Anchor>
          <t:Comment id="944843097"/>
        </t:Anchor>
        <t:Assign userId="S::Caleb.Stewart@health.vic.gov.au::b292f7e2-80eb-43b2-94fb-359c48446630" userProvider="AD" userName="Caleb Stewart (Health)"/>
      </t:Event>
      <t:Event id="{11AA5329-2FA7-4D0A-89CA-579512D61530}" time="2021-12-20T03:17:02.658Z">
        <t:Attribution userId="S::simon.moy@health.vic.gov.au::98259251-53f3-4510-a0aa-f04f80af91d3" userProvider="AD" userName="Simon Moy (Health)"/>
        <t:Anchor>
          <t:Comment id="944843097"/>
        </t:Anchor>
        <t:SetTitle title="@Caleb Stewart (Health) Shouldn't this part I have highlighted in yellow be deleted? That applied under the old WIES model but I don't believe that is the case under NWAU."/>
      </t:Event>
    </t:History>
  </t:Task>
  <t:Task id="{FCF4903D-FD27-4FA0-94EA-94ABFDCC93B0}">
    <t:Anchor>
      <t:Comment id="615949683"/>
    </t:Anchor>
    <t:History>
      <t:Event id="{5ED2D0C0-B76B-4CF7-9F5C-0C9309D8172A}" time="2021-09-01T06:45:42.627Z">
        <t:Attribution userId="S::sara.harrison@vahi.vic.gov.au::eb82c99c-e33a-4ca8-9133-4ff6c4ed7437" userProvider="AD" userName="Sara Harrison (Health)"/>
        <t:Anchor>
          <t:Comment id="996546927"/>
        </t:Anchor>
        <t:Create/>
      </t:Event>
      <t:Event id="{50E05445-A0EE-4EBC-8FEB-6FA439C28592}" time="2021-09-01T06:45:42.627Z">
        <t:Attribution userId="S::sara.harrison@vahi.vic.gov.au::eb82c99c-e33a-4ca8-9133-4ff6c4ed7437" userProvider="AD" userName="Sara Harrison (Health)"/>
        <t:Anchor>
          <t:Comment id="996546927"/>
        </t:Anchor>
        <t:Assign userId="S::Rosangela.Merlo@health.vic.gov.au::3cc3342e-e8e9-46dd-8c29-8d4b04c61ee5" userProvider="AD" userName="Rosangela Merlo (Health)"/>
      </t:Event>
      <t:Event id="{CF959900-1F1C-4D2F-AE58-75F6664352F6}" time="2021-09-01T06:45:42.627Z">
        <t:Attribution userId="S::sara.harrison@vahi.vic.gov.au::eb82c99c-e33a-4ca8-9133-4ff6c4ed7437" userProvider="AD" userName="Sara Harrison (Health)"/>
        <t:Anchor>
          <t:Comment id="996546927"/>
        </t:Anchor>
        <t:SetTitle title="@Rosangela Merlo (Health) yes, this is confirmed"/>
      </t:Event>
    </t:History>
  </t:Task>
  <t:Task id="{0C110DA5-434A-4162-85B5-16B65D23C232}">
    <t:Anchor>
      <t:Comment id="2126985400"/>
    </t:Anchor>
    <t:History>
      <t:Event id="{58F6ADB3-AA8E-4B1F-905A-A632D9761561}" time="2021-12-09T04:26:01.294Z">
        <t:Attribution userId="S::daffodil.pope@health.vic.gov.au::ed09036d-a4c6-4284-89e2-9c41e8d92aa5" userProvider="AD" userName="Daffodil Pope (Health)"/>
        <t:Anchor>
          <t:Comment id="2126985400"/>
        </t:Anchor>
        <t:Create/>
      </t:Event>
      <t:Event id="{0F303226-902D-45A5-88EF-7DD12E483CBC}" time="2021-12-09T04:26:01.294Z">
        <t:Attribution userId="S::daffodil.pope@health.vic.gov.au::ed09036d-a4c6-4284-89e2-9c41e8d92aa5" userProvider="AD" userName="Daffodil Pope (Health)"/>
        <t:Anchor>
          <t:Comment id="2126985400"/>
        </t:Anchor>
        <t:Assign userId="S::Louise.McGuire@health.vic.gov.au::75b954fe-123c-4bf0-8cb8-6ffa45982c06" userProvider="AD" userName="Louise McGuire (Health)"/>
      </t:Event>
      <t:Event id="{C725FDA1-F83A-43E0-9987-CD36685FFCD8}" time="2021-12-09T04:26:01.294Z">
        <t:Attribution userId="S::daffodil.pope@health.vic.gov.au::ed09036d-a4c6-4284-89e2-9c41e8d92aa5" userProvider="AD" userName="Daffodil Pope (Health)"/>
        <t:Anchor>
          <t:Comment id="2126985400"/>
        </t:Anchor>
        <t:SetTitle title="@Louise McGuire (Health) I have corrected RDNS top up to reflect only the top up amount, not RDNS rate. Does this need to be the full rate we are paying RDNS or just the top up?"/>
      </t:Event>
    </t:History>
  </t:Task>
  <t:Task id="{D769AEED-1C0D-45DE-A834-527D67FB8503}">
    <t:Anchor>
      <t:Comment id="618272616"/>
    </t:Anchor>
    <t:History>
      <t:Event id="{6B0CDD83-5980-42C1-AB1D-C69864ACE74D}" time="2021-09-02T21:48:03.24Z">
        <t:Attribution userId="S::rosangela.merlo@health.vic.gov.au::3cc3342e-e8e9-46dd-8c29-8d4b04c61ee5" userProvider="AD" userName="Rosangela Merlo (Health)"/>
        <t:Anchor>
          <t:Comment id="332780909"/>
        </t:Anchor>
        <t:Create/>
      </t:Event>
      <t:Event id="{E2C8DAE6-7E74-469C-9DAD-71205E6B5577}" time="2021-09-02T21:48:03.24Z">
        <t:Attribution userId="S::rosangela.merlo@health.vic.gov.au::3cc3342e-e8e9-46dd-8c29-8d4b04c61ee5" userProvider="AD" userName="Rosangela Merlo (Health)"/>
        <t:Anchor>
          <t:Comment id="332780909"/>
        </t:Anchor>
        <t:Assign userId="S::Barbara.Chalkley@health.vic.gov.au::a1d56102-76ae-48db-9c99-6fd8b5bdf969" userProvider="AD" userName="Barbara Chalkley (Health)"/>
      </t:Event>
      <t:Event id="{63CD3064-287E-4939-A5E2-99E86FA3E3DA}" time="2021-09-02T21:48:03.24Z">
        <t:Attribution userId="S::rosangela.merlo@health.vic.gov.au::3cc3342e-e8e9-46dd-8c29-8d4b04c61ee5" userProvider="AD" userName="Rosangela Merlo (Health)"/>
        <t:Anchor>
          <t:Comment id="332780909"/>
        </t:Anchor>
        <t:SetTitle title="@Barbara Chalkley (Health) Are you able to update this table by COB Monday please? Urgent"/>
      </t:Event>
    </t:History>
  </t:Task>
  <t:Task id="{4FDDA22B-33B6-483F-A9B6-D44B93B4ADCD}">
    <t:Anchor>
      <t:Comment id="640661364"/>
    </t:Anchor>
    <t:History>
      <t:Event id="{636C5958-BC7A-4E35-8CCA-3812664BE35F}" time="2022-05-19T00:53:13.924Z">
        <t:Attribution userId="S::marianna.pisani@health.vic.gov.au::82f2301e-44ce-4203-abb0-59c95aff0777" userProvider="AD" userName="Marianna Pisani (Health)"/>
        <t:Anchor>
          <t:Comment id="408698066"/>
        </t:Anchor>
        <t:Create/>
      </t:Event>
      <t:Event id="{77A78251-333E-4310-A887-3A7622134564}" time="2022-05-19T00:53:13.924Z">
        <t:Attribution userId="S::marianna.pisani@health.vic.gov.au::82f2301e-44ce-4203-abb0-59c95aff0777" userProvider="AD" userName="Marianna Pisani (Health)"/>
        <t:Anchor>
          <t:Comment id="408698066"/>
        </t:Anchor>
        <t:Assign userId="S::Vanessa.Stevens-Downie@health.vic.gov.au::71040e06-2120-47a5-b8a2-004487037cfa" userProvider="AD" userName="Vanessa Stevens-Downie (Health)"/>
      </t:Event>
      <t:Event id="{91277B9B-8732-46C9-983B-E8FF4945343B}" time="2022-05-19T00:53:13.924Z">
        <t:Attribution userId="S::marianna.pisani@health.vic.gov.au::82f2301e-44ce-4203-abb0-59c95aff0777" userProvider="AD" userName="Marianna Pisani (Health)"/>
        <t:Anchor>
          <t:Comment id="408698066"/>
        </t:Anchor>
        <t:SetTitle title="@Vanessa Stevens-Downie (Health) tbc asap"/>
      </t:Event>
    </t:History>
  </t:Task>
  <t:Task id="{A38400AD-BAC6-4246-871F-37AB870C7A32}">
    <t:Anchor>
      <t:Comment id="625356443"/>
    </t:Anchor>
    <t:History>
      <t:Event id="{AD9F947B-1326-4D3A-A398-DEFC38291772}" time="2021-12-09T04:17:42.399Z">
        <t:Attribution userId="S::daffodil.pope@health.vic.gov.au::ed09036d-a4c6-4284-89e2-9c41e8d92aa5" userProvider="AD" userName="Daffodil Pope (Health)"/>
        <t:Anchor>
          <t:Comment id="217706987"/>
        </t:Anchor>
        <t:Create/>
      </t:Event>
      <t:Event id="{5B223FF2-7419-41BD-97E9-06E39A42F43B}" time="2021-12-09T04:17:42.399Z">
        <t:Attribution userId="S::daffodil.pope@health.vic.gov.au::ed09036d-a4c6-4284-89e2-9c41e8d92aa5" userProvider="AD" userName="Daffodil Pope (Health)"/>
        <t:Anchor>
          <t:Comment id="217706987"/>
        </t:Anchor>
        <t:Assign userId="S::Rosangela.Merlo@health.vic.gov.au::3cc3342e-e8e9-46dd-8c29-8d4b04c61ee5" userProvider="AD" userName="Rosangela Merlo (Health)"/>
      </t:Event>
      <t:Event id="{F1600C1E-9E21-486C-B076-5EE67C9F5805}" time="2021-12-09T04:17:42.399Z">
        <t:Attribution userId="S::daffodil.pope@health.vic.gov.au::ed09036d-a4c6-4284-89e2-9c41e8d92aa5" userProvider="AD" userName="Daffodil Pope (Health)"/>
        <t:Anchor>
          <t:Comment id="217706987"/>
        </t:Anchor>
        <t:SetTitle title="@Rosangela Merlo (Health) I have updated drug services prices with the correct prices for 2021-22"/>
      </t:Event>
    </t:History>
  </t:Task>
  <t:Task id="{1CF658CA-8759-43EB-8FA9-7F4E6CBF3F33}">
    <t:Anchor>
      <t:Comment id="628648477"/>
    </t:Anchor>
    <t:History>
      <t:Event id="{D58D9610-3D78-42FB-94D2-78E018B2495C}" time="2022-01-04T06:32:46.323Z">
        <t:Attribution userId="S::daffodil.pope@health.vic.gov.au::ed09036d-a4c6-4284-89e2-9c41e8d92aa5" userProvider="AD" userName="Daffodil Pope (Health)"/>
        <t:Anchor>
          <t:Comment id="194124333"/>
        </t:Anchor>
        <t:Create/>
      </t:Event>
      <t:Event id="{6D0D070D-C590-450B-8A64-2E2430D34137}" time="2022-01-04T06:32:46.323Z">
        <t:Attribution userId="S::daffodil.pope@health.vic.gov.au::ed09036d-a4c6-4284-89e2-9c41e8d92aa5" userProvider="AD" userName="Daffodil Pope (Health)"/>
        <t:Anchor>
          <t:Comment id="194124333"/>
        </t:Anchor>
        <t:Assign userId="S::jy.yeo@health.vic.gov.au::bdeb43c7-7652-4d73-8806-8af4bbc54b05" userProvider="AD" userName="JY Yeo (Health)"/>
      </t:Event>
      <t:Event id="{02D68C21-379C-4B93-8F25-63C958628FD8}" time="2022-01-04T06:32:46.323Z">
        <t:Attribution userId="S::daffodil.pope@health.vic.gov.au::ed09036d-a4c6-4284-89e2-9c41e8d92aa5" userProvider="AD" userName="Daffodil Pope (Health)"/>
        <t:Anchor>
          <t:Comment id="194124333"/>
        </t:Anchor>
        <t:SetTitle title="@JY Yeo (Health) Refer to my email to TIm. Can I send you the correct tables and you can replace the informaiton for this section?"/>
      </t:Event>
    </t:History>
  </t:Task>
  <t:Task id="{178C15BE-9127-4718-903E-883C2BF50D1E}">
    <t:Anchor>
      <t:Comment id="629137676"/>
    </t:Anchor>
    <t:History>
      <t:Event id="{9C68C6E4-FDE2-4D67-AE46-B87897FACF91}" time="2022-01-07T00:00:05.147Z">
        <t:Attribution userId="S::caleb.stewart@health.vic.gov.au::b292f7e2-80eb-43b2-94fb-359c48446630" userProvider="AD" userName="Caleb Stewart (Health)"/>
        <t:Anchor>
          <t:Comment id="247273471"/>
        </t:Anchor>
        <t:Create/>
      </t:Event>
      <t:Event id="{D044279F-FE1A-48D2-B0BB-871D0882E8BD}" time="2022-01-07T00:00:05.147Z">
        <t:Attribution userId="S::caleb.stewart@health.vic.gov.au::b292f7e2-80eb-43b2-94fb-359c48446630" userProvider="AD" userName="Caleb Stewart (Health)"/>
        <t:Anchor>
          <t:Comment id="247273471"/>
        </t:Anchor>
        <t:Assign userId="S::jy.yeo@health.vic.gov.au::bdeb43c7-7652-4d73-8806-8af4bbc54b05" userProvider="AD" userName="JY Yeo (Health)"/>
      </t:Event>
      <t:Event id="{F959DC6D-5B65-4385-859B-29E95A686659}" time="2022-01-07T00:00:05.147Z">
        <t:Attribution userId="S::caleb.stewart@health.vic.gov.au::b292f7e2-80eb-43b2-94fb-359c48446630" userProvider="AD" userName="Caleb Stewart (Health)"/>
        <t:Anchor>
          <t:Comment id="247273471"/>
        </t:Anchor>
        <t:SetTitle title="@JY Yeo (Health) @Tim Austin (Health) I assume this output table stays but dont have a view on retention. The data relates to outputting the grants for the relevant nhra output categories, as opposed to NWAU allocations."/>
      </t:Event>
    </t:History>
  </t:Task>
  <t:Task id="{B66DE381-FF05-4424-A33C-D06A4565CA31}">
    <t:Anchor>
      <t:Comment id="629329378"/>
    </t:Anchor>
    <t:History>
      <t:Event id="{E05986E3-B340-4A20-BBFB-5E932FFC0192}" time="2022-01-07T03:55:30.206Z">
        <t:Attribution userId="S::joanne.miller@health.vic.gov.au::adf88927-1aad-4620-9ba0-543cf14ce031" userProvider="AD" userName="Joanne Miller (Health)"/>
        <t:Anchor>
          <t:Comment id="2040362058"/>
        </t:Anchor>
        <t:Create/>
      </t:Event>
      <t:Event id="{B0237BCF-F034-4C1A-8811-136D614A1B9E}" time="2022-01-07T03:55:30.206Z">
        <t:Attribution userId="S::joanne.miller@health.vic.gov.au::adf88927-1aad-4620-9ba0-543cf14ce031" userProvider="AD" userName="Joanne Miller (Health)"/>
        <t:Anchor>
          <t:Comment id="2040362058"/>
        </t:Anchor>
        <t:Assign userId="S::lanii.birks@safercare.vic.gov.au::9b253cd9-4b78-4ff6-bfed-a6294aa39be3" userProvider="AD" userName="Lanii Birks (DHHS)"/>
      </t:Event>
      <t:Event id="{9F5E2767-14E0-4F3E-ADD7-982F85FC3B13}" time="2022-01-07T03:55:30.206Z">
        <t:Attribution userId="S::joanne.miller@health.vic.gov.au::adf88927-1aad-4620-9ba0-543cf14ce031" userProvider="AD" userName="Joanne Miller (Health)"/>
        <t:Anchor>
          <t:Comment id="2040362058"/>
        </t:Anchor>
        <t:SetTitle title="@Lanii Birks (DHHS) Would you be able to review this please."/>
      </t:Event>
    </t:History>
  </t:Task>
  <t:Task id="{C64A9E16-C41A-4BFA-B879-BB33D2CBBE33}">
    <t:Anchor>
      <t:Comment id="637711098"/>
    </t:Anchor>
    <t:History>
      <t:Event id="{0BB089A2-AB90-4A42-AF8E-9724FB70409E}" time="2022-04-14T06:49:19.787Z">
        <t:Attribution userId="S::nicole.doran@health.vic.gov.au::4b142da4-d1b3-4d8a-bb7a-546390884cb1" userProvider="AD" userName="Nicole Doran (Health)"/>
        <t:Anchor>
          <t:Comment id="1690972176"/>
        </t:Anchor>
        <t:Create/>
      </t:Event>
      <t:Event id="{8BF3C413-A6B8-4FA7-88AB-E601E8A33672}" time="2022-04-14T06:49:19.787Z">
        <t:Attribution userId="S::nicole.doran@health.vic.gov.au::4b142da4-d1b3-4d8a-bb7a-546390884cb1" userProvider="AD" userName="Nicole Doran (Health)"/>
        <t:Anchor>
          <t:Comment id="1690972176"/>
        </t:Anchor>
        <t:Assign userId="S::Alison.Boylan@health.vic.gov.au::c88e9016-43ea-4269-8999-aedc78ed1d9e" userProvider="AD" userName="Alison Boylan (Health)"/>
      </t:Event>
      <t:Event id="{EF816631-7E5B-40C4-8480-18F4F3E221A7}" time="2022-04-14T06:49:19.787Z">
        <t:Attribution userId="S::nicole.doran@health.vic.gov.au::4b142da4-d1b3-4d8a-bb7a-546390884cb1" userProvider="AD" userName="Nicole Doran (Health)"/>
        <t:Anchor>
          <t:Comment id="1690972176"/>
        </t:Anchor>
        <t:SetTitle title="@Alison Boylan (Health)"/>
      </t:Event>
    </t:History>
  </t:Task>
  <t:Task id="{AE0E8542-2C89-48EB-9ED5-A3F8CEB2634D}">
    <t:Anchor>
      <t:Comment id="768700537"/>
    </t:Anchor>
    <t:History>
      <t:Event id="{A0A91B0A-B7B6-46A9-A0B1-A5C71383CF08}" time="2022-05-02T05:41:01.617Z">
        <t:Attribution userId="S::louise.shanahan-mckenna@vahi.vic.gov.au::212d7edf-c2e9-4a42-b376-45ac23aabf9d" userProvider="AD" userName="Louise Shanahan-McKenna (Health)"/>
        <t:Anchor>
          <t:Comment id="768700537"/>
        </t:Anchor>
        <t:Create/>
      </t:Event>
      <t:Event id="{15532258-309D-4181-AF84-BE2EE5ED98FB}" time="2022-05-02T05:41:01.617Z">
        <t:Attribution userId="S::louise.shanahan-mckenna@vahi.vic.gov.au::212d7edf-c2e9-4a42-b376-45ac23aabf9d" userProvider="AD" userName="Louise Shanahan-McKenna (Health)"/>
        <t:Anchor>
          <t:Comment id="768700537"/>
        </t:Anchor>
        <t:Assign userId="S::Colin.Hornby@health.vic.gov.au::c258cd9a-a8d8-4901-95d9-21c549cd3f7a" userProvider="AD" userName="Colin Hornby (Health)"/>
      </t:Event>
      <t:Event id="{03E080DF-8775-44B7-BF01-139B2A4BAD99}" time="2022-05-02T05:41:01.617Z">
        <t:Attribution userId="S::louise.shanahan-mckenna@vahi.vic.gov.au::212d7edf-c2e9-4a42-b376-45ac23aabf9d" userProvider="AD" userName="Louise Shanahan-McKenna (Health)"/>
        <t:Anchor>
          <t:Comment id="768700537"/>
        </t:Anchor>
        <t:SetTitle title="@Colin Hornby (Health) and @Kerran Pierce (Health) I have added &quot;treatment and simulation&quot; here,as Tier 2 10.12 and 10.20 have been previously excluded in the VINAH manual, and now will be included. Please edit to ensure it make sense to Radiotherapy …"/>
      </t:Event>
    </t:History>
  </t:Task>
  <t:Task id="{5A8FD792-F35D-49DF-9F50-F0965A476D80}">
    <t:Anchor>
      <t:Comment id="619643893"/>
    </t:Anchor>
    <t:History>
      <t:Event id="{4105854F-EEC4-4B16-AF7C-96615E29A110}" time="2022-05-16T05:24:24.287Z">
        <t:Attribution userId="S::pansy.lee@health.vic.gov.au::6f62ef9b-ead4-4d20-bbca-ba3ad793feb1" userProvider="AD" userName="Pansy Lee (Health)"/>
        <t:Anchor>
          <t:Comment id="619643893"/>
        </t:Anchor>
        <t:Create/>
      </t:Event>
      <t:Event id="{C7EFA645-24DF-4658-B274-E564130AC1DC}" time="2022-05-16T05:24:24.287Z">
        <t:Attribution userId="S::pansy.lee@health.vic.gov.au::6f62ef9b-ead4-4d20-bbca-ba3ad793feb1" userProvider="AD" userName="Pansy Lee (Health)"/>
        <t:Anchor>
          <t:Comment id="619643893"/>
        </t:Anchor>
        <t:Assign userId="S::Deborah.Senior@health.vic.gov.au::3ad9e310-8703-48d1-bae3-a0ca6aa323ff" userProvider="AD" userName="Deborah Senior (Health)"/>
      </t:Event>
      <t:Event id="{C2D4E4B7-EF1F-431A-AE73-7C4EC9710748}" time="2022-05-16T05:24:24.287Z">
        <t:Attribution userId="S::pansy.lee@health.vic.gov.au::6f62ef9b-ead4-4d20-bbca-ba3ad793feb1" userProvider="AD" userName="Pansy Lee (Health)"/>
        <t:Anchor>
          <t:Comment id="619643893"/>
        </t:Anchor>
        <t:SetTitle title="@Deborah Senior (Health) can you please update"/>
      </t:Event>
      <t:Event id="{A01EAAD4-7972-4E61-A829-A0933812ADE9}" time="2022-05-16T07:07:59.481Z">
        <t:Attribution userId="S::deborah.senior@health.vic.gov.au::3ad9e310-8703-48d1-bae3-a0ca6aa323ff" userProvider="AD" userName="Deborah Senior (Health)"/>
        <t:Anchor>
          <t:Comment id="2140046264"/>
        </t:Anchor>
        <t:UnassignAll/>
      </t:Event>
      <t:Event id="{843CF7F4-CAAA-43B1-9722-11ED798818BA}" time="2022-05-16T07:07:59.481Z">
        <t:Attribution userId="S::deborah.senior@health.vic.gov.au::3ad9e310-8703-48d1-bae3-a0ca6aa323ff" userProvider="AD" userName="Deborah Senior (Health)"/>
        <t:Anchor>
          <t:Comment id="2140046264"/>
        </t:Anchor>
        <t:Assign userId="S::Pansy.Lee@health.vic.gov.au::6f62ef9b-ead4-4d20-bbca-ba3ad793feb1" userProvider="AD" userName="Pansy Lee (Health)"/>
      </t:Event>
    </t:History>
  </t:Task>
  <t:Task id="{74929937-823E-4BDA-91DB-D887844BDA68}">
    <t:Anchor>
      <t:Comment id="636329755"/>
    </t:Anchor>
    <t:History>
      <t:Event id="{F2E1D88C-43BE-49A1-AE9D-587225D061D8}" time="2022-05-18T03:56:45.468Z">
        <t:Attribution userId="S::marianna.pisani@health.vic.gov.au::82f2301e-44ce-4203-abb0-59c95aff0777" userProvider="AD" userName="Marianna Pisani (Health)"/>
        <t:Anchor>
          <t:Comment id="1324210884"/>
        </t:Anchor>
        <t:Create/>
      </t:Event>
      <t:Event id="{2F57C75A-7B41-4459-A9BC-1623C2242947}" time="2022-05-18T03:56:45.468Z">
        <t:Attribution userId="S::marianna.pisani@health.vic.gov.au::82f2301e-44ce-4203-abb0-59c95aff0777" userProvider="AD" userName="Marianna Pisani (Health)"/>
        <t:Anchor>
          <t:Comment id="1324210884"/>
        </t:Anchor>
        <t:Assign userId="S::Vanessa.Stevens-Downie@health.vic.gov.au::71040e06-2120-47a5-b8a2-004487037cfa" userProvider="AD" userName="Vanessa Stevens-Downie (Health)"/>
      </t:Event>
      <t:Event id="{CE6E1C51-C2ED-402D-9AED-1A2E0E3B8546}" time="2022-05-18T03:56:45.468Z">
        <t:Attribution userId="S::marianna.pisani@health.vic.gov.au::82f2301e-44ce-4203-abb0-59c95aff0777" userProvider="AD" userName="Marianna Pisani (Health)"/>
        <t:Anchor>
          <t:Comment id="1324210884"/>
        </t:Anchor>
        <t:SetTitle title="@Vanessa Stevens-Downie (Health) for approval"/>
      </t:Event>
    </t:History>
  </t:Task>
  <t:Task id="{6A45F65F-A49F-403F-845F-62C27E8B70EE}">
    <t:Anchor>
      <t:Comment id="636329760"/>
    </t:Anchor>
    <t:History>
      <t:Event id="{57ECD7F4-3AAA-4018-B2DD-B49232813443}" time="2022-05-18T03:57:23.137Z">
        <t:Attribution userId="S::marianna.pisani@health.vic.gov.au::82f2301e-44ce-4203-abb0-59c95aff0777" userProvider="AD" userName="Marianna Pisani (Health)"/>
        <t:Anchor>
          <t:Comment id="1061488209"/>
        </t:Anchor>
        <t:Create/>
      </t:Event>
      <t:Event id="{F2C53C41-2E7B-4B4A-A228-919F17AE06EA}" time="2022-05-18T03:57:23.137Z">
        <t:Attribution userId="S::marianna.pisani@health.vic.gov.au::82f2301e-44ce-4203-abb0-59c95aff0777" userProvider="AD" userName="Marianna Pisani (Health)"/>
        <t:Anchor>
          <t:Comment id="1061488209"/>
        </t:Anchor>
        <t:Assign userId="S::Vanessa.Stevens-Downie@health.vic.gov.au::71040e06-2120-47a5-b8a2-004487037cfa" userProvider="AD" userName="Vanessa Stevens-Downie (Health)"/>
      </t:Event>
      <t:Event id="{8080C07D-E74D-4052-AD90-6ECD8C5CBDBF}" time="2022-05-18T03:57:23.137Z">
        <t:Attribution userId="S::marianna.pisani@health.vic.gov.au::82f2301e-44ce-4203-abb0-59c95aff0777" userProvider="AD" userName="Marianna Pisani (Health)"/>
        <t:Anchor>
          <t:Comment id="1061488209"/>
        </t:Anchor>
        <t:SetTitle title="@Vanessa Stevens-Downie (Health)"/>
      </t:Event>
    </t:History>
  </t:Task>
  <t:Task id="{A07E1C76-1F63-4841-886B-933B0D7B5986}">
    <t:Anchor>
      <t:Comment id="636329767"/>
    </t:Anchor>
    <t:History>
      <t:Event id="{6D1B1549-21BB-4E38-A730-5F5D88F2CC37}" time="2022-05-18T03:57:32.983Z">
        <t:Attribution userId="S::marianna.pisani@health.vic.gov.au::82f2301e-44ce-4203-abb0-59c95aff0777" userProvider="AD" userName="Marianna Pisani (Health)"/>
        <t:Anchor>
          <t:Comment id="1483035558"/>
        </t:Anchor>
        <t:Create/>
      </t:Event>
      <t:Event id="{94014C4C-26F9-4A9B-B150-CA859C0A0B3E}" time="2022-05-18T03:57:32.983Z">
        <t:Attribution userId="S::marianna.pisani@health.vic.gov.au::82f2301e-44ce-4203-abb0-59c95aff0777" userProvider="AD" userName="Marianna Pisani (Health)"/>
        <t:Anchor>
          <t:Comment id="1483035558"/>
        </t:Anchor>
        <t:Assign userId="S::Vanessa.Stevens-Downie@health.vic.gov.au::71040e06-2120-47a5-b8a2-004487037cfa" userProvider="AD" userName="Vanessa Stevens-Downie (Health)"/>
      </t:Event>
      <t:Event id="{72E04D58-013E-4DB2-887B-1A7CD8E340EE}" time="2022-05-18T03:57:32.983Z">
        <t:Attribution userId="S::marianna.pisani@health.vic.gov.au::82f2301e-44ce-4203-abb0-59c95aff0777" userProvider="AD" userName="Marianna Pisani (Health)"/>
        <t:Anchor>
          <t:Comment id="1483035558"/>
        </t:Anchor>
        <t:SetTitle title="@Vanessa Stevens-Downie (Health)"/>
      </t:Event>
      <t:Event id="{AD5677F1-555C-43A7-918C-4FC1B1ECE5D1}" time="2022-05-30T04:53:23.772Z">
        <t:Attribution userId="S::marianna.pisani@health.vic.gov.au::82f2301e-44ce-4203-abb0-59c95aff0777" userProvider="AD" userName="Marianna Pisani (Health)"/>
        <t:Anchor>
          <t:Comment id="1116053470"/>
        </t:Anchor>
        <t:UnassignAll/>
      </t:Event>
      <t:Event id="{FD0AFFE4-5D92-4257-B5B2-D7C47AC7CC52}" time="2022-05-30T04:53:23.772Z">
        <t:Attribution userId="S::marianna.pisani@health.vic.gov.au::82f2301e-44ce-4203-abb0-59c95aff0777" userProvider="AD" userName="Marianna Pisani (Health)"/>
        <t:Anchor>
          <t:Comment id="1116053470"/>
        </t:Anchor>
        <t:Assign userId="S::jy.yeo@health.vic.gov.au::bdeb43c7-7652-4d73-8806-8af4bbc54b05" userProvider="AD" userName="JY Yeo (Health)"/>
      </t:Event>
    </t:History>
  </t:Task>
  <t:Task id="{92DCD145-BB3D-4703-B9FE-CA4F146D7186}">
    <t:Anchor>
      <t:Comment id="640661158"/>
    </t:Anchor>
    <t:History>
      <t:Event id="{AEA7D6F4-71EA-410C-BD87-B28EC52B1597}" time="2022-05-19T00:58:32.971Z">
        <t:Attribution userId="S::marianna.pisani@health.vic.gov.au::82f2301e-44ce-4203-abb0-59c95aff0777" userProvider="AD" userName="Marianna Pisani (Health)"/>
        <t:Anchor>
          <t:Comment id="1797845509"/>
        </t:Anchor>
        <t:Create/>
      </t:Event>
      <t:Event id="{686EA281-2692-42F5-BA7B-976FF0EC3750}" time="2022-05-19T00:58:32.971Z">
        <t:Attribution userId="S::marianna.pisani@health.vic.gov.au::82f2301e-44ce-4203-abb0-59c95aff0777" userProvider="AD" userName="Marianna Pisani (Health)"/>
        <t:Anchor>
          <t:Comment id="1797845509"/>
        </t:Anchor>
        <t:Assign userId="S::Vanessa.Stevens-Downie@health.vic.gov.au::71040e06-2120-47a5-b8a2-004487037cfa" userProvider="AD" userName="Vanessa Stevens-Downie (Health)"/>
      </t:Event>
      <t:Event id="{F42A2EB4-1FC7-4B06-B6DD-60C986BF2C02}" time="2022-05-19T00:58:32.971Z">
        <t:Attribution userId="S::marianna.pisani@health.vic.gov.au::82f2301e-44ce-4203-abb0-59c95aff0777" userProvider="AD" userName="Marianna Pisani (Health)"/>
        <t:Anchor>
          <t:Comment id="1797845509"/>
        </t:Anchor>
        <t:SetTitle title="@Vanessa Stevens-Downie (Health) change made here and articulated further in the accompanying policy document"/>
      </t:Event>
    </t:History>
  </t:Task>
  <t:Task id="{6DD9F30A-6B30-45C7-8ADB-A54D7BF83F46}">
    <t:Anchor>
      <t:Comment id="1661028461"/>
    </t:Anchor>
    <t:History>
      <t:Event id="{4D043B99-8436-4D7D-854D-7CFA3F8E3D80}" time="2022-06-02T07:53:22.235Z">
        <t:Attribution userId="S::jackie.kearney@health.vic.gov.au::82399a0e-de0c-4e3b-84ec-54d32057c2ac" userProvider="AD" userName="Jackie Kearney (Health)"/>
        <t:Anchor>
          <t:Comment id="1661028461"/>
        </t:Anchor>
        <t:Create/>
      </t:Event>
      <t:Event id="{F379F47C-B826-48C9-965D-3BBE3E812E0F}" time="2022-06-02T07:53:22.235Z">
        <t:Attribution userId="S::jackie.kearney@health.vic.gov.au::82399a0e-de0c-4e3b-84ec-54d32057c2ac" userProvider="AD" userName="Jackie Kearney (Health)"/>
        <t:Anchor>
          <t:Comment id="1661028461"/>
        </t:Anchor>
        <t:Assign userId="S::Sara.Lacey@health.vic.gov.au::c8c176c6-5a2d-440e-94d5-073a318d02b8" userProvider="AD" userName="Sara Lacey (Health)"/>
      </t:Event>
      <t:Event id="{25CB0580-0A23-48C3-A0BE-0CA063E47C91}" time="2022-06-02T07:53:22.235Z">
        <t:Attribution userId="S::jackie.kearney@health.vic.gov.au::82399a0e-de0c-4e3b-84ec-54d32057c2ac" userProvider="AD" userName="Jackie Kearney (Health)"/>
        <t:Anchor>
          <t:Comment id="1661028461"/>
        </t:Anchor>
        <t:SetTitle title="@Sara Lacey (Health) i think we need to note that the Commonwealth has indicated that the ASR will cease with the introduction of AN-ACC and that the department will be reviewing this supplement for 2023-24. Can you check this approach with Therese and …"/>
      </t:Event>
    </t:History>
  </t:Task>
  <t:Task id="{A2D392D8-53AB-4CB1-B49C-9280AFA5E2E2}">
    <t:Anchor>
      <t:Comment id="640661147"/>
    </t:Anchor>
    <t:History>
      <t:Event id="{BA879F97-4F57-45AB-9129-F52FB71E3D91}" time="2022-05-19T01:01:24.049Z">
        <t:Attribution userId="S::marianna.pisani@health.vic.gov.au::82f2301e-44ce-4203-abb0-59c95aff0777" userProvider="AD" userName="Marianna Pisani (Health)"/>
        <t:Anchor>
          <t:Comment id="51390759"/>
        </t:Anchor>
        <t:Create/>
      </t:Event>
      <t:Event id="{8289E4BF-2CA1-46F3-A487-9D00BC7160E1}" time="2022-05-19T01:01:24.049Z">
        <t:Attribution userId="S::marianna.pisani@health.vic.gov.au::82f2301e-44ce-4203-abb0-59c95aff0777" userProvider="AD" userName="Marianna Pisani (Health)"/>
        <t:Anchor>
          <t:Comment id="51390759"/>
        </t:Anchor>
        <t:Assign userId="S::Vanessa.Stevens-Downie@health.vic.gov.au::71040e06-2120-47a5-b8a2-004487037cfa" userProvider="AD" userName="Vanessa Stevens-Downie (Health)"/>
      </t:Event>
      <t:Event id="{FED405AC-4DC8-490C-81E9-7461A6A7FDC1}" time="2022-05-19T01:01:24.049Z">
        <t:Attribution userId="S::marianna.pisani@health.vic.gov.au::82f2301e-44ce-4203-abb0-59c95aff0777" userProvider="AD" userName="Marianna Pisani (Health)"/>
        <t:Anchor>
          <t:Comment id="51390759"/>
        </t:Anchor>
        <t:SetTitle title="@Vanessa Stevens-Downie (Health) articulated in accompayning policy doc"/>
      </t:Event>
    </t:History>
  </t:Task>
  <t:Task id="{FE5D83C9-478D-467C-B191-8DE44C01217C}">
    <t:Anchor>
      <t:Comment id="640661279"/>
    </t:Anchor>
    <t:History>
      <t:Event id="{E8142DBB-0D5E-4591-AAF1-949E85B2ECA9}" time="2022-05-19T01:39:15.204Z">
        <t:Attribution userId="S::marianna.pisani@health.vic.gov.au::82f2301e-44ce-4203-abb0-59c95aff0777" userProvider="AD" userName="Marianna Pisani (Health)"/>
        <t:Anchor>
          <t:Comment id="1863595094"/>
        </t:Anchor>
        <t:Create/>
      </t:Event>
      <t:Event id="{CC91287D-CC8A-4CD8-87E3-5D474225ADDC}" time="2022-05-19T01:39:15.204Z">
        <t:Attribution userId="S::marianna.pisani@health.vic.gov.au::82f2301e-44ce-4203-abb0-59c95aff0777" userProvider="AD" userName="Marianna Pisani (Health)"/>
        <t:Anchor>
          <t:Comment id="1863595094"/>
        </t:Anchor>
        <t:Assign userId="S::Vanessa.Stevens-Downie@health.vic.gov.au::71040e06-2120-47a5-b8a2-004487037cfa" userProvider="AD" userName="Vanessa Stevens-Downie (Health)"/>
      </t:Event>
      <t:Event id="{62DE504F-240A-40DC-A453-1D2996E210A0}" time="2022-05-19T01:39:15.204Z">
        <t:Attribution userId="S::marianna.pisani@health.vic.gov.au::82f2301e-44ce-4203-abb0-59c95aff0777" userProvider="AD" userName="Marianna Pisani (Health)"/>
        <t:Anchor>
          <t:Comment id="1863595094"/>
        </t:Anchor>
        <t:SetTitle title="@Vanessa Stevens-Downie (Health) to be updated pending determination of measures asap"/>
      </t:Event>
      <t:Event id="{A40B7FE8-964C-4589-AE72-14E2232415C7}" time="2022-07-20T23:19:46.976Z">
        <t:Attribution userId="S::marianna.pisani@health.vic.gov.au::82f2301e-44ce-4203-abb0-59c95aff0777" userProvider="AD" userName="Marianna Pisani (Health)"/>
        <t:Anchor>
          <t:Comment id="990120094"/>
        </t:Anchor>
        <t:UnassignAll/>
      </t:Event>
      <t:Event id="{FD150AF7-48DC-4B7E-82E1-889A35222E08}" time="2022-07-20T23:19:46.976Z">
        <t:Attribution userId="S::marianna.pisani@health.vic.gov.au::82f2301e-44ce-4203-abb0-59c95aff0777" userProvider="AD" userName="Marianna Pisani (Health)"/>
        <t:Anchor>
          <t:Comment id="990120094"/>
        </t:Anchor>
        <t:Assign userId="S::jy.yeo@health.vic.gov.au::bdeb43c7-7652-4d73-8806-8af4bbc54b05" userProvider="AD" userName="JY Yeo (Health)"/>
      </t:Event>
    </t:History>
  </t:Task>
  <t:Task id="{C3DCD42E-133F-4747-B7B4-2FF17994FD32}">
    <t:Anchor>
      <t:Comment id="641681459"/>
    </t:Anchor>
    <t:History>
      <t:Event id="{C766A9D1-EDC5-4CAA-96EC-0A1321AD68AB}" time="2022-05-31T03:37:54.935Z">
        <t:Attribution userId="S::therese.robinson@health.vic.gov.au::b97d383f-cfab-444b-b6f7-0036786206fb" userProvider="AD" userName="Therese Robinson (Health)"/>
        <t:Anchor>
          <t:Comment id="286072341"/>
        </t:Anchor>
        <t:Create/>
      </t:Event>
      <t:Event id="{D2CC9FA5-4CE8-4355-8C50-76BDF052C9B8}" time="2022-05-31T03:37:54.935Z">
        <t:Attribution userId="S::therese.robinson@health.vic.gov.au::b97d383f-cfab-444b-b6f7-0036786206fb" userProvider="AD" userName="Therese Robinson (Health)"/>
        <t:Anchor>
          <t:Comment id="286072341"/>
        </t:Anchor>
        <t:Assign userId="S::Valda.Groves@health.vic.gov.au::d09c14c4-3a8e-41d9-9605-13b4b997998a" userProvider="AD" userName="Valda Groves (Health)"/>
      </t:Event>
      <t:Event id="{09931588-7B52-49CB-8B5E-AD456509BE9B}" time="2022-05-31T03:37:54.935Z">
        <t:Attribution userId="S::therese.robinson@health.vic.gov.au::b97d383f-cfab-444b-b6f7-0036786206fb" userProvider="AD" userName="Therese Robinson (Health)"/>
        <t:Anchor>
          <t:Comment id="286072341"/>
        </t:Anchor>
        <t:SetTitle title="@Valda Groves (Health) i think the answer is yes"/>
      </t:Event>
    </t:History>
  </t:Task>
  <t:Task id="{4D10CCC9-BD9A-4B88-936F-4321221CCBE6}">
    <t:Anchor>
      <t:Comment id="637109037"/>
    </t:Anchor>
    <t:History>
      <t:Event id="{81730F8F-C426-4BE5-BA6A-1442E70BEE44}" time="2022-06-02T07:42:22.695Z">
        <t:Attribution userId="S::jackie.kearney@health.vic.gov.au::82399a0e-de0c-4e3b-84ec-54d32057c2ac" userProvider="AD" userName="Jackie Kearney (Health)"/>
        <t:Anchor>
          <t:Comment id="1101710352"/>
        </t:Anchor>
        <t:Create/>
      </t:Event>
      <t:Event id="{D7360D2A-EEC7-43AE-9A8C-768C8A36D492}" time="2022-06-02T07:42:22.695Z">
        <t:Attribution userId="S::jackie.kearney@health.vic.gov.au::82399a0e-de0c-4e3b-84ec-54d32057c2ac" userProvider="AD" userName="Jackie Kearney (Health)"/>
        <t:Anchor>
          <t:Comment id="1101710352"/>
        </t:Anchor>
        <t:Assign userId="S::Sara.Lacey@health.vic.gov.au::c8c176c6-5a2d-440e-94d5-073a318d02b8" userProvider="AD" userName="Sara Lacey (Health)"/>
      </t:Event>
      <t:Event id="{240D542E-7861-4218-964B-3D1A9943BB8B}" time="2022-06-02T07:42:22.695Z">
        <t:Attribution userId="S::jackie.kearney@health.vic.gov.au::82399a0e-de0c-4e3b-84ec-54d32057c2ac" userProvider="AD" userName="Jackie Kearney (Health)"/>
        <t:Anchor>
          <t:Comment id="1101710352"/>
        </t:Anchor>
        <t:SetTitle title="@Sara Lacey (Health) what about the $29M PSRACS lapsing funding? this is in BP3"/>
      </t:Event>
    </t:History>
  </t:Task>
  <t:Task id="{E3A6A06F-C8B8-4B86-AEBE-EA6593A14F83}">
    <t:Anchor>
      <t:Comment id="1821654559"/>
    </t:Anchor>
    <t:History>
      <t:Event id="{773828D7-6E6A-4F30-8AEC-D502338BE0C9}" time="2022-07-22T02:03:32.99Z">
        <t:Attribution userId="S::lucy.solier@health.vic.gov.au::7d43f492-7be4-43df-b165-9845ca3484b6" userProvider="AD" userName="Lucy Solier (Health)"/>
        <t:Anchor>
          <t:Comment id="1821654559"/>
        </t:Anchor>
        <t:Create/>
      </t:Event>
      <t:Event id="{8DC94D4E-8BA5-467C-B7D1-F05DB09B0C7E}" time="2022-07-22T02:03:32.99Z">
        <t:Attribution userId="S::lucy.solier@health.vic.gov.au::7d43f492-7be4-43df-b165-9845ca3484b6" userProvider="AD" userName="Lucy Solier (Health)"/>
        <t:Anchor>
          <t:Comment id="1821654559"/>
        </t:Anchor>
        <t:Assign userId="S::mark.grigg@health.vic.gov.au::413a6498-ee35-497b-a0bb-1a5748c3a63a" userProvider="AD" userName="Mark Grigg (Health)"/>
      </t:Event>
      <t:Event id="{3E9B73C9-3D68-41CA-8E8B-4DB55AF2B478}" time="2022-07-22T02:03:32.99Z">
        <t:Attribution userId="S::lucy.solier@health.vic.gov.au::7d43f492-7be4-43df-b165-9845ca3484b6" userProvider="AD" userName="Lucy Solier (Health)"/>
        <t:Anchor>
          <t:Comment id="1821654559"/>
        </t:Anchor>
        <t:SetTitle title="I'm not sure we want this section at all. @Mark Grigg (Health) do we want to include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964C19-E45B-2A41-B4B2-045FED6BE493}">
  <we:reference id="wa104380773" version="2.0.0.0" store="en-GB"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Gabby Ruggieri (Health)</DisplayName>
        <AccountId>286</AccountId>
        <AccountType/>
      </UserInfo>
      <UserInfo>
        <DisplayName>Limited Access System Group For Web d5edefc9-9b65-4e26-a13e-80d0fe37f888</DisplayName>
        <AccountId>316</AccountId>
        <AccountType/>
      </UserInfo>
      <UserInfo>
        <DisplayName>Anil Rangnath Raichur (Health)</DisplayName>
        <AccountId>154</AccountId>
        <AccountType/>
      </UserInfo>
      <UserInfo>
        <DisplayName>Sharyn Donald (Health)</DisplayName>
        <AccountId>592</AccountId>
        <AccountType/>
      </UserInfo>
      <UserInfo>
        <DisplayName>Tara Jois (Health)</DisplayName>
        <AccountId>43</AccountId>
        <AccountType/>
      </UserInfo>
      <UserInfo>
        <DisplayName>Madonna Prior (Health)</DisplayName>
        <AccountId>285</AccountId>
        <AccountType/>
      </UserInfo>
      <UserInfo>
        <DisplayName>Jonathan Prescott (Health)</DisplayName>
        <AccountId>303</AccountId>
        <AccountType/>
      </UserInfo>
      <UserInfo>
        <DisplayName>Colette Bacash (Health)</DisplayName>
        <AccountId>248</AccountId>
        <AccountType/>
      </UserInfo>
      <UserInfo>
        <DisplayName>Andrew Dixon (Health)</DisplayName>
        <AccountId>35</AccountId>
        <AccountType/>
      </UserInfo>
      <UserInfo>
        <DisplayName>Toula Drakopoulos (Health)</DisplayName>
        <AccountId>273</AccountId>
        <AccountType/>
      </UserInfo>
      <UserInfo>
        <DisplayName>Duncan Baulch (Health)</DisplayName>
        <AccountId>66</AccountId>
        <AccountType/>
      </UserInfo>
      <UserInfo>
        <DisplayName>John Hunter (Health)</DisplayName>
        <AccountId>51</AccountId>
        <AccountType/>
      </UserInfo>
      <UserInfo>
        <DisplayName>Andrew Belcher (Health)</DisplayName>
        <AccountId>105</AccountId>
        <AccountType/>
      </UserInfo>
      <UserInfo>
        <DisplayName>SharingLinks.28b2ad4b-0eaa-488a-83f9-ada12736023c.Flexible.c454033c-81e6-4300-aff3-2ee05d981c5b</DisplayName>
        <AccountId>553</AccountId>
        <AccountType/>
      </UserInfo>
      <UserInfo>
        <DisplayName>Albert Huang (Health)</DisplayName>
        <AccountId>330</AccountId>
        <AccountType/>
      </UserInfo>
      <UserInfo>
        <DisplayName>Alicia Sim (Health)</DisplayName>
        <AccountId>114</AccountId>
        <AccountType/>
      </UserInfo>
      <UserInfo>
        <DisplayName>Karene Fairbairn (Health)</DisplayName>
        <AccountId>356</AccountId>
        <AccountType/>
      </UserInfo>
      <UserInfo>
        <DisplayName>SharingLinks.c653f909-f549-4666-8f6d-197f7091a325.Flexible.f9bd84ef-f9ad-4b45-8e7c-3d97621b1e4f</DisplayName>
        <AccountId>773</AccountId>
        <AccountType/>
      </UserInfo>
      <UserInfo>
        <DisplayName>Jackie Kearney (Health)</DisplayName>
        <AccountId>283</AccountId>
        <AccountType/>
      </UserInfo>
      <UserInfo>
        <DisplayName>Sonia Caruana (Health)</DisplayName>
        <AccountId>121</AccountId>
        <AccountType/>
      </UserInfo>
      <UserInfo>
        <DisplayName>Arris Camaso (Health)</DisplayName>
        <AccountId>228</AccountId>
        <AccountType/>
      </UserInfo>
      <UserInfo>
        <DisplayName>Georgia Cairns (Health)</DisplayName>
        <AccountId>15</AccountId>
        <AccountType/>
      </UserInfo>
      <UserInfo>
        <DisplayName>Louise Defelice (Health)</DisplayName>
        <AccountId>76</AccountId>
        <AccountType/>
      </UserInfo>
      <UserInfo>
        <DisplayName>Heema Tailor (Health)</DisplayName>
        <AccountId>455</AccountId>
        <AccountType/>
      </UserInfo>
      <UserInfo>
        <DisplayName>Travis Suggs (Health)</DisplayName>
        <AccountId>197</AccountId>
        <AccountType/>
      </UserInfo>
      <UserInfo>
        <DisplayName>SharingLinks.77ad8e60-0d9a-412d-8e6e-6c81fc408d2f.Flexible.005e6f18-ad07-44c3-924d-b796a09463ae</DisplayName>
        <AccountId>725</AccountId>
        <AccountType/>
      </UserInfo>
      <UserInfo>
        <DisplayName>David Stephens (Health)</DisplayName>
        <AccountId>611</AccountId>
        <AccountType/>
      </UserInfo>
      <UserInfo>
        <DisplayName>Ellen Lovett (Health)</DisplayName>
        <AccountId>484</AccountId>
        <AccountType/>
      </UserInfo>
      <UserInfo>
        <DisplayName>Kate Mackie (Health)</DisplayName>
        <AccountId>451</AccountId>
        <AccountType/>
      </UserInfo>
      <UserInfo>
        <DisplayName>Claire Jagin (Health)</DisplayName>
        <AccountId>772</AccountId>
        <AccountType/>
      </UserInfo>
      <UserInfo>
        <DisplayName>Kiewa Lovett (DHHS)</DisplayName>
        <AccountId>771</AccountId>
        <AccountType/>
      </UserInfo>
      <UserInfo>
        <DisplayName>Deepthi Nair (Health)</DisplayName>
        <AccountId>125</AccountId>
        <AccountType/>
      </UserInfo>
      <UserInfo>
        <DisplayName>Robert Ampil (Health)</DisplayName>
        <AccountId>774</AccountId>
        <AccountType/>
      </UserInfo>
      <UserInfo>
        <DisplayName>Marion Perrin (Health)</DisplayName>
        <AccountId>89</AccountId>
        <AccountType/>
      </UserInfo>
      <UserInfo>
        <DisplayName>Gina Fisher (Health)</DisplayName>
        <AccountId>84</AccountId>
        <AccountType/>
      </UserInfo>
      <UserInfo>
        <DisplayName>Gail Oliver (Health)</DisplayName>
        <AccountId>338</AccountId>
        <AccountType/>
      </UserInfo>
      <UserInfo>
        <DisplayName>Adrian Douglas (Health)</DisplayName>
        <AccountId>453</AccountId>
        <AccountType/>
      </UserInfo>
      <UserInfo>
        <DisplayName>Inoka Fernando (Health)</DisplayName>
        <AccountId>195</AccountId>
        <AccountType/>
      </UserInfo>
      <UserInfo>
        <DisplayName>Rodney Camba (Health)</DisplayName>
        <AccountId>331</AccountId>
        <AccountType/>
      </UserInfo>
      <UserInfo>
        <DisplayName>Marie Vaughan (Health)</DisplayName>
        <AccountId>225</AccountId>
        <AccountType/>
      </UserInfo>
      <UserInfo>
        <DisplayName>Janelle Hearn (Health)</DisplayName>
        <AccountId>301</AccountId>
        <AccountType/>
      </UserInfo>
      <UserInfo>
        <DisplayName>Elma Rabago (Health)</DisplayName>
        <AccountId>189</AccountId>
        <AccountType/>
      </UserInfo>
      <UserInfo>
        <DisplayName>Hollie Lawlor (Health)</DisplayName>
        <AccountId>71</AccountId>
        <AccountType/>
      </UserInfo>
      <UserInfo>
        <DisplayName>SharingLinks.f44b7986-a03f-41d1-aa6a-bef6037061a4.OrganizationEdit.7c69c111-e0ec-45f9-b3ca-d3e927656351</DisplayName>
        <AccountId>421</AccountId>
        <AccountType/>
      </UserInfo>
      <UserInfo>
        <DisplayName>SharingLinks.9de51119-0d60-4704-b43c-383822176105.Flexible.be44ca16-8926-4335-8ead-a3874202c465</DisplayName>
        <AccountId>778</AccountId>
        <AccountType/>
      </UserInfo>
      <UserInfo>
        <DisplayName>Bec Williams (Health)</DisplayName>
        <AccountId>220</AccountId>
        <AccountType/>
      </UserInfo>
      <UserInfo>
        <DisplayName>Brendan Delosa (Health)</DisplayName>
        <AccountId>504</AccountId>
        <AccountType/>
      </UserInfo>
      <UserInfo>
        <DisplayName>Patricia Wood (Health)</DisplayName>
        <AccountId>438</AccountId>
        <AccountType/>
      </UserInfo>
      <UserInfo>
        <DisplayName>Ojay Sharma (Health)</DisplayName>
        <AccountId>318</AccountId>
        <AccountType/>
      </UserInfo>
      <UserInfo>
        <DisplayName>Jackie Rouvray (DHHS)</DisplayName>
        <AccountId>1146</AccountId>
        <AccountType/>
      </UserInfo>
      <UserInfo>
        <DisplayName>Phil Wightman (Health)</DisplayName>
        <AccountId>658</AccountId>
        <AccountType/>
      </UserInfo>
      <UserInfo>
        <DisplayName>David Meade (Health)</DisplayName>
        <AccountId>1118</AccountId>
        <AccountType/>
      </UserInfo>
      <UserInfo>
        <DisplayName>Matthew Krypuy (Health)</DisplayName>
        <AccountId>336</AccountId>
        <AccountType/>
      </UserInfo>
      <UserInfo>
        <DisplayName>Charlotte Horne (Health)</DisplayName>
        <AccountId>56</AccountId>
        <AccountType/>
      </UserInfo>
      <UserInfo>
        <DisplayName>Lachlan</DisplayName>
        <AccountId>1164</AccountId>
        <AccountType/>
      </UserInfo>
      <UserInfo>
        <DisplayName>Jodie Geissler (Health)</DisplayName>
        <AccountId>271</AccountId>
        <AccountType/>
      </UserInfo>
      <UserInfo>
        <DisplayName>Alison Standish</DisplayName>
        <AccountId>1166</AccountId>
        <AccountType/>
      </UserInfo>
      <UserInfo>
        <DisplayName>Alison Boylan (Health)</DisplayName>
        <AccountId>294</AccountId>
        <AccountType/>
      </UserInfo>
      <UserInfo>
        <DisplayName>Matilda Knowles (Health)</DisplayName>
        <AccountId>1450</AccountId>
        <AccountType/>
      </UserInfo>
      <UserInfo>
        <DisplayName>Cherann Edwards (Health)</DisplayName>
        <AccountId>941</AccountId>
        <AccountType/>
      </UserInfo>
      <UserInfo>
        <DisplayName>Carla Read (Health)</DisplayName>
        <AccountId>2835</AccountId>
        <AccountType/>
      </UserInfo>
      <UserInfo>
        <DisplayName>Alexandra Hurley (Health)</DisplayName>
        <AccountId>3523</AccountId>
        <AccountType/>
      </UserInfo>
      <UserInfo>
        <DisplayName>James Thomas (Health)</DisplayName>
        <AccountId>3468</AccountId>
        <AccountType/>
      </UserInfo>
      <UserInfo>
        <DisplayName>Deborah Senior (Health)</DisplayName>
        <AccountId>238</AccountId>
        <AccountType/>
      </UserInfo>
      <UserInfo>
        <DisplayName>Melissa Arduca (Health)</DisplayName>
        <AccountId>2962</AccountId>
        <AccountType/>
      </UserInfo>
      <UserInfo>
        <DisplayName>Jaclyn Vick (Health)</DisplayName>
        <AccountId>1826</AccountId>
        <AccountType/>
      </UserInfo>
      <UserInfo>
        <DisplayName>Samantha Sharp (Health)</DisplayName>
        <AccountId>3245</AccountId>
        <AccountType/>
      </UserInfo>
      <UserInfo>
        <DisplayName>Pam Anders (Health)</DisplayName>
        <AccountId>1451</AccountId>
        <AccountType/>
      </UserInfo>
      <UserInfo>
        <DisplayName>Amy Cavagna (Health)</DisplayName>
        <AccountId>1108</AccountId>
        <AccountType/>
      </UserInfo>
      <UserInfo>
        <DisplayName>James Withers (Health)</DisplayName>
        <AccountId>3621</AccountId>
        <AccountType/>
      </UserInfo>
      <UserInfo>
        <DisplayName>Vanessa Stevens-Downie (Health)</DisplayName>
        <AccountId>3374</AccountId>
        <AccountType/>
      </UserInfo>
      <UserInfo>
        <DisplayName>Matthew Lloyd (Health)</DisplayName>
        <AccountId>1748</AccountId>
        <AccountType/>
      </UserInfo>
      <UserInfo>
        <DisplayName>Nicole McCartney (Health)</DisplayName>
        <AccountId>597</AccountId>
        <AccountType/>
      </UserInfo>
      <UserInfo>
        <DisplayName>Charlotte Pountney (Health)</DisplayName>
        <AccountId>3766</AccountId>
        <AccountType/>
      </UserInfo>
      <UserInfo>
        <DisplayName>Helen Smith (Health)</DisplayName>
        <AccountId>1827</AccountId>
        <AccountType/>
      </UserInfo>
      <UserInfo>
        <DisplayName>Lang Baulch (Health)</DisplayName>
        <AccountId>1825</AccountId>
        <AccountType/>
      </UserInfo>
      <UserInfo>
        <DisplayName>Antoinette Libertone (Health)</DisplayName>
        <AccountId>3819</AccountId>
        <AccountType/>
      </UserInfo>
      <UserInfo>
        <DisplayName>Elizabeth Wood (Health)</DisplayName>
        <AccountId>3822</AccountId>
        <AccountType/>
      </UserInfo>
      <UserInfo>
        <DisplayName>Hugh Brophy (Health)</DisplayName>
        <AccountId>278</AccountId>
        <AccountType/>
      </UserInfo>
      <UserInfo>
        <DisplayName>Aaron Blazic (Health)</DisplayName>
        <AccountId>3754</AccountId>
        <AccountType/>
      </UserInfo>
      <UserInfo>
        <DisplayName>Stephanie Leggett (Health)</DisplayName>
        <AccountId>3728</AccountId>
        <AccountType/>
      </UserInfo>
      <UserInfo>
        <DisplayName>Daffodil Pope (Health)</DisplayName>
        <AccountId>2611</AccountId>
        <AccountType/>
      </UserInfo>
      <UserInfo>
        <DisplayName>Richard Bolitho (Health)</DisplayName>
        <AccountId>299</AccountId>
        <AccountType/>
      </UserInfo>
      <UserInfo>
        <DisplayName>Sally Doncovio (Health)</DisplayName>
        <AccountId>1713</AccountId>
        <AccountType/>
      </UserInfo>
      <UserInfo>
        <DisplayName>Adrian Carmody (Health)</DisplayName>
        <AccountId>313</AccountId>
        <AccountType/>
      </UserInfo>
      <UserInfo>
        <DisplayName>Andrew J Saunders (Health)</DisplayName>
        <AccountId>312</AccountId>
        <AccountType/>
      </UserInfo>
      <UserInfo>
        <DisplayName>Bruce Prosser (Health)</DisplayName>
        <AccountId>792</AccountId>
        <AccountType/>
      </UserInfo>
      <UserInfo>
        <DisplayName>Gary Morris (Health)</DisplayName>
        <AccountId>1884</AccountId>
        <AccountType/>
      </UserInfo>
      <UserInfo>
        <DisplayName>Phil Watson (Health)</DisplayName>
        <AccountId>2850</AccountId>
        <AccountType/>
      </UserInfo>
      <UserInfo>
        <DisplayName>Grayson Huynh (Health)</DisplayName>
        <AccountId>131</AccountId>
        <AccountType/>
      </UserInfo>
      <UserInfo>
        <DisplayName>Annette Gilchrist (Health)</DisplayName>
        <AccountId>2608</AccountId>
        <AccountType/>
      </UserInfo>
      <UserInfo>
        <DisplayName>Anna Tasou (Health)</DisplayName>
        <AccountId>3023</AccountId>
        <AccountType/>
      </UserInfo>
      <UserInfo>
        <DisplayName>Michelle Wolthuizen (DHHS)</DisplayName>
        <AccountId>4482</AccountId>
        <AccountType/>
      </UserInfo>
      <UserInfo>
        <DisplayName>Leanne Morgan (DHHS)</DisplayName>
        <AccountId>2621</AccountId>
        <AccountType/>
      </UserInfo>
      <UserInfo>
        <DisplayName>Sheron Segman-Etzion (Health)</DisplayName>
        <AccountId>2616</AccountId>
        <AccountType/>
      </UserInfo>
      <UserInfo>
        <DisplayName>Danny Wong (Health)</DisplayName>
        <AccountId>130</AccountId>
        <AccountType/>
      </UserInfo>
      <UserInfo>
        <DisplayName>Stephen Woodland (Health)</DisplayName>
        <AccountId>198</AccountId>
        <AccountType/>
      </UserInfo>
      <UserInfo>
        <DisplayName>Sara Lacey (Health)</DisplayName>
        <AccountId>201</AccountId>
        <AccountType/>
      </UserInfo>
      <UserInfo>
        <DisplayName>Carmel Benham (Health)</DisplayName>
        <AccountId>295</AccountId>
        <AccountType/>
      </UserInfo>
      <UserInfo>
        <DisplayName>Naomi Bromley (Health)</DisplayName>
        <AccountId>3699</AccountId>
        <AccountType/>
      </UserInfo>
      <UserInfo>
        <DisplayName>Aleco Lazaridis (Health)</DisplayName>
        <AccountId>417</AccountId>
        <AccountType/>
      </UserInfo>
      <UserInfo>
        <DisplayName>Tim Austin (Health)</DisplayName>
        <AccountId>365</AccountId>
        <AccountType/>
      </UserInfo>
      <UserInfo>
        <DisplayName>Caleb Stewart (Health)</DisplayName>
        <AccountId>62</AccountId>
        <AccountType/>
      </UserInfo>
      <UserInfo>
        <DisplayName>Lucy Solier (Health)</DisplayName>
        <AccountId>3814</AccountId>
        <AccountType/>
      </UserInfo>
      <UserInfo>
        <DisplayName>Anne McGregor (Health)</DisplayName>
        <AccountId>3187</AccountId>
        <AccountType/>
      </UserInfo>
      <UserInfo>
        <DisplayName>JY Yeo (Health)</DisplayName>
        <AccountId>1594</AccountId>
        <AccountType/>
      </UserInfo>
      <UserInfo>
        <DisplayName>Andrew Haywood (Health)</DisplayName>
        <AccountId>2289</AccountId>
        <AccountType/>
      </UserInfo>
      <UserInfo>
        <DisplayName>Cheryl Cripps (Health)</DisplayName>
        <AccountId>67</AccountId>
        <AccountType/>
      </UserInfo>
      <UserInfo>
        <DisplayName>Louise McGuire (Health)</DisplayName>
        <AccountId>372</AccountId>
        <AccountType/>
      </UserInfo>
      <UserInfo>
        <DisplayName>Rachel Boland (Health)</DisplayName>
        <AccountId>510</AccountId>
        <AccountType/>
      </UserInfo>
      <UserInfo>
        <DisplayName>Li Volpato (Health)</DisplayName>
        <AccountId>6031</AccountId>
        <AccountType/>
      </UserInfo>
      <UserInfo>
        <DisplayName>Katherine Whetton (Health)</DisplayName>
        <AccountId>1447</AccountId>
        <AccountType/>
      </UserInfo>
      <UserInfo>
        <DisplayName>Mark Grigg (Health)</DisplayName>
        <AccountId>369</AccountId>
        <AccountType/>
      </UserInfo>
    </SharedWithUsers>
    <RequestID xmlns="131e7afd-8cb4-4255-a884-cbcde2747e4c" xsi:nil="true"/>
    <CBSFileName xmlns="59098f23-3ca6-4eec-8c4e-6f77ceae2d9e">Attach 1- Funding Rules 2022-23 Addendum</CBSFileName>
    <CBSDocType xmlns="59098f23-3ca6-4eec-8c4e-6f77ceae2d9e" xsi:nil="true"/>
    <IconOverlay xmlns="http://schemas.microsoft.com/sharepoint/v4" xsi:nil="true"/>
    <RecordStatus xmlns="4e6cfa50-9814-4036-b2f8-54bb7ef1e7f8"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4" ma:contentTypeDescription="" ma:contentTypeScope="" ma:versionID="659ab1394b4325a302dd7a02f205972a">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4e6cfa50-9814-4036-b2f8-54bb7ef1e7f8" xmlns:ns6="http://schemas.microsoft.com/sharepoint/v4" xmlns:ns7="5ce0f2b5-5be5-4508-bce9-d7011ece0659" targetNamespace="http://schemas.microsoft.com/office/2006/metadata/properties" ma:root="true" ma:fieldsID="02366b30647ceee82f0515b01e238ca8" ns1:_="" ns2:_="" ns3:_="" ns4:_="" ns5:_="" ns6:_="" ns7:_="">
    <xsd:import namespace="http://schemas.microsoft.com/sharepoint/v3"/>
    <xsd:import namespace="59098f23-3ca6-4eec-8c4e-6f77ceae2d9e"/>
    <xsd:import namespace="131e7afd-8cb4-4255-a884-cbcde2747e4c"/>
    <xsd:import namespace="9bb0acc9-d7bd-4cdf-ad2b-ac1699117d04"/>
    <xsd:import namespace="4e6cfa50-9814-4036-b2f8-54bb7ef1e7f8"/>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5:RecordStatus"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6:IconOverlay" minOccurs="0"/>
                <xsd:element ref="ns1:_vti_ItemDeclaredRecord" minOccurs="0"/>
                <xsd:element ref="ns1:_vti_ItemHoldRecordStatus" minOccurs="0"/>
                <xsd:element ref="ns7:TaxCatchAll"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ce0f2b5-5be5-4508-bce9-d7011ece0659"/>
    <ds:schemaRef ds:uri="5489f84b-96a7-46f9-ad1c-bdb3ea5733b9"/>
    <ds:schemaRef ds:uri="d5edefc9-9b65-4e26-a13e-80d0fe37f888"/>
    <ds:schemaRef ds:uri="http://www.w3.org/XML/1998/namespace"/>
    <ds:schemaRef ds:uri="http://purl.org/dc/dcmitype/"/>
  </ds:schemaRefs>
</ds:datastoreItem>
</file>

<file path=customXml/itemProps3.xml><?xml version="1.0" encoding="utf-8"?>
<ds:datastoreItem xmlns:ds="http://schemas.openxmlformats.org/officeDocument/2006/customXml" ds:itemID="{A625C189-C13E-48C6-A675-01CFCB73E0E9}"/>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54687</Words>
  <Characters>311716</Characters>
  <Application>Microsoft Office Word</Application>
  <DocSecurity>0</DocSecurity>
  <Lines>2597</Lines>
  <Paragraphs>731</Paragraphs>
  <ScaleCrop>false</ScaleCrop>
  <Manager/>
  <Company>Victoria State Government, Department of Health</Company>
  <LinksUpToDate>false</LinksUpToDate>
  <CharactersWithSpaces>365672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funding guidelines 2020–21: Funding rules</dc:title>
  <dc:subject/>
  <dc:creator>State-wide Programs, Budget &amp; Performance Support branch</dc:creator>
  <cp:keywords/>
  <dc:description/>
  <cp:lastModifiedBy>Magda Kvasnicka (Health)</cp:lastModifiedBy>
  <cp:revision>2</cp:revision>
  <cp:lastPrinted>2021-02-21T23:27:00Z</cp:lastPrinted>
  <dcterms:created xsi:type="dcterms:W3CDTF">2023-02-13T04:23:00Z</dcterms:created>
  <dcterms:modified xsi:type="dcterms:W3CDTF">2023-02-13T04:23:00Z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v5 15032021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MSIP_Label_43e64453-338c-4f93-8a4d-0039a0a41f2a_Enabled">
    <vt:lpwstr>true</vt:lpwstr>
  </property>
  <property fmtid="{D5CDD505-2E9C-101B-9397-08002B2CF9AE}" pid="8" name="MSIP_Label_43e64453-338c-4f93-8a4d-0039a0a41f2a_SetDate">
    <vt:lpwstr>2023-02-13T04:22:46Z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5ef9ad5a-5d6a-421e-a860-01a48987313b</vt:lpwstr>
  </property>
  <property fmtid="{D5CDD505-2E9C-101B-9397-08002B2CF9AE}" pid="13" name="MSIP_Label_43e64453-338c-4f93-8a4d-0039a0a41f2a_ContentBits">
    <vt:lpwstr>2</vt:lpwstr>
  </property>
</Properties>
</file>