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26A19" w14:textId="61329055" w:rsidR="00056EC4" w:rsidRDefault="00E9042A" w:rsidP="003526F3">
      <w:pPr>
        <w:pStyle w:val="Body"/>
      </w:pPr>
      <w:bookmarkStart w:id="0" w:name="_Toc108544085"/>
      <w:bookmarkStart w:id="1" w:name="_Toc108694756"/>
      <w:r w:rsidRPr="00977D59">
        <w:rPr>
          <w:noProof/>
        </w:rPr>
        <w:drawing>
          <wp:anchor distT="0" distB="0" distL="114300" distR="114300" simplePos="0" relativeHeight="251658240" behindDoc="1" locked="1" layoutInCell="1" allowOverlap="0" wp14:anchorId="27EAFDE0" wp14:editId="6B0ECCDF">
            <wp:simplePos x="0" y="0"/>
            <wp:positionH relativeFrom="page">
              <wp:posOffset>0</wp:posOffset>
            </wp:positionH>
            <wp:positionV relativeFrom="page">
              <wp:posOffset>0</wp:posOffset>
            </wp:positionV>
            <wp:extent cx="7555865" cy="10146030"/>
            <wp:effectExtent l="0" t="0" r="635"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5865" cy="1014603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5E58516E" w14:textId="77777777" w:rsidTr="00431F42">
        <w:trPr>
          <w:cantSplit/>
        </w:trPr>
        <w:tc>
          <w:tcPr>
            <w:tcW w:w="0" w:type="auto"/>
            <w:tcMar>
              <w:top w:w="0" w:type="dxa"/>
              <w:left w:w="0" w:type="dxa"/>
              <w:right w:w="0" w:type="dxa"/>
            </w:tcMar>
          </w:tcPr>
          <w:p w14:paraId="1A6CE34A" w14:textId="1DF02AE1" w:rsidR="00AD784C" w:rsidRPr="00431F42" w:rsidRDefault="00CD2995" w:rsidP="00431F42">
            <w:pPr>
              <w:pStyle w:val="Documenttitle"/>
            </w:pPr>
            <w:r w:rsidRPr="00CD2995">
              <w:t xml:space="preserve">Victorian </w:t>
            </w:r>
            <w:r w:rsidR="00751AFF">
              <w:t>g</w:t>
            </w:r>
            <w:r w:rsidRPr="00CD2995">
              <w:t>uideline on carbapenemase producing organisms</w:t>
            </w:r>
          </w:p>
        </w:tc>
      </w:tr>
      <w:tr w:rsidR="00AD784C" w14:paraId="0A76FBEB" w14:textId="77777777" w:rsidTr="00431F42">
        <w:trPr>
          <w:cantSplit/>
        </w:trPr>
        <w:tc>
          <w:tcPr>
            <w:tcW w:w="0" w:type="auto"/>
          </w:tcPr>
          <w:p w14:paraId="47B80037" w14:textId="77777777" w:rsidR="00386109" w:rsidRDefault="00CD2995" w:rsidP="009315BE">
            <w:pPr>
              <w:pStyle w:val="Documentsubtitle"/>
            </w:pPr>
            <w:r>
              <w:t>For health services</w:t>
            </w:r>
          </w:p>
          <w:p w14:paraId="7D38E35A" w14:textId="261D9136" w:rsidR="00CD2995" w:rsidRPr="00A1389F" w:rsidRDefault="00CD2995" w:rsidP="009315BE">
            <w:pPr>
              <w:pStyle w:val="Documentsubtitle"/>
            </w:pPr>
            <w:r>
              <w:t>Version 1.</w:t>
            </w:r>
            <w:r w:rsidR="00A02D87">
              <w:t>1</w:t>
            </w:r>
          </w:p>
        </w:tc>
      </w:tr>
      <w:tr w:rsidR="00430393" w14:paraId="6D58DC80" w14:textId="77777777" w:rsidTr="00431F42">
        <w:trPr>
          <w:cantSplit/>
        </w:trPr>
        <w:tc>
          <w:tcPr>
            <w:tcW w:w="0" w:type="auto"/>
          </w:tcPr>
          <w:p w14:paraId="11AB228B" w14:textId="77777777" w:rsidR="00430393" w:rsidRDefault="003F47CE" w:rsidP="00430393">
            <w:pPr>
              <w:pStyle w:val="Bannermarking"/>
            </w:pPr>
            <w:fldSimple w:instr="FILLIN  &quot;Type the protective marking&quot; \d OFFICIAL \o  \* MERGEFORMAT">
              <w:r w:rsidR="009E6B2A">
                <w:t>OFFICIAL</w:t>
              </w:r>
            </w:fldSimple>
          </w:p>
        </w:tc>
      </w:tr>
    </w:tbl>
    <w:p w14:paraId="05100893" w14:textId="77777777" w:rsidR="00FE4081" w:rsidRDefault="00FE4081" w:rsidP="00FE4081">
      <w:pPr>
        <w:pStyle w:val="Body"/>
      </w:pPr>
    </w:p>
    <w:p w14:paraId="53259C6F"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52F6E5FC" w14:textId="77777777" w:rsidTr="00562507">
        <w:trPr>
          <w:cantSplit/>
          <w:trHeight w:val="7088"/>
        </w:trPr>
        <w:tc>
          <w:tcPr>
            <w:tcW w:w="9288" w:type="dxa"/>
          </w:tcPr>
          <w:p w14:paraId="7197431F" w14:textId="53E0A37E" w:rsidR="009F2182" w:rsidRPr="00DE1234" w:rsidRDefault="009F2182" w:rsidP="00BA26F6">
            <w:pPr>
              <w:pStyle w:val="Body"/>
              <w:rPr>
                <w:rFonts w:eastAsia="Times New Roman"/>
                <w:sz w:val="24"/>
                <w:szCs w:val="24"/>
              </w:rPr>
            </w:pPr>
          </w:p>
        </w:tc>
      </w:tr>
      <w:tr w:rsidR="009F2182" w14:paraId="1E1699E7" w14:textId="77777777" w:rsidTr="00562507">
        <w:trPr>
          <w:cantSplit/>
          <w:trHeight w:val="5103"/>
        </w:trPr>
        <w:tc>
          <w:tcPr>
            <w:tcW w:w="9288" w:type="dxa"/>
            <w:vAlign w:val="bottom"/>
          </w:tcPr>
          <w:p w14:paraId="64E1D9C6" w14:textId="1D4D8EC9" w:rsidR="009F2182" w:rsidRPr="0055119B" w:rsidRDefault="00651B6D" w:rsidP="009F2182">
            <w:pPr>
              <w:pStyle w:val="Accessibilitypara"/>
            </w:pPr>
            <w:r w:rsidRPr="00651B6D">
              <w:t>To receive this publication in an accessible format phone Communicable Disease Prevention and Control on 1300 651 160, using the National Relay Service 13 36 77 if required, or email &lt;infectious.diseases@health.vic.gov.au&gt;.</w:t>
            </w:r>
          </w:p>
          <w:p w14:paraId="476C69FB" w14:textId="77777777" w:rsidR="009F2182" w:rsidRPr="0055119B" w:rsidRDefault="009F2182" w:rsidP="009F2182">
            <w:pPr>
              <w:pStyle w:val="Imprint"/>
            </w:pPr>
            <w:r w:rsidRPr="0055119B">
              <w:t>Authorised and published by the Victorian Government, 1 Treasury Place, Melbourne.</w:t>
            </w:r>
          </w:p>
          <w:p w14:paraId="252A8EFD" w14:textId="71ED20B5" w:rsidR="009F2182" w:rsidRPr="00AF2A33" w:rsidRDefault="009F2182" w:rsidP="009F2182">
            <w:pPr>
              <w:pStyle w:val="Imprint"/>
            </w:pPr>
            <w:r w:rsidRPr="0055119B">
              <w:t xml:space="preserve">© State of Victoria, Australia, Department </w:t>
            </w:r>
            <w:r w:rsidRPr="001B058F">
              <w:t xml:space="preserve">of </w:t>
            </w:r>
            <w:r w:rsidR="00D76ECC" w:rsidRPr="00C2283E">
              <w:t>Health</w:t>
            </w:r>
            <w:r w:rsidRPr="00C2283E">
              <w:t xml:space="preserve">, </w:t>
            </w:r>
            <w:r w:rsidR="00BF2015">
              <w:t xml:space="preserve">October </w:t>
            </w:r>
            <w:r w:rsidR="00597F74" w:rsidRPr="00C2283E">
              <w:t>2023</w:t>
            </w:r>
            <w:r w:rsidRPr="00C2283E">
              <w:t>.</w:t>
            </w:r>
          </w:p>
          <w:p w14:paraId="5B3BBEE1" w14:textId="0B63A7AF" w:rsidR="009F2182" w:rsidRDefault="00651B6D" w:rsidP="009F2182">
            <w:pPr>
              <w:pStyle w:val="Body"/>
            </w:pPr>
            <w:r w:rsidRPr="00AF2A33">
              <w:rPr>
                <w:color w:val="000000" w:themeColor="text1"/>
                <w:sz w:val="20"/>
              </w:rPr>
              <w:t xml:space="preserve">Available on the </w:t>
            </w:r>
            <w:r w:rsidR="00DB04FA">
              <w:rPr>
                <w:color w:val="000000" w:themeColor="text1"/>
                <w:sz w:val="20"/>
              </w:rPr>
              <w:t xml:space="preserve">Department of Health </w:t>
            </w:r>
            <w:hyperlink r:id="rId18" w:history="1">
              <w:r w:rsidR="00DB04FA" w:rsidRPr="00DB04FA">
                <w:rPr>
                  <w:rStyle w:val="Hyperlink"/>
                  <w:sz w:val="20"/>
                </w:rPr>
                <w:t>Infection Control Guidelines website</w:t>
              </w:r>
            </w:hyperlink>
            <w:r w:rsidRPr="00AF2A33">
              <w:rPr>
                <w:color w:val="000000" w:themeColor="text1"/>
                <w:sz w:val="20"/>
              </w:rPr>
              <w:t xml:space="preserve"> &lt;</w:t>
            </w:r>
            <w:r w:rsidR="00DB04FA" w:rsidRPr="00DB04FA">
              <w:rPr>
                <w:color w:val="000000" w:themeColor="text1"/>
                <w:sz w:val="20"/>
              </w:rPr>
              <w:t>www.health.vic.gov.au/infection-control</w:t>
            </w:r>
            <w:r w:rsidRPr="00AF2A33">
              <w:rPr>
                <w:color w:val="000000" w:themeColor="text1"/>
                <w:sz w:val="20"/>
              </w:rPr>
              <w:t>&gt;.</w:t>
            </w:r>
          </w:p>
        </w:tc>
      </w:tr>
      <w:tr w:rsidR="0008204A" w14:paraId="796CA6AF" w14:textId="77777777" w:rsidTr="0008204A">
        <w:trPr>
          <w:cantSplit/>
        </w:trPr>
        <w:tc>
          <w:tcPr>
            <w:tcW w:w="9288" w:type="dxa"/>
          </w:tcPr>
          <w:p w14:paraId="641AF66D" w14:textId="77777777" w:rsidR="0008204A" w:rsidRPr="0055119B" w:rsidRDefault="0008204A" w:rsidP="0008204A">
            <w:pPr>
              <w:pStyle w:val="Body"/>
            </w:pPr>
          </w:p>
        </w:tc>
      </w:tr>
    </w:tbl>
    <w:p w14:paraId="584387C6" w14:textId="05DC8289" w:rsidR="0008204A" w:rsidRDefault="0008204A" w:rsidP="0008204A">
      <w:pPr>
        <w:pStyle w:val="Body"/>
      </w:pPr>
      <w:r w:rsidRPr="0008204A">
        <w:br w:type="page"/>
      </w:r>
    </w:p>
    <w:p w14:paraId="0A157F93" w14:textId="6BFAF1FB" w:rsidR="00651B6D" w:rsidRDefault="00CC14EB" w:rsidP="00651B6D">
      <w:pPr>
        <w:pStyle w:val="Heading1"/>
      </w:pPr>
      <w:bookmarkStart w:id="2" w:name="_Toc149319536"/>
      <w:r>
        <w:lastRenderedPageBreak/>
        <w:t>Acknowledgements</w:t>
      </w:r>
      <w:bookmarkEnd w:id="2"/>
    </w:p>
    <w:p w14:paraId="7AE8BADF" w14:textId="77777777" w:rsidR="00300D5A" w:rsidRPr="00FC31F1" w:rsidRDefault="00300D5A" w:rsidP="00300D5A">
      <w:pPr>
        <w:pStyle w:val="DHHSbody"/>
        <w:rPr>
          <w:sz w:val="21"/>
          <w:szCs w:val="21"/>
        </w:rPr>
      </w:pPr>
      <w:bookmarkStart w:id="3" w:name="_Hlk18318550"/>
      <w:r w:rsidRPr="00FC31F1">
        <w:rPr>
          <w:sz w:val="21"/>
          <w:szCs w:val="21"/>
        </w:rPr>
        <w:t>This guideline was developed by the Communicable Diseases Section of the Department of Health. Recommendations were derived from existing best practice documents, literature review and expert opinion.</w:t>
      </w:r>
    </w:p>
    <w:p w14:paraId="4D55FB57" w14:textId="4998214F" w:rsidR="00300D5A" w:rsidRPr="00FC31F1" w:rsidRDefault="00300D5A" w:rsidP="00300D5A">
      <w:pPr>
        <w:pStyle w:val="DHHSbody"/>
        <w:rPr>
          <w:sz w:val="21"/>
          <w:szCs w:val="21"/>
        </w:rPr>
      </w:pPr>
      <w:bookmarkStart w:id="4" w:name="_Hlk18321497"/>
      <w:bookmarkEnd w:id="3"/>
      <w:r w:rsidRPr="00FC31F1">
        <w:rPr>
          <w:sz w:val="21"/>
          <w:szCs w:val="21"/>
        </w:rPr>
        <w:t>We gratefully acknowledge the feedback received from the members of the Victorian AMR Incident Management Team, health service infectious diseases and infection prevention and control units</w:t>
      </w:r>
      <w:bookmarkEnd w:id="4"/>
      <w:r w:rsidR="0065475E" w:rsidRPr="00FC31F1">
        <w:rPr>
          <w:sz w:val="21"/>
          <w:szCs w:val="21"/>
        </w:rPr>
        <w:t xml:space="preserve">, </w:t>
      </w:r>
      <w:r w:rsidRPr="00FC31F1">
        <w:rPr>
          <w:sz w:val="21"/>
          <w:szCs w:val="21"/>
        </w:rPr>
        <w:t>and public health and diagnostic laboratories.</w:t>
      </w:r>
    </w:p>
    <w:p w14:paraId="77886D60" w14:textId="529CFF4C" w:rsidR="00651B6D" w:rsidRPr="00761550" w:rsidRDefault="00300D5A" w:rsidP="00761550">
      <w:pPr>
        <w:pStyle w:val="DHHSbody"/>
        <w:rPr>
          <w:sz w:val="21"/>
          <w:szCs w:val="21"/>
        </w:rPr>
      </w:pPr>
      <w:r w:rsidRPr="00FC31F1">
        <w:rPr>
          <w:sz w:val="21"/>
          <w:szCs w:val="21"/>
        </w:rPr>
        <w:t>This guideline will remain open to continued review. The experience of health services in applying this guidance will be invaluable as we go forward.</w:t>
      </w:r>
    </w:p>
    <w:p w14:paraId="31BCAF0A" w14:textId="77777777" w:rsidR="00AD784C" w:rsidRPr="00A37646" w:rsidRDefault="00AD784C" w:rsidP="002365B4">
      <w:pPr>
        <w:pStyle w:val="TOCheadingreport"/>
      </w:pPr>
      <w:r w:rsidRPr="00A37646">
        <w:lastRenderedPageBreak/>
        <w:t>Contents</w:t>
      </w:r>
    </w:p>
    <w:p w14:paraId="044DDB6D" w14:textId="31605ABD" w:rsidR="003F47CE" w:rsidRDefault="00AD784C">
      <w:pPr>
        <w:pStyle w:val="TOC1"/>
        <w:rPr>
          <w:rFonts w:asciiTheme="minorHAnsi" w:eastAsiaTheme="minorEastAsia" w:hAnsiTheme="minorHAnsi" w:cstheme="minorBidi"/>
          <w:b w:val="0"/>
          <w:color w:val="auto"/>
          <w:kern w:val="2"/>
          <w:sz w:val="22"/>
          <w:szCs w:val="22"/>
          <w:lang w:eastAsia="en-AU"/>
          <w14:ligatures w14:val="standardContextual"/>
        </w:rPr>
      </w:pPr>
      <w:r>
        <w:rPr>
          <w:rFonts w:eastAsia="Times"/>
        </w:rPr>
        <w:fldChar w:fldCharType="begin"/>
      </w:r>
      <w:r w:rsidRPr="00192E9B">
        <w:instrText xml:space="preserve"> TOC \h \z \t "Heading 1,1,Heading 2,2" </w:instrText>
      </w:r>
      <w:r>
        <w:rPr>
          <w:rFonts w:eastAsia="Times"/>
        </w:rPr>
        <w:fldChar w:fldCharType="separate"/>
      </w:r>
      <w:hyperlink w:anchor="_Toc149319536" w:history="1">
        <w:r w:rsidR="003F47CE" w:rsidRPr="00024FDA">
          <w:rPr>
            <w:rStyle w:val="Hyperlink"/>
          </w:rPr>
          <w:t>Acknowledgements</w:t>
        </w:r>
        <w:r w:rsidR="003F47CE">
          <w:rPr>
            <w:webHidden/>
          </w:rPr>
          <w:tab/>
        </w:r>
        <w:r w:rsidR="003F47CE">
          <w:rPr>
            <w:webHidden/>
          </w:rPr>
          <w:fldChar w:fldCharType="begin"/>
        </w:r>
        <w:r w:rsidR="003F47CE">
          <w:rPr>
            <w:webHidden/>
          </w:rPr>
          <w:instrText xml:space="preserve"> PAGEREF _Toc149319536 \h </w:instrText>
        </w:r>
        <w:r w:rsidR="003F47CE">
          <w:rPr>
            <w:webHidden/>
          </w:rPr>
        </w:r>
        <w:r w:rsidR="003F47CE">
          <w:rPr>
            <w:webHidden/>
          </w:rPr>
          <w:fldChar w:fldCharType="separate"/>
        </w:r>
        <w:r w:rsidR="003F47CE">
          <w:rPr>
            <w:webHidden/>
          </w:rPr>
          <w:t>iii</w:t>
        </w:r>
        <w:r w:rsidR="003F47CE">
          <w:rPr>
            <w:webHidden/>
          </w:rPr>
          <w:fldChar w:fldCharType="end"/>
        </w:r>
      </w:hyperlink>
    </w:p>
    <w:p w14:paraId="39E79108" w14:textId="68D4681B" w:rsidR="003F47CE"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49319537" w:history="1">
        <w:r w:rsidR="003F47CE" w:rsidRPr="00024FDA">
          <w:rPr>
            <w:rStyle w:val="Hyperlink"/>
          </w:rPr>
          <w:t>Acronyms and abbreviations</w:t>
        </w:r>
        <w:r w:rsidR="003F47CE">
          <w:rPr>
            <w:webHidden/>
          </w:rPr>
          <w:tab/>
        </w:r>
        <w:r w:rsidR="003F47CE">
          <w:rPr>
            <w:webHidden/>
          </w:rPr>
          <w:fldChar w:fldCharType="begin"/>
        </w:r>
        <w:r w:rsidR="003F47CE">
          <w:rPr>
            <w:webHidden/>
          </w:rPr>
          <w:instrText xml:space="preserve"> PAGEREF _Toc149319537 \h </w:instrText>
        </w:r>
        <w:r w:rsidR="003F47CE">
          <w:rPr>
            <w:webHidden/>
          </w:rPr>
        </w:r>
        <w:r w:rsidR="003F47CE">
          <w:rPr>
            <w:webHidden/>
          </w:rPr>
          <w:fldChar w:fldCharType="separate"/>
        </w:r>
        <w:r w:rsidR="003F47CE">
          <w:rPr>
            <w:webHidden/>
          </w:rPr>
          <w:t>5</w:t>
        </w:r>
        <w:r w:rsidR="003F47CE">
          <w:rPr>
            <w:webHidden/>
          </w:rPr>
          <w:fldChar w:fldCharType="end"/>
        </w:r>
      </w:hyperlink>
    </w:p>
    <w:p w14:paraId="03B3AEBC" w14:textId="49B468D8" w:rsidR="003F47CE"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49319538" w:history="1">
        <w:r w:rsidR="003F47CE" w:rsidRPr="00024FDA">
          <w:rPr>
            <w:rStyle w:val="Hyperlink"/>
          </w:rPr>
          <w:t>Glossary</w:t>
        </w:r>
        <w:r w:rsidR="003F47CE">
          <w:rPr>
            <w:webHidden/>
          </w:rPr>
          <w:tab/>
        </w:r>
        <w:r w:rsidR="003F47CE">
          <w:rPr>
            <w:webHidden/>
          </w:rPr>
          <w:fldChar w:fldCharType="begin"/>
        </w:r>
        <w:r w:rsidR="003F47CE">
          <w:rPr>
            <w:webHidden/>
          </w:rPr>
          <w:instrText xml:space="preserve"> PAGEREF _Toc149319538 \h </w:instrText>
        </w:r>
        <w:r w:rsidR="003F47CE">
          <w:rPr>
            <w:webHidden/>
          </w:rPr>
        </w:r>
        <w:r w:rsidR="003F47CE">
          <w:rPr>
            <w:webHidden/>
          </w:rPr>
          <w:fldChar w:fldCharType="separate"/>
        </w:r>
        <w:r w:rsidR="003F47CE">
          <w:rPr>
            <w:webHidden/>
          </w:rPr>
          <w:t>6</w:t>
        </w:r>
        <w:r w:rsidR="003F47CE">
          <w:rPr>
            <w:webHidden/>
          </w:rPr>
          <w:fldChar w:fldCharType="end"/>
        </w:r>
      </w:hyperlink>
    </w:p>
    <w:p w14:paraId="1F431912" w14:textId="076541FB" w:rsidR="003F47CE"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49319539" w:history="1">
        <w:r w:rsidR="003F47CE" w:rsidRPr="00024FDA">
          <w:rPr>
            <w:rStyle w:val="Hyperlink"/>
          </w:rPr>
          <w:t>Section 1: Background</w:t>
        </w:r>
        <w:r w:rsidR="003F47CE">
          <w:rPr>
            <w:webHidden/>
          </w:rPr>
          <w:tab/>
        </w:r>
        <w:r w:rsidR="003F47CE">
          <w:rPr>
            <w:webHidden/>
          </w:rPr>
          <w:fldChar w:fldCharType="begin"/>
        </w:r>
        <w:r w:rsidR="003F47CE">
          <w:rPr>
            <w:webHidden/>
          </w:rPr>
          <w:instrText xml:space="preserve"> PAGEREF _Toc149319539 \h </w:instrText>
        </w:r>
        <w:r w:rsidR="003F47CE">
          <w:rPr>
            <w:webHidden/>
          </w:rPr>
        </w:r>
        <w:r w:rsidR="003F47CE">
          <w:rPr>
            <w:webHidden/>
          </w:rPr>
          <w:fldChar w:fldCharType="separate"/>
        </w:r>
        <w:r w:rsidR="003F47CE">
          <w:rPr>
            <w:webHidden/>
          </w:rPr>
          <w:t>12</w:t>
        </w:r>
        <w:r w:rsidR="003F47CE">
          <w:rPr>
            <w:webHidden/>
          </w:rPr>
          <w:fldChar w:fldCharType="end"/>
        </w:r>
      </w:hyperlink>
    </w:p>
    <w:p w14:paraId="6C2598E9" w14:textId="7FCC4AEA" w:rsidR="003F47CE" w:rsidRDefault="00000000">
      <w:pPr>
        <w:pStyle w:val="TOC2"/>
        <w:rPr>
          <w:rFonts w:asciiTheme="minorHAnsi" w:eastAsiaTheme="minorEastAsia" w:hAnsiTheme="minorHAnsi" w:cstheme="minorBidi"/>
          <w:kern w:val="2"/>
          <w:sz w:val="22"/>
          <w:szCs w:val="22"/>
          <w:lang w:eastAsia="en-AU"/>
          <w14:ligatures w14:val="standardContextual"/>
        </w:rPr>
      </w:pPr>
      <w:hyperlink w:anchor="_Toc149319540" w:history="1">
        <w:r w:rsidR="003F47CE" w:rsidRPr="00024FDA">
          <w:rPr>
            <w:rStyle w:val="Hyperlink"/>
            <w:rFonts w:eastAsia="Times"/>
          </w:rPr>
          <w:t>Carbapenemase-producing organisms</w:t>
        </w:r>
        <w:r w:rsidR="003F47CE">
          <w:rPr>
            <w:webHidden/>
          </w:rPr>
          <w:tab/>
        </w:r>
        <w:r w:rsidR="003F47CE">
          <w:rPr>
            <w:webHidden/>
          </w:rPr>
          <w:fldChar w:fldCharType="begin"/>
        </w:r>
        <w:r w:rsidR="003F47CE">
          <w:rPr>
            <w:webHidden/>
          </w:rPr>
          <w:instrText xml:space="preserve"> PAGEREF _Toc149319540 \h </w:instrText>
        </w:r>
        <w:r w:rsidR="003F47CE">
          <w:rPr>
            <w:webHidden/>
          </w:rPr>
        </w:r>
        <w:r w:rsidR="003F47CE">
          <w:rPr>
            <w:webHidden/>
          </w:rPr>
          <w:fldChar w:fldCharType="separate"/>
        </w:r>
        <w:r w:rsidR="003F47CE">
          <w:rPr>
            <w:webHidden/>
          </w:rPr>
          <w:t>12</w:t>
        </w:r>
        <w:r w:rsidR="003F47CE">
          <w:rPr>
            <w:webHidden/>
          </w:rPr>
          <w:fldChar w:fldCharType="end"/>
        </w:r>
      </w:hyperlink>
    </w:p>
    <w:p w14:paraId="79680685" w14:textId="156C4FB2" w:rsidR="003F47CE" w:rsidRDefault="00000000">
      <w:pPr>
        <w:pStyle w:val="TOC2"/>
        <w:rPr>
          <w:rFonts w:asciiTheme="minorHAnsi" w:eastAsiaTheme="minorEastAsia" w:hAnsiTheme="minorHAnsi" w:cstheme="minorBidi"/>
          <w:kern w:val="2"/>
          <w:sz w:val="22"/>
          <w:szCs w:val="22"/>
          <w:lang w:eastAsia="en-AU"/>
          <w14:ligatures w14:val="standardContextual"/>
        </w:rPr>
      </w:pPr>
      <w:hyperlink w:anchor="_Toc149319541" w:history="1">
        <w:r w:rsidR="003F47CE" w:rsidRPr="00024FDA">
          <w:rPr>
            <w:rStyle w:val="Hyperlink"/>
            <w:rFonts w:eastAsia="Times"/>
          </w:rPr>
          <w:t>Scope of the Victorian CPO guideline</w:t>
        </w:r>
        <w:r w:rsidR="003F47CE">
          <w:rPr>
            <w:webHidden/>
          </w:rPr>
          <w:tab/>
        </w:r>
        <w:r w:rsidR="003F47CE">
          <w:rPr>
            <w:webHidden/>
          </w:rPr>
          <w:fldChar w:fldCharType="begin"/>
        </w:r>
        <w:r w:rsidR="003F47CE">
          <w:rPr>
            <w:webHidden/>
          </w:rPr>
          <w:instrText xml:space="preserve"> PAGEREF _Toc149319541 \h </w:instrText>
        </w:r>
        <w:r w:rsidR="003F47CE">
          <w:rPr>
            <w:webHidden/>
          </w:rPr>
        </w:r>
        <w:r w:rsidR="003F47CE">
          <w:rPr>
            <w:webHidden/>
          </w:rPr>
          <w:fldChar w:fldCharType="separate"/>
        </w:r>
        <w:r w:rsidR="003F47CE">
          <w:rPr>
            <w:webHidden/>
          </w:rPr>
          <w:t>12</w:t>
        </w:r>
        <w:r w:rsidR="003F47CE">
          <w:rPr>
            <w:webHidden/>
          </w:rPr>
          <w:fldChar w:fldCharType="end"/>
        </w:r>
      </w:hyperlink>
    </w:p>
    <w:p w14:paraId="26CF2177" w14:textId="1D69856A" w:rsidR="003F47CE" w:rsidRDefault="00000000">
      <w:pPr>
        <w:pStyle w:val="TOC2"/>
        <w:rPr>
          <w:rFonts w:asciiTheme="minorHAnsi" w:eastAsiaTheme="minorEastAsia" w:hAnsiTheme="minorHAnsi" w:cstheme="minorBidi"/>
          <w:kern w:val="2"/>
          <w:sz w:val="22"/>
          <w:szCs w:val="22"/>
          <w:lang w:eastAsia="en-AU"/>
          <w14:ligatures w14:val="standardContextual"/>
        </w:rPr>
      </w:pPr>
      <w:hyperlink w:anchor="_Toc149319542" w:history="1">
        <w:r w:rsidR="003F47CE" w:rsidRPr="00024FDA">
          <w:rPr>
            <w:rStyle w:val="Hyperlink"/>
            <w:rFonts w:eastAsia="Times"/>
          </w:rPr>
          <w:t>Epidemiology of CPO</w:t>
        </w:r>
        <w:r w:rsidR="003F47CE">
          <w:rPr>
            <w:webHidden/>
          </w:rPr>
          <w:tab/>
        </w:r>
        <w:r w:rsidR="003F47CE">
          <w:rPr>
            <w:webHidden/>
          </w:rPr>
          <w:fldChar w:fldCharType="begin"/>
        </w:r>
        <w:r w:rsidR="003F47CE">
          <w:rPr>
            <w:webHidden/>
          </w:rPr>
          <w:instrText xml:space="preserve"> PAGEREF _Toc149319542 \h </w:instrText>
        </w:r>
        <w:r w:rsidR="003F47CE">
          <w:rPr>
            <w:webHidden/>
          </w:rPr>
        </w:r>
        <w:r w:rsidR="003F47CE">
          <w:rPr>
            <w:webHidden/>
          </w:rPr>
          <w:fldChar w:fldCharType="separate"/>
        </w:r>
        <w:r w:rsidR="003F47CE">
          <w:rPr>
            <w:webHidden/>
          </w:rPr>
          <w:t>14</w:t>
        </w:r>
        <w:r w:rsidR="003F47CE">
          <w:rPr>
            <w:webHidden/>
          </w:rPr>
          <w:fldChar w:fldCharType="end"/>
        </w:r>
      </w:hyperlink>
    </w:p>
    <w:p w14:paraId="7343A386" w14:textId="214F610B" w:rsidR="003F47CE"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49319543" w:history="1">
        <w:r w:rsidR="003F47CE" w:rsidRPr="00024FDA">
          <w:rPr>
            <w:rStyle w:val="Hyperlink"/>
          </w:rPr>
          <w:t>Section 2: Governance</w:t>
        </w:r>
        <w:r w:rsidR="003F47CE">
          <w:rPr>
            <w:webHidden/>
          </w:rPr>
          <w:tab/>
        </w:r>
        <w:r w:rsidR="003F47CE">
          <w:rPr>
            <w:webHidden/>
          </w:rPr>
          <w:fldChar w:fldCharType="begin"/>
        </w:r>
        <w:r w:rsidR="003F47CE">
          <w:rPr>
            <w:webHidden/>
          </w:rPr>
          <w:instrText xml:space="preserve"> PAGEREF _Toc149319543 \h </w:instrText>
        </w:r>
        <w:r w:rsidR="003F47CE">
          <w:rPr>
            <w:webHidden/>
          </w:rPr>
        </w:r>
        <w:r w:rsidR="003F47CE">
          <w:rPr>
            <w:webHidden/>
          </w:rPr>
          <w:fldChar w:fldCharType="separate"/>
        </w:r>
        <w:r w:rsidR="003F47CE">
          <w:rPr>
            <w:webHidden/>
          </w:rPr>
          <w:t>15</w:t>
        </w:r>
        <w:r w:rsidR="003F47CE">
          <w:rPr>
            <w:webHidden/>
          </w:rPr>
          <w:fldChar w:fldCharType="end"/>
        </w:r>
      </w:hyperlink>
    </w:p>
    <w:p w14:paraId="04E54EF5" w14:textId="696BB0BA" w:rsidR="003F47CE" w:rsidRDefault="00000000">
      <w:pPr>
        <w:pStyle w:val="TOC2"/>
        <w:rPr>
          <w:rFonts w:asciiTheme="minorHAnsi" w:eastAsiaTheme="minorEastAsia" w:hAnsiTheme="minorHAnsi" w:cstheme="minorBidi"/>
          <w:kern w:val="2"/>
          <w:sz w:val="22"/>
          <w:szCs w:val="22"/>
          <w:lang w:eastAsia="en-AU"/>
          <w14:ligatures w14:val="standardContextual"/>
        </w:rPr>
      </w:pPr>
      <w:hyperlink w:anchor="_Toc149319544" w:history="1">
        <w:r w:rsidR="003F47CE" w:rsidRPr="00024FDA">
          <w:rPr>
            <w:rStyle w:val="Hyperlink"/>
            <w:rFonts w:eastAsia="Times"/>
          </w:rPr>
          <w:t>Roles and responsibilities of all agencies</w:t>
        </w:r>
        <w:r w:rsidR="003F47CE">
          <w:rPr>
            <w:webHidden/>
          </w:rPr>
          <w:tab/>
        </w:r>
        <w:r w:rsidR="003F47CE">
          <w:rPr>
            <w:webHidden/>
          </w:rPr>
          <w:fldChar w:fldCharType="begin"/>
        </w:r>
        <w:r w:rsidR="003F47CE">
          <w:rPr>
            <w:webHidden/>
          </w:rPr>
          <w:instrText xml:space="preserve"> PAGEREF _Toc149319544 \h </w:instrText>
        </w:r>
        <w:r w:rsidR="003F47CE">
          <w:rPr>
            <w:webHidden/>
          </w:rPr>
        </w:r>
        <w:r w:rsidR="003F47CE">
          <w:rPr>
            <w:webHidden/>
          </w:rPr>
          <w:fldChar w:fldCharType="separate"/>
        </w:r>
        <w:r w:rsidR="003F47CE">
          <w:rPr>
            <w:webHidden/>
          </w:rPr>
          <w:t>15</w:t>
        </w:r>
        <w:r w:rsidR="003F47CE">
          <w:rPr>
            <w:webHidden/>
          </w:rPr>
          <w:fldChar w:fldCharType="end"/>
        </w:r>
      </w:hyperlink>
    </w:p>
    <w:p w14:paraId="6C12C978" w14:textId="1377817F" w:rsidR="003F47CE"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49319545" w:history="1">
        <w:r w:rsidR="003F47CE" w:rsidRPr="00024FDA">
          <w:rPr>
            <w:rStyle w:val="Hyperlink"/>
          </w:rPr>
          <w:t>Section 3: Screening, detection, and investigation</w:t>
        </w:r>
        <w:r w:rsidR="003F47CE">
          <w:rPr>
            <w:webHidden/>
          </w:rPr>
          <w:tab/>
        </w:r>
        <w:r w:rsidR="003F47CE">
          <w:rPr>
            <w:webHidden/>
          </w:rPr>
          <w:fldChar w:fldCharType="begin"/>
        </w:r>
        <w:r w:rsidR="003F47CE">
          <w:rPr>
            <w:webHidden/>
          </w:rPr>
          <w:instrText xml:space="preserve"> PAGEREF _Toc149319545 \h </w:instrText>
        </w:r>
        <w:r w:rsidR="003F47CE">
          <w:rPr>
            <w:webHidden/>
          </w:rPr>
        </w:r>
        <w:r w:rsidR="003F47CE">
          <w:rPr>
            <w:webHidden/>
          </w:rPr>
          <w:fldChar w:fldCharType="separate"/>
        </w:r>
        <w:r w:rsidR="003F47CE">
          <w:rPr>
            <w:webHidden/>
          </w:rPr>
          <w:t>19</w:t>
        </w:r>
        <w:r w:rsidR="003F47CE">
          <w:rPr>
            <w:webHidden/>
          </w:rPr>
          <w:fldChar w:fldCharType="end"/>
        </w:r>
      </w:hyperlink>
    </w:p>
    <w:p w14:paraId="27C7F0D7" w14:textId="6C3780F6" w:rsidR="003F47CE" w:rsidRDefault="00000000">
      <w:pPr>
        <w:pStyle w:val="TOC2"/>
        <w:rPr>
          <w:rFonts w:asciiTheme="minorHAnsi" w:eastAsiaTheme="minorEastAsia" w:hAnsiTheme="minorHAnsi" w:cstheme="minorBidi"/>
          <w:kern w:val="2"/>
          <w:sz w:val="22"/>
          <w:szCs w:val="22"/>
          <w:lang w:eastAsia="en-AU"/>
          <w14:ligatures w14:val="standardContextual"/>
        </w:rPr>
      </w:pPr>
      <w:hyperlink w:anchor="_Toc149319546" w:history="1">
        <w:r w:rsidR="003F47CE" w:rsidRPr="00024FDA">
          <w:rPr>
            <w:rStyle w:val="Hyperlink"/>
            <w:rFonts w:eastAsia="Times"/>
          </w:rPr>
          <w:t>Surveillance strategy</w:t>
        </w:r>
        <w:r w:rsidR="003F47CE">
          <w:rPr>
            <w:webHidden/>
          </w:rPr>
          <w:tab/>
        </w:r>
        <w:r w:rsidR="003F47CE">
          <w:rPr>
            <w:webHidden/>
          </w:rPr>
          <w:fldChar w:fldCharType="begin"/>
        </w:r>
        <w:r w:rsidR="003F47CE">
          <w:rPr>
            <w:webHidden/>
          </w:rPr>
          <w:instrText xml:space="preserve"> PAGEREF _Toc149319546 \h </w:instrText>
        </w:r>
        <w:r w:rsidR="003F47CE">
          <w:rPr>
            <w:webHidden/>
          </w:rPr>
        </w:r>
        <w:r w:rsidR="003F47CE">
          <w:rPr>
            <w:webHidden/>
          </w:rPr>
          <w:fldChar w:fldCharType="separate"/>
        </w:r>
        <w:r w:rsidR="003F47CE">
          <w:rPr>
            <w:webHidden/>
          </w:rPr>
          <w:t>19</w:t>
        </w:r>
        <w:r w:rsidR="003F47CE">
          <w:rPr>
            <w:webHidden/>
          </w:rPr>
          <w:fldChar w:fldCharType="end"/>
        </w:r>
      </w:hyperlink>
    </w:p>
    <w:p w14:paraId="3C6F1F7A" w14:textId="771D8244" w:rsidR="003F47CE" w:rsidRDefault="00000000">
      <w:pPr>
        <w:pStyle w:val="TOC2"/>
        <w:rPr>
          <w:rFonts w:asciiTheme="minorHAnsi" w:eastAsiaTheme="minorEastAsia" w:hAnsiTheme="minorHAnsi" w:cstheme="minorBidi"/>
          <w:kern w:val="2"/>
          <w:sz w:val="22"/>
          <w:szCs w:val="22"/>
          <w:lang w:eastAsia="en-AU"/>
          <w14:ligatures w14:val="standardContextual"/>
        </w:rPr>
      </w:pPr>
      <w:hyperlink w:anchor="_Toc149319547" w:history="1">
        <w:r w:rsidR="003F47CE" w:rsidRPr="00024FDA">
          <w:rPr>
            <w:rStyle w:val="Hyperlink"/>
            <w:rFonts w:eastAsia="Times"/>
          </w:rPr>
          <w:t>Choice of screening specimen(s) for patients</w:t>
        </w:r>
        <w:r w:rsidR="003F47CE">
          <w:rPr>
            <w:webHidden/>
          </w:rPr>
          <w:tab/>
        </w:r>
        <w:r w:rsidR="003F47CE">
          <w:rPr>
            <w:webHidden/>
          </w:rPr>
          <w:fldChar w:fldCharType="begin"/>
        </w:r>
        <w:r w:rsidR="003F47CE">
          <w:rPr>
            <w:webHidden/>
          </w:rPr>
          <w:instrText xml:space="preserve"> PAGEREF _Toc149319547 \h </w:instrText>
        </w:r>
        <w:r w:rsidR="003F47CE">
          <w:rPr>
            <w:webHidden/>
          </w:rPr>
        </w:r>
        <w:r w:rsidR="003F47CE">
          <w:rPr>
            <w:webHidden/>
          </w:rPr>
          <w:fldChar w:fldCharType="separate"/>
        </w:r>
        <w:r w:rsidR="003F47CE">
          <w:rPr>
            <w:webHidden/>
          </w:rPr>
          <w:t>19</w:t>
        </w:r>
        <w:r w:rsidR="003F47CE">
          <w:rPr>
            <w:webHidden/>
          </w:rPr>
          <w:fldChar w:fldCharType="end"/>
        </w:r>
      </w:hyperlink>
    </w:p>
    <w:p w14:paraId="0E176E14" w14:textId="25920B64" w:rsidR="003F47CE" w:rsidRDefault="00000000">
      <w:pPr>
        <w:pStyle w:val="TOC2"/>
        <w:rPr>
          <w:rFonts w:asciiTheme="minorHAnsi" w:eastAsiaTheme="minorEastAsia" w:hAnsiTheme="minorHAnsi" w:cstheme="minorBidi"/>
          <w:kern w:val="2"/>
          <w:sz w:val="22"/>
          <w:szCs w:val="22"/>
          <w:lang w:eastAsia="en-AU"/>
          <w14:ligatures w14:val="standardContextual"/>
        </w:rPr>
      </w:pPr>
      <w:hyperlink w:anchor="_Toc149319548" w:history="1">
        <w:r w:rsidR="003F47CE" w:rsidRPr="00024FDA">
          <w:rPr>
            <w:rStyle w:val="Hyperlink"/>
            <w:rFonts w:eastAsia="Times"/>
          </w:rPr>
          <w:t>Screening requirements for all facilities</w:t>
        </w:r>
        <w:r w:rsidR="003F47CE">
          <w:rPr>
            <w:webHidden/>
          </w:rPr>
          <w:tab/>
        </w:r>
        <w:r w:rsidR="003F47CE">
          <w:rPr>
            <w:webHidden/>
          </w:rPr>
          <w:fldChar w:fldCharType="begin"/>
        </w:r>
        <w:r w:rsidR="003F47CE">
          <w:rPr>
            <w:webHidden/>
          </w:rPr>
          <w:instrText xml:space="preserve"> PAGEREF _Toc149319548 \h </w:instrText>
        </w:r>
        <w:r w:rsidR="003F47CE">
          <w:rPr>
            <w:webHidden/>
          </w:rPr>
        </w:r>
        <w:r w:rsidR="003F47CE">
          <w:rPr>
            <w:webHidden/>
          </w:rPr>
          <w:fldChar w:fldCharType="separate"/>
        </w:r>
        <w:r w:rsidR="003F47CE">
          <w:rPr>
            <w:webHidden/>
          </w:rPr>
          <w:t>20</w:t>
        </w:r>
        <w:r w:rsidR="003F47CE">
          <w:rPr>
            <w:webHidden/>
          </w:rPr>
          <w:fldChar w:fldCharType="end"/>
        </w:r>
      </w:hyperlink>
    </w:p>
    <w:p w14:paraId="33E6B82D" w14:textId="3EF52617" w:rsidR="003F47CE" w:rsidRDefault="00000000">
      <w:pPr>
        <w:pStyle w:val="TOC2"/>
        <w:rPr>
          <w:rFonts w:asciiTheme="minorHAnsi" w:eastAsiaTheme="minorEastAsia" w:hAnsiTheme="minorHAnsi" w:cstheme="minorBidi"/>
          <w:kern w:val="2"/>
          <w:sz w:val="22"/>
          <w:szCs w:val="22"/>
          <w:lang w:eastAsia="en-AU"/>
          <w14:ligatures w14:val="standardContextual"/>
        </w:rPr>
      </w:pPr>
      <w:hyperlink w:anchor="_Toc149319549" w:history="1">
        <w:r w:rsidR="003F47CE" w:rsidRPr="00024FDA">
          <w:rPr>
            <w:rStyle w:val="Hyperlink"/>
            <w:rFonts w:eastAsia="Times"/>
          </w:rPr>
          <w:t>Actions when a single case of CPO is detected</w:t>
        </w:r>
        <w:r w:rsidR="003F47CE">
          <w:rPr>
            <w:webHidden/>
          </w:rPr>
          <w:tab/>
        </w:r>
        <w:r w:rsidR="003F47CE">
          <w:rPr>
            <w:webHidden/>
          </w:rPr>
          <w:fldChar w:fldCharType="begin"/>
        </w:r>
        <w:r w:rsidR="003F47CE">
          <w:rPr>
            <w:webHidden/>
          </w:rPr>
          <w:instrText xml:space="preserve"> PAGEREF _Toc149319549 \h </w:instrText>
        </w:r>
        <w:r w:rsidR="003F47CE">
          <w:rPr>
            <w:webHidden/>
          </w:rPr>
        </w:r>
        <w:r w:rsidR="003F47CE">
          <w:rPr>
            <w:webHidden/>
          </w:rPr>
          <w:fldChar w:fldCharType="separate"/>
        </w:r>
        <w:r w:rsidR="003F47CE">
          <w:rPr>
            <w:webHidden/>
          </w:rPr>
          <w:t>23</w:t>
        </w:r>
        <w:r w:rsidR="003F47CE">
          <w:rPr>
            <w:webHidden/>
          </w:rPr>
          <w:fldChar w:fldCharType="end"/>
        </w:r>
      </w:hyperlink>
    </w:p>
    <w:p w14:paraId="3534780E" w14:textId="3178746B" w:rsidR="003F47CE" w:rsidRDefault="00000000">
      <w:pPr>
        <w:pStyle w:val="TOC2"/>
        <w:rPr>
          <w:rFonts w:asciiTheme="minorHAnsi" w:eastAsiaTheme="minorEastAsia" w:hAnsiTheme="minorHAnsi" w:cstheme="minorBidi"/>
          <w:kern w:val="2"/>
          <w:sz w:val="22"/>
          <w:szCs w:val="22"/>
          <w:lang w:eastAsia="en-AU"/>
          <w14:ligatures w14:val="standardContextual"/>
        </w:rPr>
      </w:pPr>
      <w:hyperlink w:anchor="_Toc149319550" w:history="1">
        <w:r w:rsidR="003F47CE" w:rsidRPr="00024FDA">
          <w:rPr>
            <w:rStyle w:val="Hyperlink"/>
            <w:rFonts w:eastAsia="Times"/>
          </w:rPr>
          <w:t>Actions when local transmission of CPO is identified</w:t>
        </w:r>
        <w:r w:rsidR="003F47CE">
          <w:rPr>
            <w:webHidden/>
          </w:rPr>
          <w:tab/>
        </w:r>
        <w:r w:rsidR="003F47CE">
          <w:rPr>
            <w:webHidden/>
          </w:rPr>
          <w:fldChar w:fldCharType="begin"/>
        </w:r>
        <w:r w:rsidR="003F47CE">
          <w:rPr>
            <w:webHidden/>
          </w:rPr>
          <w:instrText xml:space="preserve"> PAGEREF _Toc149319550 \h </w:instrText>
        </w:r>
        <w:r w:rsidR="003F47CE">
          <w:rPr>
            <w:webHidden/>
          </w:rPr>
        </w:r>
        <w:r w:rsidR="003F47CE">
          <w:rPr>
            <w:webHidden/>
          </w:rPr>
          <w:fldChar w:fldCharType="separate"/>
        </w:r>
        <w:r w:rsidR="003F47CE">
          <w:rPr>
            <w:webHidden/>
          </w:rPr>
          <w:t>28</w:t>
        </w:r>
        <w:r w:rsidR="003F47CE">
          <w:rPr>
            <w:webHidden/>
          </w:rPr>
          <w:fldChar w:fldCharType="end"/>
        </w:r>
      </w:hyperlink>
    </w:p>
    <w:p w14:paraId="38EE8588" w14:textId="1B8D885D" w:rsidR="003F47CE" w:rsidRDefault="00000000">
      <w:pPr>
        <w:pStyle w:val="TOC2"/>
        <w:rPr>
          <w:rFonts w:asciiTheme="minorHAnsi" w:eastAsiaTheme="minorEastAsia" w:hAnsiTheme="minorHAnsi" w:cstheme="minorBidi"/>
          <w:kern w:val="2"/>
          <w:sz w:val="22"/>
          <w:szCs w:val="22"/>
          <w:lang w:eastAsia="en-AU"/>
          <w14:ligatures w14:val="standardContextual"/>
        </w:rPr>
      </w:pPr>
      <w:hyperlink w:anchor="_Toc149319551" w:history="1">
        <w:r w:rsidR="003F47CE" w:rsidRPr="00024FDA">
          <w:rPr>
            <w:rStyle w:val="Hyperlink"/>
            <w:rFonts w:eastAsia="Times"/>
          </w:rPr>
          <w:t>Environmental screening</w:t>
        </w:r>
        <w:r w:rsidR="003F47CE">
          <w:rPr>
            <w:webHidden/>
          </w:rPr>
          <w:tab/>
        </w:r>
        <w:r w:rsidR="003F47CE">
          <w:rPr>
            <w:webHidden/>
          </w:rPr>
          <w:fldChar w:fldCharType="begin"/>
        </w:r>
        <w:r w:rsidR="003F47CE">
          <w:rPr>
            <w:webHidden/>
          </w:rPr>
          <w:instrText xml:space="preserve"> PAGEREF _Toc149319551 \h </w:instrText>
        </w:r>
        <w:r w:rsidR="003F47CE">
          <w:rPr>
            <w:webHidden/>
          </w:rPr>
        </w:r>
        <w:r w:rsidR="003F47CE">
          <w:rPr>
            <w:webHidden/>
          </w:rPr>
          <w:fldChar w:fldCharType="separate"/>
        </w:r>
        <w:r w:rsidR="003F47CE">
          <w:rPr>
            <w:webHidden/>
          </w:rPr>
          <w:t>31</w:t>
        </w:r>
        <w:r w:rsidR="003F47CE">
          <w:rPr>
            <w:webHidden/>
          </w:rPr>
          <w:fldChar w:fldCharType="end"/>
        </w:r>
      </w:hyperlink>
    </w:p>
    <w:p w14:paraId="31858115" w14:textId="574E6847" w:rsidR="003F47CE"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49319552" w:history="1">
        <w:r w:rsidR="003F47CE" w:rsidRPr="00024FDA">
          <w:rPr>
            <w:rStyle w:val="Hyperlink"/>
          </w:rPr>
          <w:t>Section 4: Laboratory methods and reporting requirements</w:t>
        </w:r>
        <w:r w:rsidR="003F47CE">
          <w:rPr>
            <w:webHidden/>
          </w:rPr>
          <w:tab/>
        </w:r>
        <w:r w:rsidR="003F47CE">
          <w:rPr>
            <w:webHidden/>
          </w:rPr>
          <w:fldChar w:fldCharType="begin"/>
        </w:r>
        <w:r w:rsidR="003F47CE">
          <w:rPr>
            <w:webHidden/>
          </w:rPr>
          <w:instrText xml:space="preserve"> PAGEREF _Toc149319552 \h </w:instrText>
        </w:r>
        <w:r w:rsidR="003F47CE">
          <w:rPr>
            <w:webHidden/>
          </w:rPr>
        </w:r>
        <w:r w:rsidR="003F47CE">
          <w:rPr>
            <w:webHidden/>
          </w:rPr>
          <w:fldChar w:fldCharType="separate"/>
        </w:r>
        <w:r w:rsidR="003F47CE">
          <w:rPr>
            <w:webHidden/>
          </w:rPr>
          <w:t>32</w:t>
        </w:r>
        <w:r w:rsidR="003F47CE">
          <w:rPr>
            <w:webHidden/>
          </w:rPr>
          <w:fldChar w:fldCharType="end"/>
        </w:r>
      </w:hyperlink>
    </w:p>
    <w:p w14:paraId="69B5D1D3" w14:textId="732B7626" w:rsidR="003F47CE" w:rsidRDefault="00000000">
      <w:pPr>
        <w:pStyle w:val="TOC2"/>
        <w:rPr>
          <w:rFonts w:asciiTheme="minorHAnsi" w:eastAsiaTheme="minorEastAsia" w:hAnsiTheme="minorHAnsi" w:cstheme="minorBidi"/>
          <w:kern w:val="2"/>
          <w:sz w:val="22"/>
          <w:szCs w:val="22"/>
          <w:lang w:eastAsia="en-AU"/>
          <w14:ligatures w14:val="standardContextual"/>
        </w:rPr>
      </w:pPr>
      <w:hyperlink w:anchor="_Toc149319553" w:history="1">
        <w:r w:rsidR="003F47CE" w:rsidRPr="00024FDA">
          <w:rPr>
            <w:rStyle w:val="Hyperlink"/>
            <w:rFonts w:eastAsia="Times"/>
          </w:rPr>
          <w:t>Methods for detecting suspected or confirmed CPO</w:t>
        </w:r>
        <w:r w:rsidR="003F47CE">
          <w:rPr>
            <w:webHidden/>
          </w:rPr>
          <w:tab/>
        </w:r>
        <w:r w:rsidR="003F47CE">
          <w:rPr>
            <w:webHidden/>
          </w:rPr>
          <w:fldChar w:fldCharType="begin"/>
        </w:r>
        <w:r w:rsidR="003F47CE">
          <w:rPr>
            <w:webHidden/>
          </w:rPr>
          <w:instrText xml:space="preserve"> PAGEREF _Toc149319553 \h </w:instrText>
        </w:r>
        <w:r w:rsidR="003F47CE">
          <w:rPr>
            <w:webHidden/>
          </w:rPr>
        </w:r>
        <w:r w:rsidR="003F47CE">
          <w:rPr>
            <w:webHidden/>
          </w:rPr>
          <w:fldChar w:fldCharType="separate"/>
        </w:r>
        <w:r w:rsidR="003F47CE">
          <w:rPr>
            <w:webHidden/>
          </w:rPr>
          <w:t>32</w:t>
        </w:r>
        <w:r w:rsidR="003F47CE">
          <w:rPr>
            <w:webHidden/>
          </w:rPr>
          <w:fldChar w:fldCharType="end"/>
        </w:r>
      </w:hyperlink>
    </w:p>
    <w:p w14:paraId="7F3F8BA0" w14:textId="28922B81" w:rsidR="003F47CE" w:rsidRDefault="00000000">
      <w:pPr>
        <w:pStyle w:val="TOC2"/>
        <w:rPr>
          <w:rFonts w:asciiTheme="minorHAnsi" w:eastAsiaTheme="minorEastAsia" w:hAnsiTheme="minorHAnsi" w:cstheme="minorBidi"/>
          <w:kern w:val="2"/>
          <w:sz w:val="22"/>
          <w:szCs w:val="22"/>
          <w:lang w:eastAsia="en-AU"/>
          <w14:ligatures w14:val="standardContextual"/>
        </w:rPr>
      </w:pPr>
      <w:hyperlink w:anchor="_Toc149319554" w:history="1">
        <w:r w:rsidR="003F47CE" w:rsidRPr="00024FDA">
          <w:rPr>
            <w:rStyle w:val="Hyperlink"/>
          </w:rPr>
          <w:t>Referral criteria for suspected CPO isolates</w:t>
        </w:r>
        <w:r w:rsidR="003F47CE">
          <w:rPr>
            <w:webHidden/>
          </w:rPr>
          <w:tab/>
        </w:r>
        <w:r w:rsidR="003F47CE">
          <w:rPr>
            <w:webHidden/>
          </w:rPr>
          <w:fldChar w:fldCharType="begin"/>
        </w:r>
        <w:r w:rsidR="003F47CE">
          <w:rPr>
            <w:webHidden/>
          </w:rPr>
          <w:instrText xml:space="preserve"> PAGEREF _Toc149319554 \h </w:instrText>
        </w:r>
        <w:r w:rsidR="003F47CE">
          <w:rPr>
            <w:webHidden/>
          </w:rPr>
        </w:r>
        <w:r w:rsidR="003F47CE">
          <w:rPr>
            <w:webHidden/>
          </w:rPr>
          <w:fldChar w:fldCharType="separate"/>
        </w:r>
        <w:r w:rsidR="003F47CE">
          <w:rPr>
            <w:webHidden/>
          </w:rPr>
          <w:t>32</w:t>
        </w:r>
        <w:r w:rsidR="003F47CE">
          <w:rPr>
            <w:webHidden/>
          </w:rPr>
          <w:fldChar w:fldCharType="end"/>
        </w:r>
      </w:hyperlink>
    </w:p>
    <w:p w14:paraId="43DC829E" w14:textId="7D13161B" w:rsidR="003F47CE" w:rsidRDefault="00000000">
      <w:pPr>
        <w:pStyle w:val="TOC2"/>
        <w:rPr>
          <w:rFonts w:asciiTheme="minorHAnsi" w:eastAsiaTheme="minorEastAsia" w:hAnsiTheme="minorHAnsi" w:cstheme="minorBidi"/>
          <w:kern w:val="2"/>
          <w:sz w:val="22"/>
          <w:szCs w:val="22"/>
          <w:lang w:eastAsia="en-AU"/>
          <w14:ligatures w14:val="standardContextual"/>
        </w:rPr>
      </w:pPr>
      <w:hyperlink w:anchor="_Toc149319555" w:history="1">
        <w:r w:rsidR="003F47CE" w:rsidRPr="00024FDA">
          <w:rPr>
            <w:rStyle w:val="Hyperlink"/>
            <w:rFonts w:eastAsia="Times"/>
          </w:rPr>
          <w:t>Requirements for primary diagnostic laboratories to report cases</w:t>
        </w:r>
        <w:r w:rsidR="003F47CE">
          <w:rPr>
            <w:webHidden/>
          </w:rPr>
          <w:tab/>
        </w:r>
        <w:r w:rsidR="003F47CE">
          <w:rPr>
            <w:webHidden/>
          </w:rPr>
          <w:fldChar w:fldCharType="begin"/>
        </w:r>
        <w:r w:rsidR="003F47CE">
          <w:rPr>
            <w:webHidden/>
          </w:rPr>
          <w:instrText xml:space="preserve"> PAGEREF _Toc149319555 \h </w:instrText>
        </w:r>
        <w:r w:rsidR="003F47CE">
          <w:rPr>
            <w:webHidden/>
          </w:rPr>
        </w:r>
        <w:r w:rsidR="003F47CE">
          <w:rPr>
            <w:webHidden/>
          </w:rPr>
          <w:fldChar w:fldCharType="separate"/>
        </w:r>
        <w:r w:rsidR="003F47CE">
          <w:rPr>
            <w:webHidden/>
          </w:rPr>
          <w:t>36</w:t>
        </w:r>
        <w:r w:rsidR="003F47CE">
          <w:rPr>
            <w:webHidden/>
          </w:rPr>
          <w:fldChar w:fldCharType="end"/>
        </w:r>
      </w:hyperlink>
    </w:p>
    <w:p w14:paraId="7D8BCD39" w14:textId="7305F173" w:rsidR="003F47CE" w:rsidRDefault="00000000">
      <w:pPr>
        <w:pStyle w:val="TOC2"/>
        <w:rPr>
          <w:rFonts w:asciiTheme="minorHAnsi" w:eastAsiaTheme="minorEastAsia" w:hAnsiTheme="minorHAnsi" w:cstheme="minorBidi"/>
          <w:kern w:val="2"/>
          <w:sz w:val="22"/>
          <w:szCs w:val="22"/>
          <w:lang w:eastAsia="en-AU"/>
          <w14:ligatures w14:val="standardContextual"/>
        </w:rPr>
      </w:pPr>
      <w:hyperlink w:anchor="_Toc149319556" w:history="1">
        <w:r w:rsidR="003F47CE" w:rsidRPr="00024FDA">
          <w:rPr>
            <w:rStyle w:val="Hyperlink"/>
            <w:rFonts w:eastAsia="Times"/>
          </w:rPr>
          <w:t>Role of the reference laboratory</w:t>
        </w:r>
        <w:r w:rsidR="003F47CE">
          <w:rPr>
            <w:webHidden/>
          </w:rPr>
          <w:tab/>
        </w:r>
        <w:r w:rsidR="003F47CE">
          <w:rPr>
            <w:webHidden/>
          </w:rPr>
          <w:fldChar w:fldCharType="begin"/>
        </w:r>
        <w:r w:rsidR="003F47CE">
          <w:rPr>
            <w:webHidden/>
          </w:rPr>
          <w:instrText xml:space="preserve"> PAGEREF _Toc149319556 \h </w:instrText>
        </w:r>
        <w:r w:rsidR="003F47CE">
          <w:rPr>
            <w:webHidden/>
          </w:rPr>
        </w:r>
        <w:r w:rsidR="003F47CE">
          <w:rPr>
            <w:webHidden/>
          </w:rPr>
          <w:fldChar w:fldCharType="separate"/>
        </w:r>
        <w:r w:rsidR="003F47CE">
          <w:rPr>
            <w:webHidden/>
          </w:rPr>
          <w:t>36</w:t>
        </w:r>
        <w:r w:rsidR="003F47CE">
          <w:rPr>
            <w:webHidden/>
          </w:rPr>
          <w:fldChar w:fldCharType="end"/>
        </w:r>
      </w:hyperlink>
    </w:p>
    <w:p w14:paraId="774CFE23" w14:textId="60108B36" w:rsidR="003F47CE" w:rsidRDefault="00000000">
      <w:pPr>
        <w:pStyle w:val="TOC2"/>
        <w:rPr>
          <w:rFonts w:asciiTheme="minorHAnsi" w:eastAsiaTheme="minorEastAsia" w:hAnsiTheme="minorHAnsi" w:cstheme="minorBidi"/>
          <w:kern w:val="2"/>
          <w:sz w:val="22"/>
          <w:szCs w:val="22"/>
          <w:lang w:eastAsia="en-AU"/>
          <w14:ligatures w14:val="standardContextual"/>
        </w:rPr>
      </w:pPr>
      <w:hyperlink w:anchor="_Toc149319557" w:history="1">
        <w:r w:rsidR="003F47CE" w:rsidRPr="00024FDA">
          <w:rPr>
            <w:rStyle w:val="Hyperlink"/>
            <w:rFonts w:eastAsia="Times"/>
          </w:rPr>
          <w:t>Environmental sample testing</w:t>
        </w:r>
        <w:r w:rsidR="003F47CE">
          <w:rPr>
            <w:webHidden/>
          </w:rPr>
          <w:tab/>
        </w:r>
        <w:r w:rsidR="003F47CE">
          <w:rPr>
            <w:webHidden/>
          </w:rPr>
          <w:fldChar w:fldCharType="begin"/>
        </w:r>
        <w:r w:rsidR="003F47CE">
          <w:rPr>
            <w:webHidden/>
          </w:rPr>
          <w:instrText xml:space="preserve"> PAGEREF _Toc149319557 \h </w:instrText>
        </w:r>
        <w:r w:rsidR="003F47CE">
          <w:rPr>
            <w:webHidden/>
          </w:rPr>
        </w:r>
        <w:r w:rsidR="003F47CE">
          <w:rPr>
            <w:webHidden/>
          </w:rPr>
          <w:fldChar w:fldCharType="separate"/>
        </w:r>
        <w:r w:rsidR="003F47CE">
          <w:rPr>
            <w:webHidden/>
          </w:rPr>
          <w:t>36</w:t>
        </w:r>
        <w:r w:rsidR="003F47CE">
          <w:rPr>
            <w:webHidden/>
          </w:rPr>
          <w:fldChar w:fldCharType="end"/>
        </w:r>
      </w:hyperlink>
    </w:p>
    <w:p w14:paraId="5FBE7D6C" w14:textId="57F888E7" w:rsidR="003F47CE"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49319558" w:history="1">
        <w:r w:rsidR="003F47CE" w:rsidRPr="00024FDA">
          <w:rPr>
            <w:rStyle w:val="Hyperlink"/>
          </w:rPr>
          <w:t>Section 5: Management and control of cases</w:t>
        </w:r>
        <w:r w:rsidR="003F47CE">
          <w:rPr>
            <w:webHidden/>
          </w:rPr>
          <w:tab/>
        </w:r>
        <w:r w:rsidR="003F47CE">
          <w:rPr>
            <w:webHidden/>
          </w:rPr>
          <w:fldChar w:fldCharType="begin"/>
        </w:r>
        <w:r w:rsidR="003F47CE">
          <w:rPr>
            <w:webHidden/>
          </w:rPr>
          <w:instrText xml:space="preserve"> PAGEREF _Toc149319558 \h </w:instrText>
        </w:r>
        <w:r w:rsidR="003F47CE">
          <w:rPr>
            <w:webHidden/>
          </w:rPr>
        </w:r>
        <w:r w:rsidR="003F47CE">
          <w:rPr>
            <w:webHidden/>
          </w:rPr>
          <w:fldChar w:fldCharType="separate"/>
        </w:r>
        <w:r w:rsidR="003F47CE">
          <w:rPr>
            <w:webHidden/>
          </w:rPr>
          <w:t>37</w:t>
        </w:r>
        <w:r w:rsidR="003F47CE">
          <w:rPr>
            <w:webHidden/>
          </w:rPr>
          <w:fldChar w:fldCharType="end"/>
        </w:r>
      </w:hyperlink>
    </w:p>
    <w:p w14:paraId="29DE8A0D" w14:textId="54F91DDA" w:rsidR="003F47CE" w:rsidRDefault="00000000">
      <w:pPr>
        <w:pStyle w:val="TOC2"/>
        <w:rPr>
          <w:rFonts w:asciiTheme="minorHAnsi" w:eastAsiaTheme="minorEastAsia" w:hAnsiTheme="minorHAnsi" w:cstheme="minorBidi"/>
          <w:kern w:val="2"/>
          <w:sz w:val="22"/>
          <w:szCs w:val="22"/>
          <w:lang w:eastAsia="en-AU"/>
          <w14:ligatures w14:val="standardContextual"/>
        </w:rPr>
      </w:pPr>
      <w:hyperlink w:anchor="_Toc149319559" w:history="1">
        <w:r w:rsidR="003F47CE" w:rsidRPr="00024FDA">
          <w:rPr>
            <w:rStyle w:val="Hyperlink"/>
            <w:rFonts w:eastAsia="Times"/>
          </w:rPr>
          <w:t>Medical therapy</w:t>
        </w:r>
        <w:r w:rsidR="003F47CE">
          <w:rPr>
            <w:webHidden/>
          </w:rPr>
          <w:tab/>
        </w:r>
        <w:r w:rsidR="003F47CE">
          <w:rPr>
            <w:webHidden/>
          </w:rPr>
          <w:fldChar w:fldCharType="begin"/>
        </w:r>
        <w:r w:rsidR="003F47CE">
          <w:rPr>
            <w:webHidden/>
          </w:rPr>
          <w:instrText xml:space="preserve"> PAGEREF _Toc149319559 \h </w:instrText>
        </w:r>
        <w:r w:rsidR="003F47CE">
          <w:rPr>
            <w:webHidden/>
          </w:rPr>
        </w:r>
        <w:r w:rsidR="003F47CE">
          <w:rPr>
            <w:webHidden/>
          </w:rPr>
          <w:fldChar w:fldCharType="separate"/>
        </w:r>
        <w:r w:rsidR="003F47CE">
          <w:rPr>
            <w:webHidden/>
          </w:rPr>
          <w:t>37</w:t>
        </w:r>
        <w:r w:rsidR="003F47CE">
          <w:rPr>
            <w:webHidden/>
          </w:rPr>
          <w:fldChar w:fldCharType="end"/>
        </w:r>
      </w:hyperlink>
    </w:p>
    <w:p w14:paraId="5962EB30" w14:textId="19F4BF22" w:rsidR="003F47CE" w:rsidRDefault="00000000">
      <w:pPr>
        <w:pStyle w:val="TOC2"/>
        <w:rPr>
          <w:rFonts w:asciiTheme="minorHAnsi" w:eastAsiaTheme="minorEastAsia" w:hAnsiTheme="minorHAnsi" w:cstheme="minorBidi"/>
          <w:kern w:val="2"/>
          <w:sz w:val="22"/>
          <w:szCs w:val="22"/>
          <w:lang w:eastAsia="en-AU"/>
          <w14:ligatures w14:val="standardContextual"/>
        </w:rPr>
      </w:pPr>
      <w:hyperlink w:anchor="_Toc149319560" w:history="1">
        <w:r w:rsidR="003F47CE" w:rsidRPr="00024FDA">
          <w:rPr>
            <w:rStyle w:val="Hyperlink"/>
            <w:rFonts w:eastAsia="Times"/>
          </w:rPr>
          <w:t>Antimicrobial stewardship</w:t>
        </w:r>
        <w:r w:rsidR="003F47CE">
          <w:rPr>
            <w:webHidden/>
          </w:rPr>
          <w:tab/>
        </w:r>
        <w:r w:rsidR="003F47CE">
          <w:rPr>
            <w:webHidden/>
          </w:rPr>
          <w:fldChar w:fldCharType="begin"/>
        </w:r>
        <w:r w:rsidR="003F47CE">
          <w:rPr>
            <w:webHidden/>
          </w:rPr>
          <w:instrText xml:space="preserve"> PAGEREF _Toc149319560 \h </w:instrText>
        </w:r>
        <w:r w:rsidR="003F47CE">
          <w:rPr>
            <w:webHidden/>
          </w:rPr>
        </w:r>
        <w:r w:rsidR="003F47CE">
          <w:rPr>
            <w:webHidden/>
          </w:rPr>
          <w:fldChar w:fldCharType="separate"/>
        </w:r>
        <w:r w:rsidR="003F47CE">
          <w:rPr>
            <w:webHidden/>
          </w:rPr>
          <w:t>37</w:t>
        </w:r>
        <w:r w:rsidR="003F47CE">
          <w:rPr>
            <w:webHidden/>
          </w:rPr>
          <w:fldChar w:fldCharType="end"/>
        </w:r>
      </w:hyperlink>
    </w:p>
    <w:p w14:paraId="42E581CE" w14:textId="5FAE88F4" w:rsidR="003F47CE" w:rsidRDefault="00000000">
      <w:pPr>
        <w:pStyle w:val="TOC2"/>
        <w:rPr>
          <w:rFonts w:asciiTheme="minorHAnsi" w:eastAsiaTheme="minorEastAsia" w:hAnsiTheme="minorHAnsi" w:cstheme="minorBidi"/>
          <w:kern w:val="2"/>
          <w:sz w:val="22"/>
          <w:szCs w:val="22"/>
          <w:lang w:eastAsia="en-AU"/>
          <w14:ligatures w14:val="standardContextual"/>
        </w:rPr>
      </w:pPr>
      <w:hyperlink w:anchor="_Toc149319561" w:history="1">
        <w:r w:rsidR="003F47CE" w:rsidRPr="00024FDA">
          <w:rPr>
            <w:rStyle w:val="Hyperlink"/>
            <w:rFonts w:eastAsia="Times"/>
          </w:rPr>
          <w:t>Standard and transmission-based precautions</w:t>
        </w:r>
        <w:r w:rsidR="003F47CE">
          <w:rPr>
            <w:webHidden/>
          </w:rPr>
          <w:tab/>
        </w:r>
        <w:r w:rsidR="003F47CE">
          <w:rPr>
            <w:webHidden/>
          </w:rPr>
          <w:fldChar w:fldCharType="begin"/>
        </w:r>
        <w:r w:rsidR="003F47CE">
          <w:rPr>
            <w:webHidden/>
          </w:rPr>
          <w:instrText xml:space="preserve"> PAGEREF _Toc149319561 \h </w:instrText>
        </w:r>
        <w:r w:rsidR="003F47CE">
          <w:rPr>
            <w:webHidden/>
          </w:rPr>
        </w:r>
        <w:r w:rsidR="003F47CE">
          <w:rPr>
            <w:webHidden/>
          </w:rPr>
          <w:fldChar w:fldCharType="separate"/>
        </w:r>
        <w:r w:rsidR="003F47CE">
          <w:rPr>
            <w:webHidden/>
          </w:rPr>
          <w:t>37</w:t>
        </w:r>
        <w:r w:rsidR="003F47CE">
          <w:rPr>
            <w:webHidden/>
          </w:rPr>
          <w:fldChar w:fldCharType="end"/>
        </w:r>
      </w:hyperlink>
    </w:p>
    <w:p w14:paraId="79B18EDA" w14:textId="2EF436D9" w:rsidR="003F47CE" w:rsidRDefault="00000000">
      <w:pPr>
        <w:pStyle w:val="TOC2"/>
        <w:rPr>
          <w:rFonts w:asciiTheme="minorHAnsi" w:eastAsiaTheme="minorEastAsia" w:hAnsiTheme="minorHAnsi" w:cstheme="minorBidi"/>
          <w:kern w:val="2"/>
          <w:sz w:val="22"/>
          <w:szCs w:val="22"/>
          <w:lang w:eastAsia="en-AU"/>
          <w14:ligatures w14:val="standardContextual"/>
        </w:rPr>
      </w:pPr>
      <w:hyperlink w:anchor="_Toc149319562" w:history="1">
        <w:r w:rsidR="003F47CE" w:rsidRPr="00024FDA">
          <w:rPr>
            <w:rStyle w:val="Hyperlink"/>
            <w:rFonts w:eastAsia="Times"/>
          </w:rPr>
          <w:t>Additional measures for consideration</w:t>
        </w:r>
        <w:r w:rsidR="003F47CE">
          <w:rPr>
            <w:webHidden/>
          </w:rPr>
          <w:tab/>
        </w:r>
        <w:r w:rsidR="003F47CE">
          <w:rPr>
            <w:webHidden/>
          </w:rPr>
          <w:fldChar w:fldCharType="begin"/>
        </w:r>
        <w:r w:rsidR="003F47CE">
          <w:rPr>
            <w:webHidden/>
          </w:rPr>
          <w:instrText xml:space="preserve"> PAGEREF _Toc149319562 \h </w:instrText>
        </w:r>
        <w:r w:rsidR="003F47CE">
          <w:rPr>
            <w:webHidden/>
          </w:rPr>
        </w:r>
        <w:r w:rsidR="003F47CE">
          <w:rPr>
            <w:webHidden/>
          </w:rPr>
          <w:fldChar w:fldCharType="separate"/>
        </w:r>
        <w:r w:rsidR="003F47CE">
          <w:rPr>
            <w:webHidden/>
          </w:rPr>
          <w:t>38</w:t>
        </w:r>
        <w:r w:rsidR="003F47CE">
          <w:rPr>
            <w:webHidden/>
          </w:rPr>
          <w:fldChar w:fldCharType="end"/>
        </w:r>
      </w:hyperlink>
    </w:p>
    <w:p w14:paraId="2BC24B4A" w14:textId="45C338D0" w:rsidR="003F47CE" w:rsidRDefault="00000000">
      <w:pPr>
        <w:pStyle w:val="TOC2"/>
        <w:rPr>
          <w:rFonts w:asciiTheme="minorHAnsi" w:eastAsiaTheme="minorEastAsia" w:hAnsiTheme="minorHAnsi" w:cstheme="minorBidi"/>
          <w:kern w:val="2"/>
          <w:sz w:val="22"/>
          <w:szCs w:val="22"/>
          <w:lang w:eastAsia="en-AU"/>
          <w14:ligatures w14:val="standardContextual"/>
        </w:rPr>
      </w:pPr>
      <w:hyperlink w:anchor="_Toc149319563" w:history="1">
        <w:r w:rsidR="003F47CE" w:rsidRPr="00024FDA">
          <w:rPr>
            <w:rStyle w:val="Hyperlink"/>
            <w:rFonts w:eastAsia="Times"/>
          </w:rPr>
          <w:t>Subacute or rehabilitation healthcare setting</w:t>
        </w:r>
        <w:r w:rsidR="003F47CE">
          <w:rPr>
            <w:webHidden/>
          </w:rPr>
          <w:tab/>
        </w:r>
        <w:r w:rsidR="003F47CE">
          <w:rPr>
            <w:webHidden/>
          </w:rPr>
          <w:fldChar w:fldCharType="begin"/>
        </w:r>
        <w:r w:rsidR="003F47CE">
          <w:rPr>
            <w:webHidden/>
          </w:rPr>
          <w:instrText xml:space="preserve"> PAGEREF _Toc149319563 \h </w:instrText>
        </w:r>
        <w:r w:rsidR="003F47CE">
          <w:rPr>
            <w:webHidden/>
          </w:rPr>
        </w:r>
        <w:r w:rsidR="003F47CE">
          <w:rPr>
            <w:webHidden/>
          </w:rPr>
          <w:fldChar w:fldCharType="separate"/>
        </w:r>
        <w:r w:rsidR="003F47CE">
          <w:rPr>
            <w:webHidden/>
          </w:rPr>
          <w:t>39</w:t>
        </w:r>
        <w:r w:rsidR="003F47CE">
          <w:rPr>
            <w:webHidden/>
          </w:rPr>
          <w:fldChar w:fldCharType="end"/>
        </w:r>
      </w:hyperlink>
    </w:p>
    <w:p w14:paraId="57CF26BB" w14:textId="271E714F" w:rsidR="003F47CE" w:rsidRDefault="00000000">
      <w:pPr>
        <w:pStyle w:val="TOC2"/>
        <w:rPr>
          <w:rFonts w:asciiTheme="minorHAnsi" w:eastAsiaTheme="minorEastAsia" w:hAnsiTheme="minorHAnsi" w:cstheme="minorBidi"/>
          <w:kern w:val="2"/>
          <w:sz w:val="22"/>
          <w:szCs w:val="22"/>
          <w:lang w:eastAsia="en-AU"/>
          <w14:ligatures w14:val="standardContextual"/>
        </w:rPr>
      </w:pPr>
      <w:hyperlink w:anchor="_Toc149319564" w:history="1">
        <w:r w:rsidR="003F47CE" w:rsidRPr="00024FDA">
          <w:rPr>
            <w:rStyle w:val="Hyperlink"/>
            <w:rFonts w:eastAsia="Times"/>
          </w:rPr>
          <w:t>Ambulatory healthcare settings</w:t>
        </w:r>
        <w:r w:rsidR="003F47CE">
          <w:rPr>
            <w:webHidden/>
          </w:rPr>
          <w:tab/>
        </w:r>
        <w:r w:rsidR="003F47CE">
          <w:rPr>
            <w:webHidden/>
          </w:rPr>
          <w:fldChar w:fldCharType="begin"/>
        </w:r>
        <w:r w:rsidR="003F47CE">
          <w:rPr>
            <w:webHidden/>
          </w:rPr>
          <w:instrText xml:space="preserve"> PAGEREF _Toc149319564 \h </w:instrText>
        </w:r>
        <w:r w:rsidR="003F47CE">
          <w:rPr>
            <w:webHidden/>
          </w:rPr>
        </w:r>
        <w:r w:rsidR="003F47CE">
          <w:rPr>
            <w:webHidden/>
          </w:rPr>
          <w:fldChar w:fldCharType="separate"/>
        </w:r>
        <w:r w:rsidR="003F47CE">
          <w:rPr>
            <w:webHidden/>
          </w:rPr>
          <w:t>41</w:t>
        </w:r>
        <w:r w:rsidR="003F47CE">
          <w:rPr>
            <w:webHidden/>
          </w:rPr>
          <w:fldChar w:fldCharType="end"/>
        </w:r>
      </w:hyperlink>
    </w:p>
    <w:p w14:paraId="410DAD66" w14:textId="36236469" w:rsidR="003F47CE" w:rsidRDefault="00000000">
      <w:pPr>
        <w:pStyle w:val="TOC2"/>
        <w:rPr>
          <w:rFonts w:asciiTheme="minorHAnsi" w:eastAsiaTheme="minorEastAsia" w:hAnsiTheme="minorHAnsi" w:cstheme="minorBidi"/>
          <w:kern w:val="2"/>
          <w:sz w:val="22"/>
          <w:szCs w:val="22"/>
          <w:lang w:eastAsia="en-AU"/>
          <w14:ligatures w14:val="standardContextual"/>
        </w:rPr>
      </w:pPr>
      <w:hyperlink w:anchor="_Toc149319565" w:history="1">
        <w:r w:rsidR="003F47CE" w:rsidRPr="00024FDA">
          <w:rPr>
            <w:rStyle w:val="Hyperlink"/>
            <w:rFonts w:eastAsia="Times"/>
          </w:rPr>
          <w:t>Hydrotherapy</w:t>
        </w:r>
        <w:r w:rsidR="003F47CE">
          <w:rPr>
            <w:webHidden/>
          </w:rPr>
          <w:tab/>
        </w:r>
        <w:r w:rsidR="003F47CE">
          <w:rPr>
            <w:webHidden/>
          </w:rPr>
          <w:fldChar w:fldCharType="begin"/>
        </w:r>
        <w:r w:rsidR="003F47CE">
          <w:rPr>
            <w:webHidden/>
          </w:rPr>
          <w:instrText xml:space="preserve"> PAGEREF _Toc149319565 \h </w:instrText>
        </w:r>
        <w:r w:rsidR="003F47CE">
          <w:rPr>
            <w:webHidden/>
          </w:rPr>
        </w:r>
        <w:r w:rsidR="003F47CE">
          <w:rPr>
            <w:webHidden/>
          </w:rPr>
          <w:fldChar w:fldCharType="separate"/>
        </w:r>
        <w:r w:rsidR="003F47CE">
          <w:rPr>
            <w:webHidden/>
          </w:rPr>
          <w:t>41</w:t>
        </w:r>
        <w:r w:rsidR="003F47CE">
          <w:rPr>
            <w:webHidden/>
          </w:rPr>
          <w:fldChar w:fldCharType="end"/>
        </w:r>
      </w:hyperlink>
    </w:p>
    <w:p w14:paraId="44C1F740" w14:textId="1017CFB6" w:rsidR="003F47CE"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49319566" w:history="1">
        <w:r w:rsidR="003F47CE" w:rsidRPr="00024FDA">
          <w:rPr>
            <w:rStyle w:val="Hyperlink"/>
          </w:rPr>
          <w:t>Appendices</w:t>
        </w:r>
        <w:r w:rsidR="003F47CE">
          <w:rPr>
            <w:webHidden/>
          </w:rPr>
          <w:tab/>
        </w:r>
        <w:r w:rsidR="003F47CE">
          <w:rPr>
            <w:webHidden/>
          </w:rPr>
          <w:fldChar w:fldCharType="begin"/>
        </w:r>
        <w:r w:rsidR="003F47CE">
          <w:rPr>
            <w:webHidden/>
          </w:rPr>
          <w:instrText xml:space="preserve"> PAGEREF _Toc149319566 \h </w:instrText>
        </w:r>
        <w:r w:rsidR="003F47CE">
          <w:rPr>
            <w:webHidden/>
          </w:rPr>
        </w:r>
        <w:r w:rsidR="003F47CE">
          <w:rPr>
            <w:webHidden/>
          </w:rPr>
          <w:fldChar w:fldCharType="separate"/>
        </w:r>
        <w:r w:rsidR="003F47CE">
          <w:rPr>
            <w:webHidden/>
          </w:rPr>
          <w:t>43</w:t>
        </w:r>
        <w:r w:rsidR="003F47CE">
          <w:rPr>
            <w:webHidden/>
          </w:rPr>
          <w:fldChar w:fldCharType="end"/>
        </w:r>
      </w:hyperlink>
    </w:p>
    <w:p w14:paraId="603719E1" w14:textId="6B2BCD0C" w:rsidR="003F47CE" w:rsidRDefault="00000000">
      <w:pPr>
        <w:pStyle w:val="TOC2"/>
        <w:rPr>
          <w:rFonts w:asciiTheme="minorHAnsi" w:eastAsiaTheme="minorEastAsia" w:hAnsiTheme="minorHAnsi" w:cstheme="minorBidi"/>
          <w:kern w:val="2"/>
          <w:sz w:val="22"/>
          <w:szCs w:val="22"/>
          <w:lang w:eastAsia="en-AU"/>
          <w14:ligatures w14:val="standardContextual"/>
        </w:rPr>
      </w:pPr>
      <w:hyperlink w:anchor="_Toc149319567" w:history="1">
        <w:r w:rsidR="003F47CE" w:rsidRPr="00024FDA">
          <w:rPr>
            <w:rStyle w:val="Hyperlink"/>
            <w:rFonts w:eastAsia="Times"/>
          </w:rPr>
          <w:t>Appendix A: Guide to microbiological testing and data collection</w:t>
        </w:r>
        <w:r w:rsidR="003F47CE">
          <w:rPr>
            <w:webHidden/>
          </w:rPr>
          <w:tab/>
        </w:r>
        <w:r w:rsidR="003F47CE">
          <w:rPr>
            <w:webHidden/>
          </w:rPr>
          <w:fldChar w:fldCharType="begin"/>
        </w:r>
        <w:r w:rsidR="003F47CE">
          <w:rPr>
            <w:webHidden/>
          </w:rPr>
          <w:instrText xml:space="preserve"> PAGEREF _Toc149319567 \h </w:instrText>
        </w:r>
        <w:r w:rsidR="003F47CE">
          <w:rPr>
            <w:webHidden/>
          </w:rPr>
        </w:r>
        <w:r w:rsidR="003F47CE">
          <w:rPr>
            <w:webHidden/>
          </w:rPr>
          <w:fldChar w:fldCharType="separate"/>
        </w:r>
        <w:r w:rsidR="003F47CE">
          <w:rPr>
            <w:webHidden/>
          </w:rPr>
          <w:t>43</w:t>
        </w:r>
        <w:r w:rsidR="003F47CE">
          <w:rPr>
            <w:webHidden/>
          </w:rPr>
          <w:fldChar w:fldCharType="end"/>
        </w:r>
      </w:hyperlink>
    </w:p>
    <w:p w14:paraId="3CE8BF74" w14:textId="47C4ECB9" w:rsidR="003F47CE" w:rsidRDefault="00000000">
      <w:pPr>
        <w:pStyle w:val="TOC2"/>
        <w:rPr>
          <w:rFonts w:asciiTheme="minorHAnsi" w:eastAsiaTheme="minorEastAsia" w:hAnsiTheme="minorHAnsi" w:cstheme="minorBidi"/>
          <w:kern w:val="2"/>
          <w:sz w:val="22"/>
          <w:szCs w:val="22"/>
          <w:lang w:eastAsia="en-AU"/>
          <w14:ligatures w14:val="standardContextual"/>
        </w:rPr>
      </w:pPr>
      <w:hyperlink w:anchor="_Toc149319568" w:history="1">
        <w:r w:rsidR="003F47CE" w:rsidRPr="00024FDA">
          <w:rPr>
            <w:rStyle w:val="Hyperlink"/>
            <w:rFonts w:eastAsia="Times"/>
            <w:lang w:val="en-GB"/>
          </w:rPr>
          <w:t xml:space="preserve">Appendix B: </w:t>
        </w:r>
        <w:r w:rsidR="003F47CE" w:rsidRPr="00024FDA">
          <w:rPr>
            <w:rStyle w:val="Hyperlink"/>
            <w:rFonts w:eastAsia="Times"/>
          </w:rPr>
          <w:t>Reference documents</w:t>
        </w:r>
        <w:r w:rsidR="003F47CE" w:rsidRPr="00024FDA">
          <w:rPr>
            <w:rStyle w:val="Hyperlink"/>
            <w:rFonts w:eastAsia="Times"/>
            <w:lang w:val="en-GB"/>
          </w:rPr>
          <w:t xml:space="preserve"> and web addresses</w:t>
        </w:r>
        <w:r w:rsidR="003F47CE">
          <w:rPr>
            <w:webHidden/>
          </w:rPr>
          <w:tab/>
        </w:r>
        <w:r w:rsidR="003F47CE">
          <w:rPr>
            <w:webHidden/>
          </w:rPr>
          <w:fldChar w:fldCharType="begin"/>
        </w:r>
        <w:r w:rsidR="003F47CE">
          <w:rPr>
            <w:webHidden/>
          </w:rPr>
          <w:instrText xml:space="preserve"> PAGEREF _Toc149319568 \h </w:instrText>
        </w:r>
        <w:r w:rsidR="003F47CE">
          <w:rPr>
            <w:webHidden/>
          </w:rPr>
        </w:r>
        <w:r w:rsidR="003F47CE">
          <w:rPr>
            <w:webHidden/>
          </w:rPr>
          <w:fldChar w:fldCharType="separate"/>
        </w:r>
        <w:r w:rsidR="003F47CE">
          <w:rPr>
            <w:webHidden/>
          </w:rPr>
          <w:t>45</w:t>
        </w:r>
        <w:r w:rsidR="003F47CE">
          <w:rPr>
            <w:webHidden/>
          </w:rPr>
          <w:fldChar w:fldCharType="end"/>
        </w:r>
      </w:hyperlink>
    </w:p>
    <w:p w14:paraId="4EEB03D0" w14:textId="4805A280" w:rsidR="007F373C" w:rsidRDefault="00AD784C" w:rsidP="00D079AA">
      <w:pPr>
        <w:pStyle w:val="Body"/>
        <w:sectPr w:rsidR="007F373C" w:rsidSect="005D6784">
          <w:headerReference w:type="even" r:id="rId19"/>
          <w:headerReference w:type="default" r:id="rId20"/>
          <w:footerReference w:type="even" r:id="rId21"/>
          <w:footerReference w:type="default" r:id="rId22"/>
          <w:pgSz w:w="11906" w:h="16838" w:code="9"/>
          <w:pgMar w:top="1418" w:right="1304" w:bottom="1134" w:left="1304" w:header="680" w:footer="851" w:gutter="0"/>
          <w:pgNumType w:fmt="lowerRoman"/>
          <w:cols w:space="340"/>
          <w:titlePg/>
          <w:docGrid w:linePitch="360"/>
        </w:sectPr>
      </w:pPr>
      <w:r>
        <w:fldChar w:fldCharType="end"/>
      </w:r>
    </w:p>
    <w:p w14:paraId="5525EC6F" w14:textId="543116BB" w:rsidR="00651B6D" w:rsidRDefault="00651B6D" w:rsidP="00651B6D">
      <w:pPr>
        <w:pStyle w:val="Heading1"/>
      </w:pPr>
      <w:bookmarkStart w:id="5" w:name="_Toc149319537"/>
      <w:r>
        <w:lastRenderedPageBreak/>
        <w:t>Acronyms and abbreviations</w:t>
      </w:r>
      <w:bookmarkEnd w:id="5"/>
    </w:p>
    <w:p w14:paraId="2AEC3684" w14:textId="77777777" w:rsidR="00651B6D" w:rsidRDefault="00651B6D" w:rsidP="00651B6D">
      <w:pPr>
        <w:pStyle w:val="Body"/>
        <w:tabs>
          <w:tab w:val="left" w:pos="1985"/>
        </w:tabs>
      </w:pPr>
      <w:r>
        <w:t>AMR</w:t>
      </w:r>
      <w:r>
        <w:tab/>
        <w:t>antimicrobial resistance</w:t>
      </w:r>
    </w:p>
    <w:p w14:paraId="42F437C6" w14:textId="77777777" w:rsidR="00651B6D" w:rsidRDefault="00651B6D" w:rsidP="00651B6D">
      <w:pPr>
        <w:pStyle w:val="Body"/>
        <w:tabs>
          <w:tab w:val="left" w:pos="1985"/>
        </w:tabs>
      </w:pPr>
      <w:r>
        <w:t>AMR-IMT</w:t>
      </w:r>
      <w:r>
        <w:tab/>
        <w:t>Victorian Antimicrobial Resistance Incident Management Team</w:t>
      </w:r>
    </w:p>
    <w:p w14:paraId="2E0C8E42" w14:textId="77777777" w:rsidR="00651B6D" w:rsidRDefault="00651B6D" w:rsidP="00651B6D">
      <w:pPr>
        <w:pStyle w:val="Body"/>
        <w:tabs>
          <w:tab w:val="left" w:pos="1985"/>
        </w:tabs>
      </w:pPr>
      <w:r>
        <w:t>AST</w:t>
      </w:r>
      <w:r>
        <w:tab/>
        <w:t>antimicrobial susceptibility testing</w:t>
      </w:r>
    </w:p>
    <w:p w14:paraId="32BA3FF6" w14:textId="77777777" w:rsidR="00651B6D" w:rsidRDefault="00651B6D" w:rsidP="00651B6D">
      <w:pPr>
        <w:pStyle w:val="Body"/>
        <w:tabs>
          <w:tab w:val="left" w:pos="1985"/>
        </w:tabs>
      </w:pPr>
      <w:r>
        <w:t>CDS</w:t>
      </w:r>
      <w:r>
        <w:tab/>
        <w:t xml:space="preserve">calibrated dichotomous sensitivity </w:t>
      </w:r>
      <w:proofErr w:type="gramStart"/>
      <w:r>
        <w:t>test</w:t>
      </w:r>
      <w:proofErr w:type="gramEnd"/>
    </w:p>
    <w:p w14:paraId="2E348CDF" w14:textId="77777777" w:rsidR="00651B6D" w:rsidRDefault="00651B6D" w:rsidP="00651B6D">
      <w:pPr>
        <w:pStyle w:val="Body"/>
        <w:tabs>
          <w:tab w:val="left" w:pos="1985"/>
        </w:tabs>
      </w:pPr>
      <w:r>
        <w:t>CLSI</w:t>
      </w:r>
      <w:r>
        <w:tab/>
        <w:t>Clinical Laboratory Standards Institute</w:t>
      </w:r>
    </w:p>
    <w:p w14:paraId="310D0BF2" w14:textId="67A305DB" w:rsidR="00651B6D" w:rsidRDefault="00651B6D" w:rsidP="00651B6D">
      <w:pPr>
        <w:pStyle w:val="Body"/>
        <w:tabs>
          <w:tab w:val="left" w:pos="1985"/>
        </w:tabs>
      </w:pPr>
      <w:r>
        <w:t>CPA</w:t>
      </w:r>
      <w:r>
        <w:tab/>
        <w:t xml:space="preserve">carbapenemase-producing </w:t>
      </w:r>
      <w:r w:rsidRPr="003322D0">
        <w:rPr>
          <w:i/>
          <w:iCs/>
        </w:rPr>
        <w:t>Acinetobacter</w:t>
      </w:r>
      <w:r w:rsidR="003322D0">
        <w:t xml:space="preserve"> s</w:t>
      </w:r>
      <w:r w:rsidR="005A4641">
        <w:t>p</w:t>
      </w:r>
      <w:r w:rsidR="003322D0">
        <w:t>p</w:t>
      </w:r>
      <w:r w:rsidR="008D3B23">
        <w:t>.</w:t>
      </w:r>
    </w:p>
    <w:p w14:paraId="5C9020F3" w14:textId="77777777" w:rsidR="00651B6D" w:rsidRDefault="00651B6D" w:rsidP="00651B6D">
      <w:pPr>
        <w:pStyle w:val="Body"/>
        <w:tabs>
          <w:tab w:val="left" w:pos="1985"/>
        </w:tabs>
      </w:pPr>
      <w:r>
        <w:t>CPE</w:t>
      </w:r>
      <w:r>
        <w:tab/>
        <w:t xml:space="preserve">carbapenemase-producing </w:t>
      </w:r>
      <w:proofErr w:type="gramStart"/>
      <w:r>
        <w:t>Enterobacterales</w:t>
      </w:r>
      <w:proofErr w:type="gramEnd"/>
    </w:p>
    <w:p w14:paraId="204CE28C" w14:textId="77777777" w:rsidR="00651B6D" w:rsidRDefault="00651B6D" w:rsidP="00651B6D">
      <w:pPr>
        <w:pStyle w:val="Body"/>
        <w:tabs>
          <w:tab w:val="left" w:pos="1985"/>
        </w:tabs>
      </w:pPr>
      <w:r>
        <w:t>CPO</w:t>
      </w:r>
      <w:r>
        <w:tab/>
        <w:t xml:space="preserve">carbapenemase-producing </w:t>
      </w:r>
      <w:proofErr w:type="gramStart"/>
      <w:r>
        <w:t>organism</w:t>
      </w:r>
      <w:proofErr w:type="gramEnd"/>
    </w:p>
    <w:p w14:paraId="409BC749" w14:textId="7424884F" w:rsidR="00651B6D" w:rsidRDefault="00651B6D" w:rsidP="00651B6D">
      <w:pPr>
        <w:pStyle w:val="Body"/>
        <w:tabs>
          <w:tab w:val="left" w:pos="1985"/>
        </w:tabs>
      </w:pPr>
      <w:r>
        <w:t>CPP</w:t>
      </w:r>
      <w:r>
        <w:tab/>
        <w:t xml:space="preserve">carbapenemase-producing </w:t>
      </w:r>
      <w:r w:rsidRPr="003322D0">
        <w:rPr>
          <w:i/>
          <w:iCs/>
        </w:rPr>
        <w:t>Pseudomonas</w:t>
      </w:r>
      <w:r w:rsidR="003322D0">
        <w:t xml:space="preserve"> spp</w:t>
      </w:r>
      <w:r w:rsidR="008D3B23">
        <w:t>.</w:t>
      </w:r>
    </w:p>
    <w:p w14:paraId="33391EBA" w14:textId="77777777" w:rsidR="00651B6D" w:rsidRDefault="00651B6D" w:rsidP="00651B6D">
      <w:pPr>
        <w:pStyle w:val="Body"/>
        <w:tabs>
          <w:tab w:val="left" w:pos="1985"/>
        </w:tabs>
      </w:pPr>
      <w:r>
        <w:t>CRE</w:t>
      </w:r>
      <w:r>
        <w:tab/>
        <w:t>carbapenem-resistant Enterobacterales</w:t>
      </w:r>
    </w:p>
    <w:p w14:paraId="315C8BEE" w14:textId="77777777" w:rsidR="00651B6D" w:rsidRDefault="00651B6D" w:rsidP="00651B6D">
      <w:pPr>
        <w:pStyle w:val="Body"/>
        <w:tabs>
          <w:tab w:val="left" w:pos="1985"/>
        </w:tabs>
      </w:pPr>
      <w:r>
        <w:t>CRO</w:t>
      </w:r>
      <w:r>
        <w:tab/>
        <w:t>carbapenem-resistant organism</w:t>
      </w:r>
    </w:p>
    <w:p w14:paraId="6D86F316" w14:textId="42799122" w:rsidR="00385385" w:rsidRDefault="00385385" w:rsidP="00651B6D">
      <w:pPr>
        <w:pStyle w:val="Body"/>
        <w:tabs>
          <w:tab w:val="left" w:pos="1985"/>
        </w:tabs>
      </w:pPr>
      <w:r>
        <w:t>ELR</w:t>
      </w:r>
      <w:r>
        <w:tab/>
        <w:t>electronic laboratory reporting</w:t>
      </w:r>
    </w:p>
    <w:p w14:paraId="4670F271" w14:textId="77777777" w:rsidR="00651B6D" w:rsidRDefault="00651B6D" w:rsidP="00651B6D">
      <w:pPr>
        <w:pStyle w:val="Body"/>
        <w:tabs>
          <w:tab w:val="left" w:pos="1985"/>
        </w:tabs>
      </w:pPr>
      <w:r>
        <w:t>EUCAST</w:t>
      </w:r>
      <w:r>
        <w:tab/>
        <w:t>European Committee on Antimicrobial Susceptibility Testing</w:t>
      </w:r>
    </w:p>
    <w:p w14:paraId="7611AFBD" w14:textId="77777777" w:rsidR="00651B6D" w:rsidRDefault="00651B6D" w:rsidP="00651B6D">
      <w:pPr>
        <w:pStyle w:val="Body"/>
        <w:tabs>
          <w:tab w:val="left" w:pos="1985"/>
        </w:tabs>
      </w:pPr>
      <w:r>
        <w:t>HSIMT</w:t>
      </w:r>
      <w:r>
        <w:tab/>
        <w:t>health service incident management team</w:t>
      </w:r>
    </w:p>
    <w:p w14:paraId="6F5AF67B" w14:textId="77777777" w:rsidR="00651B6D" w:rsidRDefault="00651B6D" w:rsidP="00651B6D">
      <w:pPr>
        <w:pStyle w:val="Body"/>
        <w:tabs>
          <w:tab w:val="left" w:pos="1985"/>
        </w:tabs>
      </w:pPr>
      <w:r>
        <w:t>IPC</w:t>
      </w:r>
      <w:r>
        <w:tab/>
        <w:t>infection prevention and control</w:t>
      </w:r>
    </w:p>
    <w:p w14:paraId="4554C7C1" w14:textId="77777777" w:rsidR="00651B6D" w:rsidRDefault="00651B6D" w:rsidP="00651B6D">
      <w:pPr>
        <w:pStyle w:val="Body"/>
        <w:tabs>
          <w:tab w:val="left" w:pos="1985"/>
        </w:tabs>
      </w:pPr>
      <w:r>
        <w:t>MDU PHL</w:t>
      </w:r>
      <w:r>
        <w:tab/>
        <w:t>Microbiological Diagnostic Unit Public Health Laboratory</w:t>
      </w:r>
    </w:p>
    <w:p w14:paraId="60800DCE" w14:textId="77777777" w:rsidR="00651B6D" w:rsidRDefault="00651B6D" w:rsidP="00651B6D">
      <w:pPr>
        <w:pStyle w:val="Body"/>
        <w:tabs>
          <w:tab w:val="left" w:pos="1985"/>
        </w:tabs>
      </w:pPr>
      <w:r>
        <w:t>MIC</w:t>
      </w:r>
      <w:r>
        <w:tab/>
        <w:t>minimal inhibitory concentration</w:t>
      </w:r>
    </w:p>
    <w:p w14:paraId="35A04990" w14:textId="5916E9C1" w:rsidR="007614F2" w:rsidRDefault="007614F2" w:rsidP="00651B6D">
      <w:pPr>
        <w:pStyle w:val="Body"/>
        <w:tabs>
          <w:tab w:val="left" w:pos="1985"/>
        </w:tabs>
      </w:pPr>
      <w:r>
        <w:t>MRO</w:t>
      </w:r>
      <w:r>
        <w:tab/>
        <w:t>multi-resistant organism</w:t>
      </w:r>
    </w:p>
    <w:p w14:paraId="2B9E77BF" w14:textId="77777777" w:rsidR="00651B6D" w:rsidRDefault="00651B6D" w:rsidP="00651B6D">
      <w:pPr>
        <w:pStyle w:val="Body"/>
        <w:tabs>
          <w:tab w:val="left" w:pos="1985"/>
        </w:tabs>
      </w:pPr>
      <w:r>
        <w:t>NATA</w:t>
      </w:r>
      <w:r>
        <w:tab/>
        <w:t>National Association of Testing Authorities, Australia</w:t>
      </w:r>
    </w:p>
    <w:p w14:paraId="51D0FC8D" w14:textId="77777777" w:rsidR="00651B6D" w:rsidRDefault="00651B6D" w:rsidP="00651B6D">
      <w:pPr>
        <w:pStyle w:val="Body"/>
        <w:tabs>
          <w:tab w:val="left" w:pos="1985"/>
        </w:tabs>
      </w:pPr>
      <w:r>
        <w:t>PCR</w:t>
      </w:r>
      <w:r>
        <w:tab/>
        <w:t>polymerase chain reaction</w:t>
      </w:r>
    </w:p>
    <w:p w14:paraId="59759C91" w14:textId="77777777" w:rsidR="00651B6D" w:rsidRDefault="00651B6D" w:rsidP="00651B6D">
      <w:pPr>
        <w:pStyle w:val="Body"/>
        <w:tabs>
          <w:tab w:val="left" w:pos="1985"/>
        </w:tabs>
      </w:pPr>
      <w:r>
        <w:t>PPS</w:t>
      </w:r>
      <w:r>
        <w:tab/>
        <w:t>point prevalence screen</w:t>
      </w:r>
    </w:p>
    <w:p w14:paraId="10043D5F" w14:textId="77777777" w:rsidR="00651B6D" w:rsidRDefault="00651B6D" w:rsidP="00651B6D">
      <w:pPr>
        <w:pStyle w:val="Body"/>
        <w:tabs>
          <w:tab w:val="left" w:pos="1985"/>
        </w:tabs>
      </w:pPr>
      <w:r>
        <w:t>PRIS</w:t>
      </w:r>
      <w:r>
        <w:tab/>
        <w:t xml:space="preserve">patients requiring pre-emptive isolation and </w:t>
      </w:r>
      <w:proofErr w:type="gramStart"/>
      <w:r>
        <w:t>screening</w:t>
      </w:r>
      <w:proofErr w:type="gramEnd"/>
    </w:p>
    <w:p w14:paraId="5C418723" w14:textId="6B2B8FB2" w:rsidR="00DA0CDA" w:rsidRDefault="00DA0CDA" w:rsidP="00DA0CDA">
      <w:pPr>
        <w:pStyle w:val="Body"/>
        <w:tabs>
          <w:tab w:val="left" w:pos="1985"/>
        </w:tabs>
      </w:pPr>
      <w:r>
        <w:t>RCF</w:t>
      </w:r>
      <w:r>
        <w:tab/>
        <w:t>residential care facility</w:t>
      </w:r>
    </w:p>
    <w:p w14:paraId="0DB31F0F" w14:textId="7707E31F" w:rsidR="00651B6D" w:rsidRDefault="00651B6D" w:rsidP="00651B6D">
      <w:pPr>
        <w:pStyle w:val="Body"/>
        <w:tabs>
          <w:tab w:val="left" w:pos="1985"/>
        </w:tabs>
      </w:pPr>
      <w:r>
        <w:t>the department</w:t>
      </w:r>
      <w:r>
        <w:tab/>
      </w:r>
      <w:r w:rsidR="00062A79">
        <w:t xml:space="preserve">Victorian </w:t>
      </w:r>
      <w:r>
        <w:t>Department of Health</w:t>
      </w:r>
    </w:p>
    <w:p w14:paraId="2BBB491C" w14:textId="77777777" w:rsidR="00651B6D" w:rsidRDefault="00651B6D" w:rsidP="00651B6D">
      <w:pPr>
        <w:pStyle w:val="Body"/>
        <w:tabs>
          <w:tab w:val="left" w:pos="1985"/>
        </w:tabs>
      </w:pPr>
      <w:r>
        <w:t>TRA</w:t>
      </w:r>
      <w:r>
        <w:tab/>
        <w:t>transmission risk area</w:t>
      </w:r>
    </w:p>
    <w:p w14:paraId="4AF075A9" w14:textId="43E0DDAB" w:rsidR="00651B6D" w:rsidRDefault="005D7F48" w:rsidP="00651B6D">
      <w:pPr>
        <w:pStyle w:val="Body"/>
        <w:tabs>
          <w:tab w:val="left" w:pos="1985"/>
        </w:tabs>
      </w:pPr>
      <w:r>
        <w:t>VASRU</w:t>
      </w:r>
      <w:r w:rsidR="00651B6D">
        <w:tab/>
        <w:t xml:space="preserve">Victorian </w:t>
      </w:r>
      <w:r>
        <w:t xml:space="preserve">Antimicrobial Resistance </w:t>
      </w:r>
      <w:r w:rsidR="00651B6D">
        <w:t>Surveillance and Response Unit</w:t>
      </w:r>
    </w:p>
    <w:p w14:paraId="05DEC0F8" w14:textId="77777777" w:rsidR="00651B6D" w:rsidRDefault="00651B6D" w:rsidP="00651B6D">
      <w:pPr>
        <w:pStyle w:val="Body"/>
        <w:tabs>
          <w:tab w:val="left" w:pos="1985"/>
        </w:tabs>
      </w:pPr>
      <w:r>
        <w:t>VICNISS</w:t>
      </w:r>
      <w:r>
        <w:tab/>
        <w:t>Victorian Healthcare Associated Infection Surveillance System</w:t>
      </w:r>
    </w:p>
    <w:p w14:paraId="755226F0" w14:textId="21C5BDEB" w:rsidR="00454A7D" w:rsidRPr="00651B6D" w:rsidRDefault="00454A7D" w:rsidP="00651B6D">
      <w:pPr>
        <w:pStyle w:val="Body"/>
      </w:pPr>
      <w:r>
        <w:br w:type="page"/>
      </w:r>
    </w:p>
    <w:p w14:paraId="2367313A" w14:textId="654F348E" w:rsidR="00765A19" w:rsidRPr="00765A19" w:rsidRDefault="00765A19" w:rsidP="00765A19">
      <w:pPr>
        <w:pStyle w:val="Heading1"/>
      </w:pPr>
      <w:bookmarkStart w:id="6" w:name="_Toc108539909"/>
      <w:bookmarkStart w:id="7" w:name="_Toc149319538"/>
      <w:r w:rsidRPr="00765A19">
        <w:lastRenderedPageBreak/>
        <w:t>Glossary</w:t>
      </w:r>
      <w:bookmarkEnd w:id="6"/>
      <w:bookmarkEnd w:id="7"/>
    </w:p>
    <w:tbl>
      <w:tblPr>
        <w:tblStyle w:val="TableGrid"/>
        <w:tblW w:w="0" w:type="auto"/>
        <w:tblBorders>
          <w:top w:val="single" w:sz="4" w:space="0" w:color="C63663"/>
          <w:left w:val="none" w:sz="0" w:space="0" w:color="auto"/>
          <w:bottom w:val="single" w:sz="4" w:space="0" w:color="C63663"/>
          <w:right w:val="none" w:sz="0" w:space="0" w:color="auto"/>
          <w:insideH w:val="single" w:sz="4" w:space="0" w:color="C63663"/>
          <w:insideV w:val="none" w:sz="0" w:space="0" w:color="auto"/>
        </w:tblBorders>
        <w:shd w:val="clear" w:color="auto" w:fill="FFFFFF" w:themeFill="background1"/>
        <w:tblLook w:val="04A0" w:firstRow="1" w:lastRow="0" w:firstColumn="1" w:lastColumn="0" w:noHBand="0" w:noVBand="1"/>
      </w:tblPr>
      <w:tblGrid>
        <w:gridCol w:w="3097"/>
        <w:gridCol w:w="6086"/>
      </w:tblGrid>
      <w:tr w:rsidR="00765A19" w:rsidRPr="00765A19" w14:paraId="4565C542" w14:textId="77777777" w:rsidTr="000A4427">
        <w:tc>
          <w:tcPr>
            <w:tcW w:w="3097" w:type="dxa"/>
            <w:tcBorders>
              <w:top w:val="nil"/>
            </w:tcBorders>
            <w:shd w:val="clear" w:color="auto" w:fill="FFFFFF" w:themeFill="background1"/>
          </w:tcPr>
          <w:p w14:paraId="48D8451A" w14:textId="77777777" w:rsidR="00765A19" w:rsidRPr="00765A19" w:rsidRDefault="00765A19" w:rsidP="00434AAC">
            <w:pPr>
              <w:pStyle w:val="Tabletext"/>
              <w:spacing w:before="60"/>
              <w:rPr>
                <w:iCs/>
              </w:rPr>
            </w:pPr>
            <w:r w:rsidRPr="00434AAC">
              <w:rPr>
                <w:b/>
                <w:color w:val="C63663"/>
              </w:rPr>
              <w:t>Carbapenemase-producing Acinetobacter (CPA)</w:t>
            </w:r>
          </w:p>
        </w:tc>
        <w:tc>
          <w:tcPr>
            <w:tcW w:w="6086" w:type="dxa"/>
            <w:tcBorders>
              <w:top w:val="nil"/>
            </w:tcBorders>
            <w:shd w:val="clear" w:color="auto" w:fill="FFFFFF" w:themeFill="background1"/>
          </w:tcPr>
          <w:p w14:paraId="2BDFD7C7" w14:textId="1A0E39CF" w:rsidR="00765A19" w:rsidRPr="00765A19" w:rsidRDefault="00765A19" w:rsidP="00434AAC">
            <w:pPr>
              <w:pStyle w:val="Tabletext"/>
              <w:spacing w:before="60"/>
            </w:pPr>
            <w:r w:rsidRPr="00765A19">
              <w:t xml:space="preserve">The term CPA refers bacteria that are members of the </w:t>
            </w:r>
            <w:r w:rsidRPr="00765A19">
              <w:rPr>
                <w:i/>
                <w:iCs/>
              </w:rPr>
              <w:t>Acinetobacter</w:t>
            </w:r>
            <w:r w:rsidRPr="00765A19">
              <w:t xml:space="preserve"> genus that have been identified to carry a</w:t>
            </w:r>
            <w:r w:rsidR="00D07055">
              <w:t>n acquired</w:t>
            </w:r>
            <w:r w:rsidRPr="00765A19">
              <w:t xml:space="preserve"> </w:t>
            </w:r>
            <w:r w:rsidR="00D07055">
              <w:t>(</w:t>
            </w:r>
            <w:r w:rsidR="00346528">
              <w:t>non-intrinsic</w:t>
            </w:r>
            <w:r w:rsidR="00D07055">
              <w:t>)</w:t>
            </w:r>
            <w:r w:rsidR="00346528">
              <w:t xml:space="preserve"> </w:t>
            </w:r>
            <w:r w:rsidRPr="00765A19">
              <w:t>carbapenemase gene.</w:t>
            </w:r>
          </w:p>
        </w:tc>
      </w:tr>
      <w:tr w:rsidR="00765A19" w:rsidRPr="00765A19" w14:paraId="1B4EDA33" w14:textId="77777777" w:rsidTr="00B80C9D">
        <w:tc>
          <w:tcPr>
            <w:tcW w:w="3097" w:type="dxa"/>
            <w:shd w:val="clear" w:color="auto" w:fill="FFFFFF" w:themeFill="background1"/>
          </w:tcPr>
          <w:p w14:paraId="6C4D5841" w14:textId="77777777" w:rsidR="00765A19" w:rsidRPr="00765A19" w:rsidRDefault="00765A19" w:rsidP="00434AAC">
            <w:pPr>
              <w:pStyle w:val="Tabletext"/>
              <w:spacing w:before="60"/>
              <w:rPr>
                <w:b/>
                <w:color w:val="C63663"/>
              </w:rPr>
            </w:pPr>
            <w:r w:rsidRPr="00765A19">
              <w:rPr>
                <w:b/>
                <w:color w:val="C63663"/>
              </w:rPr>
              <w:t>Carbapenemase-producing Enterobacterales (CPE)</w:t>
            </w:r>
          </w:p>
        </w:tc>
        <w:tc>
          <w:tcPr>
            <w:tcW w:w="6086" w:type="dxa"/>
            <w:shd w:val="clear" w:color="auto" w:fill="FFFFFF" w:themeFill="background1"/>
          </w:tcPr>
          <w:p w14:paraId="6E3FA94D" w14:textId="6F953AA7" w:rsidR="00765A19" w:rsidRPr="00765A19" w:rsidRDefault="00765A19" w:rsidP="00434AAC">
            <w:pPr>
              <w:pStyle w:val="Tabletext"/>
              <w:spacing w:before="60"/>
            </w:pPr>
            <w:r w:rsidRPr="00765A19">
              <w:t>The term CPE refers to bacteria that are members of the order Enterobacterales that have been identified to carry a</w:t>
            </w:r>
            <w:r w:rsidR="00346528">
              <w:t>n acquired</w:t>
            </w:r>
            <w:r w:rsidR="00D07055">
              <w:t xml:space="preserve"> (non-intrinsic)</w:t>
            </w:r>
            <w:r w:rsidRPr="00765A19">
              <w:t xml:space="preserve"> carbapenemase gene.</w:t>
            </w:r>
          </w:p>
        </w:tc>
      </w:tr>
      <w:tr w:rsidR="00765A19" w:rsidRPr="00765A19" w14:paraId="1A78C099" w14:textId="77777777" w:rsidTr="00B80C9D">
        <w:tc>
          <w:tcPr>
            <w:tcW w:w="3097" w:type="dxa"/>
            <w:shd w:val="clear" w:color="auto" w:fill="FFFFFF" w:themeFill="background1"/>
          </w:tcPr>
          <w:p w14:paraId="3B15874E" w14:textId="77777777" w:rsidR="00765A19" w:rsidRPr="00765A19" w:rsidRDefault="00765A19" w:rsidP="00434AAC">
            <w:pPr>
              <w:pStyle w:val="Tabletext"/>
              <w:spacing w:before="60"/>
              <w:rPr>
                <w:b/>
                <w:color w:val="C63663"/>
              </w:rPr>
            </w:pPr>
            <w:r w:rsidRPr="00765A19">
              <w:rPr>
                <w:b/>
                <w:color w:val="C63663"/>
              </w:rPr>
              <w:t>Carbapenemase-producing organism (CPO)</w:t>
            </w:r>
          </w:p>
        </w:tc>
        <w:tc>
          <w:tcPr>
            <w:tcW w:w="6086" w:type="dxa"/>
            <w:shd w:val="clear" w:color="auto" w:fill="FFFFFF" w:themeFill="background1"/>
          </w:tcPr>
          <w:p w14:paraId="43F49EB1" w14:textId="750A1F6A" w:rsidR="00765A19" w:rsidRPr="00765A19" w:rsidRDefault="00D470EB" w:rsidP="00434AAC">
            <w:pPr>
              <w:pStyle w:val="Tabletext"/>
              <w:spacing w:before="60"/>
            </w:pPr>
            <w:proofErr w:type="gramStart"/>
            <w:r>
              <w:t>For the purpose of</w:t>
            </w:r>
            <w:proofErr w:type="gramEnd"/>
            <w:r>
              <w:t xml:space="preserve"> this guideline, t</w:t>
            </w:r>
            <w:r w:rsidR="00765A19" w:rsidRPr="00765A19">
              <w:t xml:space="preserve">he term CPO is a collective term that refers to any organisms of the order Enterobacterales and genera </w:t>
            </w:r>
            <w:r w:rsidR="00765A19" w:rsidRPr="00765A19">
              <w:rPr>
                <w:i/>
                <w:iCs/>
              </w:rPr>
              <w:t>Acinetobacter</w:t>
            </w:r>
            <w:r w:rsidR="00765A19" w:rsidRPr="00765A19">
              <w:t xml:space="preserve"> and </w:t>
            </w:r>
            <w:r w:rsidR="00765A19" w:rsidRPr="00765A19">
              <w:rPr>
                <w:i/>
                <w:iCs/>
              </w:rPr>
              <w:t>Pseudomonas</w:t>
            </w:r>
            <w:r w:rsidR="00765A19" w:rsidRPr="00765A19">
              <w:t xml:space="preserve"> that have been identified to carry a</w:t>
            </w:r>
            <w:r w:rsidR="00D07055">
              <w:t>n acquired</w:t>
            </w:r>
            <w:r w:rsidR="00765A19" w:rsidRPr="00765A19">
              <w:t xml:space="preserve"> </w:t>
            </w:r>
            <w:r w:rsidR="00D07055">
              <w:t>(</w:t>
            </w:r>
            <w:r w:rsidR="00346528">
              <w:t>non-intrinsic</w:t>
            </w:r>
            <w:r w:rsidR="00D07055">
              <w:t>)</w:t>
            </w:r>
            <w:r w:rsidR="00346528">
              <w:t xml:space="preserve"> </w:t>
            </w:r>
            <w:r w:rsidR="00765A19" w:rsidRPr="00765A19">
              <w:t>carbapenemase gene.</w:t>
            </w:r>
            <w:r>
              <w:t xml:space="preserve"> Carbapenemase-producing organisms that are not Enterobacterales, </w:t>
            </w:r>
            <w:r w:rsidRPr="00E1217F">
              <w:rPr>
                <w:i/>
                <w:iCs/>
              </w:rPr>
              <w:t>Acinetobacter</w:t>
            </w:r>
            <w:r>
              <w:t xml:space="preserve"> or </w:t>
            </w:r>
            <w:r w:rsidRPr="00E1217F">
              <w:rPr>
                <w:i/>
                <w:iCs/>
              </w:rPr>
              <w:t>Pseudomonas</w:t>
            </w:r>
            <w:r>
              <w:t xml:space="preserve"> are outside the scope of these guidelines.</w:t>
            </w:r>
          </w:p>
        </w:tc>
      </w:tr>
      <w:tr w:rsidR="00765A19" w:rsidRPr="00765A19" w14:paraId="40F20B4D" w14:textId="77777777" w:rsidTr="00B80C9D">
        <w:tc>
          <w:tcPr>
            <w:tcW w:w="3097" w:type="dxa"/>
            <w:shd w:val="clear" w:color="auto" w:fill="FFFFFF" w:themeFill="background1"/>
          </w:tcPr>
          <w:p w14:paraId="25816E52" w14:textId="77777777" w:rsidR="00765A19" w:rsidRPr="00765A19" w:rsidRDefault="00765A19" w:rsidP="00434AAC">
            <w:pPr>
              <w:pStyle w:val="Tabletext"/>
              <w:spacing w:before="60"/>
              <w:rPr>
                <w:b/>
                <w:iCs/>
                <w:color w:val="C63663"/>
              </w:rPr>
            </w:pPr>
            <w:r w:rsidRPr="00765A19">
              <w:rPr>
                <w:b/>
                <w:color w:val="C63663"/>
              </w:rPr>
              <w:t xml:space="preserve">Carbapenemase-producing </w:t>
            </w:r>
            <w:r w:rsidRPr="00765A19">
              <w:rPr>
                <w:b/>
                <w:i/>
                <w:color w:val="C63663"/>
              </w:rPr>
              <w:t>Pseudomonas</w:t>
            </w:r>
            <w:r w:rsidRPr="00765A19">
              <w:rPr>
                <w:b/>
                <w:iCs/>
                <w:color w:val="C63663"/>
              </w:rPr>
              <w:t xml:space="preserve"> (CPP)</w:t>
            </w:r>
          </w:p>
        </w:tc>
        <w:tc>
          <w:tcPr>
            <w:tcW w:w="6086" w:type="dxa"/>
            <w:shd w:val="clear" w:color="auto" w:fill="FFFFFF" w:themeFill="background1"/>
          </w:tcPr>
          <w:p w14:paraId="7172173A" w14:textId="3757010D" w:rsidR="00765A19" w:rsidRPr="00765A19" w:rsidRDefault="00765A19" w:rsidP="00434AAC">
            <w:pPr>
              <w:pStyle w:val="Tabletext"/>
              <w:spacing w:before="60"/>
            </w:pPr>
            <w:r w:rsidRPr="00765A19">
              <w:t xml:space="preserve">The term CPP refers bacteria that are members of the genus </w:t>
            </w:r>
            <w:r w:rsidRPr="00765A19">
              <w:rPr>
                <w:i/>
                <w:iCs/>
              </w:rPr>
              <w:t>Pseudomonas</w:t>
            </w:r>
            <w:r w:rsidRPr="00765A19">
              <w:t xml:space="preserve"> that have been identified to carry a</w:t>
            </w:r>
            <w:r w:rsidR="001A7533">
              <w:t>n acquired (non-intrinsic)</w:t>
            </w:r>
            <w:r w:rsidRPr="00765A19">
              <w:t xml:space="preserve"> carbapenemase gene.</w:t>
            </w:r>
          </w:p>
        </w:tc>
      </w:tr>
      <w:tr w:rsidR="00765A19" w:rsidRPr="00765A19" w14:paraId="4BDCEA1D" w14:textId="77777777" w:rsidTr="00B80C9D">
        <w:tblPrEx>
          <w:shd w:val="clear" w:color="auto" w:fill="auto"/>
        </w:tblPrEx>
        <w:trPr>
          <w:cantSplit/>
        </w:trPr>
        <w:tc>
          <w:tcPr>
            <w:tcW w:w="3097" w:type="dxa"/>
            <w:shd w:val="clear" w:color="auto" w:fill="auto"/>
          </w:tcPr>
          <w:p w14:paraId="20A84CEF" w14:textId="77777777" w:rsidR="00765A19" w:rsidRPr="00765A19" w:rsidRDefault="00765A19" w:rsidP="00434AAC">
            <w:pPr>
              <w:pStyle w:val="Tabletext"/>
              <w:spacing w:before="60"/>
              <w:rPr>
                <w:b/>
                <w:color w:val="C63663"/>
              </w:rPr>
            </w:pPr>
            <w:r w:rsidRPr="00765A19">
              <w:rPr>
                <w:b/>
                <w:color w:val="C63663"/>
              </w:rPr>
              <w:t>Carbapenem-resistant Enterobacterales (CRE)</w:t>
            </w:r>
          </w:p>
        </w:tc>
        <w:tc>
          <w:tcPr>
            <w:tcW w:w="6086" w:type="dxa"/>
            <w:shd w:val="clear" w:color="auto" w:fill="auto"/>
          </w:tcPr>
          <w:p w14:paraId="739C3CFF" w14:textId="77777777" w:rsidR="00765A19" w:rsidRPr="00765A19" w:rsidRDefault="00765A19" w:rsidP="00434AAC">
            <w:pPr>
              <w:pStyle w:val="Tabletext"/>
              <w:spacing w:before="60"/>
            </w:pPr>
            <w:r w:rsidRPr="00765A19">
              <w:t>The term CRE refers to bacteria that are members of the order Enterobacterales that have been found to have resistance to carbapenem antibiotics by any mechanism including carbapenemase gene acquisition.</w:t>
            </w:r>
          </w:p>
        </w:tc>
      </w:tr>
      <w:tr w:rsidR="00765A19" w:rsidRPr="00765A19" w14:paraId="14D248C8" w14:textId="77777777" w:rsidTr="000A4427">
        <w:tblPrEx>
          <w:shd w:val="clear" w:color="auto" w:fill="auto"/>
        </w:tblPrEx>
        <w:trPr>
          <w:cantSplit/>
        </w:trPr>
        <w:tc>
          <w:tcPr>
            <w:tcW w:w="3097" w:type="dxa"/>
            <w:tcBorders>
              <w:bottom w:val="single" w:sz="4" w:space="0" w:color="C63663"/>
            </w:tcBorders>
            <w:shd w:val="clear" w:color="auto" w:fill="auto"/>
          </w:tcPr>
          <w:p w14:paraId="750E2E87" w14:textId="77777777" w:rsidR="00765A19" w:rsidRPr="00765A19" w:rsidRDefault="00765A19" w:rsidP="00434AAC">
            <w:pPr>
              <w:pStyle w:val="Tabletext"/>
              <w:spacing w:before="60"/>
              <w:rPr>
                <w:b/>
                <w:color w:val="C63663"/>
              </w:rPr>
            </w:pPr>
            <w:r w:rsidRPr="00765A19">
              <w:rPr>
                <w:b/>
                <w:color w:val="C63663"/>
              </w:rPr>
              <w:t>Carbapenem-resistant organism (CRO)</w:t>
            </w:r>
          </w:p>
        </w:tc>
        <w:tc>
          <w:tcPr>
            <w:tcW w:w="6086" w:type="dxa"/>
            <w:tcBorders>
              <w:bottom w:val="single" w:sz="4" w:space="0" w:color="C63663"/>
            </w:tcBorders>
            <w:shd w:val="clear" w:color="auto" w:fill="auto"/>
          </w:tcPr>
          <w:p w14:paraId="3C1BE2A3" w14:textId="77777777" w:rsidR="00765A19" w:rsidRPr="00765A19" w:rsidRDefault="00765A19" w:rsidP="00434AAC">
            <w:pPr>
              <w:pStyle w:val="Tabletext"/>
              <w:spacing w:before="60"/>
            </w:pPr>
            <w:r w:rsidRPr="00765A19">
              <w:t>The term CRO refers to any bacteria that have been found to have resistance to carbapenem antibiotics by any mechanism including carbapenemase gene acquisition.</w:t>
            </w:r>
          </w:p>
        </w:tc>
      </w:tr>
      <w:tr w:rsidR="00434AAC" w:rsidRPr="00765A19" w14:paraId="1F6FF26F" w14:textId="77777777" w:rsidTr="000A4427">
        <w:tblPrEx>
          <w:shd w:val="clear" w:color="auto" w:fill="auto"/>
        </w:tblPrEx>
        <w:trPr>
          <w:cantSplit/>
        </w:trPr>
        <w:tc>
          <w:tcPr>
            <w:tcW w:w="3097" w:type="dxa"/>
            <w:tcBorders>
              <w:bottom w:val="nil"/>
            </w:tcBorders>
            <w:shd w:val="clear" w:color="auto" w:fill="auto"/>
          </w:tcPr>
          <w:p w14:paraId="7E6D8C8D" w14:textId="5865DADB" w:rsidR="00434AAC" w:rsidRPr="00333E4D" w:rsidRDefault="00434AAC" w:rsidP="00434AAC">
            <w:pPr>
              <w:pStyle w:val="Tabletext"/>
              <w:spacing w:before="60"/>
              <w:rPr>
                <w:b/>
                <w:bCs/>
                <w:color w:val="C63663"/>
                <w:lang w:val="en-GB"/>
              </w:rPr>
            </w:pPr>
            <w:r>
              <w:rPr>
                <w:b/>
                <w:bCs/>
                <w:color w:val="C63663"/>
                <w:lang w:val="en-GB"/>
              </w:rPr>
              <w:lastRenderedPageBreak/>
              <w:t>Case</w:t>
            </w:r>
            <w:r w:rsidR="00225724">
              <w:rPr>
                <w:b/>
                <w:bCs/>
                <w:color w:val="C63663"/>
                <w:lang w:val="en-GB"/>
              </w:rPr>
              <w:t xml:space="preserve"> </w:t>
            </w:r>
          </w:p>
        </w:tc>
        <w:tc>
          <w:tcPr>
            <w:tcW w:w="6086" w:type="dxa"/>
            <w:tcBorders>
              <w:bottom w:val="single" w:sz="4" w:space="0" w:color="C63663"/>
            </w:tcBorders>
            <w:shd w:val="clear" w:color="auto" w:fill="auto"/>
          </w:tcPr>
          <w:p w14:paraId="38E2B38F" w14:textId="77777777" w:rsidR="000D3AC2" w:rsidRDefault="000D3AC2" w:rsidP="00434AAC">
            <w:pPr>
              <w:pStyle w:val="Tabletext"/>
              <w:spacing w:before="60"/>
              <w:rPr>
                <w:b/>
                <w:bCs/>
                <w:color w:val="C63663"/>
                <w:lang w:val="en-GB"/>
              </w:rPr>
            </w:pPr>
            <w:r>
              <w:rPr>
                <w:b/>
                <w:bCs/>
                <w:color w:val="C63663"/>
                <w:lang w:val="en-GB"/>
              </w:rPr>
              <w:t>Case definitions:</w:t>
            </w:r>
          </w:p>
          <w:p w14:paraId="1C7F3573" w14:textId="4C6E2733" w:rsidR="00434AAC" w:rsidRPr="008A381A" w:rsidRDefault="00434AAC" w:rsidP="00434AAC">
            <w:pPr>
              <w:pStyle w:val="Tabletext"/>
              <w:spacing w:before="60"/>
              <w:rPr>
                <w:b/>
                <w:bCs/>
                <w:color w:val="C63663"/>
                <w:lang w:val="en-GB"/>
              </w:rPr>
            </w:pPr>
            <w:r w:rsidRPr="00496B66">
              <w:rPr>
                <w:b/>
                <w:bCs/>
                <w:color w:val="C63663"/>
                <w:lang w:val="en-GB"/>
              </w:rPr>
              <w:t>Suspected case of CPE</w:t>
            </w:r>
          </w:p>
          <w:p w14:paraId="4BB5EB38" w14:textId="181F800D" w:rsidR="00434AAC" w:rsidRPr="00765A19" w:rsidRDefault="00434AAC" w:rsidP="00434AAC">
            <w:pPr>
              <w:pStyle w:val="Tabletext"/>
              <w:spacing w:before="60"/>
            </w:pPr>
            <w:r w:rsidRPr="00765A19">
              <w:t xml:space="preserve">A </w:t>
            </w:r>
            <w:r w:rsidR="001C2C11">
              <w:t xml:space="preserve">suspected case </w:t>
            </w:r>
            <w:r w:rsidR="008F5FC0">
              <w:t xml:space="preserve">requires </w:t>
            </w:r>
            <w:r w:rsidRPr="00765A19">
              <w:t xml:space="preserve">a species of Enterobacterales </w:t>
            </w:r>
            <w:r w:rsidR="00E63CF3">
              <w:t xml:space="preserve">to be </w:t>
            </w:r>
            <w:r w:rsidRPr="00765A19">
              <w:t xml:space="preserve">isolated from routine clinical or screening specimens (infection or colonisation), with </w:t>
            </w:r>
            <w:r w:rsidRPr="00F4390A">
              <w:rPr>
                <w:b/>
              </w:rPr>
              <w:t>any</w:t>
            </w:r>
            <w:r w:rsidRPr="00765A19">
              <w:t xml:space="preserve"> </w:t>
            </w:r>
            <w:r>
              <w:t xml:space="preserve">one </w:t>
            </w:r>
            <w:r w:rsidRPr="00765A19">
              <w:t>of the following:</w:t>
            </w:r>
          </w:p>
          <w:p w14:paraId="2A7A668E" w14:textId="632A6890" w:rsidR="008A381A" w:rsidRDefault="00B92C1E" w:rsidP="00A65E16">
            <w:pPr>
              <w:pStyle w:val="Tablebullet1"/>
              <w:spacing w:after="80"/>
            </w:pPr>
            <w:r>
              <w:t>m</w:t>
            </w:r>
            <w:r w:rsidR="00434AAC" w:rsidRPr="00765A19">
              <w:t>eropenem</w:t>
            </w:r>
            <w:r w:rsidR="00434AAC">
              <w:t xml:space="preserve"> </w:t>
            </w:r>
            <w:r w:rsidR="00434AAC" w:rsidRPr="00765A19">
              <w:rPr>
                <w:lang w:val="en-GB"/>
              </w:rPr>
              <w:t>minimum inhibitory concentrations</w:t>
            </w:r>
            <w:r w:rsidR="00434AAC" w:rsidRPr="00765A19">
              <w:t xml:space="preserve"> </w:t>
            </w:r>
            <w:r w:rsidR="00434AAC">
              <w:t>(</w:t>
            </w:r>
            <w:r w:rsidR="00434AAC" w:rsidRPr="00765A19">
              <w:t>MIC</w:t>
            </w:r>
            <w:r w:rsidR="00434AAC">
              <w:t>)</w:t>
            </w:r>
            <w:r w:rsidR="00434AAC" w:rsidRPr="00765A19">
              <w:t xml:space="preserve"> ≥</w:t>
            </w:r>
            <w:r w:rsidR="003329F8">
              <w:t> </w:t>
            </w:r>
            <w:r w:rsidR="00434AAC" w:rsidRPr="00765A19">
              <w:t>0.5</w:t>
            </w:r>
            <w:r w:rsidR="00434AAC">
              <w:t> </w:t>
            </w:r>
            <w:r w:rsidR="00434AAC" w:rsidRPr="00765A19">
              <w:t>mg/L</w:t>
            </w:r>
          </w:p>
          <w:p w14:paraId="1B631B9B" w14:textId="4FE04A8F" w:rsidR="008A381A" w:rsidRDefault="00B92C1E" w:rsidP="00A65E16">
            <w:pPr>
              <w:pStyle w:val="Tablebullet1"/>
              <w:spacing w:after="80"/>
            </w:pPr>
            <w:r>
              <w:t>m</w:t>
            </w:r>
            <w:r w:rsidRPr="00765A19">
              <w:t>eropenem</w:t>
            </w:r>
            <w:r>
              <w:t xml:space="preserve"> </w:t>
            </w:r>
            <w:r w:rsidR="00434AAC" w:rsidRPr="00765A19">
              <w:t xml:space="preserve">disc diffusion zone </w:t>
            </w:r>
            <w:r w:rsidR="008A381A">
              <w:t>&lt; 28</w:t>
            </w:r>
            <w:r w:rsidR="00434AAC" w:rsidRPr="00765A19">
              <w:t xml:space="preserve"> mm </w:t>
            </w:r>
            <w:r>
              <w:t xml:space="preserve">by </w:t>
            </w:r>
            <w:r w:rsidR="00615489" w:rsidRPr="00765A19">
              <w:t xml:space="preserve">EUCAST </w:t>
            </w:r>
            <w:r w:rsidR="00434AAC" w:rsidRPr="00765A19">
              <w:t xml:space="preserve">or </w:t>
            </w:r>
            <w:r w:rsidR="00615489" w:rsidRPr="00765A19">
              <w:t>CLSI</w:t>
            </w:r>
            <w:r>
              <w:t xml:space="preserve"> method</w:t>
            </w:r>
            <w:r w:rsidR="008050E5">
              <w:t>s</w:t>
            </w:r>
          </w:p>
          <w:p w14:paraId="1E7E2D2D" w14:textId="438D89EB" w:rsidR="008A381A" w:rsidRDefault="008A381A" w:rsidP="00A65E16">
            <w:pPr>
              <w:pStyle w:val="Bullet2"/>
              <w:spacing w:before="80" w:after="80" w:line="240" w:lineRule="auto"/>
              <w:ind w:left="454" w:hanging="227"/>
            </w:pPr>
            <w:r>
              <w:t>if disc zone &lt; 25 mm always refer</w:t>
            </w:r>
          </w:p>
          <w:p w14:paraId="7AC4D7B8" w14:textId="33155785" w:rsidR="008A381A" w:rsidRPr="008A381A" w:rsidRDefault="008A381A" w:rsidP="00A65E16">
            <w:pPr>
              <w:pStyle w:val="Bullet2"/>
              <w:spacing w:before="80" w:after="80" w:line="240" w:lineRule="auto"/>
              <w:ind w:left="454" w:hanging="227"/>
            </w:pPr>
            <w:r>
              <w:t xml:space="preserve">if disc zone </w:t>
            </w:r>
            <w:r w:rsidRPr="008A381A">
              <w:t>25-27</w:t>
            </w:r>
            <w:r>
              <w:t xml:space="preserve"> </w:t>
            </w:r>
            <w:r w:rsidRPr="008A381A">
              <w:t xml:space="preserve">mm, only refer if piperacillin-tazobactam is also </w:t>
            </w:r>
            <w:proofErr w:type="gramStart"/>
            <w:r w:rsidRPr="008A381A">
              <w:t>resistant</w:t>
            </w:r>
            <w:proofErr w:type="gramEnd"/>
          </w:p>
          <w:p w14:paraId="1D0D8FB3" w14:textId="594961D1" w:rsidR="00434AAC" w:rsidRPr="00496B66" w:rsidRDefault="00B92C1E" w:rsidP="00A65E16">
            <w:pPr>
              <w:pStyle w:val="Tablebullet1"/>
              <w:spacing w:after="80"/>
            </w:pPr>
            <w:r>
              <w:t>m</w:t>
            </w:r>
            <w:r w:rsidRPr="00765A19">
              <w:t>eropenem</w:t>
            </w:r>
            <w:r>
              <w:t xml:space="preserve"> </w:t>
            </w:r>
            <w:r w:rsidR="008A381A" w:rsidRPr="00765A19">
              <w:t xml:space="preserve">disc diffusion zone </w:t>
            </w:r>
            <w:r w:rsidR="003329F8">
              <w:t>&lt;</w:t>
            </w:r>
            <w:r w:rsidR="008A381A" w:rsidRPr="00765A19">
              <w:t xml:space="preserve"> 6 mm</w:t>
            </w:r>
            <w:r w:rsidRPr="00765A19">
              <w:t xml:space="preserve"> </w:t>
            </w:r>
            <w:r>
              <w:t xml:space="preserve">by </w:t>
            </w:r>
            <w:r w:rsidRPr="00765A19">
              <w:t>CDS</w:t>
            </w:r>
            <w:r>
              <w:t xml:space="preserve"> method</w:t>
            </w:r>
          </w:p>
          <w:p w14:paraId="2C4E7D07" w14:textId="076F4FE2" w:rsidR="00434AAC" w:rsidRPr="00496B66" w:rsidRDefault="00434AAC" w:rsidP="00A65E16">
            <w:pPr>
              <w:pStyle w:val="Tablebullet1"/>
              <w:spacing w:after="80"/>
            </w:pPr>
            <w:r w:rsidRPr="00496B66">
              <w:t xml:space="preserve">phenotypic resistance to any carbapenem where the MIC is above the clinical breakpoint as defined by CLSI or EUCAST or zone diameter suggests resistance by </w:t>
            </w:r>
            <w:proofErr w:type="gramStart"/>
            <w:r w:rsidRPr="00496B66">
              <w:t>CDS</w:t>
            </w:r>
            <w:proofErr w:type="gramEnd"/>
          </w:p>
          <w:p w14:paraId="5A1F3575" w14:textId="0D9E4C73" w:rsidR="00434AAC" w:rsidRPr="00496B66" w:rsidRDefault="00434AAC" w:rsidP="00A65E16">
            <w:pPr>
              <w:pStyle w:val="Tablebullet1"/>
              <w:spacing w:after="80"/>
              <w:rPr>
                <w:lang w:val="en-US"/>
              </w:rPr>
            </w:pPr>
            <w:r w:rsidRPr="00496B66">
              <w:t xml:space="preserve">positive colorimetric test for </w:t>
            </w:r>
            <w:proofErr w:type="spellStart"/>
            <w:r w:rsidRPr="00496B66">
              <w:t>carbapenemase</w:t>
            </w:r>
            <w:proofErr w:type="spellEnd"/>
            <w:r w:rsidRPr="00496B66">
              <w:t xml:space="preserve"> (for example, </w:t>
            </w:r>
            <w:proofErr w:type="spellStart"/>
            <w:r w:rsidRPr="00496B66">
              <w:t>CarbaNP</w:t>
            </w:r>
            <w:proofErr w:type="spellEnd"/>
            <w:r w:rsidRPr="00496B66">
              <w:t xml:space="preserve"> or Blue-</w:t>
            </w:r>
            <w:proofErr w:type="spellStart"/>
            <w:r w:rsidRPr="00496B66">
              <w:t>Carba</w:t>
            </w:r>
            <w:proofErr w:type="spellEnd"/>
            <w:r w:rsidRPr="00496B66">
              <w:t>)</w:t>
            </w:r>
          </w:p>
          <w:p w14:paraId="3C35C1D9" w14:textId="77777777" w:rsidR="00787083" w:rsidRDefault="00434AAC" w:rsidP="00A65E16">
            <w:pPr>
              <w:pStyle w:val="Tablebullet1"/>
              <w:spacing w:after="80"/>
              <w:rPr>
                <w:lang w:val="en-US"/>
              </w:rPr>
            </w:pPr>
            <w:r w:rsidRPr="00765A19">
              <w:rPr>
                <w:lang w:val="en-US"/>
              </w:rPr>
              <w:t xml:space="preserve">positive </w:t>
            </w:r>
            <w:r>
              <w:rPr>
                <w:lang w:val="en-US"/>
              </w:rPr>
              <w:t xml:space="preserve">or equivocal </w:t>
            </w:r>
            <w:r w:rsidRPr="00765A19">
              <w:rPr>
                <w:lang w:val="en-US"/>
              </w:rPr>
              <w:t>carbapenemase inactivation method (CIM) test</w:t>
            </w:r>
            <w:r w:rsidR="0028200C">
              <w:rPr>
                <w:lang w:val="en-US"/>
              </w:rPr>
              <w:t xml:space="preserve"> (or accepted modified CIM method)</w:t>
            </w:r>
          </w:p>
          <w:p w14:paraId="7A52A104" w14:textId="755A8748" w:rsidR="00434AAC" w:rsidRDefault="00787083" w:rsidP="00A65E16">
            <w:pPr>
              <w:pStyle w:val="Tablebullet1"/>
              <w:spacing w:after="80"/>
              <w:rPr>
                <w:lang w:val="en-US"/>
              </w:rPr>
            </w:pPr>
            <w:r>
              <w:rPr>
                <w:lang w:val="en-US"/>
              </w:rPr>
              <w:t>positive carbapenemase gene PCR</w:t>
            </w:r>
            <w:r w:rsidR="00434AAC">
              <w:rPr>
                <w:lang w:val="en-US"/>
              </w:rPr>
              <w:t>.</w:t>
            </w:r>
          </w:p>
          <w:p w14:paraId="4EF81CA6" w14:textId="1FAFF5EA" w:rsidR="00434AAC" w:rsidRPr="00765A19" w:rsidRDefault="00434AAC" w:rsidP="00434AAC">
            <w:pPr>
              <w:pStyle w:val="Tabletext"/>
              <w:spacing w:before="60"/>
            </w:pPr>
            <w:r w:rsidRPr="00765A19">
              <w:rPr>
                <w:i/>
                <w:iCs/>
              </w:rPr>
              <w:t>Note:</w:t>
            </w:r>
            <w:r w:rsidRPr="00765A19">
              <w:t xml:space="preserve"> The definition of a suspected case will capture patients who are colonised or infected with bacteria that are more likely to be either CRE or CPE. Infection prevention and control (IPC) actions should begin at the initial point of suspicion prior to confirming whether the bacteri</w:t>
            </w:r>
            <w:r w:rsidR="0039697C">
              <w:t>um</w:t>
            </w:r>
            <w:r w:rsidRPr="00765A19">
              <w:t xml:space="preserve"> is a CPE.</w:t>
            </w:r>
          </w:p>
        </w:tc>
      </w:tr>
      <w:tr w:rsidR="00434AAC" w:rsidRPr="00765A19" w14:paraId="58A00DEA" w14:textId="77777777" w:rsidTr="000A4427">
        <w:tblPrEx>
          <w:shd w:val="clear" w:color="auto" w:fill="auto"/>
        </w:tblPrEx>
        <w:trPr>
          <w:cantSplit/>
        </w:trPr>
        <w:tc>
          <w:tcPr>
            <w:tcW w:w="3097" w:type="dxa"/>
            <w:tcBorders>
              <w:top w:val="nil"/>
              <w:bottom w:val="single" w:sz="4" w:space="0" w:color="C63663"/>
            </w:tcBorders>
            <w:shd w:val="clear" w:color="auto" w:fill="auto"/>
          </w:tcPr>
          <w:p w14:paraId="355066FF" w14:textId="29127109" w:rsidR="00434AAC" w:rsidRPr="00496B66" w:rsidRDefault="00434AAC" w:rsidP="00434AAC">
            <w:pPr>
              <w:pStyle w:val="Tabletext"/>
              <w:spacing w:before="60"/>
              <w:rPr>
                <w:b/>
                <w:bCs/>
                <w:color w:val="C63663"/>
                <w:lang w:val="en-GB"/>
              </w:rPr>
            </w:pPr>
          </w:p>
        </w:tc>
        <w:tc>
          <w:tcPr>
            <w:tcW w:w="6086" w:type="dxa"/>
            <w:tcBorders>
              <w:top w:val="single" w:sz="4" w:space="0" w:color="C63663"/>
            </w:tcBorders>
            <w:shd w:val="clear" w:color="auto" w:fill="auto"/>
          </w:tcPr>
          <w:p w14:paraId="4EF4BD32" w14:textId="77777777" w:rsidR="00434AAC" w:rsidRDefault="00434AAC" w:rsidP="00434AAC">
            <w:pPr>
              <w:pStyle w:val="Tabletext"/>
              <w:spacing w:before="60"/>
              <w:rPr>
                <w:b/>
                <w:bCs/>
                <w:color w:val="C63663"/>
                <w:lang w:val="en-GB"/>
              </w:rPr>
            </w:pPr>
            <w:r w:rsidRPr="00496B66">
              <w:rPr>
                <w:b/>
                <w:bCs/>
                <w:color w:val="C63663"/>
                <w:lang w:val="en-GB"/>
              </w:rPr>
              <w:t>Confirmed case of CPE</w:t>
            </w:r>
          </w:p>
          <w:p w14:paraId="688C0393" w14:textId="1A78A58A" w:rsidR="00434AAC" w:rsidRPr="00765A19" w:rsidRDefault="00434AAC" w:rsidP="00434AAC">
            <w:pPr>
              <w:pStyle w:val="Tabletext"/>
              <w:spacing w:before="60"/>
            </w:pPr>
            <w:r w:rsidRPr="00765A19">
              <w:t xml:space="preserve">A </w:t>
            </w:r>
            <w:r w:rsidR="00582187">
              <w:t xml:space="preserve">confirmed case </w:t>
            </w:r>
            <w:r w:rsidR="00683FB7">
              <w:t xml:space="preserve">requires </w:t>
            </w:r>
            <w:r w:rsidRPr="00765A19">
              <w:t xml:space="preserve">a carbapenemase gene </w:t>
            </w:r>
            <w:r w:rsidR="008C3414">
              <w:t xml:space="preserve">to be </w:t>
            </w:r>
            <w:r w:rsidRPr="00765A19">
              <w:t xml:space="preserve">detected in a sample or isolate </w:t>
            </w:r>
            <w:r w:rsidR="00392E37">
              <w:t>(</w:t>
            </w:r>
            <w:r w:rsidRPr="00765A19">
              <w:t>for example, KPC</w:t>
            </w:r>
            <w:r>
              <w:t>-</w:t>
            </w:r>
            <w:r w:rsidRPr="00765A19">
              <w:t>2</w:t>
            </w:r>
            <w:r>
              <w:t>-producing</w:t>
            </w:r>
            <w:r w:rsidRPr="00765A19">
              <w:t xml:space="preserve"> </w:t>
            </w:r>
            <w:r w:rsidRPr="00765A19">
              <w:rPr>
                <w:i/>
                <w:iCs/>
              </w:rPr>
              <w:t>Klebsiella pneumoniae</w:t>
            </w:r>
            <w:r w:rsidR="00392E37" w:rsidRPr="00761550">
              <w:rPr>
                <w:iCs/>
              </w:rPr>
              <w:t>)</w:t>
            </w:r>
            <w:r w:rsidR="00761550">
              <w:rPr>
                <w:iCs/>
              </w:rPr>
              <w:t>.</w:t>
            </w:r>
          </w:p>
          <w:p w14:paraId="5E720E6B" w14:textId="0901DB3D" w:rsidR="00434AAC" w:rsidRPr="00765A19" w:rsidRDefault="007A00F7" w:rsidP="00434AAC">
            <w:pPr>
              <w:pStyle w:val="Tabletext"/>
              <w:spacing w:before="60"/>
            </w:pPr>
            <w:r>
              <w:t>The</w:t>
            </w:r>
            <w:r w:rsidR="00434AAC" w:rsidRPr="00765A19">
              <w:t xml:space="preserve"> term ‘confirmed case’</w:t>
            </w:r>
            <w:r>
              <w:t xml:space="preserve"> is intended</w:t>
            </w:r>
            <w:r w:rsidR="00434AAC" w:rsidRPr="00765A19">
              <w:t xml:space="preserve"> to refer to a person who is either colonised or infected with a</w:t>
            </w:r>
            <w:r>
              <w:t xml:space="preserve"> species of</w:t>
            </w:r>
            <w:r w:rsidR="00434AAC" w:rsidRPr="00765A19">
              <w:t xml:space="preserve"> CPE.</w:t>
            </w:r>
          </w:p>
        </w:tc>
      </w:tr>
      <w:tr w:rsidR="00333E4D" w:rsidRPr="00765A19" w14:paraId="5821C02F" w14:textId="77777777" w:rsidTr="000A4427">
        <w:tblPrEx>
          <w:shd w:val="clear" w:color="auto" w:fill="auto"/>
        </w:tblPrEx>
        <w:trPr>
          <w:cantSplit/>
        </w:trPr>
        <w:tc>
          <w:tcPr>
            <w:tcW w:w="3097" w:type="dxa"/>
            <w:tcBorders>
              <w:bottom w:val="nil"/>
            </w:tcBorders>
            <w:shd w:val="clear" w:color="auto" w:fill="auto"/>
          </w:tcPr>
          <w:p w14:paraId="590DE50D" w14:textId="054727A5" w:rsidR="00333E4D" w:rsidRPr="00496B66" w:rsidRDefault="002F6EE5" w:rsidP="00434AAC">
            <w:pPr>
              <w:pStyle w:val="Tabletext"/>
              <w:spacing w:before="60"/>
              <w:rPr>
                <w:b/>
                <w:color w:val="C63663"/>
              </w:rPr>
            </w:pPr>
            <w:r>
              <w:rPr>
                <w:b/>
                <w:bCs/>
                <w:color w:val="C63663"/>
                <w:lang w:val="en-GB"/>
              </w:rPr>
              <w:lastRenderedPageBreak/>
              <w:t>Case (</w:t>
            </w:r>
            <w:proofErr w:type="spellStart"/>
            <w:r>
              <w:rPr>
                <w:b/>
                <w:bCs/>
                <w:color w:val="C63663"/>
                <w:lang w:val="en-GB"/>
              </w:rPr>
              <w:t>cont</w:t>
            </w:r>
            <w:proofErr w:type="spellEnd"/>
            <w:r>
              <w:rPr>
                <w:b/>
                <w:bCs/>
                <w:color w:val="C63663"/>
                <w:lang w:val="en-GB"/>
              </w:rPr>
              <w:t>’)</w:t>
            </w:r>
          </w:p>
        </w:tc>
        <w:tc>
          <w:tcPr>
            <w:tcW w:w="6086" w:type="dxa"/>
            <w:shd w:val="clear" w:color="auto" w:fill="auto"/>
          </w:tcPr>
          <w:p w14:paraId="7DF9B3A7" w14:textId="77777777" w:rsidR="00434AAC" w:rsidRDefault="00434AAC" w:rsidP="00434AAC">
            <w:pPr>
              <w:pStyle w:val="Tabletext"/>
              <w:spacing w:before="60"/>
              <w:rPr>
                <w:b/>
                <w:bCs/>
                <w:color w:val="C63663"/>
                <w:lang w:val="en-GB"/>
              </w:rPr>
            </w:pPr>
            <w:r w:rsidRPr="00496B66">
              <w:rPr>
                <w:b/>
                <w:bCs/>
                <w:color w:val="C63663"/>
                <w:lang w:val="en-GB"/>
              </w:rPr>
              <w:t>Suspected case of CPA</w:t>
            </w:r>
          </w:p>
          <w:p w14:paraId="051907C1" w14:textId="3F016E8E" w:rsidR="00333E4D" w:rsidRPr="00765A19" w:rsidRDefault="00333E4D" w:rsidP="00434AAC">
            <w:pPr>
              <w:pStyle w:val="Tabletext"/>
              <w:spacing w:before="60"/>
              <w:rPr>
                <w:lang w:val="en-US"/>
              </w:rPr>
            </w:pPr>
            <w:r w:rsidRPr="00765A19">
              <w:rPr>
                <w:lang w:val="en-US"/>
              </w:rPr>
              <w:t>A</w:t>
            </w:r>
            <w:r w:rsidR="008B5906">
              <w:rPr>
                <w:lang w:val="en-US"/>
              </w:rPr>
              <w:t xml:space="preserve"> </w:t>
            </w:r>
            <w:r w:rsidR="0011361A">
              <w:rPr>
                <w:lang w:val="en-US"/>
              </w:rPr>
              <w:t>su</w:t>
            </w:r>
            <w:r w:rsidR="008B5906">
              <w:rPr>
                <w:lang w:val="en-US"/>
              </w:rPr>
              <w:t>s</w:t>
            </w:r>
            <w:r w:rsidR="0011361A">
              <w:rPr>
                <w:lang w:val="en-US"/>
              </w:rPr>
              <w:t>pected case</w:t>
            </w:r>
            <w:r w:rsidRPr="00765A19">
              <w:rPr>
                <w:lang w:val="en-US"/>
              </w:rPr>
              <w:t xml:space="preserve"> </w:t>
            </w:r>
            <w:r w:rsidR="007B683A">
              <w:rPr>
                <w:lang w:val="en-US"/>
              </w:rPr>
              <w:t xml:space="preserve">requires </w:t>
            </w:r>
            <w:r w:rsidRPr="00765A19">
              <w:rPr>
                <w:lang w:val="en-US"/>
              </w:rPr>
              <w:t xml:space="preserve">a species of </w:t>
            </w:r>
            <w:r w:rsidRPr="00765A19">
              <w:rPr>
                <w:i/>
                <w:iCs/>
                <w:lang w:val="en-GB"/>
              </w:rPr>
              <w:t>Acinetobacter (</w:t>
            </w:r>
            <w:r w:rsidRPr="00765A19">
              <w:rPr>
                <w:lang w:val="en-GB"/>
              </w:rPr>
              <w:t>typically</w:t>
            </w:r>
            <w:r w:rsidRPr="00765A19">
              <w:rPr>
                <w:i/>
                <w:iCs/>
                <w:lang w:val="en-GB"/>
              </w:rPr>
              <w:t xml:space="preserve"> Acinetobacter baumannii)</w:t>
            </w:r>
            <w:r w:rsidRPr="00765A19">
              <w:rPr>
                <w:lang w:val="en-GB"/>
              </w:rPr>
              <w:t xml:space="preserve"> </w:t>
            </w:r>
            <w:r w:rsidR="00104C6F">
              <w:rPr>
                <w:lang w:val="en-GB"/>
              </w:rPr>
              <w:t xml:space="preserve">to be </w:t>
            </w:r>
            <w:r w:rsidRPr="00765A19">
              <w:rPr>
                <w:lang w:val="en-US"/>
              </w:rPr>
              <w:t xml:space="preserve">isolated from routine clinical or screening specimens (infection or </w:t>
            </w:r>
            <w:proofErr w:type="spellStart"/>
            <w:r w:rsidRPr="00765A19">
              <w:rPr>
                <w:lang w:val="en-US"/>
              </w:rPr>
              <w:t>colonisation</w:t>
            </w:r>
            <w:proofErr w:type="spellEnd"/>
            <w:r w:rsidRPr="00765A19">
              <w:rPr>
                <w:lang w:val="en-US"/>
              </w:rPr>
              <w:t xml:space="preserve">), with </w:t>
            </w:r>
            <w:r w:rsidRPr="00BB0A34">
              <w:rPr>
                <w:b/>
                <w:lang w:val="en-US"/>
              </w:rPr>
              <w:t>any</w:t>
            </w:r>
            <w:r w:rsidRPr="00765A19">
              <w:rPr>
                <w:lang w:val="en-US"/>
              </w:rPr>
              <w:t xml:space="preserve"> </w:t>
            </w:r>
            <w:r>
              <w:rPr>
                <w:lang w:val="en-US"/>
              </w:rPr>
              <w:t xml:space="preserve">one </w:t>
            </w:r>
            <w:r w:rsidRPr="00765A19">
              <w:rPr>
                <w:lang w:val="en-US"/>
              </w:rPr>
              <w:t>of the following:</w:t>
            </w:r>
          </w:p>
          <w:p w14:paraId="091C261D" w14:textId="77777777" w:rsidR="00123B49" w:rsidRDefault="00333E4D" w:rsidP="00A65E16">
            <w:pPr>
              <w:pStyle w:val="Tablebullet1"/>
              <w:spacing w:after="80"/>
              <w:rPr>
                <w:lang w:val="en-GB"/>
              </w:rPr>
            </w:pPr>
            <w:r w:rsidRPr="00765A19">
              <w:rPr>
                <w:lang w:val="en-GB"/>
              </w:rPr>
              <w:t xml:space="preserve">meropenem MIC </w:t>
            </w:r>
            <w:r w:rsidR="001C6349">
              <w:rPr>
                <w:lang w:val="en-GB"/>
              </w:rPr>
              <w:t>&gt;</w:t>
            </w:r>
            <w:r>
              <w:rPr>
                <w:lang w:val="en-GB"/>
              </w:rPr>
              <w:t> </w:t>
            </w:r>
            <w:r w:rsidRPr="00765A19">
              <w:rPr>
                <w:lang w:val="en-GB"/>
              </w:rPr>
              <w:t>8</w:t>
            </w:r>
            <w:r>
              <w:rPr>
                <w:lang w:val="en-GB"/>
              </w:rPr>
              <w:t> </w:t>
            </w:r>
            <w:r w:rsidRPr="00765A19">
              <w:rPr>
                <w:lang w:val="en-GB"/>
              </w:rPr>
              <w:t>mg/L</w:t>
            </w:r>
          </w:p>
          <w:p w14:paraId="2C4B3D66" w14:textId="06CBB4B5" w:rsidR="00333E4D" w:rsidRDefault="00123B49" w:rsidP="00A65E16">
            <w:pPr>
              <w:pStyle w:val="Tablebullet1"/>
              <w:spacing w:after="80"/>
              <w:rPr>
                <w:lang w:val="en-GB"/>
              </w:rPr>
            </w:pPr>
            <w:r w:rsidRPr="00765A19">
              <w:rPr>
                <w:lang w:val="en-GB"/>
              </w:rPr>
              <w:t xml:space="preserve">meropenem </w:t>
            </w:r>
            <w:r w:rsidR="00333E4D" w:rsidRPr="00765A19">
              <w:rPr>
                <w:lang w:val="en-GB"/>
              </w:rPr>
              <w:t xml:space="preserve">disc diffusion zone </w:t>
            </w:r>
            <w:r w:rsidR="0054097B">
              <w:rPr>
                <w:lang w:val="en-GB"/>
              </w:rPr>
              <w:t>&lt;</w:t>
            </w:r>
            <w:r w:rsidR="0054097B" w:rsidRPr="00765A19">
              <w:rPr>
                <w:lang w:val="en-GB"/>
              </w:rPr>
              <w:t xml:space="preserve"> 1</w:t>
            </w:r>
            <w:r w:rsidR="0054097B">
              <w:rPr>
                <w:lang w:val="en-GB"/>
              </w:rPr>
              <w:t>5</w:t>
            </w:r>
            <w:r w:rsidR="0054097B" w:rsidRPr="00765A19">
              <w:rPr>
                <w:lang w:val="en-GB"/>
              </w:rPr>
              <w:t xml:space="preserve"> mm by EUCAST</w:t>
            </w:r>
            <w:r w:rsidR="0054097B">
              <w:rPr>
                <w:lang w:val="en-GB"/>
              </w:rPr>
              <w:t>, or</w:t>
            </w:r>
            <w:r w:rsidR="0054097B" w:rsidRPr="00765A19">
              <w:rPr>
                <w:lang w:val="en-GB"/>
              </w:rPr>
              <w:t xml:space="preserve"> </w:t>
            </w:r>
            <w:r w:rsidR="00333E4D" w:rsidRPr="00765A19">
              <w:rPr>
                <w:lang w:val="en-GB"/>
              </w:rPr>
              <w:t>≤</w:t>
            </w:r>
            <w:r>
              <w:rPr>
                <w:lang w:val="en-GB"/>
              </w:rPr>
              <w:t> </w:t>
            </w:r>
            <w:r w:rsidR="00333E4D" w:rsidRPr="00765A19">
              <w:rPr>
                <w:lang w:val="en-GB"/>
              </w:rPr>
              <w:t>14 mm by CLSI</w:t>
            </w:r>
            <w:r w:rsidR="008050E5">
              <w:rPr>
                <w:lang w:val="en-GB"/>
              </w:rPr>
              <w:t xml:space="preserve"> </w:t>
            </w:r>
            <w:r w:rsidR="008050E5" w:rsidRPr="00496B66">
              <w:rPr>
                <w:lang w:val="en-GB"/>
              </w:rPr>
              <w:t>methods</w:t>
            </w:r>
            <w:r w:rsidR="00333E4D" w:rsidRPr="00765A19">
              <w:rPr>
                <w:lang w:val="en-GB"/>
              </w:rPr>
              <w:t xml:space="preserve">, or </w:t>
            </w:r>
            <w:r>
              <w:rPr>
                <w:lang w:val="en-GB"/>
              </w:rPr>
              <w:t>&lt; 6 </w:t>
            </w:r>
            <w:r w:rsidRPr="00765A19">
              <w:rPr>
                <w:lang w:val="en-GB"/>
              </w:rPr>
              <w:t xml:space="preserve">mm </w:t>
            </w:r>
            <w:r w:rsidR="008050E5">
              <w:rPr>
                <w:lang w:val="en-GB"/>
              </w:rPr>
              <w:t xml:space="preserve">by </w:t>
            </w:r>
            <w:r w:rsidR="00333E4D" w:rsidRPr="00765A19">
              <w:rPr>
                <w:lang w:val="en-GB"/>
              </w:rPr>
              <w:t>CDS</w:t>
            </w:r>
            <w:r w:rsidR="008050E5">
              <w:rPr>
                <w:lang w:val="en-GB"/>
              </w:rPr>
              <w:t xml:space="preserve"> method</w:t>
            </w:r>
          </w:p>
          <w:p w14:paraId="5D7F3411" w14:textId="617B8C2C" w:rsidR="00333E4D" w:rsidRDefault="00333E4D" w:rsidP="00A65E16">
            <w:pPr>
              <w:pStyle w:val="Tablebullet1"/>
              <w:spacing w:after="80"/>
              <w:rPr>
                <w:lang w:val="en-US"/>
              </w:rPr>
            </w:pPr>
            <w:r w:rsidRPr="00765A19">
              <w:rPr>
                <w:lang w:val="en-US"/>
              </w:rPr>
              <w:t xml:space="preserve">positive </w:t>
            </w:r>
            <w:r w:rsidRPr="00765A19">
              <w:rPr>
                <w:u w:val="single"/>
                <w:lang w:val="en-US"/>
              </w:rPr>
              <w:t>or equivocal</w:t>
            </w:r>
            <w:r w:rsidRPr="00765A19">
              <w:rPr>
                <w:lang w:val="en-US"/>
              </w:rPr>
              <w:t xml:space="preserve"> colorimetric test for </w:t>
            </w:r>
            <w:proofErr w:type="spellStart"/>
            <w:r w:rsidRPr="00765A19">
              <w:rPr>
                <w:lang w:val="en-US"/>
              </w:rPr>
              <w:t>carbapenemase</w:t>
            </w:r>
            <w:proofErr w:type="spellEnd"/>
            <w:r w:rsidRPr="00765A19">
              <w:rPr>
                <w:lang w:val="en-US"/>
              </w:rPr>
              <w:t xml:space="preserve"> (for example, </w:t>
            </w:r>
            <w:proofErr w:type="spellStart"/>
            <w:r w:rsidRPr="00765A19">
              <w:rPr>
                <w:lang w:val="en-US"/>
              </w:rPr>
              <w:t>CarbaNP</w:t>
            </w:r>
            <w:proofErr w:type="spellEnd"/>
            <w:r w:rsidRPr="00765A19">
              <w:rPr>
                <w:lang w:val="en-US"/>
              </w:rPr>
              <w:t xml:space="preserve"> or Blue-</w:t>
            </w:r>
            <w:proofErr w:type="spellStart"/>
            <w:r w:rsidRPr="00765A19">
              <w:rPr>
                <w:lang w:val="en-US"/>
              </w:rPr>
              <w:t>Carba</w:t>
            </w:r>
            <w:proofErr w:type="spellEnd"/>
            <w:r w:rsidRPr="00765A19">
              <w:rPr>
                <w:lang w:val="en-US"/>
              </w:rPr>
              <w:t>)</w:t>
            </w:r>
          </w:p>
          <w:p w14:paraId="7EABDFB9" w14:textId="77777777" w:rsidR="00787083" w:rsidRPr="00787083" w:rsidRDefault="00333E4D" w:rsidP="00A65E16">
            <w:pPr>
              <w:pStyle w:val="Tablebullet1"/>
              <w:spacing w:after="80"/>
              <w:rPr>
                <w:lang w:val="en-GB"/>
              </w:rPr>
            </w:pPr>
            <w:r w:rsidRPr="00765A19">
              <w:rPr>
                <w:lang w:val="en-US"/>
              </w:rPr>
              <w:t xml:space="preserve">positive </w:t>
            </w:r>
            <w:r w:rsidRPr="00765A19">
              <w:rPr>
                <w:u w:val="single"/>
                <w:lang w:val="en-US"/>
              </w:rPr>
              <w:t>or equivocal</w:t>
            </w:r>
            <w:r w:rsidRPr="00765A19">
              <w:rPr>
                <w:lang w:val="en-US"/>
              </w:rPr>
              <w:t xml:space="preserve"> CIM test</w:t>
            </w:r>
            <w:r w:rsidR="00FE498C">
              <w:rPr>
                <w:lang w:val="en-US"/>
              </w:rPr>
              <w:t xml:space="preserve"> (or accepted modified CIM method)</w:t>
            </w:r>
          </w:p>
          <w:p w14:paraId="73FD4AFC" w14:textId="45B44430" w:rsidR="00333E4D" w:rsidRPr="00765A19" w:rsidRDefault="00787083" w:rsidP="00A65E16">
            <w:pPr>
              <w:pStyle w:val="Tablebullet1"/>
              <w:spacing w:after="80"/>
              <w:rPr>
                <w:lang w:val="en-GB"/>
              </w:rPr>
            </w:pPr>
            <w:r>
              <w:rPr>
                <w:lang w:val="en-US"/>
              </w:rPr>
              <w:t>positive carbapenemase gene PCR</w:t>
            </w:r>
            <w:r w:rsidR="00333E4D" w:rsidRPr="00765A19">
              <w:rPr>
                <w:lang w:val="en-US"/>
              </w:rPr>
              <w:t>.</w:t>
            </w:r>
          </w:p>
          <w:p w14:paraId="5732AB71" w14:textId="2DF34A9B" w:rsidR="00333E4D" w:rsidRPr="00765A19" w:rsidRDefault="00333E4D" w:rsidP="00434AAC">
            <w:pPr>
              <w:pStyle w:val="Tabletext"/>
              <w:spacing w:before="60"/>
              <w:rPr>
                <w:lang w:val="en-US"/>
              </w:rPr>
            </w:pPr>
            <w:r w:rsidRPr="00765A19">
              <w:rPr>
                <w:i/>
                <w:iCs/>
                <w:lang w:val="en-US"/>
              </w:rPr>
              <w:t>Note:</w:t>
            </w:r>
            <w:r w:rsidRPr="00765A19">
              <w:rPr>
                <w:lang w:val="en-US"/>
              </w:rPr>
              <w:t xml:space="preserve"> False negatives are common with </w:t>
            </w:r>
            <w:proofErr w:type="spellStart"/>
            <w:r w:rsidRPr="00765A19">
              <w:rPr>
                <w:lang w:val="en-US"/>
              </w:rPr>
              <w:t>CarbaNP</w:t>
            </w:r>
            <w:proofErr w:type="spellEnd"/>
            <w:r>
              <w:rPr>
                <w:lang w:val="en-US"/>
              </w:rPr>
              <w:t>, and to a lesser degree, CIM testing</w:t>
            </w:r>
            <w:r w:rsidRPr="00765A19">
              <w:rPr>
                <w:lang w:val="en-US"/>
              </w:rPr>
              <w:t xml:space="preserve">. </w:t>
            </w:r>
            <w:r>
              <w:rPr>
                <w:lang w:val="en-US"/>
              </w:rPr>
              <w:t xml:space="preserve">Isolates with </w:t>
            </w:r>
            <w:r w:rsidRPr="00765A19">
              <w:rPr>
                <w:lang w:val="en-US"/>
              </w:rPr>
              <w:t xml:space="preserve">meropenem </w:t>
            </w:r>
            <w:r>
              <w:rPr>
                <w:lang w:val="en-US"/>
              </w:rPr>
              <w:t xml:space="preserve">MIC </w:t>
            </w:r>
            <w:r w:rsidR="00011426">
              <w:rPr>
                <w:lang w:val="en-US"/>
              </w:rPr>
              <w:t>&gt;</w:t>
            </w:r>
            <w:r w:rsidR="003F794A">
              <w:rPr>
                <w:lang w:val="en-US"/>
              </w:rPr>
              <w:t> </w:t>
            </w:r>
            <w:r w:rsidRPr="00765A19">
              <w:rPr>
                <w:lang w:val="en-US"/>
              </w:rPr>
              <w:t>8</w:t>
            </w:r>
            <w:r w:rsidR="003F794A">
              <w:rPr>
                <w:lang w:val="en-US"/>
              </w:rPr>
              <w:t> </w:t>
            </w:r>
            <w:r w:rsidRPr="00765A19">
              <w:rPr>
                <w:lang w:val="en-US"/>
              </w:rPr>
              <w:t>mg/L</w:t>
            </w:r>
            <w:r>
              <w:rPr>
                <w:lang w:val="en-US"/>
              </w:rPr>
              <w:t xml:space="preserve"> should still be referred to MDU</w:t>
            </w:r>
            <w:r w:rsidRPr="00765A19">
              <w:rPr>
                <w:lang w:val="en-US"/>
              </w:rPr>
              <w:t>, regardless of other test results.</w:t>
            </w:r>
          </w:p>
          <w:p w14:paraId="4DE7FEAB" w14:textId="77777777" w:rsidR="00333E4D" w:rsidRPr="00333E4D" w:rsidRDefault="00333E4D" w:rsidP="00434AAC">
            <w:pPr>
              <w:pStyle w:val="Tabletext"/>
              <w:spacing w:before="60"/>
              <w:rPr>
                <w:lang w:val="en-US"/>
              </w:rPr>
            </w:pPr>
            <w:r w:rsidRPr="00765A19">
              <w:rPr>
                <w:lang w:val="en-US"/>
              </w:rPr>
              <w:t xml:space="preserve">The definition of a suspected case will capture patients who are </w:t>
            </w:r>
            <w:proofErr w:type="spellStart"/>
            <w:r w:rsidRPr="00765A19">
              <w:rPr>
                <w:lang w:val="en-US"/>
              </w:rPr>
              <w:t>colonised</w:t>
            </w:r>
            <w:proofErr w:type="spellEnd"/>
            <w:r w:rsidRPr="00765A19">
              <w:rPr>
                <w:lang w:val="en-US"/>
              </w:rPr>
              <w:t xml:space="preserve"> or infected with bacteria that are more likely to be either CRA or CPA. </w:t>
            </w:r>
            <w:r w:rsidRPr="00765A19">
              <w:t xml:space="preserve">IPC actions should begin at the initial point of suspicion prior to confirming whether the bacteria </w:t>
            </w:r>
            <w:proofErr w:type="gramStart"/>
            <w:r w:rsidRPr="00765A19">
              <w:t>is</w:t>
            </w:r>
            <w:proofErr w:type="gramEnd"/>
            <w:r w:rsidRPr="00765A19">
              <w:t xml:space="preserve"> a </w:t>
            </w:r>
            <w:r w:rsidRPr="00765A19">
              <w:rPr>
                <w:lang w:val="en-US"/>
              </w:rPr>
              <w:t>CPA.</w:t>
            </w:r>
          </w:p>
        </w:tc>
      </w:tr>
      <w:tr w:rsidR="00333E4D" w:rsidRPr="00765A19" w14:paraId="1D733497" w14:textId="77777777" w:rsidTr="000A4427">
        <w:tblPrEx>
          <w:shd w:val="clear" w:color="auto" w:fill="auto"/>
        </w:tblPrEx>
        <w:trPr>
          <w:cantSplit/>
        </w:trPr>
        <w:tc>
          <w:tcPr>
            <w:tcW w:w="3097" w:type="dxa"/>
            <w:tcBorders>
              <w:top w:val="nil"/>
            </w:tcBorders>
            <w:shd w:val="clear" w:color="auto" w:fill="auto"/>
          </w:tcPr>
          <w:p w14:paraId="0A111B2F" w14:textId="1D305E75" w:rsidR="00333E4D" w:rsidRPr="00496B66" w:rsidRDefault="00333E4D" w:rsidP="00434AAC">
            <w:pPr>
              <w:pStyle w:val="Tabletext"/>
              <w:spacing w:before="60"/>
              <w:rPr>
                <w:b/>
                <w:bCs/>
                <w:color w:val="C63663"/>
                <w:lang w:val="en-GB"/>
              </w:rPr>
            </w:pPr>
          </w:p>
        </w:tc>
        <w:tc>
          <w:tcPr>
            <w:tcW w:w="6086" w:type="dxa"/>
            <w:shd w:val="clear" w:color="auto" w:fill="auto"/>
          </w:tcPr>
          <w:p w14:paraId="6E3B4F93" w14:textId="77777777" w:rsidR="00434AAC" w:rsidRDefault="00434AAC" w:rsidP="00434AAC">
            <w:pPr>
              <w:pStyle w:val="Tabletext"/>
              <w:spacing w:before="60"/>
              <w:rPr>
                <w:b/>
                <w:bCs/>
                <w:color w:val="C63663"/>
                <w:lang w:val="en-GB"/>
              </w:rPr>
            </w:pPr>
            <w:r w:rsidRPr="00496B66">
              <w:rPr>
                <w:b/>
                <w:bCs/>
                <w:color w:val="C63663"/>
                <w:lang w:val="en-GB"/>
              </w:rPr>
              <w:t>Confirmed case of CPA</w:t>
            </w:r>
          </w:p>
          <w:p w14:paraId="4D4C9BF0" w14:textId="4507C992" w:rsidR="00333E4D" w:rsidRPr="001A7533" w:rsidRDefault="00333E4D" w:rsidP="00434AAC">
            <w:pPr>
              <w:pStyle w:val="Tabletext"/>
              <w:spacing w:before="60"/>
              <w:rPr>
                <w:lang w:val="en-GB"/>
              </w:rPr>
            </w:pPr>
            <w:r w:rsidRPr="00765A19">
              <w:rPr>
                <w:lang w:val="en-GB"/>
              </w:rPr>
              <w:t xml:space="preserve">A </w:t>
            </w:r>
            <w:r w:rsidR="00787790">
              <w:rPr>
                <w:lang w:val="en-GB"/>
              </w:rPr>
              <w:t>confirmed case requires</w:t>
            </w:r>
            <w:r w:rsidR="00787790" w:rsidRPr="00765A19">
              <w:rPr>
                <w:lang w:val="en-GB"/>
              </w:rPr>
              <w:t xml:space="preserve"> </w:t>
            </w:r>
            <w:r w:rsidR="00392E37">
              <w:rPr>
                <w:lang w:val="en-GB"/>
              </w:rPr>
              <w:t xml:space="preserve">a </w:t>
            </w:r>
            <w:r w:rsidRPr="00765A19">
              <w:rPr>
                <w:lang w:val="en-GB"/>
              </w:rPr>
              <w:t xml:space="preserve">carbapenemase gene </w:t>
            </w:r>
            <w:r w:rsidR="00787790">
              <w:rPr>
                <w:lang w:val="en-GB"/>
              </w:rPr>
              <w:t xml:space="preserve">to be </w:t>
            </w:r>
            <w:r w:rsidRPr="00765A19">
              <w:rPr>
                <w:lang w:val="en-GB"/>
              </w:rPr>
              <w:t>detected in a sample or isolate</w:t>
            </w:r>
            <w:r w:rsidR="00392E37">
              <w:rPr>
                <w:lang w:val="en-GB"/>
              </w:rPr>
              <w:t xml:space="preserve"> (</w:t>
            </w:r>
            <w:r w:rsidRPr="00765A19">
              <w:rPr>
                <w:lang w:val="en-GB"/>
              </w:rPr>
              <w:t>for example, OXA-23</w:t>
            </w:r>
            <w:r>
              <w:rPr>
                <w:lang w:val="en-GB"/>
              </w:rPr>
              <w:t>-producing</w:t>
            </w:r>
            <w:r w:rsidRPr="00765A19">
              <w:rPr>
                <w:lang w:val="en-GB"/>
              </w:rPr>
              <w:t xml:space="preserve"> </w:t>
            </w:r>
            <w:r w:rsidRPr="00765A19">
              <w:rPr>
                <w:i/>
                <w:iCs/>
                <w:lang w:val="en-GB"/>
              </w:rPr>
              <w:t>Acinetobacter baumannii</w:t>
            </w:r>
            <w:r w:rsidR="00392E37" w:rsidRPr="00761550">
              <w:rPr>
                <w:iCs/>
                <w:lang w:val="en-GB"/>
              </w:rPr>
              <w:t>)</w:t>
            </w:r>
            <w:r w:rsidRPr="00765A19">
              <w:rPr>
                <w:lang w:val="en-GB"/>
              </w:rPr>
              <w:t>.</w:t>
            </w:r>
          </w:p>
          <w:p w14:paraId="40F01859" w14:textId="7CA9789A" w:rsidR="00333E4D" w:rsidRDefault="007A00F7" w:rsidP="00434AAC">
            <w:pPr>
              <w:pStyle w:val="Tabletext"/>
              <w:spacing w:before="60"/>
              <w:rPr>
                <w:lang w:val="en-GB"/>
              </w:rPr>
            </w:pPr>
            <w:r>
              <w:rPr>
                <w:lang w:val="en-GB"/>
              </w:rPr>
              <w:t>T</w:t>
            </w:r>
            <w:r w:rsidR="00333E4D" w:rsidRPr="00765A19">
              <w:rPr>
                <w:lang w:val="en-GB"/>
              </w:rPr>
              <w:t xml:space="preserve">he term ‘confirmed case’ </w:t>
            </w:r>
            <w:r>
              <w:rPr>
                <w:lang w:val="en-GB"/>
              </w:rPr>
              <w:t xml:space="preserve">is intended </w:t>
            </w:r>
            <w:r w:rsidR="00333E4D" w:rsidRPr="00765A19">
              <w:rPr>
                <w:lang w:val="en-GB"/>
              </w:rPr>
              <w:t>to refer to a person who is either colonised or infected with a CPA.</w:t>
            </w:r>
          </w:p>
          <w:p w14:paraId="0F071311" w14:textId="1443D11B" w:rsidR="00D62145" w:rsidRPr="00765A19" w:rsidRDefault="00D62145" w:rsidP="00434AAC">
            <w:pPr>
              <w:pStyle w:val="Tabletext"/>
              <w:spacing w:before="60"/>
              <w:rPr>
                <w:lang w:val="en-US"/>
              </w:rPr>
            </w:pPr>
            <w:r>
              <w:rPr>
                <w:lang w:val="en-US"/>
              </w:rPr>
              <w:t xml:space="preserve">Note: </w:t>
            </w:r>
            <w:r>
              <w:rPr>
                <w:lang w:val="en-GB"/>
              </w:rPr>
              <w:t>Isolates with intrinsic carbapenemases, for example, OXA-51, are excluded.</w:t>
            </w:r>
          </w:p>
        </w:tc>
      </w:tr>
      <w:tr w:rsidR="00765A19" w:rsidRPr="00765A19" w14:paraId="78D2B759" w14:textId="77777777" w:rsidTr="000A4427">
        <w:tblPrEx>
          <w:shd w:val="clear" w:color="auto" w:fill="auto"/>
        </w:tblPrEx>
        <w:trPr>
          <w:cantSplit/>
        </w:trPr>
        <w:tc>
          <w:tcPr>
            <w:tcW w:w="3097" w:type="dxa"/>
            <w:tcBorders>
              <w:bottom w:val="nil"/>
            </w:tcBorders>
            <w:shd w:val="clear" w:color="auto" w:fill="auto"/>
          </w:tcPr>
          <w:p w14:paraId="623ED1A8" w14:textId="22C21CF1" w:rsidR="00765A19" w:rsidRPr="00333E4D" w:rsidRDefault="001F4D1D" w:rsidP="00434AAC">
            <w:pPr>
              <w:pStyle w:val="Tabletext"/>
              <w:spacing w:before="60"/>
              <w:rPr>
                <w:b/>
                <w:bCs/>
                <w:color w:val="C63663"/>
                <w:lang w:val="en-GB"/>
              </w:rPr>
            </w:pPr>
            <w:r>
              <w:rPr>
                <w:b/>
                <w:bCs/>
                <w:color w:val="C63663"/>
                <w:lang w:val="en-GB"/>
              </w:rPr>
              <w:lastRenderedPageBreak/>
              <w:t>Case(</w:t>
            </w:r>
            <w:proofErr w:type="spellStart"/>
            <w:r>
              <w:rPr>
                <w:b/>
                <w:bCs/>
                <w:color w:val="C63663"/>
                <w:lang w:val="en-GB"/>
              </w:rPr>
              <w:t>cont</w:t>
            </w:r>
            <w:proofErr w:type="spellEnd"/>
            <w:r>
              <w:rPr>
                <w:b/>
                <w:bCs/>
                <w:color w:val="C63663"/>
                <w:lang w:val="en-GB"/>
              </w:rPr>
              <w:t>’)</w:t>
            </w:r>
          </w:p>
        </w:tc>
        <w:tc>
          <w:tcPr>
            <w:tcW w:w="6086" w:type="dxa"/>
            <w:tcBorders>
              <w:bottom w:val="single" w:sz="4" w:space="0" w:color="C63663"/>
            </w:tcBorders>
            <w:shd w:val="clear" w:color="auto" w:fill="auto"/>
          </w:tcPr>
          <w:p w14:paraId="18BAD5DA" w14:textId="77777777" w:rsidR="001F4D1D" w:rsidRDefault="001F4D1D" w:rsidP="00434AAC">
            <w:pPr>
              <w:pStyle w:val="Tabletext"/>
              <w:spacing w:before="60"/>
              <w:rPr>
                <w:b/>
                <w:bCs/>
                <w:color w:val="C63663"/>
                <w:lang w:val="en-GB"/>
              </w:rPr>
            </w:pPr>
            <w:r w:rsidRPr="00496B66">
              <w:rPr>
                <w:b/>
                <w:bCs/>
                <w:color w:val="C63663"/>
                <w:lang w:val="en-GB"/>
              </w:rPr>
              <w:t>Suspected case of CPP</w:t>
            </w:r>
          </w:p>
          <w:p w14:paraId="14C3904A" w14:textId="6E6191F3" w:rsidR="00765A19" w:rsidRPr="00765A19" w:rsidRDefault="00765A19" w:rsidP="00434AAC">
            <w:pPr>
              <w:pStyle w:val="Tabletext"/>
              <w:spacing w:before="60"/>
              <w:rPr>
                <w:lang w:val="en-US"/>
              </w:rPr>
            </w:pPr>
            <w:r w:rsidRPr="00765A19">
              <w:rPr>
                <w:lang w:val="en-US"/>
              </w:rPr>
              <w:t xml:space="preserve">A </w:t>
            </w:r>
            <w:r w:rsidR="00A56C59">
              <w:rPr>
                <w:lang w:val="en-US"/>
              </w:rPr>
              <w:t>suspected case</w:t>
            </w:r>
            <w:r w:rsidR="00A56C59" w:rsidRPr="00765A19">
              <w:rPr>
                <w:lang w:val="en-US"/>
              </w:rPr>
              <w:t xml:space="preserve"> </w:t>
            </w:r>
            <w:r w:rsidR="00A56C59">
              <w:rPr>
                <w:lang w:val="en-US"/>
              </w:rPr>
              <w:t xml:space="preserve">requires </w:t>
            </w:r>
            <w:r w:rsidRPr="00765A19">
              <w:rPr>
                <w:lang w:val="en-US"/>
              </w:rPr>
              <w:t xml:space="preserve">a species of </w:t>
            </w:r>
            <w:r w:rsidRPr="00765A19">
              <w:rPr>
                <w:i/>
                <w:iCs/>
                <w:lang w:val="en-US"/>
              </w:rPr>
              <w:t>Pseudomonas</w:t>
            </w:r>
            <w:r w:rsidRPr="00765A19">
              <w:t xml:space="preserve"> </w:t>
            </w:r>
            <w:r w:rsidR="00A56C59">
              <w:t xml:space="preserve">to be </w:t>
            </w:r>
            <w:r w:rsidRPr="00765A19">
              <w:rPr>
                <w:lang w:val="en-US"/>
              </w:rPr>
              <w:t xml:space="preserve">isolated from routine clinical or screening specimens (infection or </w:t>
            </w:r>
            <w:proofErr w:type="spellStart"/>
            <w:r w:rsidRPr="00765A19">
              <w:rPr>
                <w:lang w:val="en-US"/>
              </w:rPr>
              <w:t>colonisation</w:t>
            </w:r>
            <w:proofErr w:type="spellEnd"/>
            <w:r w:rsidRPr="00765A19">
              <w:rPr>
                <w:lang w:val="en-US"/>
              </w:rPr>
              <w:t xml:space="preserve">), with </w:t>
            </w:r>
            <w:r w:rsidRPr="00C340D8">
              <w:rPr>
                <w:b/>
                <w:lang w:val="en-US"/>
              </w:rPr>
              <w:t>any</w:t>
            </w:r>
            <w:r w:rsidRPr="00765A19">
              <w:rPr>
                <w:lang w:val="en-US"/>
              </w:rPr>
              <w:t xml:space="preserve"> </w:t>
            </w:r>
            <w:r w:rsidR="003D55B0">
              <w:rPr>
                <w:lang w:val="en-US"/>
              </w:rPr>
              <w:t xml:space="preserve">one </w:t>
            </w:r>
            <w:r w:rsidRPr="00765A19">
              <w:rPr>
                <w:lang w:val="en-US"/>
              </w:rPr>
              <w:t>of the following:</w:t>
            </w:r>
          </w:p>
          <w:p w14:paraId="5EA5BB3C" w14:textId="021F65B8" w:rsidR="00910548" w:rsidRPr="00386D1A" w:rsidRDefault="00910548" w:rsidP="003467E8">
            <w:pPr>
              <w:pStyle w:val="Tablebullet1"/>
              <w:spacing w:after="80"/>
              <w:rPr>
                <w:lang w:val="en-US"/>
              </w:rPr>
            </w:pPr>
            <w:r>
              <w:rPr>
                <w:lang w:val="en-US"/>
              </w:rPr>
              <w:t xml:space="preserve">evidence of reduced susceptibility to meropenem </w:t>
            </w:r>
            <w:r w:rsidRPr="008050E5">
              <w:rPr>
                <w:b/>
                <w:lang w:val="en-US"/>
              </w:rPr>
              <w:t>AND</w:t>
            </w:r>
            <w:r>
              <w:rPr>
                <w:lang w:val="en-US"/>
              </w:rPr>
              <w:t xml:space="preserve"> piperacillin-tazob</w:t>
            </w:r>
            <w:r w:rsidR="009415ED">
              <w:rPr>
                <w:lang w:val="en-US"/>
              </w:rPr>
              <w:t>actam</w:t>
            </w:r>
            <w:r w:rsidR="001F4D1D">
              <w:rPr>
                <w:lang w:val="en-US"/>
              </w:rPr>
              <w:t>:</w:t>
            </w:r>
          </w:p>
          <w:p w14:paraId="183AC9C4" w14:textId="4D2B0AB0" w:rsidR="00765A19" w:rsidRPr="00386D1A" w:rsidRDefault="00765A19" w:rsidP="003467E8">
            <w:pPr>
              <w:pStyle w:val="Tablebullet2"/>
              <w:spacing w:after="80"/>
              <w:rPr>
                <w:bCs/>
                <w:lang w:val="en-US"/>
              </w:rPr>
            </w:pPr>
            <w:r w:rsidRPr="00496B66">
              <w:rPr>
                <w:lang w:val="en-GB"/>
              </w:rPr>
              <w:t>meropenem MIC ≥</w:t>
            </w:r>
            <w:r w:rsidR="00FF2EFC">
              <w:rPr>
                <w:lang w:val="en-GB"/>
              </w:rPr>
              <w:t xml:space="preserve"> </w:t>
            </w:r>
            <w:r w:rsidRPr="00496B66">
              <w:rPr>
                <w:lang w:val="en-GB"/>
              </w:rPr>
              <w:t xml:space="preserve">4 mg/L, or disc diffusion zone </w:t>
            </w:r>
            <w:r w:rsidR="003467E8" w:rsidRPr="00496B66">
              <w:rPr>
                <w:lang w:val="en-GB"/>
              </w:rPr>
              <w:t>&lt; 24 mm by EUCAST</w:t>
            </w:r>
            <w:r w:rsidR="003467E8">
              <w:rPr>
                <w:lang w:val="en-GB"/>
              </w:rPr>
              <w:t>, or</w:t>
            </w:r>
            <w:r w:rsidR="003467E8" w:rsidRPr="00496B66">
              <w:rPr>
                <w:lang w:val="en-GB"/>
              </w:rPr>
              <w:t xml:space="preserve"> </w:t>
            </w:r>
            <w:r w:rsidRPr="00496B66">
              <w:rPr>
                <w:lang w:val="en-GB"/>
              </w:rPr>
              <w:t xml:space="preserve">&lt; 19 mm by CLSI methods, or </w:t>
            </w:r>
            <w:r w:rsidR="008050E5">
              <w:rPr>
                <w:lang w:val="en-GB"/>
              </w:rPr>
              <w:t>&lt;</w:t>
            </w:r>
            <w:r w:rsidR="008050E5" w:rsidRPr="00496B66">
              <w:rPr>
                <w:lang w:val="en-GB"/>
              </w:rPr>
              <w:t xml:space="preserve"> </w:t>
            </w:r>
            <w:r w:rsidR="008050E5">
              <w:rPr>
                <w:lang w:val="en-GB"/>
              </w:rPr>
              <w:t>6</w:t>
            </w:r>
            <w:r w:rsidR="008050E5" w:rsidRPr="00496B66">
              <w:rPr>
                <w:lang w:val="en-GB"/>
              </w:rPr>
              <w:t xml:space="preserve"> mm</w:t>
            </w:r>
            <w:r w:rsidR="008050E5">
              <w:rPr>
                <w:lang w:val="en-GB"/>
              </w:rPr>
              <w:t xml:space="preserve"> by </w:t>
            </w:r>
            <w:r w:rsidRPr="00496B66">
              <w:rPr>
                <w:lang w:val="en-GB"/>
              </w:rPr>
              <w:t xml:space="preserve">CDS </w:t>
            </w:r>
            <w:r w:rsidR="003467E8" w:rsidRPr="003467E8">
              <w:rPr>
                <w:b/>
                <w:lang w:val="en-GB"/>
              </w:rPr>
              <w:t>AND</w:t>
            </w:r>
          </w:p>
          <w:p w14:paraId="333E00F8" w14:textId="699F1EBE" w:rsidR="009415ED" w:rsidRPr="003467E8" w:rsidRDefault="00765A19" w:rsidP="003467E8">
            <w:pPr>
              <w:pStyle w:val="Tablebullet2"/>
              <w:spacing w:after="80"/>
              <w:rPr>
                <w:bCs/>
                <w:lang w:val="en-GB"/>
              </w:rPr>
            </w:pPr>
            <w:r w:rsidRPr="00765A19">
              <w:rPr>
                <w:lang w:val="en-GB"/>
              </w:rPr>
              <w:t xml:space="preserve">piperacillin-tazobactam MIC ≥ 32 mg/L, or disc diffusion zone </w:t>
            </w:r>
            <w:r w:rsidR="003467E8" w:rsidRPr="00765A19">
              <w:rPr>
                <w:lang w:val="en-GB"/>
              </w:rPr>
              <w:t>&lt; 18 mm by EUCAST methods</w:t>
            </w:r>
            <w:r w:rsidR="003467E8">
              <w:rPr>
                <w:lang w:val="en-GB"/>
              </w:rPr>
              <w:t xml:space="preserve">, or </w:t>
            </w:r>
            <w:r w:rsidRPr="00765A19">
              <w:rPr>
                <w:lang w:val="en-GB"/>
              </w:rPr>
              <w:t>≤</w:t>
            </w:r>
            <w:r w:rsidR="003467E8">
              <w:rPr>
                <w:lang w:val="en-GB"/>
              </w:rPr>
              <w:t> </w:t>
            </w:r>
            <w:r w:rsidRPr="00765A19">
              <w:rPr>
                <w:lang w:val="en-GB"/>
              </w:rPr>
              <w:t>20</w:t>
            </w:r>
            <w:r w:rsidR="003467E8">
              <w:rPr>
                <w:lang w:val="en-GB"/>
              </w:rPr>
              <w:t> </w:t>
            </w:r>
            <w:r w:rsidRPr="00765A19">
              <w:rPr>
                <w:lang w:val="en-GB"/>
              </w:rPr>
              <w:t xml:space="preserve">mm by CLSI methods, or </w:t>
            </w:r>
            <w:r w:rsidR="00615489">
              <w:rPr>
                <w:lang w:val="en-GB"/>
              </w:rPr>
              <w:t xml:space="preserve">&lt; 6 mm </w:t>
            </w:r>
            <w:r w:rsidRPr="00765A19">
              <w:rPr>
                <w:lang w:val="en-GB"/>
              </w:rPr>
              <w:t>CDS</w:t>
            </w:r>
            <w:r w:rsidR="00BA0C0F">
              <w:rPr>
                <w:lang w:val="en-GB"/>
              </w:rPr>
              <w:t xml:space="preserve"> method</w:t>
            </w:r>
          </w:p>
          <w:p w14:paraId="79C835D1" w14:textId="77777777" w:rsidR="006448E4" w:rsidRDefault="006448E4" w:rsidP="003467E8">
            <w:pPr>
              <w:pStyle w:val="Tablebullet1"/>
              <w:spacing w:after="80"/>
              <w:rPr>
                <w:lang w:val="en-US"/>
              </w:rPr>
            </w:pPr>
            <w:r w:rsidRPr="00765A19">
              <w:rPr>
                <w:lang w:val="en-US"/>
              </w:rPr>
              <w:t xml:space="preserve">positive colorimetric test for </w:t>
            </w:r>
            <w:proofErr w:type="spellStart"/>
            <w:r w:rsidRPr="00765A19">
              <w:rPr>
                <w:lang w:val="en-US"/>
              </w:rPr>
              <w:t>carbapenemase</w:t>
            </w:r>
            <w:proofErr w:type="spellEnd"/>
            <w:r w:rsidRPr="00765A19">
              <w:rPr>
                <w:lang w:val="en-US"/>
              </w:rPr>
              <w:t xml:space="preserve"> (</w:t>
            </w:r>
            <w:r>
              <w:rPr>
                <w:lang w:val="en-US"/>
              </w:rPr>
              <w:t>for example</w:t>
            </w:r>
            <w:r w:rsidRPr="00765A19">
              <w:rPr>
                <w:lang w:val="en-US"/>
              </w:rPr>
              <w:t xml:space="preserve">, </w:t>
            </w:r>
            <w:proofErr w:type="spellStart"/>
            <w:r w:rsidRPr="00765A19">
              <w:rPr>
                <w:lang w:val="en-US"/>
              </w:rPr>
              <w:t>CarbaNP</w:t>
            </w:r>
            <w:proofErr w:type="spellEnd"/>
            <w:r w:rsidRPr="00765A19">
              <w:rPr>
                <w:lang w:val="en-US"/>
              </w:rPr>
              <w:t xml:space="preserve"> or Blue-</w:t>
            </w:r>
            <w:proofErr w:type="spellStart"/>
            <w:r w:rsidRPr="00765A19">
              <w:rPr>
                <w:lang w:val="en-US"/>
              </w:rPr>
              <w:t>Carba</w:t>
            </w:r>
            <w:proofErr w:type="spellEnd"/>
            <w:r w:rsidRPr="00765A19">
              <w:rPr>
                <w:lang w:val="en-US"/>
              </w:rPr>
              <w:t>)</w:t>
            </w:r>
          </w:p>
          <w:p w14:paraId="400ADD9F" w14:textId="30806FDB" w:rsidR="00D925BF" w:rsidRPr="006448E4" w:rsidRDefault="00765A19" w:rsidP="003A76DC">
            <w:pPr>
              <w:pStyle w:val="Tablebullet1"/>
              <w:spacing w:after="80"/>
              <w:rPr>
                <w:lang w:val="en-US"/>
              </w:rPr>
            </w:pPr>
            <w:r w:rsidRPr="006448E4">
              <w:rPr>
                <w:lang w:val="en-US"/>
              </w:rPr>
              <w:t xml:space="preserve">positive </w:t>
            </w:r>
            <w:r w:rsidR="002527EA" w:rsidRPr="006448E4">
              <w:rPr>
                <w:u w:val="single"/>
                <w:lang w:val="en-US"/>
              </w:rPr>
              <w:t>or equivocal</w:t>
            </w:r>
            <w:r w:rsidR="002527EA" w:rsidRPr="006448E4">
              <w:rPr>
                <w:lang w:val="en-US"/>
              </w:rPr>
              <w:t xml:space="preserve"> </w:t>
            </w:r>
            <w:r w:rsidRPr="006448E4">
              <w:rPr>
                <w:lang w:val="en-US"/>
              </w:rPr>
              <w:t>CIM test</w:t>
            </w:r>
            <w:r w:rsidR="001D58EA" w:rsidRPr="006448E4">
              <w:rPr>
                <w:lang w:val="en-US"/>
              </w:rPr>
              <w:t xml:space="preserve"> (or accepted modified CIM method)</w:t>
            </w:r>
          </w:p>
          <w:p w14:paraId="7F107CB7" w14:textId="7BE5050F" w:rsidR="00765A19" w:rsidRDefault="00D925BF" w:rsidP="003467E8">
            <w:pPr>
              <w:pStyle w:val="Tablebullet1"/>
              <w:spacing w:after="80"/>
              <w:rPr>
                <w:lang w:val="en-US"/>
              </w:rPr>
            </w:pPr>
            <w:r>
              <w:rPr>
                <w:lang w:val="en-US"/>
              </w:rPr>
              <w:t>positive carbapenemase gene PCR</w:t>
            </w:r>
            <w:r w:rsidR="00765A19" w:rsidRPr="00765A19">
              <w:rPr>
                <w:lang w:val="en-US"/>
              </w:rPr>
              <w:t>.</w:t>
            </w:r>
          </w:p>
          <w:p w14:paraId="4B86435A" w14:textId="045D2A9D" w:rsidR="00765A19" w:rsidRPr="00333E4D" w:rsidRDefault="00765A19" w:rsidP="00434AAC">
            <w:pPr>
              <w:pStyle w:val="Tabletext"/>
              <w:spacing w:before="60"/>
              <w:rPr>
                <w:lang w:val="en-US"/>
              </w:rPr>
            </w:pPr>
            <w:r w:rsidRPr="00765A19">
              <w:rPr>
                <w:i/>
                <w:iCs/>
              </w:rPr>
              <w:t>Note:</w:t>
            </w:r>
            <w:r w:rsidRPr="00765A19">
              <w:t xml:space="preserve"> </w:t>
            </w:r>
            <w:r w:rsidRPr="00765A19">
              <w:rPr>
                <w:lang w:val="en-US"/>
              </w:rPr>
              <w:t xml:space="preserve">The definition of a suspected case will capture patients who are </w:t>
            </w:r>
            <w:proofErr w:type="spellStart"/>
            <w:r w:rsidRPr="00765A19">
              <w:rPr>
                <w:lang w:val="en-US"/>
              </w:rPr>
              <w:t>colonised</w:t>
            </w:r>
            <w:proofErr w:type="spellEnd"/>
            <w:r w:rsidRPr="00765A19">
              <w:rPr>
                <w:lang w:val="en-US"/>
              </w:rPr>
              <w:t xml:space="preserve"> or infected with bacteria that are more likely to be either CRP or CPP. </w:t>
            </w:r>
            <w:r w:rsidRPr="00765A19">
              <w:t xml:space="preserve">IPC actions should begin at the initial point of suspicion prior to confirming whether the bacteria </w:t>
            </w:r>
            <w:proofErr w:type="gramStart"/>
            <w:r w:rsidRPr="00765A19">
              <w:t>is</w:t>
            </w:r>
            <w:proofErr w:type="gramEnd"/>
            <w:r w:rsidRPr="00765A19">
              <w:t xml:space="preserve"> a </w:t>
            </w:r>
            <w:r w:rsidRPr="00765A19">
              <w:rPr>
                <w:lang w:val="en-US"/>
              </w:rPr>
              <w:t>CPP.</w:t>
            </w:r>
          </w:p>
        </w:tc>
      </w:tr>
      <w:tr w:rsidR="00333E4D" w:rsidRPr="00765A19" w14:paraId="470EAEF3" w14:textId="77777777" w:rsidTr="000A4427">
        <w:tblPrEx>
          <w:shd w:val="clear" w:color="auto" w:fill="auto"/>
        </w:tblPrEx>
        <w:trPr>
          <w:cantSplit/>
        </w:trPr>
        <w:tc>
          <w:tcPr>
            <w:tcW w:w="3097" w:type="dxa"/>
            <w:tcBorders>
              <w:top w:val="nil"/>
            </w:tcBorders>
            <w:shd w:val="clear" w:color="auto" w:fill="auto"/>
          </w:tcPr>
          <w:p w14:paraId="521837E1" w14:textId="0246D695" w:rsidR="00333E4D" w:rsidRPr="00496B66" w:rsidRDefault="00333E4D" w:rsidP="00434AAC">
            <w:pPr>
              <w:pStyle w:val="Tabletext"/>
              <w:spacing w:before="60"/>
              <w:rPr>
                <w:b/>
                <w:bCs/>
                <w:color w:val="C63663"/>
                <w:lang w:val="en-GB"/>
              </w:rPr>
            </w:pPr>
          </w:p>
        </w:tc>
        <w:tc>
          <w:tcPr>
            <w:tcW w:w="6086" w:type="dxa"/>
            <w:tcBorders>
              <w:top w:val="single" w:sz="4" w:space="0" w:color="C63663"/>
            </w:tcBorders>
            <w:shd w:val="clear" w:color="auto" w:fill="auto"/>
          </w:tcPr>
          <w:p w14:paraId="10D0F875" w14:textId="77777777" w:rsidR="00932226" w:rsidRDefault="00932226" w:rsidP="00434AAC">
            <w:pPr>
              <w:pStyle w:val="Tabletext"/>
              <w:spacing w:before="60"/>
              <w:rPr>
                <w:b/>
                <w:bCs/>
                <w:color w:val="C63663"/>
                <w:lang w:val="en-GB"/>
              </w:rPr>
            </w:pPr>
            <w:r w:rsidRPr="00496B66">
              <w:rPr>
                <w:b/>
                <w:bCs/>
                <w:color w:val="C63663"/>
                <w:lang w:val="en-GB"/>
              </w:rPr>
              <w:t>Confirmed case of CPP</w:t>
            </w:r>
          </w:p>
          <w:p w14:paraId="7082C001" w14:textId="092B6376" w:rsidR="00333E4D" w:rsidRPr="00765A19" w:rsidRDefault="00333E4D" w:rsidP="00434AAC">
            <w:pPr>
              <w:pStyle w:val="Tabletext"/>
              <w:spacing w:before="60"/>
              <w:rPr>
                <w:lang w:val="en-GB"/>
              </w:rPr>
            </w:pPr>
            <w:r w:rsidRPr="00765A19">
              <w:rPr>
                <w:lang w:val="en-GB"/>
              </w:rPr>
              <w:t xml:space="preserve">A </w:t>
            </w:r>
            <w:r w:rsidR="00A240ED">
              <w:rPr>
                <w:lang w:val="en-GB"/>
              </w:rPr>
              <w:t>confirmed case requires</w:t>
            </w:r>
            <w:r w:rsidR="00A240ED" w:rsidRPr="00765A19">
              <w:rPr>
                <w:lang w:val="en-GB"/>
              </w:rPr>
              <w:t xml:space="preserve"> </w:t>
            </w:r>
            <w:r w:rsidRPr="00765A19">
              <w:rPr>
                <w:lang w:val="en-GB"/>
              </w:rPr>
              <w:t xml:space="preserve">a carbapenemase gene </w:t>
            </w:r>
            <w:r w:rsidR="00A240ED">
              <w:rPr>
                <w:lang w:val="en-GB"/>
              </w:rPr>
              <w:t xml:space="preserve">to be </w:t>
            </w:r>
            <w:r w:rsidRPr="00765A19">
              <w:rPr>
                <w:lang w:val="en-GB"/>
              </w:rPr>
              <w:t xml:space="preserve">detected in a sample or isolate </w:t>
            </w:r>
            <w:r w:rsidR="00392E37">
              <w:rPr>
                <w:lang w:val="en-GB"/>
              </w:rPr>
              <w:t>(</w:t>
            </w:r>
            <w:r w:rsidRPr="00765A19">
              <w:rPr>
                <w:lang w:val="en-GB"/>
              </w:rPr>
              <w:t>for example, VIM-4</w:t>
            </w:r>
            <w:r>
              <w:rPr>
                <w:lang w:val="en-GB"/>
              </w:rPr>
              <w:t>-producing</w:t>
            </w:r>
            <w:r w:rsidRPr="00765A19">
              <w:rPr>
                <w:lang w:val="en-GB"/>
              </w:rPr>
              <w:t xml:space="preserve"> </w:t>
            </w:r>
            <w:r w:rsidRPr="00765A19">
              <w:rPr>
                <w:i/>
                <w:iCs/>
                <w:lang w:val="en-GB"/>
              </w:rPr>
              <w:t>Pseudomonas aeruginosa</w:t>
            </w:r>
            <w:r w:rsidR="00392E37" w:rsidRPr="00761550">
              <w:rPr>
                <w:iCs/>
                <w:lang w:val="en-GB"/>
              </w:rPr>
              <w:t>)</w:t>
            </w:r>
            <w:r w:rsidRPr="00765A19">
              <w:rPr>
                <w:lang w:val="en-GB"/>
              </w:rPr>
              <w:t>.</w:t>
            </w:r>
          </w:p>
          <w:p w14:paraId="7FB0E0B2" w14:textId="749AE8A7" w:rsidR="006F0DCD" w:rsidRDefault="007A00F7" w:rsidP="00434AAC">
            <w:pPr>
              <w:pStyle w:val="Tabletext"/>
              <w:spacing w:before="60"/>
              <w:rPr>
                <w:lang w:val="en-GB"/>
              </w:rPr>
            </w:pPr>
            <w:r>
              <w:rPr>
                <w:lang w:val="en-GB"/>
              </w:rPr>
              <w:t>T</w:t>
            </w:r>
            <w:r w:rsidR="00333E4D" w:rsidRPr="00765A19">
              <w:rPr>
                <w:lang w:val="en-GB"/>
              </w:rPr>
              <w:t xml:space="preserve">he term ‘confirmed case’ </w:t>
            </w:r>
            <w:r>
              <w:rPr>
                <w:lang w:val="en-GB"/>
              </w:rPr>
              <w:t xml:space="preserve">is intended </w:t>
            </w:r>
            <w:r w:rsidR="00333E4D" w:rsidRPr="00765A19">
              <w:rPr>
                <w:lang w:val="en-GB"/>
              </w:rPr>
              <w:t>to refer to a person who is either colonised or infected with a CPP.</w:t>
            </w:r>
          </w:p>
          <w:p w14:paraId="0624A65B" w14:textId="3AED8724" w:rsidR="00333E4D" w:rsidRPr="00765A19" w:rsidRDefault="006F0DCD" w:rsidP="00434AAC">
            <w:pPr>
              <w:pStyle w:val="Tabletext"/>
              <w:spacing w:before="60"/>
              <w:rPr>
                <w:lang w:val="en-US"/>
              </w:rPr>
            </w:pPr>
            <w:r>
              <w:rPr>
                <w:lang w:val="en-GB"/>
              </w:rPr>
              <w:t xml:space="preserve">Note: </w:t>
            </w:r>
            <w:r w:rsidR="00333E4D">
              <w:rPr>
                <w:lang w:val="en-GB"/>
              </w:rPr>
              <w:t xml:space="preserve">Isolates with intrinsic carbapenemases are excluded, for example, POM-1 in </w:t>
            </w:r>
            <w:r w:rsidR="00333E4D">
              <w:rPr>
                <w:i/>
                <w:iCs/>
                <w:lang w:val="en-GB"/>
              </w:rPr>
              <w:t xml:space="preserve">Pseudomonas </w:t>
            </w:r>
            <w:proofErr w:type="spellStart"/>
            <w:r w:rsidR="00333E4D">
              <w:rPr>
                <w:i/>
                <w:iCs/>
                <w:lang w:val="en-GB"/>
              </w:rPr>
              <w:t>otitidis</w:t>
            </w:r>
            <w:proofErr w:type="spellEnd"/>
            <w:r w:rsidR="00333E4D">
              <w:rPr>
                <w:i/>
                <w:iCs/>
                <w:lang w:val="en-GB"/>
              </w:rPr>
              <w:t>.</w:t>
            </w:r>
          </w:p>
        </w:tc>
      </w:tr>
      <w:tr w:rsidR="00765A19" w:rsidRPr="00765A19" w14:paraId="6DD891B5" w14:textId="77777777" w:rsidTr="00B80C9D">
        <w:tblPrEx>
          <w:shd w:val="clear" w:color="auto" w:fill="auto"/>
        </w:tblPrEx>
        <w:trPr>
          <w:cantSplit/>
        </w:trPr>
        <w:tc>
          <w:tcPr>
            <w:tcW w:w="3097" w:type="dxa"/>
            <w:shd w:val="clear" w:color="auto" w:fill="auto"/>
          </w:tcPr>
          <w:p w14:paraId="46D0C180" w14:textId="77777777" w:rsidR="00765A19" w:rsidRPr="00765A19" w:rsidRDefault="00765A19" w:rsidP="00434AAC">
            <w:pPr>
              <w:pStyle w:val="Tabletext"/>
              <w:spacing w:before="60"/>
              <w:rPr>
                <w:b/>
                <w:color w:val="C63663"/>
              </w:rPr>
            </w:pPr>
            <w:r w:rsidRPr="00765A19">
              <w:rPr>
                <w:b/>
                <w:color w:val="C63663"/>
              </w:rPr>
              <w:t>Clearance</w:t>
            </w:r>
          </w:p>
        </w:tc>
        <w:tc>
          <w:tcPr>
            <w:tcW w:w="6086" w:type="dxa"/>
            <w:shd w:val="clear" w:color="auto" w:fill="auto"/>
          </w:tcPr>
          <w:p w14:paraId="519C2231" w14:textId="60A3005F" w:rsidR="00765A19" w:rsidRPr="00765A19" w:rsidRDefault="00765A19" w:rsidP="00434AAC">
            <w:pPr>
              <w:pStyle w:val="Tabletext"/>
              <w:spacing w:before="60"/>
            </w:pPr>
            <w:r w:rsidRPr="00765A19">
              <w:t xml:space="preserve">In this guideline clearance is a term that refers to applying criteria to determine that an individual no longer requires infection control precautions in relation to a risk of transmission of CPO. Further details are in </w:t>
            </w:r>
            <w:hyperlink w:anchor="_Section_3:_Screening,_1" w:history="1">
              <w:r w:rsidRPr="00765A19">
                <w:rPr>
                  <w:rStyle w:val="Hyperlink"/>
                </w:rPr>
                <w:t>Section 3</w:t>
              </w:r>
            </w:hyperlink>
            <w:r w:rsidRPr="00765A19">
              <w:t>.</w:t>
            </w:r>
          </w:p>
        </w:tc>
      </w:tr>
      <w:tr w:rsidR="00765A19" w:rsidRPr="00765A19" w14:paraId="54D6BC8C" w14:textId="77777777" w:rsidTr="00B80C9D">
        <w:tblPrEx>
          <w:shd w:val="clear" w:color="auto" w:fill="auto"/>
        </w:tblPrEx>
        <w:trPr>
          <w:cantSplit/>
        </w:trPr>
        <w:tc>
          <w:tcPr>
            <w:tcW w:w="3097" w:type="dxa"/>
            <w:shd w:val="clear" w:color="auto" w:fill="auto"/>
          </w:tcPr>
          <w:p w14:paraId="285AB9C7" w14:textId="77777777" w:rsidR="00765A19" w:rsidRPr="00765A19" w:rsidRDefault="00765A19" w:rsidP="00434AAC">
            <w:pPr>
              <w:pStyle w:val="Tabletext"/>
              <w:spacing w:before="60"/>
              <w:rPr>
                <w:b/>
                <w:color w:val="C63663"/>
              </w:rPr>
            </w:pPr>
            <w:r w:rsidRPr="00765A19">
              <w:rPr>
                <w:b/>
                <w:color w:val="C63663"/>
              </w:rPr>
              <w:lastRenderedPageBreak/>
              <w:t>Contact</w:t>
            </w:r>
          </w:p>
        </w:tc>
        <w:tc>
          <w:tcPr>
            <w:tcW w:w="6086" w:type="dxa"/>
            <w:shd w:val="clear" w:color="auto" w:fill="auto"/>
          </w:tcPr>
          <w:p w14:paraId="3B95C5DC" w14:textId="114C9BF3" w:rsidR="00765A19" w:rsidRPr="00765A19" w:rsidRDefault="00765A19" w:rsidP="00434AAC">
            <w:pPr>
              <w:pStyle w:val="Tabletext"/>
              <w:spacing w:before="60"/>
            </w:pPr>
            <w:r w:rsidRPr="00765A19">
              <w:t xml:space="preserve">An individual who is exposed to a person (a case) colonised or infected with a CPO in a manner that might allow transmission to occur or </w:t>
            </w:r>
            <w:r w:rsidR="00BF2D5D">
              <w:t xml:space="preserve">is exposed to </w:t>
            </w:r>
            <w:r w:rsidRPr="00765A19">
              <w:t>a CPO-contaminated environment where there is an increased risk of acquisition of CPO</w:t>
            </w:r>
            <w:r w:rsidR="00EF3B1F">
              <w:t>.</w:t>
            </w:r>
            <w:r w:rsidRPr="00765A19">
              <w:t xml:space="preserve"> </w:t>
            </w:r>
            <w:r w:rsidR="00D355AA" w:rsidRPr="00D355AA">
              <w:t>For the purpose</w:t>
            </w:r>
            <w:r w:rsidR="00D355AA">
              <w:t>s</w:t>
            </w:r>
            <w:r w:rsidR="00D355AA" w:rsidRPr="00D355AA">
              <w:t xml:space="preserve"> of this guideline, two categories of contact are referred</w:t>
            </w:r>
            <w:r w:rsidR="00D355AA">
              <w:t xml:space="preserve"> to</w:t>
            </w:r>
            <w:r w:rsidR="00D355AA" w:rsidRPr="00D355AA">
              <w:t xml:space="preserve"> – room contact and ward contact.</w:t>
            </w:r>
          </w:p>
          <w:p w14:paraId="7BD45618" w14:textId="373FD3F8" w:rsidR="00765A19" w:rsidRPr="00765A19" w:rsidRDefault="00765A19" w:rsidP="00434AAC">
            <w:pPr>
              <w:pStyle w:val="Tabletext"/>
              <w:spacing w:before="60"/>
            </w:pPr>
            <w:r w:rsidRPr="00765A19">
              <w:t xml:space="preserve">If a person meets the criteria for being considered a case of CPO (suspected or confirmed), they should be managed as a case of CPO and not as a CPO contact. Further details are in </w:t>
            </w:r>
            <w:hyperlink w:anchor="_Section_3:_Screening,_1" w:history="1">
              <w:r w:rsidRPr="00765A19">
                <w:rPr>
                  <w:rStyle w:val="Hyperlink"/>
                </w:rPr>
                <w:t>Section 3</w:t>
              </w:r>
            </w:hyperlink>
            <w:r w:rsidRPr="00765A19">
              <w:t>.</w:t>
            </w:r>
          </w:p>
          <w:p w14:paraId="1BF7DA5F" w14:textId="77777777" w:rsidR="00765A19" w:rsidRPr="00765A19" w:rsidRDefault="00765A19" w:rsidP="00434AAC">
            <w:pPr>
              <w:pStyle w:val="Tabletext"/>
              <w:spacing w:before="60"/>
              <w:rPr>
                <w:b/>
                <w:bCs/>
              </w:rPr>
            </w:pPr>
            <w:r w:rsidRPr="00765A19">
              <w:rPr>
                <w:b/>
                <w:bCs/>
              </w:rPr>
              <w:t>Room contact</w:t>
            </w:r>
          </w:p>
          <w:p w14:paraId="0E812789" w14:textId="60C74C52" w:rsidR="00765A19" w:rsidRPr="00765A19" w:rsidRDefault="00D1591E" w:rsidP="00434AAC">
            <w:pPr>
              <w:pStyle w:val="Tabletext"/>
              <w:spacing w:before="60"/>
            </w:pPr>
            <w:r w:rsidRPr="00D1591E">
              <w:t>A room contact is a person who shared a room in a health service with a case for ≥ 24 hours during the case’s period of transmission risk or was in a different room but shared a bathroom with a case for ≥ 24 hours.</w:t>
            </w:r>
          </w:p>
          <w:p w14:paraId="0BD66F04" w14:textId="77777777" w:rsidR="00765A19" w:rsidRPr="00765A19" w:rsidRDefault="00765A19" w:rsidP="00434AAC">
            <w:pPr>
              <w:pStyle w:val="Tabletext"/>
              <w:spacing w:before="60"/>
              <w:rPr>
                <w:b/>
                <w:bCs/>
              </w:rPr>
            </w:pPr>
            <w:r w:rsidRPr="00765A19">
              <w:rPr>
                <w:b/>
                <w:bCs/>
              </w:rPr>
              <w:t>Ward contact</w:t>
            </w:r>
          </w:p>
          <w:p w14:paraId="3C6DA16E" w14:textId="77777777" w:rsidR="00765A19" w:rsidRPr="00765A19" w:rsidRDefault="00765A19" w:rsidP="00434AAC">
            <w:pPr>
              <w:pStyle w:val="Tabletext"/>
              <w:spacing w:before="60"/>
            </w:pPr>
            <w:r w:rsidRPr="00765A19">
              <w:t xml:space="preserve">A ward contact is any person who has been on a ward for ≥ 24 hours in the </w:t>
            </w:r>
            <w:proofErr w:type="gramStart"/>
            <w:r w:rsidRPr="00765A19">
              <w:t>time period</w:t>
            </w:r>
            <w:proofErr w:type="gramEnd"/>
            <w:r w:rsidRPr="00765A19">
              <w:t xml:space="preserve"> that the ward has been designated as a transmission risk area (TRA) (see TRA definition below).</w:t>
            </w:r>
          </w:p>
        </w:tc>
      </w:tr>
      <w:tr w:rsidR="005C699B" w:rsidRPr="00765A19" w14:paraId="26779678" w14:textId="77777777" w:rsidTr="00B80C9D">
        <w:tblPrEx>
          <w:shd w:val="clear" w:color="auto" w:fill="auto"/>
        </w:tblPrEx>
        <w:trPr>
          <w:cantSplit/>
        </w:trPr>
        <w:tc>
          <w:tcPr>
            <w:tcW w:w="3097" w:type="dxa"/>
            <w:shd w:val="clear" w:color="auto" w:fill="auto"/>
          </w:tcPr>
          <w:p w14:paraId="33917697" w14:textId="7D5E61E1" w:rsidR="005C699B" w:rsidRDefault="005C699B" w:rsidP="00434AAC">
            <w:pPr>
              <w:pStyle w:val="Tabletext"/>
              <w:spacing w:before="60"/>
              <w:rPr>
                <w:b/>
                <w:color w:val="C63663"/>
              </w:rPr>
            </w:pPr>
            <w:r>
              <w:rPr>
                <w:b/>
                <w:color w:val="C63663"/>
              </w:rPr>
              <w:t>Genome</w:t>
            </w:r>
          </w:p>
        </w:tc>
        <w:tc>
          <w:tcPr>
            <w:tcW w:w="6086" w:type="dxa"/>
            <w:shd w:val="clear" w:color="auto" w:fill="auto"/>
          </w:tcPr>
          <w:p w14:paraId="6E7F589E" w14:textId="6AF84951" w:rsidR="005C699B" w:rsidRDefault="005C699B" w:rsidP="00434AAC">
            <w:pPr>
              <w:pStyle w:val="Tabletext"/>
              <w:spacing w:before="60"/>
            </w:pPr>
            <w:r>
              <w:t>A</w:t>
            </w:r>
            <w:r w:rsidRPr="00DF0572">
              <w:t>n organism</w:t>
            </w:r>
            <w:r>
              <w:t>’s</w:t>
            </w:r>
            <w:r w:rsidRPr="00DF0572">
              <w:t xml:space="preserve"> complete set of genetic material.</w:t>
            </w:r>
          </w:p>
        </w:tc>
      </w:tr>
      <w:tr w:rsidR="00DF0572" w:rsidRPr="00765A19" w14:paraId="0B98E45C" w14:textId="77777777" w:rsidTr="00B80C9D">
        <w:tblPrEx>
          <w:shd w:val="clear" w:color="auto" w:fill="auto"/>
        </w:tblPrEx>
        <w:trPr>
          <w:cantSplit/>
        </w:trPr>
        <w:tc>
          <w:tcPr>
            <w:tcW w:w="3097" w:type="dxa"/>
            <w:shd w:val="clear" w:color="auto" w:fill="auto"/>
          </w:tcPr>
          <w:p w14:paraId="27D3F1A3" w14:textId="4272426F" w:rsidR="00DF0572" w:rsidRPr="00765A19" w:rsidRDefault="00DF0572" w:rsidP="00434AAC">
            <w:pPr>
              <w:pStyle w:val="Tabletext"/>
              <w:spacing w:before="60"/>
              <w:rPr>
                <w:b/>
                <w:color w:val="C63663"/>
              </w:rPr>
            </w:pPr>
            <w:r>
              <w:rPr>
                <w:b/>
                <w:color w:val="C63663"/>
              </w:rPr>
              <w:t>Genotype</w:t>
            </w:r>
          </w:p>
        </w:tc>
        <w:tc>
          <w:tcPr>
            <w:tcW w:w="6086" w:type="dxa"/>
            <w:shd w:val="clear" w:color="auto" w:fill="auto"/>
          </w:tcPr>
          <w:p w14:paraId="08E9C78B" w14:textId="737238BA" w:rsidR="00DF0572" w:rsidRPr="00765A19" w:rsidRDefault="006126C3" w:rsidP="00434AAC">
            <w:pPr>
              <w:pStyle w:val="Tabletext"/>
              <w:spacing w:before="60"/>
            </w:pPr>
            <w:r>
              <w:t>U</w:t>
            </w:r>
            <w:r w:rsidRPr="006126C3">
              <w:t xml:space="preserve">sually refers to </w:t>
            </w:r>
            <w:r w:rsidR="00E55470">
              <w:t>the</w:t>
            </w:r>
            <w:r w:rsidRPr="006126C3">
              <w:t xml:space="preserve"> type (allele or variant) of a </w:t>
            </w:r>
            <w:r w:rsidR="00F90EE9">
              <w:t>particular gene or genetic location</w:t>
            </w:r>
            <w:r w:rsidR="00EF57C0">
              <w:t xml:space="preserve">, for example, </w:t>
            </w:r>
            <w:r w:rsidRPr="006126C3">
              <w:t>a carbapenemase gene</w:t>
            </w:r>
            <w:r w:rsidR="000B3009">
              <w:t xml:space="preserve">. </w:t>
            </w:r>
            <w:r w:rsidR="000B3009" w:rsidRPr="000B3009">
              <w:t>Genotype contributes to phenotype</w:t>
            </w:r>
            <w:r w:rsidR="000B3009">
              <w:t>.</w:t>
            </w:r>
          </w:p>
        </w:tc>
      </w:tr>
      <w:tr w:rsidR="00765A19" w:rsidRPr="00765A19" w14:paraId="6C352360" w14:textId="77777777" w:rsidTr="00B80C9D">
        <w:tblPrEx>
          <w:shd w:val="clear" w:color="auto" w:fill="auto"/>
        </w:tblPrEx>
        <w:trPr>
          <w:cantSplit/>
        </w:trPr>
        <w:tc>
          <w:tcPr>
            <w:tcW w:w="3097" w:type="dxa"/>
            <w:shd w:val="clear" w:color="auto" w:fill="auto"/>
          </w:tcPr>
          <w:p w14:paraId="1A0D0679" w14:textId="77777777" w:rsidR="00765A19" w:rsidRPr="00765A19" w:rsidRDefault="00765A19" w:rsidP="00434AAC">
            <w:pPr>
              <w:pStyle w:val="Tabletext"/>
              <w:spacing w:before="60"/>
              <w:rPr>
                <w:b/>
                <w:color w:val="C63663"/>
              </w:rPr>
            </w:pPr>
            <w:r w:rsidRPr="00765A19">
              <w:rPr>
                <w:b/>
                <w:color w:val="C63663"/>
              </w:rPr>
              <w:t>Local transmission / outbreak</w:t>
            </w:r>
          </w:p>
        </w:tc>
        <w:tc>
          <w:tcPr>
            <w:tcW w:w="6086" w:type="dxa"/>
            <w:shd w:val="clear" w:color="auto" w:fill="auto"/>
          </w:tcPr>
          <w:p w14:paraId="00BE0995" w14:textId="77777777" w:rsidR="00765A19" w:rsidRPr="00765A19" w:rsidRDefault="00765A19" w:rsidP="00434AAC">
            <w:pPr>
              <w:pStyle w:val="Tabletext"/>
              <w:spacing w:before="60"/>
            </w:pPr>
            <w:r w:rsidRPr="00765A19">
              <w:t>Local transmission is defined as:</w:t>
            </w:r>
          </w:p>
          <w:p w14:paraId="15824065" w14:textId="05BC9846" w:rsidR="00765A19" w:rsidRPr="00765A19" w:rsidRDefault="00765A19" w:rsidP="000C06BF">
            <w:pPr>
              <w:pStyle w:val="Tablebullet1"/>
            </w:pPr>
            <w:r w:rsidRPr="00765A19">
              <w:t xml:space="preserve">two or more confirmed cases, </w:t>
            </w:r>
            <w:r w:rsidR="00765FEA" w:rsidRPr="00765FEA">
              <w:rPr>
                <w:b/>
                <w:bCs/>
              </w:rPr>
              <w:t>OR</w:t>
            </w:r>
          </w:p>
          <w:p w14:paraId="4395FBAE" w14:textId="7E34A510" w:rsidR="00765FEA" w:rsidRDefault="00765A19" w:rsidP="000C06BF">
            <w:pPr>
              <w:pStyle w:val="Tablebullet1"/>
            </w:pPr>
            <w:r w:rsidRPr="00765A19">
              <w:t>a confirmed case and an environmental isolate</w:t>
            </w:r>
            <w:r w:rsidR="000E23BA">
              <w:t>,</w:t>
            </w:r>
          </w:p>
          <w:p w14:paraId="6380C0E5" w14:textId="10DE84B6" w:rsidR="00765A19" w:rsidRPr="00765A19" w:rsidRDefault="00765A19" w:rsidP="00434AAC">
            <w:pPr>
              <w:pStyle w:val="Tabletext"/>
              <w:spacing w:before="60"/>
            </w:pPr>
            <w:r w:rsidRPr="00765A19">
              <w:t>of genetically closely related CPO with a plausible epidemiological link, without an alternative explanation.</w:t>
            </w:r>
          </w:p>
          <w:p w14:paraId="5D74FDB0" w14:textId="77777777" w:rsidR="00765A19" w:rsidRPr="00765A19" w:rsidRDefault="00765A19" w:rsidP="00434AAC">
            <w:pPr>
              <w:pStyle w:val="Tabletext"/>
              <w:spacing w:before="60"/>
            </w:pPr>
            <w:r w:rsidRPr="00765A19">
              <w:t>The definition is deliberately inclusive.</w:t>
            </w:r>
          </w:p>
        </w:tc>
      </w:tr>
      <w:tr w:rsidR="00765A19" w:rsidRPr="00765A19" w14:paraId="0ECFA2DB" w14:textId="77777777" w:rsidTr="00B80C9D">
        <w:tblPrEx>
          <w:shd w:val="clear" w:color="auto" w:fill="auto"/>
        </w:tblPrEx>
        <w:trPr>
          <w:cantSplit/>
        </w:trPr>
        <w:tc>
          <w:tcPr>
            <w:tcW w:w="3097" w:type="dxa"/>
            <w:shd w:val="clear" w:color="auto" w:fill="auto"/>
          </w:tcPr>
          <w:p w14:paraId="4D9AFCEE" w14:textId="77777777" w:rsidR="00765A19" w:rsidRPr="00765A19" w:rsidRDefault="00765A19" w:rsidP="00434AAC">
            <w:pPr>
              <w:pStyle w:val="Tabletext"/>
              <w:spacing w:before="60"/>
              <w:rPr>
                <w:b/>
                <w:color w:val="C63663"/>
              </w:rPr>
            </w:pPr>
            <w:r w:rsidRPr="00765A19">
              <w:rPr>
                <w:b/>
                <w:color w:val="C63663"/>
              </w:rPr>
              <w:t>Period of transmission risk</w:t>
            </w:r>
          </w:p>
        </w:tc>
        <w:tc>
          <w:tcPr>
            <w:tcW w:w="6086" w:type="dxa"/>
            <w:shd w:val="clear" w:color="auto" w:fill="auto"/>
          </w:tcPr>
          <w:p w14:paraId="4DE61565" w14:textId="77777777" w:rsidR="00765A19" w:rsidRPr="00765A19" w:rsidRDefault="00765A19" w:rsidP="00434AAC">
            <w:pPr>
              <w:pStyle w:val="Tabletext"/>
              <w:spacing w:before="60"/>
            </w:pPr>
            <w:r w:rsidRPr="00765A19">
              <w:t>The period of transmission risk is the time when a CPO case could potentially transmit CPO to another patient. The period is from the date of likely acquisition until the time that the case is placed into contact precautions (or discharged or transferred). The period of transmission risk is used for determining room contacts only.</w:t>
            </w:r>
          </w:p>
        </w:tc>
      </w:tr>
      <w:tr w:rsidR="00DF0572" w:rsidRPr="00765A19" w14:paraId="45A42883" w14:textId="77777777" w:rsidTr="00B80C9D">
        <w:tblPrEx>
          <w:shd w:val="clear" w:color="auto" w:fill="auto"/>
        </w:tblPrEx>
        <w:trPr>
          <w:cantSplit/>
        </w:trPr>
        <w:tc>
          <w:tcPr>
            <w:tcW w:w="3097" w:type="dxa"/>
            <w:shd w:val="clear" w:color="auto" w:fill="auto"/>
          </w:tcPr>
          <w:p w14:paraId="72EF2F5A" w14:textId="1590A3E2" w:rsidR="00DF0572" w:rsidRPr="00765A19" w:rsidRDefault="00DF0572" w:rsidP="00434AAC">
            <w:pPr>
              <w:pStyle w:val="Tabletext"/>
              <w:spacing w:before="60"/>
              <w:rPr>
                <w:b/>
                <w:color w:val="C63663"/>
              </w:rPr>
            </w:pPr>
            <w:r>
              <w:rPr>
                <w:b/>
                <w:color w:val="C63663"/>
              </w:rPr>
              <w:t>Phenotype</w:t>
            </w:r>
          </w:p>
        </w:tc>
        <w:tc>
          <w:tcPr>
            <w:tcW w:w="6086" w:type="dxa"/>
            <w:shd w:val="clear" w:color="auto" w:fill="auto"/>
          </w:tcPr>
          <w:p w14:paraId="5CF888C7" w14:textId="17961B3E" w:rsidR="00DF0572" w:rsidRPr="00765A19" w:rsidRDefault="00DF0572" w:rsidP="00434AAC">
            <w:pPr>
              <w:pStyle w:val="Tabletext"/>
              <w:spacing w:before="60"/>
            </w:pPr>
            <w:r>
              <w:t>T</w:t>
            </w:r>
            <w:r w:rsidRPr="00DF0572">
              <w:t>he observable characteristics of an organism that result from the interaction of its genotype (total genetic inheritance) with the environment.</w:t>
            </w:r>
          </w:p>
        </w:tc>
      </w:tr>
      <w:tr w:rsidR="00765A19" w:rsidRPr="00765A19" w14:paraId="748FCDA6" w14:textId="77777777" w:rsidTr="00B80C9D">
        <w:tblPrEx>
          <w:shd w:val="clear" w:color="auto" w:fill="auto"/>
        </w:tblPrEx>
        <w:trPr>
          <w:cantSplit/>
        </w:trPr>
        <w:tc>
          <w:tcPr>
            <w:tcW w:w="3097" w:type="dxa"/>
            <w:shd w:val="clear" w:color="auto" w:fill="auto"/>
          </w:tcPr>
          <w:p w14:paraId="4EA752E5" w14:textId="77777777" w:rsidR="00765A19" w:rsidRPr="00765A19" w:rsidRDefault="00765A19" w:rsidP="00434AAC">
            <w:pPr>
              <w:pStyle w:val="Tabletext"/>
              <w:spacing w:before="60"/>
              <w:rPr>
                <w:b/>
                <w:color w:val="C63663"/>
              </w:rPr>
            </w:pPr>
            <w:r w:rsidRPr="00765A19">
              <w:rPr>
                <w:b/>
                <w:color w:val="C63663"/>
              </w:rPr>
              <w:t>Point prevalence screen (PPS)</w:t>
            </w:r>
          </w:p>
        </w:tc>
        <w:tc>
          <w:tcPr>
            <w:tcW w:w="6086" w:type="dxa"/>
            <w:shd w:val="clear" w:color="auto" w:fill="auto"/>
          </w:tcPr>
          <w:p w14:paraId="042402E5" w14:textId="75DC474D" w:rsidR="00765A19" w:rsidRPr="00765A19" w:rsidRDefault="00765A19" w:rsidP="00434AAC">
            <w:pPr>
              <w:pStyle w:val="Tabletext"/>
              <w:spacing w:before="60"/>
            </w:pPr>
            <w:r w:rsidRPr="00765A19">
              <w:t>A PPS is when a point in time is chosen to screen a cohort of patients (for example, all patients on a ward on a particular date) at risk of being infected or colonised with a particular CPO.</w:t>
            </w:r>
          </w:p>
        </w:tc>
      </w:tr>
      <w:tr w:rsidR="00765A19" w:rsidRPr="00765A19" w14:paraId="5C7ADAE2" w14:textId="77777777" w:rsidTr="00B80C9D">
        <w:tblPrEx>
          <w:shd w:val="clear" w:color="auto" w:fill="auto"/>
        </w:tblPrEx>
        <w:trPr>
          <w:cantSplit/>
        </w:trPr>
        <w:tc>
          <w:tcPr>
            <w:tcW w:w="3097" w:type="dxa"/>
            <w:shd w:val="clear" w:color="auto" w:fill="auto"/>
          </w:tcPr>
          <w:p w14:paraId="3A0D3A6B" w14:textId="416006AF" w:rsidR="00765A19" w:rsidRPr="00765A19" w:rsidRDefault="00765A19" w:rsidP="00434AAC">
            <w:pPr>
              <w:pStyle w:val="Tabletext"/>
              <w:spacing w:before="60"/>
              <w:rPr>
                <w:b/>
                <w:color w:val="C63663"/>
                <w:lang w:val="en-GB"/>
              </w:rPr>
            </w:pPr>
            <w:r w:rsidRPr="00765A19">
              <w:rPr>
                <w:b/>
                <w:color w:val="C63663"/>
              </w:rPr>
              <w:lastRenderedPageBreak/>
              <w:t>Transmission risk area</w:t>
            </w:r>
            <w:r w:rsidR="00B80C9D">
              <w:rPr>
                <w:b/>
                <w:color w:val="C63663"/>
              </w:rPr>
              <w:t xml:space="preserve"> </w:t>
            </w:r>
            <w:r w:rsidRPr="00765A19">
              <w:rPr>
                <w:b/>
                <w:color w:val="C63663"/>
              </w:rPr>
              <w:t>(TRA)</w:t>
            </w:r>
          </w:p>
        </w:tc>
        <w:tc>
          <w:tcPr>
            <w:tcW w:w="6086" w:type="dxa"/>
            <w:shd w:val="clear" w:color="auto" w:fill="auto"/>
          </w:tcPr>
          <w:p w14:paraId="2886F53D" w14:textId="1EA83FE6" w:rsidR="00765A19" w:rsidRPr="00765A19" w:rsidRDefault="00765A19" w:rsidP="00434AAC">
            <w:pPr>
              <w:pStyle w:val="Tabletext"/>
              <w:spacing w:before="60"/>
              <w:rPr>
                <w:lang w:val="en-GB"/>
              </w:rPr>
            </w:pPr>
            <w:r w:rsidRPr="00765A19">
              <w:t xml:space="preserve">A TRA is an area (a distinct geographical area or ward) in which local transmission has been determined </w:t>
            </w:r>
            <w:r w:rsidR="00E7468F" w:rsidRPr="00765A19">
              <w:t xml:space="preserve">to have occurred </w:t>
            </w:r>
            <w:r w:rsidRPr="00765A19">
              <w:t xml:space="preserve">by the Victorian Antimicrobial Resistance Incident Management Team (AMR-IMT). The timeframe for the TRA is the period when transmission may have occurred plus either four consecutive weeks of negative PPS or four weeks after the final patient involved in the transmission was discharged. The timeframe for the TRA is different from the period of transmission risk. These concepts are explained further in </w:t>
            </w:r>
            <w:hyperlink w:anchor="_Section_3:_Screening,_1" w:history="1">
              <w:r w:rsidRPr="00765A19">
                <w:rPr>
                  <w:rStyle w:val="Hyperlink"/>
                </w:rPr>
                <w:t>Section 3</w:t>
              </w:r>
            </w:hyperlink>
            <w:r w:rsidRPr="00765A19">
              <w:t>.</w:t>
            </w:r>
          </w:p>
        </w:tc>
      </w:tr>
    </w:tbl>
    <w:p w14:paraId="3193C057" w14:textId="399DEBFE" w:rsidR="00E751CD" w:rsidRDefault="00E751CD">
      <w:pPr>
        <w:spacing w:after="0" w:line="240" w:lineRule="auto"/>
        <w:rPr>
          <w:rFonts w:eastAsia="Times"/>
        </w:rPr>
      </w:pPr>
      <w:r>
        <w:br w:type="page"/>
      </w:r>
    </w:p>
    <w:p w14:paraId="755836F3" w14:textId="77777777" w:rsidR="00E751CD" w:rsidRPr="00E751CD" w:rsidRDefault="00E751CD" w:rsidP="00E751CD">
      <w:pPr>
        <w:pStyle w:val="Heading1"/>
      </w:pPr>
      <w:bookmarkStart w:id="8" w:name="_Toc108539910"/>
      <w:bookmarkStart w:id="9" w:name="_Toc149319539"/>
      <w:r w:rsidRPr="00E751CD">
        <w:lastRenderedPageBreak/>
        <w:t>Section 1: Background</w:t>
      </w:r>
      <w:bookmarkEnd w:id="8"/>
      <w:bookmarkEnd w:id="9"/>
    </w:p>
    <w:p w14:paraId="544100E9" w14:textId="77777777" w:rsidR="00E751CD" w:rsidRPr="00E751CD" w:rsidRDefault="00E751CD" w:rsidP="00E751CD">
      <w:pPr>
        <w:pStyle w:val="Heading2"/>
        <w:rPr>
          <w:rFonts w:eastAsia="Times"/>
        </w:rPr>
      </w:pPr>
      <w:bookmarkStart w:id="10" w:name="_Toc108539911"/>
      <w:bookmarkStart w:id="11" w:name="_Toc149319540"/>
      <w:bookmarkStart w:id="12" w:name="_Toc440553291"/>
      <w:r w:rsidRPr="00E751CD">
        <w:rPr>
          <w:rFonts w:eastAsia="Times"/>
        </w:rPr>
        <w:t xml:space="preserve">Carbapenemase-producing </w:t>
      </w:r>
      <w:proofErr w:type="gramStart"/>
      <w:r w:rsidRPr="00E751CD">
        <w:rPr>
          <w:rFonts w:eastAsia="Times"/>
        </w:rPr>
        <w:t>organisms</w:t>
      </w:r>
      <w:bookmarkEnd w:id="10"/>
      <w:bookmarkEnd w:id="11"/>
      <w:proofErr w:type="gramEnd"/>
    </w:p>
    <w:p w14:paraId="5CCCD591" w14:textId="465A0D21" w:rsidR="00E751CD" w:rsidRPr="00E751CD" w:rsidRDefault="00E751CD" w:rsidP="00E751CD">
      <w:pPr>
        <w:pStyle w:val="Body"/>
      </w:pPr>
      <w:r w:rsidRPr="00E751CD">
        <w:t xml:space="preserve">CPO are bacteria that have developed resistance to </w:t>
      </w:r>
      <w:r w:rsidR="005F2D23">
        <w:t>both</w:t>
      </w:r>
      <w:r w:rsidRPr="00E751CD">
        <w:t xml:space="preserve"> first-line antibiotics </w:t>
      </w:r>
      <w:r w:rsidR="00196792">
        <w:t>and</w:t>
      </w:r>
      <w:r w:rsidRPr="00E751CD">
        <w:t xml:space="preserve"> carbapenems</w:t>
      </w:r>
      <w:r w:rsidR="001570F1">
        <w:t>,</w:t>
      </w:r>
      <w:r w:rsidRPr="00E751CD">
        <w:t xml:space="preserve"> which are considered ‘last resort’ antibiotics for the treatment of serious infections. Carbapenemase genes encode enzymes that degrade carbapenem antibiotics. CPO most commonly include </w:t>
      </w:r>
      <w:r w:rsidR="00346528">
        <w:t>carbapenemase-producing Enterobacterales (</w:t>
      </w:r>
      <w:r w:rsidRPr="00E751CD">
        <w:t>CPE</w:t>
      </w:r>
      <w:r w:rsidR="00346528">
        <w:t>)</w:t>
      </w:r>
      <w:r w:rsidRPr="00E751CD">
        <w:t xml:space="preserve"> which comprise the largest </w:t>
      </w:r>
      <w:r w:rsidR="00E7468F">
        <w:t>group</w:t>
      </w:r>
      <w:r w:rsidR="00E7468F" w:rsidRPr="00E751CD">
        <w:t xml:space="preserve"> </w:t>
      </w:r>
      <w:r w:rsidRPr="00E751CD">
        <w:t xml:space="preserve">of gram-negative bacteria causing human infection and includes common pathogens such as </w:t>
      </w:r>
      <w:r w:rsidRPr="00E751CD">
        <w:rPr>
          <w:i/>
          <w:iCs/>
        </w:rPr>
        <w:t>Escherichia coli</w:t>
      </w:r>
      <w:r w:rsidRPr="00E751CD">
        <w:t xml:space="preserve">, </w:t>
      </w:r>
      <w:r w:rsidRPr="00E751CD">
        <w:rPr>
          <w:i/>
          <w:iCs/>
        </w:rPr>
        <w:t>Klebsiella</w:t>
      </w:r>
      <w:r w:rsidRPr="00E751CD">
        <w:t xml:space="preserve"> and </w:t>
      </w:r>
      <w:r w:rsidRPr="00E751CD">
        <w:rPr>
          <w:i/>
          <w:iCs/>
        </w:rPr>
        <w:t>Enterobacter</w:t>
      </w:r>
      <w:r w:rsidRPr="00E751CD">
        <w:t xml:space="preserve"> species (</w:t>
      </w:r>
      <w:r w:rsidR="00983D02">
        <w:t xml:space="preserve">see </w:t>
      </w:r>
      <w:r w:rsidR="00F97425">
        <w:t>Box</w:t>
      </w:r>
      <w:r w:rsidRPr="00E751CD">
        <w:t xml:space="preserve"> 1 below). These organisms are normal flora of the gastrointestinal tract but have the potential to cause infections such as bacteraemia, pneumonia, urinary tract</w:t>
      </w:r>
      <w:r w:rsidR="001438A5" w:rsidRPr="00E751CD">
        <w:t>,</w:t>
      </w:r>
      <w:r w:rsidRPr="00E751CD">
        <w:t xml:space="preserve"> and wound infections</w:t>
      </w:r>
      <w:r w:rsidR="00FC255E">
        <w:t>;</w:t>
      </w:r>
      <w:r w:rsidRPr="00E751CD">
        <w:t xml:space="preserve"> and disseminate antimicrobial resistance. CPO also include</w:t>
      </w:r>
      <w:r w:rsidRPr="00E751CD">
        <w:rPr>
          <w:i/>
          <w:iCs/>
        </w:rPr>
        <w:t xml:space="preserve"> </w:t>
      </w:r>
      <w:r w:rsidRPr="00E751CD">
        <w:t>other less common organisms such as CPP (typically</w:t>
      </w:r>
      <w:r w:rsidRPr="00E751CD">
        <w:rPr>
          <w:i/>
          <w:iCs/>
        </w:rPr>
        <w:t xml:space="preserve"> Pseudomonas aeruginosa)</w:t>
      </w:r>
      <w:r w:rsidRPr="00E751CD">
        <w:t xml:space="preserve"> and CPA (typically</w:t>
      </w:r>
      <w:r w:rsidRPr="00E751CD">
        <w:rPr>
          <w:i/>
          <w:iCs/>
        </w:rPr>
        <w:t xml:space="preserve"> Acinetobacter baumannii)</w:t>
      </w:r>
      <w:r w:rsidRPr="00E751CD">
        <w:t>.</w:t>
      </w:r>
    </w:p>
    <w:p w14:paraId="3929FD3C" w14:textId="77777777" w:rsidR="00E751CD" w:rsidRPr="00E751CD" w:rsidRDefault="00E751CD" w:rsidP="00E751CD">
      <w:pPr>
        <w:pStyle w:val="Heading2"/>
        <w:rPr>
          <w:rFonts w:eastAsia="Times"/>
        </w:rPr>
      </w:pPr>
      <w:bookmarkStart w:id="13" w:name="_Toc108539912"/>
      <w:bookmarkStart w:id="14" w:name="_Toc149319541"/>
      <w:r w:rsidRPr="00E751CD">
        <w:rPr>
          <w:rFonts w:eastAsia="Times"/>
        </w:rPr>
        <w:t>Scope of the Victorian CPO guideline</w:t>
      </w:r>
      <w:bookmarkEnd w:id="12"/>
      <w:bookmarkEnd w:id="13"/>
      <w:bookmarkEnd w:id="14"/>
    </w:p>
    <w:p w14:paraId="1AE4AD4F" w14:textId="77777777" w:rsidR="00E751CD" w:rsidRPr="00E751CD" w:rsidRDefault="00E751CD" w:rsidP="00E751CD">
      <w:pPr>
        <w:pStyle w:val="Heading3"/>
      </w:pPr>
      <w:r w:rsidRPr="00E751CD">
        <w:t>Victorian health services</w:t>
      </w:r>
    </w:p>
    <w:p w14:paraId="51D96041" w14:textId="77777777" w:rsidR="00E751CD" w:rsidRPr="00E751CD" w:rsidRDefault="00E751CD" w:rsidP="00E751CD">
      <w:pPr>
        <w:pStyle w:val="Body"/>
      </w:pPr>
      <w:r w:rsidRPr="00E751CD">
        <w:t xml:space="preserve">This guideline applies to all paediatric and adult health services in Victoria. </w:t>
      </w:r>
      <w:proofErr w:type="gramStart"/>
      <w:r w:rsidRPr="00E751CD">
        <w:t>For the purpose of</w:t>
      </w:r>
      <w:proofErr w:type="gramEnd"/>
      <w:r w:rsidRPr="00E751CD">
        <w:t xml:space="preserve"> this guideline, the term ‘health service’ refers to public and private health services, hospitals and denominational hospitals that admit patients overnight. Where there are multiple campuses within a health service, each campus is referred to as a healthcare facility.</w:t>
      </w:r>
    </w:p>
    <w:p w14:paraId="1B4E6C11" w14:textId="77777777" w:rsidR="00E751CD" w:rsidRPr="00E751CD" w:rsidRDefault="00E751CD" w:rsidP="00E751CD">
      <w:pPr>
        <w:pStyle w:val="Body"/>
      </w:pPr>
      <w:r w:rsidRPr="00E751CD">
        <w:t>The guidance also applies to all satellite haemodialysis units and day oncology units, due to the nature of the patients treated and the risk of transmission of serious infections. Surgical day procedure centres are not within the scope of this guideline. If a known CPO case is admitted to a surgical day procedure centre, appropriate standard and transmission-based IPC precautions should be implemented.</w:t>
      </w:r>
    </w:p>
    <w:p w14:paraId="2A948279" w14:textId="77777777" w:rsidR="00E751CD" w:rsidRPr="00E751CD" w:rsidRDefault="00E751CD" w:rsidP="00E751CD">
      <w:pPr>
        <w:pStyle w:val="Body"/>
      </w:pPr>
      <w:r w:rsidRPr="00E751CD">
        <w:t>Recommendations in this guideline supplant all other state and national IPC guidelines related to the management of CPO. They are relevant for all health professionals, including general and specialist clinical staff, allied health, microbiology laboratory staff and general practitioners.</w:t>
      </w:r>
    </w:p>
    <w:p w14:paraId="1E5E1B93" w14:textId="77777777" w:rsidR="00E751CD" w:rsidRPr="00E751CD" w:rsidRDefault="00E751CD" w:rsidP="00E751CD">
      <w:pPr>
        <w:pStyle w:val="Body"/>
      </w:pPr>
      <w:r w:rsidRPr="00E751CD">
        <w:t>Any isolation of a suspected or confirmed CPO (as defined in the glossary of this guideline) from clinical, screening, or environmental samples are in scope.</w:t>
      </w:r>
    </w:p>
    <w:p w14:paraId="1B54920C" w14:textId="5E6DB6A8" w:rsidR="00E751CD" w:rsidRPr="00E751CD" w:rsidRDefault="00E751CD" w:rsidP="00E751CD">
      <w:pPr>
        <w:pStyle w:val="Heading3"/>
      </w:pPr>
      <w:r w:rsidRPr="00E751CD">
        <w:t>Victorian residential care facilities (RCF)</w:t>
      </w:r>
    </w:p>
    <w:p w14:paraId="1673A051" w14:textId="79BCA0B8" w:rsidR="00E751CD" w:rsidRPr="00E751CD" w:rsidRDefault="00E751CD" w:rsidP="00E751CD">
      <w:pPr>
        <w:pStyle w:val="Body"/>
      </w:pPr>
      <w:r w:rsidRPr="00E751CD">
        <w:t>The Department of Health (the department) has developed a separate document for more specific guidance on CPO management within RCF</w:t>
      </w:r>
      <w:r w:rsidR="0029791F">
        <w:t>s</w:t>
      </w:r>
      <w:r w:rsidRPr="00E751CD">
        <w:t xml:space="preserve"> in Victoria. This document can be found on the </w:t>
      </w:r>
      <w:hyperlink r:id="rId23" w:history="1">
        <w:r w:rsidR="00711184" w:rsidRPr="00650E8B">
          <w:rPr>
            <w:rStyle w:val="Hyperlink"/>
          </w:rPr>
          <w:t>department’s website</w:t>
        </w:r>
      </w:hyperlink>
      <w:r w:rsidRPr="00E751CD">
        <w:t xml:space="preserve"> &lt;</w:t>
      </w:r>
      <w:bookmarkStart w:id="15" w:name="_Hlk148947777"/>
      <w:r w:rsidR="005E2990" w:rsidRPr="005E2990">
        <w:t>www.health.vic.gov.au/infectious-diseases/carbapenemase-producing-enterobacteriaceae-management-guidelines</w:t>
      </w:r>
      <w:bookmarkEnd w:id="15"/>
      <w:r w:rsidRPr="00E751CD">
        <w:t>&gt;.</w:t>
      </w:r>
    </w:p>
    <w:p w14:paraId="6CDA019D" w14:textId="77777777" w:rsidR="00E751CD" w:rsidRPr="00E751CD" w:rsidRDefault="00E751CD" w:rsidP="00E751CD">
      <w:pPr>
        <w:pStyle w:val="Heading3"/>
      </w:pPr>
      <w:r w:rsidRPr="00E751CD">
        <w:t>Microbiological scope</w:t>
      </w:r>
    </w:p>
    <w:p w14:paraId="027CDB1A" w14:textId="36D70445" w:rsidR="00E751CD" w:rsidRPr="00E751CD" w:rsidRDefault="00E751CD" w:rsidP="00E751CD">
      <w:pPr>
        <w:pStyle w:val="Body"/>
      </w:pPr>
      <w:r w:rsidRPr="00E751CD">
        <w:t xml:space="preserve">This guideline provides recommendations around the detection and response to CPO (see </w:t>
      </w:r>
      <w:r w:rsidR="00F97425">
        <w:t>Box</w:t>
      </w:r>
      <w:r w:rsidR="001C0BF8">
        <w:t> </w:t>
      </w:r>
      <w:r w:rsidRPr="00E751CD">
        <w:t xml:space="preserve">1 below). Carbapenemase gene families that have so far been detected in </w:t>
      </w:r>
      <w:r w:rsidRPr="00E751CD">
        <w:rPr>
          <w:iCs/>
        </w:rPr>
        <w:t xml:space="preserve">Enterobacterales, </w:t>
      </w:r>
      <w:r w:rsidRPr="00E751CD">
        <w:rPr>
          <w:i/>
        </w:rPr>
        <w:t>Pseudomonas</w:t>
      </w:r>
      <w:r w:rsidRPr="00E751CD">
        <w:rPr>
          <w:iCs/>
        </w:rPr>
        <w:t xml:space="preserve"> species and </w:t>
      </w:r>
      <w:r w:rsidRPr="00E751CD">
        <w:rPr>
          <w:i/>
        </w:rPr>
        <w:t>Acinetobacter</w:t>
      </w:r>
      <w:r w:rsidRPr="00E751CD">
        <w:t xml:space="preserve"> species in Australia include ACT, FRI, GES, IMI, IMP, KPC, NDM, NMC, OXA, SHV, SME and VIM.</w:t>
      </w:r>
    </w:p>
    <w:p w14:paraId="6B5C32FA" w14:textId="1381B7DA" w:rsidR="00E751CD" w:rsidRPr="00E751CD" w:rsidRDefault="00B97639" w:rsidP="00E751CD">
      <w:pPr>
        <w:pStyle w:val="Figurecaption"/>
        <w:rPr>
          <w:rFonts w:eastAsia="Times"/>
        </w:rPr>
      </w:pPr>
      <w:r>
        <w:rPr>
          <w:rFonts w:eastAsia="Times"/>
        </w:rPr>
        <w:lastRenderedPageBreak/>
        <w:t>Box</w:t>
      </w:r>
      <w:r w:rsidR="00E751CD" w:rsidRPr="00E751CD">
        <w:rPr>
          <w:rFonts w:eastAsia="Times"/>
        </w:rPr>
        <w:t xml:space="preserve"> 1: List of CPO</w:t>
      </w:r>
    </w:p>
    <w:tbl>
      <w:tblPr>
        <w:tblStyle w:val="TableGrid"/>
        <w:tblW w:w="0" w:type="auto"/>
        <w:tblBorders>
          <w:top w:val="single" w:sz="18" w:space="0" w:color="C63663"/>
          <w:left w:val="single" w:sz="18" w:space="0" w:color="C63663"/>
          <w:bottom w:val="single" w:sz="18" w:space="0" w:color="C63663"/>
          <w:right w:val="single" w:sz="18" w:space="0" w:color="C63663"/>
          <w:insideH w:val="none" w:sz="0" w:space="0" w:color="auto"/>
          <w:insideV w:val="single" w:sz="18" w:space="0" w:color="C63663"/>
        </w:tblBorders>
        <w:shd w:val="clear" w:color="auto" w:fill="F8E8ED"/>
        <w:tblCellMar>
          <w:top w:w="28" w:type="dxa"/>
          <w:bottom w:w="28" w:type="dxa"/>
        </w:tblCellMar>
        <w:tblLook w:val="04A0" w:firstRow="1" w:lastRow="0" w:firstColumn="1" w:lastColumn="0" w:noHBand="0" w:noVBand="1"/>
      </w:tblPr>
      <w:tblGrid>
        <w:gridCol w:w="3085"/>
        <w:gridCol w:w="3084"/>
        <w:gridCol w:w="3083"/>
      </w:tblGrid>
      <w:tr w:rsidR="009772A3" w14:paraId="4A2AE012" w14:textId="77777777" w:rsidTr="00FF3925">
        <w:tc>
          <w:tcPr>
            <w:tcW w:w="9288" w:type="dxa"/>
            <w:gridSpan w:val="3"/>
            <w:tcBorders>
              <w:bottom w:val="nil"/>
            </w:tcBorders>
            <w:shd w:val="clear" w:color="auto" w:fill="F8E8ED"/>
          </w:tcPr>
          <w:p w14:paraId="237B3EF4" w14:textId="5CD19A3C" w:rsidR="009772A3" w:rsidRDefault="009772A3" w:rsidP="009921FD">
            <w:pPr>
              <w:pStyle w:val="Tabletext"/>
            </w:pPr>
            <w:r w:rsidRPr="005B4CE1">
              <w:t>Enterobacterales</w:t>
            </w:r>
            <w:r w:rsidRPr="00E751CD">
              <w:t xml:space="preserve"> include the following species:</w:t>
            </w:r>
          </w:p>
        </w:tc>
      </w:tr>
      <w:tr w:rsidR="009772A3" w14:paraId="1D6BE24F" w14:textId="77777777" w:rsidTr="00FF3925">
        <w:tc>
          <w:tcPr>
            <w:tcW w:w="3096" w:type="dxa"/>
            <w:tcBorders>
              <w:top w:val="nil"/>
              <w:bottom w:val="nil"/>
              <w:right w:val="nil"/>
            </w:tcBorders>
            <w:shd w:val="clear" w:color="auto" w:fill="F8E8ED"/>
          </w:tcPr>
          <w:p w14:paraId="7CA4F93F" w14:textId="77777777" w:rsidR="002112B8" w:rsidRDefault="002112B8" w:rsidP="00C87469">
            <w:pPr>
              <w:pStyle w:val="Tabletext"/>
              <w:ind w:left="227"/>
              <w:rPr>
                <w:i/>
                <w:lang w:val="it-IT"/>
              </w:rPr>
            </w:pPr>
            <w:r w:rsidRPr="00E751CD">
              <w:rPr>
                <w:i/>
                <w:lang w:val="it-IT"/>
              </w:rPr>
              <w:t xml:space="preserve">Cedecea </w:t>
            </w:r>
            <w:r w:rsidRPr="00001242">
              <w:rPr>
                <w:iCs/>
                <w:lang w:val="it-IT"/>
              </w:rPr>
              <w:t>spp.</w:t>
            </w:r>
          </w:p>
          <w:p w14:paraId="5FFAD501" w14:textId="77777777" w:rsidR="002112B8" w:rsidRDefault="002112B8" w:rsidP="00C87469">
            <w:pPr>
              <w:pStyle w:val="Tabletext"/>
              <w:ind w:left="227"/>
              <w:rPr>
                <w:i/>
              </w:rPr>
            </w:pPr>
            <w:r w:rsidRPr="00E751CD">
              <w:rPr>
                <w:i/>
              </w:rPr>
              <w:t xml:space="preserve">Citrobacter </w:t>
            </w:r>
            <w:r w:rsidRPr="00001242">
              <w:rPr>
                <w:iCs/>
              </w:rPr>
              <w:t>spp.</w:t>
            </w:r>
          </w:p>
          <w:p w14:paraId="34CA6F97" w14:textId="77777777" w:rsidR="002112B8" w:rsidRDefault="002112B8" w:rsidP="00C87469">
            <w:pPr>
              <w:pStyle w:val="Tabletext"/>
              <w:ind w:left="227"/>
              <w:rPr>
                <w:i/>
                <w:lang w:val="it-IT"/>
              </w:rPr>
            </w:pPr>
            <w:r w:rsidRPr="00E751CD">
              <w:rPr>
                <w:i/>
                <w:lang w:val="it-IT"/>
              </w:rPr>
              <w:t xml:space="preserve">Cronobacter </w:t>
            </w:r>
            <w:r w:rsidRPr="00001242">
              <w:rPr>
                <w:iCs/>
                <w:lang w:val="it-IT"/>
              </w:rPr>
              <w:t>spp.</w:t>
            </w:r>
          </w:p>
          <w:p w14:paraId="5527C0BB" w14:textId="77777777" w:rsidR="002112B8" w:rsidRDefault="002112B8" w:rsidP="00C87469">
            <w:pPr>
              <w:pStyle w:val="Tabletext"/>
              <w:ind w:left="227"/>
              <w:rPr>
                <w:i/>
              </w:rPr>
            </w:pPr>
            <w:proofErr w:type="spellStart"/>
            <w:r w:rsidRPr="00E751CD">
              <w:rPr>
                <w:i/>
              </w:rPr>
              <w:t>Edwardsiella</w:t>
            </w:r>
            <w:proofErr w:type="spellEnd"/>
            <w:r w:rsidRPr="00E751CD">
              <w:rPr>
                <w:i/>
              </w:rPr>
              <w:t xml:space="preserve"> </w:t>
            </w:r>
            <w:r w:rsidRPr="00835E68">
              <w:rPr>
                <w:iCs/>
              </w:rPr>
              <w:t>spp.</w:t>
            </w:r>
          </w:p>
          <w:p w14:paraId="7119ADB5" w14:textId="77777777" w:rsidR="002112B8" w:rsidRPr="0039697C" w:rsidRDefault="002112B8" w:rsidP="00C87469">
            <w:pPr>
              <w:pStyle w:val="Tabletext"/>
              <w:ind w:left="227"/>
              <w:rPr>
                <w:iCs/>
              </w:rPr>
            </w:pPr>
            <w:r w:rsidRPr="00E751CD">
              <w:rPr>
                <w:i/>
              </w:rPr>
              <w:t xml:space="preserve">Enterobacter </w:t>
            </w:r>
            <w:r w:rsidRPr="00835E68">
              <w:rPr>
                <w:iCs/>
              </w:rPr>
              <w:t>spp.</w:t>
            </w:r>
          </w:p>
          <w:p w14:paraId="0129E88D" w14:textId="77777777" w:rsidR="002112B8" w:rsidRDefault="002112B8" w:rsidP="00C87469">
            <w:pPr>
              <w:pStyle w:val="Tabletext"/>
              <w:ind w:left="227"/>
              <w:rPr>
                <w:i/>
              </w:rPr>
            </w:pPr>
            <w:r w:rsidRPr="00E751CD">
              <w:rPr>
                <w:i/>
              </w:rPr>
              <w:t xml:space="preserve">Escherichia </w:t>
            </w:r>
            <w:r w:rsidRPr="00835E68">
              <w:rPr>
                <w:iCs/>
              </w:rPr>
              <w:t>spp.</w:t>
            </w:r>
          </w:p>
          <w:p w14:paraId="69E2ECAD" w14:textId="0610766E" w:rsidR="00155C89" w:rsidRPr="00D83EAF" w:rsidRDefault="002112B8" w:rsidP="00C87469">
            <w:pPr>
              <w:pStyle w:val="Tabletext"/>
              <w:ind w:left="227"/>
              <w:rPr>
                <w:i/>
              </w:rPr>
            </w:pPr>
            <w:proofErr w:type="spellStart"/>
            <w:r w:rsidRPr="00E751CD">
              <w:rPr>
                <w:i/>
              </w:rPr>
              <w:t>Ewingella</w:t>
            </w:r>
            <w:proofErr w:type="spellEnd"/>
            <w:r w:rsidRPr="00E751CD">
              <w:rPr>
                <w:i/>
              </w:rPr>
              <w:t xml:space="preserve"> </w:t>
            </w:r>
            <w:r w:rsidRPr="00835E68">
              <w:rPr>
                <w:iCs/>
              </w:rPr>
              <w:t>spp.</w:t>
            </w:r>
          </w:p>
        </w:tc>
        <w:tc>
          <w:tcPr>
            <w:tcW w:w="3096" w:type="dxa"/>
            <w:tcBorders>
              <w:top w:val="nil"/>
              <w:left w:val="nil"/>
              <w:bottom w:val="nil"/>
              <w:right w:val="nil"/>
            </w:tcBorders>
            <w:shd w:val="clear" w:color="auto" w:fill="F8E8ED"/>
          </w:tcPr>
          <w:p w14:paraId="1FEC028B" w14:textId="77777777" w:rsidR="00D83EAF" w:rsidRDefault="00D83EAF" w:rsidP="00C87469">
            <w:pPr>
              <w:pStyle w:val="Tabletext"/>
              <w:ind w:left="227"/>
              <w:rPr>
                <w:i/>
                <w:lang w:val="it-IT"/>
              </w:rPr>
            </w:pPr>
            <w:r w:rsidRPr="00E751CD">
              <w:rPr>
                <w:i/>
                <w:lang w:val="it-IT"/>
              </w:rPr>
              <w:t>Hafnia alve</w:t>
            </w:r>
            <w:r>
              <w:rPr>
                <w:i/>
                <w:lang w:val="it-IT"/>
              </w:rPr>
              <w:t>i</w:t>
            </w:r>
          </w:p>
          <w:p w14:paraId="19D0BB1A" w14:textId="4EBF6755" w:rsidR="005755E2" w:rsidRDefault="005755E2" w:rsidP="00C87469">
            <w:pPr>
              <w:pStyle w:val="Tabletext"/>
              <w:ind w:left="227"/>
              <w:rPr>
                <w:i/>
              </w:rPr>
            </w:pPr>
            <w:r w:rsidRPr="00E751CD">
              <w:rPr>
                <w:i/>
              </w:rPr>
              <w:t xml:space="preserve">Klebsiella </w:t>
            </w:r>
            <w:r w:rsidRPr="00835E68">
              <w:rPr>
                <w:iCs/>
              </w:rPr>
              <w:t>spp.</w:t>
            </w:r>
          </w:p>
          <w:p w14:paraId="77A69AA6" w14:textId="77777777" w:rsidR="005755E2" w:rsidRPr="004C039A" w:rsidRDefault="005755E2" w:rsidP="00C87469">
            <w:pPr>
              <w:pStyle w:val="Tabletext"/>
              <w:ind w:left="227"/>
              <w:rPr>
                <w:i/>
                <w:iCs/>
                <w:lang w:val="it-IT"/>
              </w:rPr>
            </w:pPr>
            <w:r w:rsidRPr="004C039A">
              <w:rPr>
                <w:i/>
                <w:iCs/>
                <w:lang w:val="it-IT"/>
              </w:rPr>
              <w:t xml:space="preserve">Kluyvera </w:t>
            </w:r>
            <w:r w:rsidRPr="00835E68">
              <w:rPr>
                <w:lang w:val="it-IT"/>
              </w:rPr>
              <w:t>spp.</w:t>
            </w:r>
          </w:p>
          <w:p w14:paraId="4D87DA13" w14:textId="77777777" w:rsidR="005755E2" w:rsidRDefault="005755E2" w:rsidP="00C87469">
            <w:pPr>
              <w:spacing w:before="80" w:after="60" w:line="240" w:lineRule="auto"/>
              <w:ind w:left="227"/>
            </w:pPr>
            <w:r w:rsidRPr="00E751CD">
              <w:rPr>
                <w:i/>
                <w:iCs/>
                <w:lang w:val="it-IT"/>
              </w:rPr>
              <w:t xml:space="preserve">Leclercia </w:t>
            </w:r>
            <w:r w:rsidRPr="00835E68">
              <w:rPr>
                <w:lang w:val="it-IT"/>
              </w:rPr>
              <w:t>spp.</w:t>
            </w:r>
          </w:p>
          <w:p w14:paraId="6FC5E9D5" w14:textId="77777777" w:rsidR="005755E2" w:rsidRDefault="005755E2" w:rsidP="00C87469">
            <w:pPr>
              <w:pStyle w:val="Tabletext"/>
              <w:ind w:left="227"/>
              <w:rPr>
                <w:i/>
                <w:lang w:val="it-IT"/>
              </w:rPr>
            </w:pPr>
            <w:r w:rsidRPr="00E751CD">
              <w:rPr>
                <w:i/>
                <w:lang w:val="it-IT"/>
              </w:rPr>
              <w:t xml:space="preserve">Morganella </w:t>
            </w:r>
            <w:r w:rsidRPr="00835E68">
              <w:rPr>
                <w:iCs/>
                <w:lang w:val="it-IT"/>
              </w:rPr>
              <w:t>spp.</w:t>
            </w:r>
          </w:p>
          <w:p w14:paraId="16A895E7" w14:textId="77777777" w:rsidR="005755E2" w:rsidRDefault="005755E2" w:rsidP="00C87469">
            <w:pPr>
              <w:pStyle w:val="Tabletext"/>
              <w:ind w:left="227"/>
              <w:rPr>
                <w:i/>
                <w:lang w:val="it-IT"/>
              </w:rPr>
            </w:pPr>
            <w:r w:rsidRPr="00E751CD">
              <w:rPr>
                <w:i/>
                <w:lang w:val="it-IT"/>
              </w:rPr>
              <w:t xml:space="preserve">Pantoea </w:t>
            </w:r>
            <w:r w:rsidRPr="00835E68">
              <w:rPr>
                <w:iCs/>
                <w:lang w:val="it-IT"/>
              </w:rPr>
              <w:t>spp.</w:t>
            </w:r>
          </w:p>
          <w:p w14:paraId="419E9665" w14:textId="562B11DE" w:rsidR="00155C89" w:rsidRPr="005755E2" w:rsidRDefault="005755E2" w:rsidP="00C87469">
            <w:pPr>
              <w:pStyle w:val="Tabletext"/>
              <w:ind w:left="227"/>
              <w:rPr>
                <w:i/>
              </w:rPr>
            </w:pPr>
            <w:proofErr w:type="spellStart"/>
            <w:r w:rsidRPr="00E751CD">
              <w:rPr>
                <w:i/>
              </w:rPr>
              <w:t>Plesiomonas</w:t>
            </w:r>
            <w:proofErr w:type="spellEnd"/>
            <w:r w:rsidRPr="00E751CD">
              <w:rPr>
                <w:i/>
              </w:rPr>
              <w:t xml:space="preserve"> </w:t>
            </w:r>
            <w:r w:rsidRPr="00835E68">
              <w:rPr>
                <w:iCs/>
              </w:rPr>
              <w:t>spp.</w:t>
            </w:r>
          </w:p>
        </w:tc>
        <w:tc>
          <w:tcPr>
            <w:tcW w:w="3096" w:type="dxa"/>
            <w:tcBorders>
              <w:top w:val="nil"/>
              <w:left w:val="nil"/>
              <w:bottom w:val="nil"/>
            </w:tcBorders>
            <w:shd w:val="clear" w:color="auto" w:fill="F8E8ED"/>
          </w:tcPr>
          <w:p w14:paraId="5863DF8B" w14:textId="77777777" w:rsidR="000D40DA" w:rsidRDefault="000D40DA" w:rsidP="00C87469">
            <w:pPr>
              <w:pStyle w:val="Tabletext"/>
              <w:ind w:left="227"/>
              <w:rPr>
                <w:i/>
              </w:rPr>
            </w:pPr>
            <w:r w:rsidRPr="00E751CD">
              <w:rPr>
                <w:i/>
              </w:rPr>
              <w:t xml:space="preserve">Proteus </w:t>
            </w:r>
            <w:r w:rsidRPr="00835E68">
              <w:rPr>
                <w:iCs/>
              </w:rPr>
              <w:t>spp.</w:t>
            </w:r>
          </w:p>
          <w:p w14:paraId="4F6717D7" w14:textId="188F9C17" w:rsidR="00676BE0" w:rsidRDefault="00676BE0" w:rsidP="00C87469">
            <w:pPr>
              <w:pStyle w:val="Tabletext"/>
              <w:ind w:left="227"/>
              <w:rPr>
                <w:i/>
                <w:lang w:val="it-IT"/>
              </w:rPr>
            </w:pPr>
            <w:r w:rsidRPr="00E751CD">
              <w:rPr>
                <w:i/>
                <w:lang w:val="it-IT"/>
              </w:rPr>
              <w:t xml:space="preserve">Providencia </w:t>
            </w:r>
            <w:r w:rsidRPr="00835E68">
              <w:rPr>
                <w:iCs/>
                <w:lang w:val="it-IT"/>
              </w:rPr>
              <w:t>spp.</w:t>
            </w:r>
          </w:p>
          <w:p w14:paraId="410A6274" w14:textId="77777777" w:rsidR="00676BE0" w:rsidRDefault="00676BE0" w:rsidP="00C87469">
            <w:pPr>
              <w:pStyle w:val="Tabletext"/>
              <w:ind w:left="227"/>
              <w:rPr>
                <w:i/>
              </w:rPr>
            </w:pPr>
            <w:proofErr w:type="spellStart"/>
            <w:r w:rsidRPr="00E751CD">
              <w:rPr>
                <w:i/>
              </w:rPr>
              <w:t>Raoultella</w:t>
            </w:r>
            <w:proofErr w:type="spellEnd"/>
            <w:r w:rsidRPr="00E751CD">
              <w:rPr>
                <w:i/>
              </w:rPr>
              <w:t xml:space="preserve"> </w:t>
            </w:r>
            <w:r w:rsidRPr="00835E68">
              <w:rPr>
                <w:iCs/>
              </w:rPr>
              <w:t>spp.</w:t>
            </w:r>
          </w:p>
          <w:p w14:paraId="466FE3B1" w14:textId="77777777" w:rsidR="00676BE0" w:rsidRDefault="00676BE0" w:rsidP="00C87469">
            <w:pPr>
              <w:pStyle w:val="Tabletext"/>
              <w:ind w:left="227"/>
              <w:rPr>
                <w:i/>
              </w:rPr>
            </w:pPr>
            <w:r w:rsidRPr="00E751CD">
              <w:rPr>
                <w:i/>
              </w:rPr>
              <w:t xml:space="preserve">Salmonella </w:t>
            </w:r>
            <w:r w:rsidRPr="00835E68">
              <w:rPr>
                <w:iCs/>
              </w:rPr>
              <w:t>spp.</w:t>
            </w:r>
          </w:p>
          <w:p w14:paraId="4D7ED830" w14:textId="77777777" w:rsidR="00676BE0" w:rsidRDefault="00676BE0" w:rsidP="00C87469">
            <w:pPr>
              <w:pStyle w:val="Tabletext"/>
              <w:ind w:left="227"/>
              <w:rPr>
                <w:i/>
              </w:rPr>
            </w:pPr>
            <w:r w:rsidRPr="00E751CD">
              <w:rPr>
                <w:i/>
              </w:rPr>
              <w:t xml:space="preserve">Serratia </w:t>
            </w:r>
            <w:r w:rsidRPr="00835E68">
              <w:rPr>
                <w:iCs/>
              </w:rPr>
              <w:t>spp.</w:t>
            </w:r>
          </w:p>
          <w:p w14:paraId="16388FF1" w14:textId="77777777" w:rsidR="00676BE0" w:rsidRDefault="00676BE0" w:rsidP="00C87469">
            <w:pPr>
              <w:pStyle w:val="Tabletext"/>
              <w:ind w:left="227"/>
              <w:rPr>
                <w:i/>
              </w:rPr>
            </w:pPr>
            <w:r w:rsidRPr="00E751CD">
              <w:rPr>
                <w:i/>
              </w:rPr>
              <w:t xml:space="preserve">Shigella </w:t>
            </w:r>
            <w:r w:rsidRPr="00835E68">
              <w:rPr>
                <w:iCs/>
              </w:rPr>
              <w:t>spp.</w:t>
            </w:r>
          </w:p>
          <w:p w14:paraId="7BFC6998" w14:textId="58C7971F" w:rsidR="00847168" w:rsidRPr="00676BE0" w:rsidRDefault="00676BE0" w:rsidP="00C87469">
            <w:pPr>
              <w:spacing w:before="80" w:after="60" w:line="240" w:lineRule="auto"/>
              <w:ind w:left="227"/>
              <w:rPr>
                <w:i/>
                <w:iCs/>
                <w:lang w:val="it-IT"/>
              </w:rPr>
            </w:pPr>
            <w:r w:rsidRPr="00E751CD">
              <w:rPr>
                <w:i/>
                <w:iCs/>
                <w:lang w:val="it-IT"/>
              </w:rPr>
              <w:t xml:space="preserve">Yersinia </w:t>
            </w:r>
            <w:r w:rsidRPr="00835E68">
              <w:rPr>
                <w:lang w:val="it-IT"/>
              </w:rPr>
              <w:t>spp.</w:t>
            </w:r>
          </w:p>
        </w:tc>
      </w:tr>
      <w:tr w:rsidR="006E19B6" w14:paraId="763E3421" w14:textId="77777777" w:rsidTr="00FF3925">
        <w:trPr>
          <w:trHeight w:val="1050"/>
        </w:trPr>
        <w:tc>
          <w:tcPr>
            <w:tcW w:w="9288" w:type="dxa"/>
            <w:gridSpan w:val="3"/>
            <w:tcBorders>
              <w:top w:val="nil"/>
            </w:tcBorders>
            <w:shd w:val="clear" w:color="auto" w:fill="F8E8ED"/>
          </w:tcPr>
          <w:p w14:paraId="1D7D6B4B" w14:textId="77777777" w:rsidR="006E19B6" w:rsidRPr="00E751CD" w:rsidRDefault="006E19B6" w:rsidP="009921FD">
            <w:pPr>
              <w:pStyle w:val="Tabletext"/>
            </w:pPr>
            <w:r w:rsidRPr="00E751CD">
              <w:t>Non-Enterobacterales CPO include:</w:t>
            </w:r>
          </w:p>
          <w:p w14:paraId="56DC8521" w14:textId="7F0456D7" w:rsidR="006E19B6" w:rsidRDefault="006E19B6" w:rsidP="009921FD">
            <w:pPr>
              <w:pStyle w:val="Tablebullet1"/>
              <w:rPr>
                <w:i/>
                <w:iCs/>
              </w:rPr>
            </w:pPr>
            <w:r w:rsidRPr="00E751CD">
              <w:t>carbapenemase-producing</w:t>
            </w:r>
            <w:r w:rsidRPr="00E751CD">
              <w:rPr>
                <w:i/>
                <w:iCs/>
              </w:rPr>
              <w:t xml:space="preserve"> Pseudomonas </w:t>
            </w:r>
            <w:r w:rsidRPr="00E30C7C">
              <w:t>spp.</w:t>
            </w:r>
            <w:r>
              <w:t>,</w:t>
            </w:r>
            <w:r w:rsidRPr="00E751CD">
              <w:t xml:space="preserve"> typically </w:t>
            </w:r>
            <w:r w:rsidRPr="00E751CD">
              <w:rPr>
                <w:i/>
                <w:iCs/>
              </w:rPr>
              <w:t xml:space="preserve">Pseudomonas </w:t>
            </w:r>
            <w:proofErr w:type="gramStart"/>
            <w:r w:rsidRPr="00E751CD">
              <w:rPr>
                <w:i/>
                <w:iCs/>
              </w:rPr>
              <w:t>aeruginosa</w:t>
            </w:r>
            <w:proofErr w:type="gramEnd"/>
          </w:p>
          <w:p w14:paraId="69C2EE55" w14:textId="493A00C1" w:rsidR="006E19B6" w:rsidRPr="006E19B6" w:rsidRDefault="006E19B6" w:rsidP="009921FD">
            <w:pPr>
              <w:pStyle w:val="Tablebullet1"/>
              <w:rPr>
                <w:i/>
                <w:iCs/>
              </w:rPr>
            </w:pPr>
            <w:r w:rsidRPr="00E751CD">
              <w:t>carbapenemase-producing</w:t>
            </w:r>
            <w:r w:rsidRPr="006E19B6">
              <w:rPr>
                <w:i/>
                <w:iCs/>
              </w:rPr>
              <w:t xml:space="preserve"> Acinetobacter </w:t>
            </w:r>
            <w:r w:rsidRPr="00E30C7C">
              <w:t>spp.</w:t>
            </w:r>
            <w:r w:rsidRPr="006E19B6">
              <w:rPr>
                <w:i/>
                <w:iCs/>
              </w:rPr>
              <w:t xml:space="preserve">, </w:t>
            </w:r>
            <w:r w:rsidRPr="00E751CD">
              <w:t xml:space="preserve">typically </w:t>
            </w:r>
            <w:r w:rsidRPr="006E19B6">
              <w:rPr>
                <w:i/>
                <w:iCs/>
              </w:rPr>
              <w:t>Acinetobacter baumannii</w:t>
            </w:r>
            <w:r w:rsidRPr="00E751CD">
              <w:t>.</w:t>
            </w:r>
          </w:p>
        </w:tc>
      </w:tr>
    </w:tbl>
    <w:p w14:paraId="7533A892" w14:textId="513BD6F6" w:rsidR="00E751CD" w:rsidRPr="00E751CD" w:rsidRDefault="00E751CD" w:rsidP="00171419">
      <w:pPr>
        <w:pStyle w:val="Bodyafterbullets"/>
      </w:pPr>
      <w:r w:rsidRPr="00E751CD">
        <w:t xml:space="preserve">Suspected CPO are </w:t>
      </w:r>
      <w:r w:rsidR="005B4CE1">
        <w:t xml:space="preserve">isolates of Enterobacterales, </w:t>
      </w:r>
      <w:r w:rsidR="005B4CE1" w:rsidRPr="00C85D4D">
        <w:rPr>
          <w:i/>
          <w:iCs/>
        </w:rPr>
        <w:t>Pseudomonas</w:t>
      </w:r>
      <w:r w:rsidR="005B4CE1">
        <w:t xml:space="preserve"> or </w:t>
      </w:r>
      <w:r w:rsidR="005B4CE1" w:rsidRPr="00C85D4D">
        <w:rPr>
          <w:i/>
          <w:iCs/>
        </w:rPr>
        <w:t>Acinetobacter</w:t>
      </w:r>
      <w:r w:rsidRPr="00E751CD">
        <w:t xml:space="preserve"> </w:t>
      </w:r>
      <w:r w:rsidR="00A1198B">
        <w:t>with</w:t>
      </w:r>
      <w:r w:rsidRPr="00E751CD">
        <w:t xml:space="preserve"> phenotypic characteristics suggestive of carbapenemase gene presence</w:t>
      </w:r>
      <w:r w:rsidR="00C37578">
        <w:t>,</w:t>
      </w:r>
      <w:r w:rsidRPr="00E751CD">
        <w:t xml:space="preserve"> but not yet confirmed. Confirmed CPO are organisms from the list above where presence of a</w:t>
      </w:r>
      <w:r w:rsidR="008F7241">
        <w:t>n acquired</w:t>
      </w:r>
      <w:r w:rsidRPr="00E751CD">
        <w:t xml:space="preserve"> carbapenemase-encoding gene has been confirmed by polymerase chain reaction (PCR) or genomic sequencing. Isolates from clinical, screening, or environmental samples are included in the scope of this guideline.</w:t>
      </w:r>
      <w:r w:rsidR="008D1759">
        <w:t xml:space="preserve"> Definitions of suspected and </w:t>
      </w:r>
      <w:r w:rsidR="007E47B0">
        <w:t>confirmed</w:t>
      </w:r>
      <w:r w:rsidR="008D1759">
        <w:t xml:space="preserve"> CPE, CPA and CPP cases are outlined in the Glossary. </w:t>
      </w:r>
    </w:p>
    <w:p w14:paraId="59D6E3FF" w14:textId="29999B88" w:rsidR="00E751CD" w:rsidRPr="00E751CD" w:rsidRDefault="00E751CD" w:rsidP="00E751CD">
      <w:pPr>
        <w:pStyle w:val="Body"/>
      </w:pPr>
      <w:r w:rsidRPr="007E47B0">
        <w:t xml:space="preserve">The microbiological scope of this guideline is consistent with the Australian Commission on Safety and Quality in Health Care </w:t>
      </w:r>
      <w:hyperlink r:id="rId24" w:history="1">
        <w:r w:rsidR="007E47B0" w:rsidRPr="003A53AC">
          <w:rPr>
            <w:rStyle w:val="Hyperlink"/>
          </w:rPr>
          <w:t>2021 R</w:t>
        </w:r>
        <w:r w:rsidRPr="003A53AC">
          <w:rPr>
            <w:rStyle w:val="Hyperlink"/>
          </w:rPr>
          <w:t>ecommendations for the control of CPE</w:t>
        </w:r>
      </w:hyperlink>
      <w:r w:rsidR="007E47B0" w:rsidRPr="003A53AC">
        <w:t xml:space="preserve"> &lt;</w:t>
      </w:r>
      <w:r w:rsidR="007E47B0" w:rsidRPr="007E47B0">
        <w:t>https://www.safetyandquality.gov.au/our-work/infection-prevention-and-control/carbapenemase-producing-enterobacterales&gt;.</w:t>
      </w:r>
      <w:r w:rsidRPr="007E47B0">
        <w:t xml:space="preserve"> This reflects the greater risk that CPE carries for local transmission, including health service outbreaks and potential multi-jurisdictional spread.</w:t>
      </w:r>
    </w:p>
    <w:p w14:paraId="23F58A53" w14:textId="4E656D38" w:rsidR="004F393F" w:rsidRDefault="00E751CD" w:rsidP="00E751CD">
      <w:pPr>
        <w:pStyle w:val="Body"/>
      </w:pPr>
      <w:r w:rsidRPr="00E751CD">
        <w:t>The scope of this guideline does NOT extend to non-carbapenemase-producing CRO that are phenotypically resistant to carbapenem</w:t>
      </w:r>
      <w:r w:rsidR="008F7241">
        <w:t>s</w:t>
      </w:r>
      <w:r w:rsidRPr="00E751CD">
        <w:t xml:space="preserve"> </w:t>
      </w:r>
      <w:r w:rsidR="008F7241">
        <w:t xml:space="preserve">by </w:t>
      </w:r>
      <w:r w:rsidRPr="00E751CD">
        <w:t xml:space="preserve">mechanisms other than carbapenemase production. Although non-carbapenemase producing CRO pose a lower risk of transmission, it is important to note they are still clinically significant and </w:t>
      </w:r>
      <w:r w:rsidR="00346528">
        <w:t xml:space="preserve">may </w:t>
      </w:r>
      <w:r w:rsidRPr="00E751CD">
        <w:t xml:space="preserve">require precautionary infection and prevention control (IPC) actions similar to those described here for CPO (see </w:t>
      </w:r>
      <w:hyperlink w:anchor="_Section_4:_Laboratory" w:history="1">
        <w:r w:rsidRPr="00553A99">
          <w:rPr>
            <w:rStyle w:val="Hyperlink"/>
          </w:rPr>
          <w:t>Section 4</w:t>
        </w:r>
      </w:hyperlink>
      <w:r w:rsidRPr="00E751CD">
        <w:t xml:space="preserve">). The necessary control actions are similar to those required for a variety of multi-resistant organisms, and are specified in the </w:t>
      </w:r>
      <w:hyperlink r:id="rId25" w:history="1">
        <w:r w:rsidRPr="00E751CD">
          <w:rPr>
            <w:rStyle w:val="Hyperlink"/>
          </w:rPr>
          <w:t>Australian Guidelines for the Prevention and Control of Infection in Healthcare</w:t>
        </w:r>
      </w:hyperlink>
      <w:r w:rsidRPr="00E751CD">
        <w:t xml:space="preserve"> &lt;www.nhmrc.gov.au/about-us/publications/australian-guidelines-prevention-and-control-infection-healthcare-2019&gt; and the Victorian </w:t>
      </w:r>
      <w:hyperlink r:id="rId26">
        <w:r w:rsidRPr="00E751CD">
          <w:rPr>
            <w:rStyle w:val="Hyperlink"/>
          </w:rPr>
          <w:t>Patient-centred risk management strategy for multi-resistant organisms</w:t>
        </w:r>
      </w:hyperlink>
      <w:r w:rsidRPr="00E751CD">
        <w:t xml:space="preserve"> &lt;</w:t>
      </w:r>
      <w:r w:rsidR="00650E8B" w:rsidRPr="00650E8B">
        <w:t>www</w:t>
      </w:r>
      <w:r w:rsidRPr="00E751CD">
        <w:t>.health.vic.gov.au/infectious-diseases/patient-</w:t>
      </w:r>
      <w:r w:rsidR="00650E8B" w:rsidRPr="00650E8B">
        <w:t>centred-risk</w:t>
      </w:r>
      <w:r w:rsidRPr="00E751CD">
        <w:t>-management-</w:t>
      </w:r>
      <w:r w:rsidR="00650E8B" w:rsidRPr="00650E8B">
        <w:t>strategy-for-</w:t>
      </w:r>
      <w:r w:rsidRPr="00E751CD">
        <w:t>multi-resistant</w:t>
      </w:r>
      <w:r w:rsidR="00650E8B" w:rsidRPr="00650E8B">
        <w:t>-organisms</w:t>
      </w:r>
      <w:r w:rsidRPr="00E751CD">
        <w:t>&gt;.</w:t>
      </w:r>
    </w:p>
    <w:p w14:paraId="241BE6C5" w14:textId="77777777" w:rsidR="004F393F" w:rsidRDefault="004F393F">
      <w:pPr>
        <w:spacing w:after="0" w:line="240" w:lineRule="auto"/>
        <w:rPr>
          <w:rFonts w:eastAsia="Times"/>
        </w:rPr>
      </w:pPr>
      <w:r>
        <w:br w:type="page"/>
      </w:r>
    </w:p>
    <w:p w14:paraId="1DC86015" w14:textId="77777777" w:rsidR="00E751CD" w:rsidRPr="00E751CD" w:rsidRDefault="00E751CD" w:rsidP="00171419">
      <w:pPr>
        <w:pStyle w:val="Heading2"/>
        <w:rPr>
          <w:rFonts w:eastAsia="Times"/>
        </w:rPr>
      </w:pPr>
      <w:bookmarkStart w:id="16" w:name="_Toc440553292"/>
      <w:bookmarkStart w:id="17" w:name="_Toc108539913"/>
      <w:bookmarkStart w:id="18" w:name="_Toc149319542"/>
      <w:r w:rsidRPr="00E751CD">
        <w:rPr>
          <w:rFonts w:eastAsia="Times"/>
        </w:rPr>
        <w:lastRenderedPageBreak/>
        <w:t>Epidemiology of CPO</w:t>
      </w:r>
      <w:bookmarkEnd w:id="16"/>
      <w:bookmarkEnd w:id="17"/>
      <w:bookmarkEnd w:id="18"/>
    </w:p>
    <w:p w14:paraId="2B1AB582" w14:textId="77777777" w:rsidR="00E751CD" w:rsidRPr="00E751CD" w:rsidRDefault="00E751CD" w:rsidP="00E751CD">
      <w:pPr>
        <w:pStyle w:val="Body"/>
      </w:pPr>
      <w:r w:rsidRPr="00E751CD">
        <w:t xml:space="preserve">The general burden of CPO in Australia is lower than that observed in some areas of Europe, North America, the Middle </w:t>
      </w:r>
      <w:proofErr w:type="gramStart"/>
      <w:r w:rsidRPr="00E751CD">
        <w:t>East</w:t>
      </w:r>
      <w:proofErr w:type="gramEnd"/>
      <w:r w:rsidRPr="00E751CD">
        <w:t xml:space="preserve"> and Asia. Regulation of antimicrobial usage and geographical isolation may have contributed to keeping national rates of CPO low.</w:t>
      </w:r>
    </w:p>
    <w:p w14:paraId="3AB218B0" w14:textId="77777777" w:rsidR="00E751CD" w:rsidRPr="00E751CD" w:rsidRDefault="00E751CD" w:rsidP="00E751CD">
      <w:pPr>
        <w:pStyle w:val="Body"/>
      </w:pPr>
      <w:r w:rsidRPr="00E751CD">
        <w:t>Prior to 2012, identification of CPO in Victoria was limited to patients with recent overseas hospitalisation in high burden countries and low-level transmission of IMP producing bacteria in patients with long-term hospitalisation within Australia.</w:t>
      </w:r>
    </w:p>
    <w:p w14:paraId="5D69F752" w14:textId="58D9E415" w:rsidR="00E751CD" w:rsidRPr="00E751CD" w:rsidRDefault="00E751CD" w:rsidP="00E751CD">
      <w:pPr>
        <w:pStyle w:val="Body"/>
      </w:pPr>
      <w:r w:rsidRPr="00E751CD">
        <w:t xml:space="preserve">An increase in one </w:t>
      </w:r>
      <w:proofErr w:type="gramStart"/>
      <w:r w:rsidRPr="00E751CD">
        <w:t>particular carbapenemase</w:t>
      </w:r>
      <w:proofErr w:type="gramEnd"/>
      <w:r w:rsidRPr="00E751CD">
        <w:rPr>
          <w:i/>
          <w:iCs/>
        </w:rPr>
        <w:t>,</w:t>
      </w:r>
      <w:r w:rsidRPr="00E751CD">
        <w:t xml:space="preserve"> </w:t>
      </w:r>
      <w:r w:rsidRPr="00E751CD">
        <w:rPr>
          <w:i/>
          <w:iCs/>
        </w:rPr>
        <w:t xml:space="preserve">Klebsiella pneumonia </w:t>
      </w:r>
      <w:r w:rsidRPr="00E751CD">
        <w:t>carbapenemase (KPC), was observed throughout Victoria between 2012 and 2015. Many affected patients reported no recent travel. In 2015, an investigation concluded that KPC transmission in Victoria was driven by discrete healthcare associated outbreaks in a small number of healthcare facilities. In line with previous international recommendations, a statewide epidemiological and laboratory surveillance system for CPE in Victoria was commenced in 2015.</w:t>
      </w:r>
    </w:p>
    <w:p w14:paraId="4541E765" w14:textId="6BF2E2EE" w:rsidR="00E751CD" w:rsidRPr="00E751CD" w:rsidRDefault="00E751CD" w:rsidP="00E751CD">
      <w:pPr>
        <w:pStyle w:val="Body"/>
      </w:pPr>
      <w:r w:rsidRPr="00E751CD">
        <w:t xml:space="preserve">Systematic surveillance in Victoria has since detected a wide variety of carbapenemase genes. Data from 2016 to end of June 2022 highlight specific genes more likely to be associated with either local clusters and outbreaks or with overseas acquisition. IMP genes have dominated among local clusters and outbreaks (67%) followed by NDM genes (18%), KPC genes (10%) and a </w:t>
      </w:r>
      <w:r w:rsidR="008F7241">
        <w:t xml:space="preserve">smaller number </w:t>
      </w:r>
      <w:r w:rsidRPr="00E751CD">
        <w:t xml:space="preserve">of other genes (approx. 4%). </w:t>
      </w:r>
      <w:r w:rsidR="008F7241">
        <w:t>Carbapenemase genes most likely to be acquired o</w:t>
      </w:r>
      <w:r w:rsidRPr="00E751CD">
        <w:t>verseas include NDM (57%), OXA-181 (14%), OXA-48 (10%), OXA-232 (5%), KPC (5%) and other genes (approx. 8%). Local transmission within and between Victorian health services has also occurred, enabling focussed control measures. Endemic spread of CPE in Victoria has not been observed outside these networks.</w:t>
      </w:r>
    </w:p>
    <w:p w14:paraId="0C56E908" w14:textId="13279532" w:rsidR="00E751CD" w:rsidRPr="00E751CD" w:rsidRDefault="00E751CD" w:rsidP="00E751CD">
      <w:pPr>
        <w:pStyle w:val="Body"/>
      </w:pPr>
      <w:r w:rsidRPr="00E751CD">
        <w:t>Carbapenemase genes may be transmitted between bacterial species on mobile genetic elements</w:t>
      </w:r>
      <w:r w:rsidR="008F7241">
        <w:t>, such as plasmids</w:t>
      </w:r>
      <w:r w:rsidRPr="00E751CD">
        <w:t>. This means multi-species (or multi-clonal) outbreaks may occur, which were not captured as transmission events under the previous CPE guidelines.</w:t>
      </w:r>
    </w:p>
    <w:p w14:paraId="7D369B7D" w14:textId="0BD20262" w:rsidR="00E751CD" w:rsidRPr="00E751CD" w:rsidRDefault="00E751CD" w:rsidP="00E751CD">
      <w:pPr>
        <w:pStyle w:val="Body"/>
      </w:pPr>
      <w:r w:rsidRPr="00E751CD">
        <w:t>In Victoria, NDM carbapenemase genes ha</w:t>
      </w:r>
      <w:r w:rsidR="00CF080A">
        <w:t>ve</w:t>
      </w:r>
      <w:r w:rsidRPr="00E751CD">
        <w:t xml:space="preserve"> historically been identified in people hospitalised in high burden countries, most commonly India, </w:t>
      </w:r>
      <w:proofErr w:type="gramStart"/>
      <w:r w:rsidRPr="00E751CD">
        <w:t>Greece</w:t>
      </w:r>
      <w:proofErr w:type="gramEnd"/>
      <w:r w:rsidRPr="00E751CD">
        <w:t xml:space="preserve"> and Thailand. However, since 2019, an increasing number of CPE cases in Victoria carrying the NDM-1 gene </w:t>
      </w:r>
      <w:r w:rsidR="00CF080A">
        <w:t xml:space="preserve">without </w:t>
      </w:r>
      <w:r w:rsidRPr="00E751CD">
        <w:t xml:space="preserve">travel history have been observed, indicating </w:t>
      </w:r>
      <w:r w:rsidR="00D60D87">
        <w:t>local acquisition</w:t>
      </w:r>
      <w:r w:rsidRPr="00E751CD">
        <w:t>. However, most of the non-travel associated cases have appeared in unique species, MLST, and/or phylogenetic groupings and possible transmission events could not be investigated or declared under the previous CPE guidelines.</w:t>
      </w:r>
      <w:r w:rsidR="005B4CE1">
        <w:t xml:space="preserve"> </w:t>
      </w:r>
      <w:r w:rsidR="00CF080A">
        <w:t>T</w:t>
      </w:r>
      <w:r w:rsidRPr="00E751CD">
        <w:t>he rapid increase in case numbers and concentration in a small number of health services suggests non-clonal transmission of the NDM-1 gene may be occurring through dissemination of the NDM-1 containing plasmid or other mobile genetic elements, resulting in a potential multi-species outbreak. Further genomic analysis of the isolates is being undertaken, as well as systematic epidemiological data collection and analysis.</w:t>
      </w:r>
    </w:p>
    <w:p w14:paraId="32F80478" w14:textId="12B233A2" w:rsidR="00E751CD" w:rsidRPr="00E751CD" w:rsidRDefault="00E751CD" w:rsidP="00E751CD">
      <w:pPr>
        <w:pStyle w:val="Body"/>
      </w:pPr>
      <w:r w:rsidRPr="00E751CD">
        <w:t>Central to this document is an acknowledgment of the time-limited opportunity for control afforded by Australia’s currently low rates of CPO, and that a public health approach beyond a single healthcare facility is essential to containment. These approaches are therefore focused on prevention and, where identified, timely elimination of local transmission.</w:t>
      </w:r>
    </w:p>
    <w:p w14:paraId="4812462F" w14:textId="354BFFAD" w:rsidR="00171419" w:rsidRDefault="00171419">
      <w:pPr>
        <w:spacing w:after="0" w:line="240" w:lineRule="auto"/>
        <w:rPr>
          <w:rFonts w:eastAsia="Times"/>
        </w:rPr>
      </w:pPr>
      <w:r>
        <w:br w:type="page"/>
      </w:r>
    </w:p>
    <w:p w14:paraId="5240CCF4" w14:textId="77777777" w:rsidR="00171419" w:rsidRPr="00171419" w:rsidRDefault="00171419" w:rsidP="00171419">
      <w:pPr>
        <w:pStyle w:val="Heading1"/>
      </w:pPr>
      <w:bookmarkStart w:id="19" w:name="_Toc108539914"/>
      <w:bookmarkStart w:id="20" w:name="_Toc149319543"/>
      <w:r w:rsidRPr="00171419">
        <w:lastRenderedPageBreak/>
        <w:t>Section 2: Governance</w:t>
      </w:r>
      <w:bookmarkEnd w:id="19"/>
      <w:bookmarkEnd w:id="20"/>
    </w:p>
    <w:p w14:paraId="1B039146" w14:textId="77777777" w:rsidR="00171419" w:rsidRPr="00171419" w:rsidRDefault="00171419" w:rsidP="00171419">
      <w:pPr>
        <w:pStyle w:val="Heading2"/>
        <w:rPr>
          <w:rFonts w:eastAsia="Times"/>
        </w:rPr>
      </w:pPr>
      <w:bookmarkStart w:id="21" w:name="_Toc108539915"/>
      <w:bookmarkStart w:id="22" w:name="_Toc149319544"/>
      <w:bookmarkStart w:id="23" w:name="_Toc440553295"/>
      <w:r w:rsidRPr="00171419">
        <w:rPr>
          <w:rFonts w:eastAsia="Times"/>
        </w:rPr>
        <w:t>Roles and responsibilities of all agencies</w:t>
      </w:r>
      <w:bookmarkEnd w:id="21"/>
      <w:bookmarkEnd w:id="22"/>
    </w:p>
    <w:p w14:paraId="72E8E732" w14:textId="77777777" w:rsidR="00171419" w:rsidRPr="00171419" w:rsidRDefault="00171419" w:rsidP="00171419">
      <w:pPr>
        <w:pStyle w:val="Heading3"/>
      </w:pPr>
      <w:r w:rsidRPr="00171419">
        <w:t>Department of Health</w:t>
      </w:r>
    </w:p>
    <w:p w14:paraId="6BFA4EEA" w14:textId="7F14A0C6" w:rsidR="00171419" w:rsidRPr="00171419" w:rsidRDefault="00171419" w:rsidP="00171419">
      <w:pPr>
        <w:pStyle w:val="Body"/>
      </w:pPr>
      <w:r w:rsidRPr="00171419">
        <w:t xml:space="preserve">The department is the lead agency for the statewide </w:t>
      </w:r>
      <w:r w:rsidR="00DF633B">
        <w:t xml:space="preserve">strategic </w:t>
      </w:r>
      <w:r w:rsidRPr="00171419">
        <w:t>response to CPO. The department engage</w:t>
      </w:r>
      <w:r w:rsidR="009E125A">
        <w:t>s with</w:t>
      </w:r>
      <w:r w:rsidRPr="00171419">
        <w:t xml:space="preserve"> the Microbiological Diagnostic Unit Public Health Laboratory (MDU PHL) </w:t>
      </w:r>
      <w:r w:rsidR="003B3799">
        <w:t xml:space="preserve">and Local Public Health Units (LPHUs) </w:t>
      </w:r>
      <w:r w:rsidRPr="00171419">
        <w:t>to assist with the surveillance and response to CPO in Victoria.</w:t>
      </w:r>
      <w:r w:rsidR="00FC7045">
        <w:t xml:space="preserve"> </w:t>
      </w:r>
    </w:p>
    <w:p w14:paraId="7CB25A9E" w14:textId="7A33FB0E" w:rsidR="00171419" w:rsidRPr="00171419" w:rsidRDefault="008C5A57" w:rsidP="00171419">
      <w:pPr>
        <w:pStyle w:val="Body"/>
      </w:pPr>
      <w:r>
        <w:t>All</w:t>
      </w:r>
      <w:r w:rsidR="00171419" w:rsidRPr="00171419">
        <w:t xml:space="preserve"> suspected or confirmed CPO cases </w:t>
      </w:r>
      <w:r>
        <w:t xml:space="preserve">are notified to the department. The department also </w:t>
      </w:r>
      <w:r w:rsidR="00171419" w:rsidRPr="00171419">
        <w:t>maintain</w:t>
      </w:r>
      <w:r w:rsidR="008D6AEB">
        <w:t>s</w:t>
      </w:r>
      <w:r w:rsidR="00171419" w:rsidRPr="00171419">
        <w:t xml:space="preserve"> the database for all information collected during the investigation of cases.</w:t>
      </w:r>
    </w:p>
    <w:p w14:paraId="614B6A17" w14:textId="686CF9DB" w:rsidR="00171419" w:rsidRPr="00171419" w:rsidRDefault="00171419" w:rsidP="00171419">
      <w:pPr>
        <w:pStyle w:val="Body"/>
      </w:pPr>
      <w:r w:rsidRPr="00171419">
        <w:t>The relevant roles for the department include:</w:t>
      </w:r>
    </w:p>
    <w:p w14:paraId="2531D697" w14:textId="77777777" w:rsidR="00171419" w:rsidRPr="00171419" w:rsidRDefault="00171419" w:rsidP="00070500">
      <w:pPr>
        <w:pStyle w:val="Bullet1"/>
      </w:pPr>
      <w:r w:rsidRPr="00171419">
        <w:t>maintaining a notifiable conditions surveillance and response capability and capacity</w:t>
      </w:r>
    </w:p>
    <w:p w14:paraId="0402175B" w14:textId="77777777" w:rsidR="00171419" w:rsidRPr="00171419" w:rsidRDefault="00171419" w:rsidP="00070500">
      <w:pPr>
        <w:pStyle w:val="Bullet1"/>
      </w:pPr>
      <w:r w:rsidRPr="00171419">
        <w:t>providing oversight of quality and safety in Victorian health services</w:t>
      </w:r>
    </w:p>
    <w:p w14:paraId="5F46AFE2" w14:textId="2331A28B" w:rsidR="00171419" w:rsidRPr="00171419" w:rsidRDefault="00171419" w:rsidP="00070500">
      <w:pPr>
        <w:pStyle w:val="Bullet1"/>
      </w:pPr>
      <w:r w:rsidRPr="00171419">
        <w:t>activating and maintaining the AMR-IMT when required.</w:t>
      </w:r>
    </w:p>
    <w:p w14:paraId="35D6694A" w14:textId="48F71FCB" w:rsidR="00171419" w:rsidRPr="00171419" w:rsidRDefault="00171419" w:rsidP="00171419">
      <w:pPr>
        <w:pStyle w:val="Heading3"/>
      </w:pPr>
      <w:r w:rsidRPr="00171419">
        <w:t>MDU PHL</w:t>
      </w:r>
    </w:p>
    <w:p w14:paraId="7D91FCD8" w14:textId="33A784EA" w:rsidR="00171419" w:rsidRPr="00171419" w:rsidRDefault="00171419" w:rsidP="00171419">
      <w:pPr>
        <w:pStyle w:val="Body"/>
      </w:pPr>
      <w:r w:rsidRPr="00171419">
        <w:t xml:space="preserve">MDU PHL </w:t>
      </w:r>
      <w:r w:rsidR="00F45BB6">
        <w:t xml:space="preserve">is a </w:t>
      </w:r>
      <w:r w:rsidRPr="00171419">
        <w:t xml:space="preserve">surveillance partner of the department. </w:t>
      </w:r>
      <w:r w:rsidR="00F45BB6">
        <w:t>MDU PHL</w:t>
      </w:r>
      <w:r w:rsidRPr="00171419">
        <w:t xml:space="preserve"> undertake</w:t>
      </w:r>
      <w:r w:rsidR="00F45BB6">
        <w:t>s</w:t>
      </w:r>
      <w:r w:rsidRPr="00171419">
        <w:t xml:space="preserve"> work in assessing and responding to CPO in Victoria on behalf of the department. </w:t>
      </w:r>
      <w:r w:rsidR="00F45BB6">
        <w:t>It is</w:t>
      </w:r>
      <w:r w:rsidRPr="00171419">
        <w:t xml:space="preserve"> based at the Peter Doherty Institute for Infection and Immunity.</w:t>
      </w:r>
    </w:p>
    <w:p w14:paraId="649DD6D0" w14:textId="5F8FD15D" w:rsidR="00171419" w:rsidRPr="00171419" w:rsidRDefault="00171419" w:rsidP="00171419">
      <w:pPr>
        <w:pStyle w:val="Body"/>
      </w:pPr>
      <w:r w:rsidRPr="00171419">
        <w:t>MDU PHL is Victoria’s bacterial public health reference laboratory. All reports and isolates of suspected and confirmed CPO are sent to MD</w:t>
      </w:r>
      <w:r w:rsidR="000D5CE7">
        <w:t>U</w:t>
      </w:r>
      <w:r w:rsidRPr="00171419">
        <w:t xml:space="preserve"> PHL. They perform further tests to confirm, characterise and sequence CPO isolates. Whole genome sequencing and bioinformatic</w:t>
      </w:r>
      <w:r w:rsidR="00CF080A">
        <w:t xml:space="preserve"> analysis</w:t>
      </w:r>
      <w:r w:rsidRPr="00171419">
        <w:t xml:space="preserve"> </w:t>
      </w:r>
      <w:r w:rsidR="00CF080A">
        <w:t>are</w:t>
      </w:r>
      <w:r w:rsidRPr="00171419">
        <w:t xml:space="preserve"> used to determine how closely related certain isolates are to one another.</w:t>
      </w:r>
    </w:p>
    <w:p w14:paraId="3788ECA3" w14:textId="6AFB9000" w:rsidR="00171419" w:rsidRDefault="00171419" w:rsidP="00171419">
      <w:pPr>
        <w:pStyle w:val="Body"/>
      </w:pPr>
      <w:r w:rsidRPr="00171419">
        <w:t xml:space="preserve">The combined MDU PHL and </w:t>
      </w:r>
      <w:r w:rsidR="00F45BB6">
        <w:t>department</w:t>
      </w:r>
      <w:r w:rsidRPr="00171419">
        <w:t xml:space="preserve"> information is used to establish whether local CPO transmission has occurred and supports the AMR-IMT in their response to transmissions.</w:t>
      </w:r>
    </w:p>
    <w:p w14:paraId="3439FB72" w14:textId="4F733987" w:rsidR="009C3917" w:rsidRDefault="009C3917" w:rsidP="00E2535F">
      <w:pPr>
        <w:pStyle w:val="Heading3"/>
      </w:pPr>
      <w:r>
        <w:t>LPHUs</w:t>
      </w:r>
    </w:p>
    <w:p w14:paraId="4BC5F175" w14:textId="49834ED8" w:rsidR="007B1CF2" w:rsidRDefault="00E2535F" w:rsidP="00E2535F">
      <w:pPr>
        <w:pStyle w:val="Body"/>
      </w:pPr>
      <w:r>
        <w:t xml:space="preserve">LPHUs are responsible for </w:t>
      </w:r>
      <w:r w:rsidR="00140D3E">
        <w:t xml:space="preserve">data </w:t>
      </w:r>
      <w:r w:rsidR="009F7416">
        <w:t xml:space="preserve">collection </w:t>
      </w:r>
      <w:r w:rsidR="00DC6290">
        <w:t>and implement</w:t>
      </w:r>
      <w:r w:rsidR="00465BCF">
        <w:t xml:space="preserve">ing </w:t>
      </w:r>
      <w:r w:rsidR="00E27591">
        <w:t xml:space="preserve">local </w:t>
      </w:r>
      <w:r w:rsidR="00492088">
        <w:t xml:space="preserve">CPO </w:t>
      </w:r>
      <w:r w:rsidR="00DC6290">
        <w:t>prevention and control measures</w:t>
      </w:r>
      <w:r w:rsidR="00E27591">
        <w:t xml:space="preserve">. </w:t>
      </w:r>
      <w:r w:rsidR="003346D6">
        <w:t xml:space="preserve">LPHUs </w:t>
      </w:r>
      <w:r w:rsidR="005209BD">
        <w:t>liais</w:t>
      </w:r>
      <w:r w:rsidR="00A50718">
        <w:t>e</w:t>
      </w:r>
      <w:r w:rsidR="002035CF">
        <w:t xml:space="preserve"> </w:t>
      </w:r>
      <w:r w:rsidR="005209BD">
        <w:t xml:space="preserve">with </w:t>
      </w:r>
      <w:r w:rsidR="004A482C">
        <w:t>IPC teams</w:t>
      </w:r>
      <w:r w:rsidR="005209BD">
        <w:t xml:space="preserve"> and/or clinicians </w:t>
      </w:r>
      <w:r w:rsidR="004A482C">
        <w:t xml:space="preserve">(for example, </w:t>
      </w:r>
      <w:r w:rsidR="009C610C">
        <w:t xml:space="preserve">general practitioners) </w:t>
      </w:r>
      <w:r w:rsidR="005209BD">
        <w:t>to ensure CPO surveillance form</w:t>
      </w:r>
      <w:r w:rsidR="009C610C">
        <w:t>s are completed in a timely manner</w:t>
      </w:r>
      <w:r w:rsidR="00436BAD">
        <w:t xml:space="preserve"> and </w:t>
      </w:r>
      <w:proofErr w:type="gramStart"/>
      <w:r w:rsidR="00436BAD">
        <w:t>provide assistance</w:t>
      </w:r>
      <w:proofErr w:type="gramEnd"/>
      <w:r w:rsidR="00436BAD">
        <w:t xml:space="preserve"> with implementation of control measures when required.</w:t>
      </w:r>
    </w:p>
    <w:p w14:paraId="2948CC9B" w14:textId="77777777" w:rsidR="00927564" w:rsidRPr="000440C2" w:rsidRDefault="00927564" w:rsidP="00927564">
      <w:pPr>
        <w:pStyle w:val="Heading3"/>
      </w:pPr>
      <w:r>
        <w:t>Victorian AMR Response and Surveillance Unit (VASRU)</w:t>
      </w:r>
    </w:p>
    <w:p w14:paraId="42BAA356" w14:textId="519D87F4" w:rsidR="00927564" w:rsidRPr="00E2535F" w:rsidRDefault="00927564" w:rsidP="00E2535F">
      <w:pPr>
        <w:pStyle w:val="Body"/>
      </w:pPr>
      <w:r>
        <w:t>VASRU</w:t>
      </w:r>
      <w:r w:rsidRPr="000440C2">
        <w:t xml:space="preserve"> is a </w:t>
      </w:r>
      <w:r w:rsidR="00805C32">
        <w:t xml:space="preserve">surveillance </w:t>
      </w:r>
      <w:r w:rsidR="0047528E">
        <w:rPr>
          <w:rStyle w:val="normaltextrun"/>
          <w:color w:val="000000"/>
          <w:sz w:val="20"/>
          <w:shd w:val="clear" w:color="auto" w:fill="FFFFFF"/>
        </w:rPr>
        <w:t xml:space="preserve">collaboration </w:t>
      </w:r>
      <w:r w:rsidR="00BB49E5">
        <w:rPr>
          <w:rStyle w:val="normaltextrun"/>
          <w:color w:val="000000"/>
          <w:sz w:val="20"/>
          <w:shd w:val="clear" w:color="auto" w:fill="FFFFFF"/>
        </w:rPr>
        <w:t xml:space="preserve">of </w:t>
      </w:r>
      <w:r w:rsidR="0047528E">
        <w:rPr>
          <w:rStyle w:val="normaltextrun"/>
          <w:color w:val="000000"/>
          <w:sz w:val="20"/>
          <w:shd w:val="clear" w:color="auto" w:fill="FFFFFF"/>
        </w:rPr>
        <w:t>the department, MDU PHL and LPHUs</w:t>
      </w:r>
      <w:r w:rsidR="00BB49E5">
        <w:rPr>
          <w:rStyle w:val="normaltextrun"/>
          <w:color w:val="000000"/>
          <w:sz w:val="20"/>
          <w:shd w:val="clear" w:color="auto" w:fill="FFFFFF"/>
        </w:rPr>
        <w:t xml:space="preserve"> focussing </w:t>
      </w:r>
      <w:r w:rsidR="00D27A5E">
        <w:rPr>
          <w:rStyle w:val="normaltextrun"/>
          <w:color w:val="000000"/>
          <w:sz w:val="20"/>
          <w:shd w:val="clear" w:color="auto" w:fill="FFFFFF"/>
        </w:rPr>
        <w:t>on prevention and, where identified, timely elimination of local CPO transmission</w:t>
      </w:r>
      <w:r w:rsidR="00FE11E7">
        <w:rPr>
          <w:rStyle w:val="normaltextrun"/>
          <w:color w:val="000000"/>
          <w:sz w:val="20"/>
          <w:shd w:val="clear" w:color="auto" w:fill="FFFFFF"/>
        </w:rPr>
        <w:t>.</w:t>
      </w:r>
    </w:p>
    <w:p w14:paraId="1AEAFF03" w14:textId="1A3F7F24" w:rsidR="00171419" w:rsidRPr="00171419" w:rsidRDefault="00171419" w:rsidP="00171419">
      <w:pPr>
        <w:pStyle w:val="Heading3"/>
      </w:pPr>
      <w:r w:rsidRPr="00171419">
        <w:t>AMR-I</w:t>
      </w:r>
      <w:r w:rsidR="00ED1F86">
        <w:t>MT</w:t>
      </w:r>
    </w:p>
    <w:p w14:paraId="4445C8BE" w14:textId="4F099222" w:rsidR="00171419" w:rsidRPr="00171419" w:rsidRDefault="00171419" w:rsidP="00171419">
      <w:pPr>
        <w:pStyle w:val="Body"/>
      </w:pPr>
      <w:r w:rsidRPr="00171419">
        <w:t xml:space="preserve">The </w:t>
      </w:r>
      <w:r w:rsidR="004B2E56">
        <w:t xml:space="preserve">role of the </w:t>
      </w:r>
      <w:r w:rsidRPr="00171419">
        <w:t xml:space="preserve">AMR-IMT is to support and oversee the public health and health service response to CPO. The AMR-IMT is activated at the discretion of the department </w:t>
      </w:r>
      <w:r w:rsidR="003D2545">
        <w:t>in response to</w:t>
      </w:r>
      <w:r w:rsidR="003D2545" w:rsidRPr="00171419">
        <w:t xml:space="preserve"> </w:t>
      </w:r>
      <w:r w:rsidRPr="00171419">
        <w:t>the identification of possible or confirmed local transmission of CPO within Victoria and will remain activated as long as coordination of risk assessment and management is required.</w:t>
      </w:r>
    </w:p>
    <w:p w14:paraId="71984FEC" w14:textId="04C4C8C9" w:rsidR="00171419" w:rsidRPr="00171419" w:rsidRDefault="00171419" w:rsidP="00171419">
      <w:pPr>
        <w:pStyle w:val="Body"/>
      </w:pPr>
      <w:r w:rsidRPr="00171419">
        <w:lastRenderedPageBreak/>
        <w:t xml:space="preserve">The AMR-IMT </w:t>
      </w:r>
      <w:r w:rsidR="000D60E8">
        <w:t xml:space="preserve">reports to </w:t>
      </w:r>
      <w:r w:rsidRPr="00171419">
        <w:t xml:space="preserve">the Victorian Chief Health Officer and will provide advice and guidance on required control measures based on the authority of the </w:t>
      </w:r>
      <w:r w:rsidRPr="00171419">
        <w:rPr>
          <w:i/>
        </w:rPr>
        <w:t>Public Health and Wellbeing Act 2008.</w:t>
      </w:r>
      <w:r w:rsidRPr="00171419">
        <w:t xml:space="preserve"> </w:t>
      </w:r>
      <w:r w:rsidR="0017456A">
        <w:t>Members</w:t>
      </w:r>
      <w:r w:rsidRPr="00171419">
        <w:t xml:space="preserve"> of the AMR-IMT </w:t>
      </w:r>
      <w:r w:rsidR="0017456A">
        <w:t>have</w:t>
      </w:r>
      <w:r w:rsidRPr="00171419">
        <w:t xml:space="preserve"> expertise in:</w:t>
      </w:r>
    </w:p>
    <w:p w14:paraId="7B3F0133" w14:textId="77777777" w:rsidR="00171419" w:rsidRPr="00171419" w:rsidRDefault="00171419" w:rsidP="00070500">
      <w:pPr>
        <w:pStyle w:val="Bullet1"/>
      </w:pPr>
      <w:r w:rsidRPr="00171419">
        <w:t>public health medicine</w:t>
      </w:r>
    </w:p>
    <w:p w14:paraId="3B1DF418" w14:textId="77777777" w:rsidR="00171419" w:rsidRPr="00171419" w:rsidRDefault="00171419" w:rsidP="00070500">
      <w:pPr>
        <w:pStyle w:val="Bullet1"/>
      </w:pPr>
      <w:r w:rsidRPr="00171419">
        <w:t>microbiology</w:t>
      </w:r>
    </w:p>
    <w:p w14:paraId="072A0C39" w14:textId="77777777" w:rsidR="00171419" w:rsidRPr="00171419" w:rsidRDefault="00171419" w:rsidP="00070500">
      <w:pPr>
        <w:pStyle w:val="Bullet1"/>
      </w:pPr>
      <w:r w:rsidRPr="00171419">
        <w:t>infectious diseases</w:t>
      </w:r>
    </w:p>
    <w:p w14:paraId="73238F77" w14:textId="77777777" w:rsidR="00171419" w:rsidRPr="00171419" w:rsidRDefault="00171419" w:rsidP="00070500">
      <w:pPr>
        <w:pStyle w:val="Bullet1"/>
      </w:pPr>
      <w:r w:rsidRPr="00171419">
        <w:t>epidemiology</w:t>
      </w:r>
    </w:p>
    <w:p w14:paraId="3643C13E" w14:textId="77777777" w:rsidR="00171419" w:rsidRPr="00171419" w:rsidRDefault="00171419" w:rsidP="00070500">
      <w:pPr>
        <w:pStyle w:val="Bullet1"/>
      </w:pPr>
      <w:r w:rsidRPr="00171419">
        <w:t>IPC</w:t>
      </w:r>
    </w:p>
    <w:p w14:paraId="6059287C" w14:textId="77777777" w:rsidR="00171419" w:rsidRPr="00171419" w:rsidRDefault="00171419" w:rsidP="00070500">
      <w:pPr>
        <w:pStyle w:val="Bullet1"/>
      </w:pPr>
      <w:r w:rsidRPr="00171419">
        <w:t>communications</w:t>
      </w:r>
    </w:p>
    <w:p w14:paraId="733C3431" w14:textId="77777777" w:rsidR="00171419" w:rsidRPr="00171419" w:rsidRDefault="00171419" w:rsidP="00171419">
      <w:pPr>
        <w:pStyle w:val="Bodyafterbullets"/>
      </w:pPr>
      <w:r w:rsidRPr="00171419">
        <w:t>Appointment to these roles is at the discretion of the Victorian Chief Health Officer or delegate and may comprise internal and/or external participants.</w:t>
      </w:r>
    </w:p>
    <w:p w14:paraId="67AB2719" w14:textId="3B3D511E" w:rsidR="00171419" w:rsidRPr="00171419" w:rsidRDefault="00171419" w:rsidP="00171419">
      <w:pPr>
        <w:pStyle w:val="Body"/>
      </w:pPr>
      <w:r w:rsidRPr="00171419">
        <w:t xml:space="preserve">A member from a health service incident management team (HSIMT) (see below) </w:t>
      </w:r>
      <w:r w:rsidR="005F5058">
        <w:t>will</w:t>
      </w:r>
      <w:r w:rsidR="005F5058" w:rsidRPr="00171419">
        <w:t xml:space="preserve"> </w:t>
      </w:r>
      <w:r w:rsidRPr="00171419">
        <w:t>be invited to join the AMR-IMT. The AMR-IMT will be supported in its functions by MDU PHL, and other agencies, who will perform roles such as assisting in collection of information and provision of advice and guidance.</w:t>
      </w:r>
    </w:p>
    <w:p w14:paraId="2C07C81E" w14:textId="3C1863E5" w:rsidR="00171419" w:rsidRPr="00171419" w:rsidRDefault="00171419" w:rsidP="00171419">
      <w:pPr>
        <w:pStyle w:val="Body"/>
      </w:pPr>
      <w:r w:rsidRPr="00171419">
        <w:t>The AMR-IMT oversee</w:t>
      </w:r>
      <w:r w:rsidR="00EA20AE">
        <w:t>s</w:t>
      </w:r>
      <w:r w:rsidRPr="00171419">
        <w:t xml:space="preserve"> a range of actions, including coordinating a risk assessment, undertaking an epidemiological and microbiological investigation, determining the requirement for control </w:t>
      </w:r>
      <w:proofErr w:type="gramStart"/>
      <w:r w:rsidRPr="00171419">
        <w:t>measures</w:t>
      </w:r>
      <w:proofErr w:type="gramEnd"/>
      <w:r w:rsidRPr="00171419">
        <w:t xml:space="preserve"> and coordinating risk communication activities.</w:t>
      </w:r>
    </w:p>
    <w:p w14:paraId="4194FF2A" w14:textId="77777777" w:rsidR="00171419" w:rsidRPr="00171419" w:rsidRDefault="00171419" w:rsidP="00171419">
      <w:pPr>
        <w:pStyle w:val="Body"/>
      </w:pPr>
      <w:r w:rsidRPr="00171419">
        <w:t>The key decisions that the AMR-IMT has the authority to make include:</w:t>
      </w:r>
    </w:p>
    <w:p w14:paraId="0C0DC70D" w14:textId="79A20DB0" w:rsidR="00171419" w:rsidRPr="00171419" w:rsidRDefault="00171419" w:rsidP="00070500">
      <w:pPr>
        <w:pStyle w:val="Bullet1"/>
        <w:rPr>
          <w:b/>
        </w:rPr>
      </w:pPr>
      <w:r w:rsidRPr="00171419">
        <w:t xml:space="preserve">determining if </w:t>
      </w:r>
      <w:r w:rsidR="00B6680B">
        <w:t>transmission has</w:t>
      </w:r>
      <w:r w:rsidRPr="00171419">
        <w:t xml:space="preserve"> occurred within a health </w:t>
      </w:r>
      <w:proofErr w:type="gramStart"/>
      <w:r w:rsidRPr="00171419">
        <w:t>service</w:t>
      </w:r>
      <w:proofErr w:type="gramEnd"/>
    </w:p>
    <w:p w14:paraId="0799FA91" w14:textId="083145B2" w:rsidR="00171419" w:rsidRPr="00171419" w:rsidRDefault="00171419" w:rsidP="00070500">
      <w:pPr>
        <w:pStyle w:val="Bullet1"/>
        <w:rPr>
          <w:b/>
        </w:rPr>
      </w:pPr>
      <w:r w:rsidRPr="00171419">
        <w:t xml:space="preserve">determining and communicating actions required of the health service to address the </w:t>
      </w:r>
      <w:proofErr w:type="gramStart"/>
      <w:r w:rsidRPr="00171419">
        <w:t>transmission</w:t>
      </w:r>
      <w:proofErr w:type="gramEnd"/>
    </w:p>
    <w:p w14:paraId="392E5309" w14:textId="77777777" w:rsidR="00171419" w:rsidRPr="00171419" w:rsidRDefault="00171419" w:rsidP="00070500">
      <w:pPr>
        <w:pStyle w:val="Bullet1"/>
      </w:pPr>
      <w:r w:rsidRPr="00171419">
        <w:t>determining any other investigation, control action or communication required</w:t>
      </w:r>
    </w:p>
    <w:p w14:paraId="41344940" w14:textId="77777777" w:rsidR="00171419" w:rsidRPr="00171419" w:rsidRDefault="00171419" w:rsidP="00070500">
      <w:pPr>
        <w:pStyle w:val="Bullet1"/>
        <w:rPr>
          <w:b/>
        </w:rPr>
      </w:pPr>
      <w:r w:rsidRPr="00171419">
        <w:t>audits of IPC measures and compliance with these measures by the affected health service.</w:t>
      </w:r>
    </w:p>
    <w:p w14:paraId="0DEAF2F2" w14:textId="0401895F" w:rsidR="00171419" w:rsidRPr="00171419" w:rsidRDefault="00171419" w:rsidP="00171419">
      <w:pPr>
        <w:pStyle w:val="Bodyafterbullets"/>
      </w:pPr>
      <w:r w:rsidRPr="00171419">
        <w:t>The need for a coordinated response to the threat of CPO means that on occasion, there may be different views formed by individual professionals, healthcare facilities, a health service incident management team or the department relating to the CPO control actions and risk communication. The AMR-IMT will retain the responsibility via the chairperson for final decisions on any matter of assessment, control, or communication when there is not unanimous agreement as to the required approach.</w:t>
      </w:r>
    </w:p>
    <w:p w14:paraId="0976E776" w14:textId="77777777" w:rsidR="00171419" w:rsidRPr="00171419" w:rsidRDefault="00171419" w:rsidP="00171419">
      <w:pPr>
        <w:pStyle w:val="Body"/>
      </w:pPr>
      <w:r w:rsidRPr="00171419">
        <w:t>Outcomes and recommendations of AMR-IMT meetings and decisions will be communicated directly to the affected health services. This communication will only be emailed to the:</w:t>
      </w:r>
    </w:p>
    <w:p w14:paraId="319A6087" w14:textId="77777777" w:rsidR="00171419" w:rsidRPr="00171419" w:rsidRDefault="00171419" w:rsidP="00070500">
      <w:pPr>
        <w:pStyle w:val="Bullet1"/>
      </w:pPr>
      <w:r w:rsidRPr="00171419">
        <w:t>health service chief executive</w:t>
      </w:r>
    </w:p>
    <w:p w14:paraId="0A75D989" w14:textId="44759061" w:rsidR="00171419" w:rsidRPr="00171419" w:rsidRDefault="00171419" w:rsidP="00070500">
      <w:pPr>
        <w:pStyle w:val="Bullet1"/>
      </w:pPr>
      <w:r w:rsidRPr="00171419">
        <w:t>medical lead for IPC</w:t>
      </w:r>
      <w:r w:rsidR="00923649">
        <w:t xml:space="preserve"> (if none, director of medicine)</w:t>
      </w:r>
    </w:p>
    <w:p w14:paraId="662722FA" w14:textId="2EC001D2" w:rsidR="00171419" w:rsidRPr="00171419" w:rsidRDefault="00171419" w:rsidP="00070500">
      <w:pPr>
        <w:pStyle w:val="Bullet1"/>
      </w:pPr>
      <w:r w:rsidRPr="00171419">
        <w:t xml:space="preserve">nursing </w:t>
      </w:r>
      <w:r w:rsidR="00923649">
        <w:t xml:space="preserve">manager or </w:t>
      </w:r>
      <w:r w:rsidRPr="00171419">
        <w:t>lead for IPC.</w:t>
      </w:r>
    </w:p>
    <w:p w14:paraId="476FFDEC" w14:textId="64E6F1B0" w:rsidR="00307AA2" w:rsidRDefault="009D2263" w:rsidP="00EB5DAA">
      <w:pPr>
        <w:pStyle w:val="Bodyafterbullets"/>
      </w:pPr>
      <w:r>
        <w:t>At the direction of the department</w:t>
      </w:r>
      <w:r w:rsidR="00063227">
        <w:t xml:space="preserve">, the </w:t>
      </w:r>
      <w:r w:rsidR="00C8649E" w:rsidRPr="00C8649E">
        <w:t>Victorian Healthcare Associated Infection Surveillance System (VICNISS)</w:t>
      </w:r>
      <w:r w:rsidR="00171419" w:rsidRPr="00171419">
        <w:t xml:space="preserve"> </w:t>
      </w:r>
      <w:r w:rsidR="00831F75">
        <w:t>will notify a</w:t>
      </w:r>
      <w:r w:rsidR="00831F75" w:rsidRPr="00160200">
        <w:t>ll other</w:t>
      </w:r>
      <w:r w:rsidR="00831F75">
        <w:t xml:space="preserve"> unaffected</w:t>
      </w:r>
      <w:r w:rsidR="00831F75" w:rsidRPr="00160200">
        <w:t xml:space="preserve"> </w:t>
      </w:r>
      <w:r w:rsidR="00831F75">
        <w:t xml:space="preserve">public and private </w:t>
      </w:r>
      <w:r w:rsidR="00831F75" w:rsidRPr="00160200">
        <w:t>health service</w:t>
      </w:r>
      <w:r w:rsidR="00831F75">
        <w:t xml:space="preserve">s via an email alert directing them to </w:t>
      </w:r>
      <w:r w:rsidR="00831F75" w:rsidRPr="00160200">
        <w:t xml:space="preserve">refer to the </w:t>
      </w:r>
      <w:r w:rsidR="00831F75">
        <w:t xml:space="preserve">restricted </w:t>
      </w:r>
      <w:r w:rsidR="00831F75" w:rsidRPr="00160200">
        <w:t xml:space="preserve">VICNISS website for </w:t>
      </w:r>
      <w:r w:rsidR="00831F75">
        <w:t xml:space="preserve">status </w:t>
      </w:r>
      <w:r w:rsidR="00831F75" w:rsidRPr="00160200">
        <w:t>updates on</w:t>
      </w:r>
      <w:r w:rsidR="00831F75">
        <w:t xml:space="preserve"> Victorian</w:t>
      </w:r>
      <w:r w:rsidR="00831F75" w:rsidRPr="00160200">
        <w:t xml:space="preserve"> </w:t>
      </w:r>
      <w:r w:rsidR="00831F75">
        <w:t>TRA</w:t>
      </w:r>
      <w:r w:rsidR="00677550">
        <w:t>s</w:t>
      </w:r>
      <w:r w:rsidR="00171419" w:rsidRPr="00171419">
        <w:t xml:space="preserve">. </w:t>
      </w:r>
      <w:r w:rsidR="00677550">
        <w:t>On behalf of</w:t>
      </w:r>
      <w:r w:rsidR="00171419" w:rsidRPr="00171419">
        <w:t xml:space="preserve"> the department, VICNISS maintains an up-to-date list of all active TRAs </w:t>
      </w:r>
      <w:r w:rsidR="005A1588" w:rsidRPr="00793B8F">
        <w:t>(</w:t>
      </w:r>
      <w:r w:rsidR="005A1588">
        <w:t>CPOs</w:t>
      </w:r>
      <w:r w:rsidR="005A1588" w:rsidRPr="00793B8F">
        <w:t xml:space="preserve"> and </w:t>
      </w:r>
      <w:r w:rsidR="005A1588" w:rsidRPr="00793B8F">
        <w:rPr>
          <w:i/>
          <w:iCs/>
        </w:rPr>
        <w:t>C</w:t>
      </w:r>
      <w:r w:rsidR="005A1588">
        <w:rPr>
          <w:i/>
          <w:iCs/>
        </w:rPr>
        <w:t>andida</w:t>
      </w:r>
      <w:r w:rsidR="005A1588" w:rsidRPr="00793B8F">
        <w:rPr>
          <w:i/>
          <w:iCs/>
        </w:rPr>
        <w:t xml:space="preserve"> auris</w:t>
      </w:r>
      <w:r w:rsidR="005A1588" w:rsidRPr="00793B8F">
        <w:t xml:space="preserve">) </w:t>
      </w:r>
      <w:r w:rsidR="00171419" w:rsidRPr="00171419">
        <w:t>within a secure online portal. TRA information will remain listed within the portal until 12 months has lapsed since the end of the TRA timeframe.</w:t>
      </w:r>
    </w:p>
    <w:p w14:paraId="1B2AD2C2" w14:textId="77777777" w:rsidR="002C4443" w:rsidRDefault="002C4443">
      <w:pPr>
        <w:spacing w:after="0" w:line="240" w:lineRule="auto"/>
        <w:rPr>
          <w:rFonts w:eastAsia="Times"/>
        </w:rPr>
      </w:pPr>
      <w:r>
        <w:br w:type="page"/>
      </w:r>
    </w:p>
    <w:p w14:paraId="6E69A872" w14:textId="10800ACB" w:rsidR="00287AF7" w:rsidRDefault="00171419" w:rsidP="00EB5DAA">
      <w:pPr>
        <w:pStyle w:val="Bodyafterbullets"/>
      </w:pPr>
      <w:r w:rsidRPr="00171419">
        <w:lastRenderedPageBreak/>
        <w:t xml:space="preserve">Access to this information is restricted to relevant health professionals from Victorian public and private health services and RCFs. Portal access can be granted to relevant staff required to view TRA information such as quality managers, infectious diseases clinicians, infection control practitioners and chief executives but not to the public. Login access to the restricted area is at the discretion of the </w:t>
      </w:r>
      <w:r w:rsidR="00CE2903">
        <w:t>IPC</w:t>
      </w:r>
      <w:r w:rsidRPr="00171419">
        <w:t xml:space="preserve"> coordinator or equivalent at each facility and/or VICNISS. For any enquiries regarding access/registration phone VICNISS on 9342 9333 or </w:t>
      </w:r>
      <w:hyperlink r:id="rId27" w:history="1">
        <w:r w:rsidRPr="00171419">
          <w:rPr>
            <w:rStyle w:val="Hyperlink"/>
          </w:rPr>
          <w:t>email VICNISS</w:t>
        </w:r>
      </w:hyperlink>
      <w:r w:rsidRPr="00171419">
        <w:t xml:space="preserve"> &lt;vicniss@mh.org.au&gt;.</w:t>
      </w:r>
    </w:p>
    <w:p w14:paraId="6C433A01" w14:textId="77777777" w:rsidR="00171419" w:rsidRPr="00171419" w:rsidRDefault="00171419" w:rsidP="00171419">
      <w:pPr>
        <w:pStyle w:val="Heading3"/>
      </w:pPr>
      <w:r w:rsidRPr="00171419">
        <w:t>Health services</w:t>
      </w:r>
    </w:p>
    <w:p w14:paraId="6A151785" w14:textId="77777777" w:rsidR="00171419" w:rsidRPr="00171419" w:rsidRDefault="00171419" w:rsidP="00171419">
      <w:pPr>
        <w:pStyle w:val="Body"/>
      </w:pPr>
      <w:r w:rsidRPr="00171419">
        <w:t xml:space="preserve">Health services must implement this guideline and have </w:t>
      </w:r>
      <w:proofErr w:type="gramStart"/>
      <w:r w:rsidRPr="00171419">
        <w:t>a number of</w:t>
      </w:r>
      <w:proofErr w:type="gramEnd"/>
      <w:r w:rsidRPr="00171419">
        <w:t xml:space="preserve"> specific roles and responsibilities as outlined within each chapter.</w:t>
      </w:r>
      <w:bookmarkEnd w:id="23"/>
    </w:p>
    <w:p w14:paraId="46343D88" w14:textId="77777777" w:rsidR="00171419" w:rsidRPr="00171419" w:rsidRDefault="00171419" w:rsidP="00171419">
      <w:pPr>
        <w:pStyle w:val="Heading4"/>
      </w:pPr>
      <w:r w:rsidRPr="00171419">
        <w:t>Management plans for CPO</w:t>
      </w:r>
    </w:p>
    <w:p w14:paraId="5D2959AE" w14:textId="2D3F3C14" w:rsidR="00171419" w:rsidRPr="00171419" w:rsidRDefault="00171419" w:rsidP="00171419">
      <w:pPr>
        <w:pStyle w:val="Body"/>
      </w:pPr>
      <w:r w:rsidRPr="00171419">
        <w:t xml:space="preserve">All health services should develop plans for the prevention, </w:t>
      </w:r>
      <w:proofErr w:type="gramStart"/>
      <w:r w:rsidRPr="00171419">
        <w:t>detection</w:t>
      </w:r>
      <w:proofErr w:type="gramEnd"/>
      <w:r w:rsidRPr="00171419">
        <w:t xml:space="preserve"> and management of CPO. Early diagnosis of CPO colonisation or infection and implementation of the steps described in this guideline will allow for timely identification of patients most at risk of subsequent infection and enable timely implementation of IPC measures in health services to prevent transmission to other patients and the hospital environment.</w:t>
      </w:r>
    </w:p>
    <w:p w14:paraId="166248CC" w14:textId="77777777" w:rsidR="00171419" w:rsidRPr="00171419" w:rsidRDefault="00171419" w:rsidP="00171419">
      <w:pPr>
        <w:pStyle w:val="Body"/>
      </w:pPr>
      <w:r w:rsidRPr="00171419">
        <w:t>This guideline is intended to provide a template to assist health services in the development of individual management plans.</w:t>
      </w:r>
    </w:p>
    <w:p w14:paraId="538F72C1" w14:textId="40297A74" w:rsidR="00171419" w:rsidRPr="00171419" w:rsidRDefault="00171419" w:rsidP="00171419">
      <w:pPr>
        <w:pStyle w:val="Body"/>
      </w:pPr>
      <w:r w:rsidRPr="00171419">
        <w:t>Any health service staff member managing a suspected or confirmed case of CPO should be familiar with the required actions, how to check that these are in place, and who to contact for assistance. Non-laboratory clinicians are not required to report suspected of confirmed cases to the department. Reporting is a laboratory requirement only.</w:t>
      </w:r>
    </w:p>
    <w:p w14:paraId="41323C3E" w14:textId="77777777" w:rsidR="00171419" w:rsidRPr="00171419" w:rsidRDefault="00171419" w:rsidP="00171419">
      <w:pPr>
        <w:pStyle w:val="Body"/>
      </w:pPr>
      <w:r w:rsidRPr="00171419">
        <w:t>The following areas should be covered in any health services plan:</w:t>
      </w:r>
    </w:p>
    <w:p w14:paraId="3F3DE01A" w14:textId="77777777" w:rsidR="00171419" w:rsidRPr="00171419" w:rsidRDefault="00171419" w:rsidP="00070500">
      <w:pPr>
        <w:pStyle w:val="Bullet1"/>
      </w:pPr>
      <w:r w:rsidRPr="00171419">
        <w:t>governance and communication</w:t>
      </w:r>
    </w:p>
    <w:p w14:paraId="43CB2D85" w14:textId="77777777" w:rsidR="00171419" w:rsidRPr="00171419" w:rsidRDefault="00171419" w:rsidP="00070500">
      <w:pPr>
        <w:pStyle w:val="Bullet1"/>
      </w:pPr>
      <w:r w:rsidRPr="00171419">
        <w:t>awareness and prevention of CPO</w:t>
      </w:r>
    </w:p>
    <w:p w14:paraId="649E2C9E" w14:textId="77777777" w:rsidR="00171419" w:rsidRPr="00171419" w:rsidRDefault="00171419" w:rsidP="00070500">
      <w:pPr>
        <w:pStyle w:val="Bullet1"/>
      </w:pPr>
      <w:r w:rsidRPr="00171419">
        <w:t>screening and detection of CPO</w:t>
      </w:r>
    </w:p>
    <w:p w14:paraId="2322996B" w14:textId="77777777" w:rsidR="00171419" w:rsidRPr="00171419" w:rsidRDefault="00171419" w:rsidP="00070500">
      <w:pPr>
        <w:pStyle w:val="Bullet1"/>
      </w:pPr>
      <w:r w:rsidRPr="00171419">
        <w:t>IPC measures.</w:t>
      </w:r>
    </w:p>
    <w:p w14:paraId="0164668E" w14:textId="77777777" w:rsidR="00171419" w:rsidRPr="00171419" w:rsidRDefault="00171419" w:rsidP="00171419">
      <w:pPr>
        <w:pStyle w:val="Heading4"/>
      </w:pPr>
      <w:bookmarkStart w:id="24" w:name="_Health_Service_Incident"/>
      <w:bookmarkEnd w:id="24"/>
      <w:r w:rsidRPr="00171419">
        <w:t>Health Service Incident Management Team</w:t>
      </w:r>
    </w:p>
    <w:p w14:paraId="03BF1069" w14:textId="0A66436F" w:rsidR="00171419" w:rsidRPr="00171419" w:rsidRDefault="00171419" w:rsidP="00171419">
      <w:pPr>
        <w:pStyle w:val="Body"/>
      </w:pPr>
      <w:r w:rsidRPr="00171419">
        <w:t xml:space="preserve">An HSIMT is an approach that can provide best practice governance </w:t>
      </w:r>
      <w:r w:rsidR="00A82E25">
        <w:t>for a</w:t>
      </w:r>
      <w:r w:rsidRPr="00171419">
        <w:t xml:space="preserve"> response to transmission of CPO within a healthcare facility. An HSIMT should be established when there is confirmation of local transmission of CPO.</w:t>
      </w:r>
    </w:p>
    <w:p w14:paraId="53E52FD0" w14:textId="7DD6D7B0" w:rsidR="00171419" w:rsidRPr="00171419" w:rsidRDefault="00171419" w:rsidP="00171419">
      <w:pPr>
        <w:pStyle w:val="Body"/>
      </w:pPr>
      <w:r w:rsidRPr="00171419">
        <w:t>An HSIMT will be activated at the discretion of the relevant lead at a health service. Membership could include representatives from:</w:t>
      </w:r>
    </w:p>
    <w:p w14:paraId="1A680F39" w14:textId="77777777" w:rsidR="00171419" w:rsidRPr="00171419" w:rsidRDefault="00171419" w:rsidP="00070500">
      <w:pPr>
        <w:pStyle w:val="Bullet1"/>
      </w:pPr>
      <w:r w:rsidRPr="00171419">
        <w:t>the health service executive</w:t>
      </w:r>
    </w:p>
    <w:p w14:paraId="251CAAF7" w14:textId="77777777" w:rsidR="00171419" w:rsidRPr="00171419" w:rsidRDefault="00171419" w:rsidP="00070500">
      <w:pPr>
        <w:pStyle w:val="Bullet1"/>
      </w:pPr>
      <w:r w:rsidRPr="00171419">
        <w:t>the affected ward/unit – for example nurse unit manager, medical lead</w:t>
      </w:r>
    </w:p>
    <w:p w14:paraId="57D7947B" w14:textId="77777777" w:rsidR="00171419" w:rsidRPr="00171419" w:rsidRDefault="00171419" w:rsidP="00070500">
      <w:pPr>
        <w:pStyle w:val="Bullet1"/>
      </w:pPr>
      <w:r w:rsidRPr="00171419">
        <w:t>infectious diseases</w:t>
      </w:r>
    </w:p>
    <w:p w14:paraId="046808DB" w14:textId="77777777" w:rsidR="00171419" w:rsidRPr="00171419" w:rsidRDefault="00171419" w:rsidP="00070500">
      <w:pPr>
        <w:pStyle w:val="Bullet1"/>
      </w:pPr>
      <w:r w:rsidRPr="00171419">
        <w:t>IPC</w:t>
      </w:r>
    </w:p>
    <w:p w14:paraId="262868B1" w14:textId="77777777" w:rsidR="00171419" w:rsidRPr="00171419" w:rsidRDefault="00171419" w:rsidP="00070500">
      <w:pPr>
        <w:pStyle w:val="Bullet1"/>
      </w:pPr>
      <w:r w:rsidRPr="00171419">
        <w:t>microbiology</w:t>
      </w:r>
    </w:p>
    <w:p w14:paraId="02A3CDCB" w14:textId="77777777" w:rsidR="00923649" w:rsidRDefault="00171419" w:rsidP="00070500">
      <w:pPr>
        <w:pStyle w:val="Bullet1"/>
      </w:pPr>
      <w:r w:rsidRPr="00171419">
        <w:t>environmental services</w:t>
      </w:r>
    </w:p>
    <w:p w14:paraId="77450B70" w14:textId="3CD86B62" w:rsidR="00171419" w:rsidRPr="00171419" w:rsidRDefault="00923649" w:rsidP="00070500">
      <w:pPr>
        <w:pStyle w:val="Bullet1"/>
      </w:pPr>
      <w:r>
        <w:t>communications/media</w:t>
      </w:r>
      <w:r w:rsidR="00171419" w:rsidRPr="00171419">
        <w:t>.</w:t>
      </w:r>
    </w:p>
    <w:p w14:paraId="4DF1220B" w14:textId="77777777" w:rsidR="002C4443" w:rsidRDefault="002C4443">
      <w:pPr>
        <w:spacing w:after="0" w:line="240" w:lineRule="auto"/>
        <w:rPr>
          <w:rFonts w:eastAsia="Times"/>
        </w:rPr>
      </w:pPr>
      <w:r>
        <w:br w:type="page"/>
      </w:r>
    </w:p>
    <w:p w14:paraId="2ED4D048" w14:textId="54E41B1E" w:rsidR="00171419" w:rsidRPr="00171419" w:rsidRDefault="00171419" w:rsidP="00171419">
      <w:pPr>
        <w:pStyle w:val="Bodyafterbullets"/>
      </w:pPr>
      <w:r w:rsidRPr="00171419">
        <w:lastRenderedPageBreak/>
        <w:t>The HSIMT should ensure that:</w:t>
      </w:r>
    </w:p>
    <w:p w14:paraId="35473917" w14:textId="77777777" w:rsidR="00171419" w:rsidRPr="00171419" w:rsidRDefault="00171419" w:rsidP="00070500">
      <w:pPr>
        <w:pStyle w:val="Bullet1"/>
      </w:pPr>
      <w:r w:rsidRPr="00171419">
        <w:t xml:space="preserve">there is timely notification of suspected </w:t>
      </w:r>
      <w:proofErr w:type="gramStart"/>
      <w:r w:rsidRPr="00171419">
        <w:t>cases</w:t>
      </w:r>
      <w:proofErr w:type="gramEnd"/>
    </w:p>
    <w:p w14:paraId="08660685" w14:textId="77777777" w:rsidR="00171419" w:rsidRPr="00171419" w:rsidRDefault="00171419" w:rsidP="00070500">
      <w:pPr>
        <w:pStyle w:val="Bullet1"/>
      </w:pPr>
      <w:r w:rsidRPr="00171419">
        <w:t>all required data is collected and provided to the AMR-IMT</w:t>
      </w:r>
    </w:p>
    <w:p w14:paraId="4D14C3A7" w14:textId="77777777" w:rsidR="00171419" w:rsidRPr="00171419" w:rsidRDefault="00171419" w:rsidP="00070500">
      <w:pPr>
        <w:pStyle w:val="Bullet1"/>
      </w:pPr>
      <w:r w:rsidRPr="00171419">
        <w:t xml:space="preserve">all control measures recommended in this guideline or by the AMR-IMT are </w:t>
      </w:r>
      <w:proofErr w:type="gramStart"/>
      <w:r w:rsidRPr="00171419">
        <w:t>implemented</w:t>
      </w:r>
      <w:proofErr w:type="gramEnd"/>
    </w:p>
    <w:p w14:paraId="30A2C55F" w14:textId="77777777" w:rsidR="00171419" w:rsidRPr="00171419" w:rsidRDefault="00171419" w:rsidP="00070500">
      <w:pPr>
        <w:pStyle w:val="Bullet1"/>
      </w:pPr>
      <w:r w:rsidRPr="00171419">
        <w:t>any media and risk communication are undertaken in agreement with the department.</w:t>
      </w:r>
    </w:p>
    <w:p w14:paraId="6F7A8FF8" w14:textId="77777777" w:rsidR="00171419" w:rsidRPr="00171419" w:rsidRDefault="00171419" w:rsidP="00E8440F">
      <w:pPr>
        <w:pStyle w:val="Heading4"/>
      </w:pPr>
      <w:r w:rsidRPr="00171419">
        <w:t>Staff communication and education</w:t>
      </w:r>
    </w:p>
    <w:p w14:paraId="4BF221B7" w14:textId="77777777" w:rsidR="00171419" w:rsidRPr="00171419" w:rsidRDefault="00171419" w:rsidP="00171419">
      <w:pPr>
        <w:pStyle w:val="Body"/>
      </w:pPr>
      <w:r w:rsidRPr="00171419">
        <w:t xml:space="preserve">All health services should provide education to staff covering issues of high-risk patient identification and isolation, </w:t>
      </w:r>
      <w:proofErr w:type="gramStart"/>
      <w:r w:rsidRPr="00171419">
        <w:t>screening</w:t>
      </w:r>
      <w:proofErr w:type="gramEnd"/>
      <w:r w:rsidRPr="00171419">
        <w:t xml:space="preserve"> and transmission-based precautions. This education can be ‘bundled’ into regular hand hygiene or personal protective equipment education sessions.</w:t>
      </w:r>
    </w:p>
    <w:p w14:paraId="7882D0D5" w14:textId="40FBBE11" w:rsidR="00171419" w:rsidRPr="00171419" w:rsidRDefault="00171419" w:rsidP="00171419">
      <w:pPr>
        <w:pStyle w:val="Body"/>
      </w:pPr>
      <w:r w:rsidRPr="00171419">
        <w:t>When single (sporadic) cases or transmissions are identified, the affected ward or unit should receive further education, covering all staff who may provide care to the affected patients, and who may be involved in the environmental response (that is, cleaning).</w:t>
      </w:r>
    </w:p>
    <w:p w14:paraId="4D927DD4" w14:textId="77777777" w:rsidR="00171419" w:rsidRPr="00171419" w:rsidRDefault="00171419" w:rsidP="00E8440F">
      <w:pPr>
        <w:pStyle w:val="Heading4"/>
      </w:pPr>
      <w:r w:rsidRPr="00171419">
        <w:t>Compliance with national standards and guidelines</w:t>
      </w:r>
    </w:p>
    <w:p w14:paraId="07F21100" w14:textId="59453A34" w:rsidR="00171419" w:rsidRPr="00171419" w:rsidRDefault="00171419" w:rsidP="00171419">
      <w:pPr>
        <w:pStyle w:val="Body"/>
      </w:pPr>
      <w:r w:rsidRPr="00171419">
        <w:t xml:space="preserve">All health services must comply with the Australian national standards and guidelines around IPC and ensure that compliance is monitored in accordance with the current iteration of Standard 3 of the </w:t>
      </w:r>
      <w:hyperlink r:id="rId28" w:history="1">
        <w:r w:rsidRPr="00171419">
          <w:rPr>
            <w:rStyle w:val="Hyperlink"/>
          </w:rPr>
          <w:t>National Safety and Quality Health Service (NSQHS) Standards</w:t>
        </w:r>
      </w:hyperlink>
      <w:r w:rsidRPr="00171419">
        <w:t xml:space="preserve"> &lt;www.safetyandquality.gov.au/our-work/assessment-to-the-nsqhs-standards/&gt;.</w:t>
      </w:r>
    </w:p>
    <w:p w14:paraId="6C82DE73" w14:textId="5272DBF1" w:rsidR="00171419" w:rsidRPr="00171419" w:rsidRDefault="00171419" w:rsidP="00171419">
      <w:pPr>
        <w:pStyle w:val="Body"/>
        <w:rPr>
          <w:b/>
          <w:bCs/>
        </w:rPr>
      </w:pPr>
      <w:r w:rsidRPr="00171419">
        <w:t>Local audits of CPO management are not required to be submitted to the department. In some circumstances, the department may initiate an audit of healthcare facility preparedness and response arrangements. This will be communicated in writing should it be required.</w:t>
      </w:r>
    </w:p>
    <w:p w14:paraId="739CDD7B" w14:textId="77777777" w:rsidR="00171419" w:rsidRPr="00171419" w:rsidRDefault="00171419" w:rsidP="00E8440F">
      <w:pPr>
        <w:pStyle w:val="Heading3"/>
      </w:pPr>
      <w:r w:rsidRPr="00171419">
        <w:t>Diagnostic microbiology laboratories</w:t>
      </w:r>
    </w:p>
    <w:p w14:paraId="63E9B3B0" w14:textId="316DB44B" w:rsidR="00171419" w:rsidRPr="00171419" w:rsidRDefault="00171419" w:rsidP="00171419">
      <w:pPr>
        <w:pStyle w:val="Body"/>
      </w:pPr>
      <w:r>
        <w:t xml:space="preserve">The role of diagnostic laboratories is to identify suspected CPO, and to report suspected </w:t>
      </w:r>
      <w:r w:rsidR="00DF5B63">
        <w:t xml:space="preserve">or confirmed </w:t>
      </w:r>
      <w:r>
        <w:t xml:space="preserve">CPO results to the department by fax </w:t>
      </w:r>
      <w:r w:rsidR="00201B9C">
        <w:t>(1300 651 170)</w:t>
      </w:r>
      <w:r>
        <w:t xml:space="preserve"> or </w:t>
      </w:r>
      <w:r w:rsidR="00880776">
        <w:t>by</w:t>
      </w:r>
      <w:r>
        <w:t xml:space="preserve"> </w:t>
      </w:r>
      <w:r w:rsidR="00051AC9">
        <w:t>electronic laboratory reporting</w:t>
      </w:r>
      <w:r w:rsidR="12247A82">
        <w:t xml:space="preserve"> </w:t>
      </w:r>
      <w:r w:rsidR="00E93F92">
        <w:t>(</w:t>
      </w:r>
      <w:r w:rsidR="12247A82">
        <w:t>ELR</w:t>
      </w:r>
      <w:r w:rsidR="00E93F92">
        <w:t>)</w:t>
      </w:r>
      <w:r>
        <w:t xml:space="preserve"> within one business day. All clinical, </w:t>
      </w:r>
      <w:proofErr w:type="gramStart"/>
      <w:r>
        <w:t>screening</w:t>
      </w:r>
      <w:proofErr w:type="gramEnd"/>
      <w:r>
        <w:t xml:space="preserve"> and environmental isolates must be sent to MDU PHL for characterisation. After confirmation, the diagnostic laboratory should notify the healthcare facility </w:t>
      </w:r>
      <w:r w:rsidR="007C6525">
        <w:t>IPC</w:t>
      </w:r>
      <w:r>
        <w:t xml:space="preserve"> lead and executive as agreed locally.</w:t>
      </w:r>
    </w:p>
    <w:p w14:paraId="179F5875" w14:textId="55D84762" w:rsidR="00171419" w:rsidRPr="00171419" w:rsidRDefault="00171419" w:rsidP="00171419">
      <w:pPr>
        <w:pStyle w:val="Body"/>
      </w:pPr>
      <w:r w:rsidRPr="00171419">
        <w:t xml:space="preserve">For information on detailed actions and timelines, see </w:t>
      </w:r>
      <w:hyperlink w:anchor="_Appendix_A:_Guide" w:history="1">
        <w:r w:rsidRPr="00171419">
          <w:rPr>
            <w:rStyle w:val="Hyperlink"/>
          </w:rPr>
          <w:t>Appendix A</w:t>
        </w:r>
      </w:hyperlink>
      <w:r w:rsidRPr="00171419">
        <w:t>.</w:t>
      </w:r>
      <w:bookmarkStart w:id="25" w:name="_Section_3:_Screening,"/>
      <w:bookmarkEnd w:id="25"/>
    </w:p>
    <w:p w14:paraId="3F9C4E30" w14:textId="798E8A86" w:rsidR="00E8440F" w:rsidRDefault="00E8440F">
      <w:pPr>
        <w:spacing w:after="0" w:line="240" w:lineRule="auto"/>
        <w:rPr>
          <w:rFonts w:eastAsia="Times"/>
        </w:rPr>
      </w:pPr>
      <w:r>
        <w:br w:type="page"/>
      </w:r>
    </w:p>
    <w:p w14:paraId="28E1779D" w14:textId="0B487C13" w:rsidR="00E8440F" w:rsidRPr="00E8440F" w:rsidRDefault="00E8440F" w:rsidP="00E8440F">
      <w:pPr>
        <w:pStyle w:val="Heading1"/>
      </w:pPr>
      <w:bookmarkStart w:id="26" w:name="_Section_3:_Screening,_1"/>
      <w:bookmarkStart w:id="27" w:name="_Toc108539916"/>
      <w:bookmarkStart w:id="28" w:name="_Toc149319545"/>
      <w:bookmarkEnd w:id="26"/>
      <w:r w:rsidRPr="00E8440F">
        <w:lastRenderedPageBreak/>
        <w:t xml:space="preserve">Section 3: Screening, </w:t>
      </w:r>
      <w:r w:rsidR="00287AF7" w:rsidRPr="00E8440F">
        <w:t>detection,</w:t>
      </w:r>
      <w:r w:rsidRPr="00E8440F">
        <w:t xml:space="preserve"> and investigation</w:t>
      </w:r>
      <w:bookmarkEnd w:id="27"/>
      <w:bookmarkEnd w:id="28"/>
    </w:p>
    <w:p w14:paraId="6CB67A74" w14:textId="77777777" w:rsidR="00E8440F" w:rsidRPr="00E8440F" w:rsidRDefault="00E8440F" w:rsidP="00E8440F">
      <w:pPr>
        <w:pStyle w:val="Heading2"/>
        <w:rPr>
          <w:rFonts w:eastAsia="Times"/>
        </w:rPr>
      </w:pPr>
      <w:bookmarkStart w:id="29" w:name="_Toc440553303"/>
      <w:bookmarkStart w:id="30" w:name="_Toc108539917"/>
      <w:bookmarkStart w:id="31" w:name="_Toc149319546"/>
      <w:r w:rsidRPr="00E8440F">
        <w:rPr>
          <w:rFonts w:eastAsia="Times"/>
        </w:rPr>
        <w:t>Surveillance strategy</w:t>
      </w:r>
      <w:bookmarkEnd w:id="29"/>
      <w:bookmarkEnd w:id="30"/>
      <w:bookmarkEnd w:id="31"/>
    </w:p>
    <w:p w14:paraId="2F84ABBA" w14:textId="24D8B928" w:rsidR="00E8440F" w:rsidRPr="00E8440F" w:rsidRDefault="00655A02" w:rsidP="00E8440F">
      <w:pPr>
        <w:pStyle w:val="Body"/>
      </w:pPr>
      <w:r>
        <w:t xml:space="preserve">In Victoria, </w:t>
      </w:r>
      <w:r w:rsidR="00D01EB7">
        <w:t>the s</w:t>
      </w:r>
      <w:r w:rsidR="00E8440F" w:rsidRPr="00E8440F">
        <w:t xml:space="preserve">urveillance </w:t>
      </w:r>
      <w:r w:rsidR="00D01EB7">
        <w:t xml:space="preserve">strategy </w:t>
      </w:r>
      <w:r w:rsidR="00E8440F" w:rsidRPr="00E8440F">
        <w:t xml:space="preserve">for CPO </w:t>
      </w:r>
      <w:r w:rsidR="00D01EB7">
        <w:t>aims</w:t>
      </w:r>
      <w:r w:rsidR="00AA3900" w:rsidRPr="00E8440F">
        <w:t xml:space="preserve"> </w:t>
      </w:r>
      <w:r w:rsidR="00E8440F" w:rsidRPr="00E8440F">
        <w:t xml:space="preserve">to detect all cases </w:t>
      </w:r>
      <w:r w:rsidR="008B5F82">
        <w:t>using a precautionary approach</w:t>
      </w:r>
      <w:r w:rsidR="00E8440F" w:rsidRPr="00E8440F">
        <w:t xml:space="preserve"> </w:t>
      </w:r>
      <w:proofErr w:type="gramStart"/>
      <w:r w:rsidR="00E8440F" w:rsidRPr="00E8440F">
        <w:t>in order to</w:t>
      </w:r>
      <w:proofErr w:type="gramEnd"/>
      <w:r w:rsidR="00E8440F" w:rsidRPr="00E8440F">
        <w:t xml:space="preserve"> understand the extent of the problem and to ensure IPC measures and outbreak management processes are applied whenever necessary.</w:t>
      </w:r>
    </w:p>
    <w:p w14:paraId="0FBCD484" w14:textId="5B675F37" w:rsidR="00E8440F" w:rsidRPr="00E8440F" w:rsidRDefault="00E8440F" w:rsidP="00E8440F">
      <w:pPr>
        <w:pStyle w:val="Body"/>
      </w:pPr>
      <w:r w:rsidRPr="00E8440F">
        <w:t xml:space="preserve">The guideline </w:t>
      </w:r>
      <w:r w:rsidR="00D61E45">
        <w:t>supports these aims</w:t>
      </w:r>
      <w:r w:rsidRPr="00E8440F">
        <w:t xml:space="preserve"> by describing the minimum requirements of health services for screening of patients for CPO. Based on an understanding of risk factors for acquisition, onwards transmission and increased risk for severity of illness (</w:t>
      </w:r>
      <w:r w:rsidR="00655A02">
        <w:t xml:space="preserve">see </w:t>
      </w:r>
      <w:r w:rsidR="00F97425">
        <w:t>Box</w:t>
      </w:r>
      <w:r w:rsidR="004F7888">
        <w:t>e</w:t>
      </w:r>
      <w:r w:rsidRPr="00E8440F">
        <w:t>s 2, 3 and 4 below), the recommendations in this guideline describe the minimum frequency and extent of screening for different cohorts of patients.</w:t>
      </w:r>
    </w:p>
    <w:p w14:paraId="5A318C8A" w14:textId="7E39B48B" w:rsidR="00E8440F" w:rsidRPr="00E8440F" w:rsidRDefault="001701F0" w:rsidP="00E8440F">
      <w:pPr>
        <w:pStyle w:val="Body"/>
      </w:pPr>
      <w:r>
        <w:t>The</w:t>
      </w:r>
      <w:r w:rsidR="00E8440F" w:rsidRPr="00E8440F">
        <w:t xml:space="preserve"> World Health Organization recommend</w:t>
      </w:r>
      <w:r>
        <w:t>s</w:t>
      </w:r>
      <w:r w:rsidR="00E8440F" w:rsidRPr="00E8440F">
        <w:t xml:space="preserve"> surveillance of CPO infections </w:t>
      </w:r>
      <w:r w:rsidR="00BD6951">
        <w:t>as</w:t>
      </w:r>
      <w:r w:rsidR="00BD6951" w:rsidRPr="00E8440F">
        <w:t xml:space="preserve"> </w:t>
      </w:r>
      <w:r w:rsidR="00E8440F" w:rsidRPr="00E8440F">
        <w:t>essential. This includes, clinical monitoring of signs and symptoms of infection, as well as laboratory testing and identification of carbapenem resistance among potential CPO isolates from clinic</w:t>
      </w:r>
      <w:r w:rsidR="008974EB">
        <w:t>al</w:t>
      </w:r>
      <w:r w:rsidR="00E8440F" w:rsidRPr="00E8440F">
        <w:t xml:space="preserve"> samples.</w:t>
      </w:r>
    </w:p>
    <w:p w14:paraId="39E97A00" w14:textId="06D03448" w:rsidR="00E8440F" w:rsidRPr="00E8440F" w:rsidRDefault="00E8440F" w:rsidP="00E8440F">
      <w:pPr>
        <w:pStyle w:val="Body"/>
      </w:pPr>
      <w:r>
        <w:t>Surveillance cultures are also required to detect CPE colonisation. This should be guided by local epidemiology and risk assessment to include patients with a history of previous CPE, contacts of CPE cases, patients with a history of recent hospitalisation in endemic CPE settings/outbreaks, as well as patients with an increased risk of CPE acquisition and infection (for example, those admitted to intensive care units). This recommendation is based on global evidence that colonisation with CPE usually precedes or is co-existent with CPE infection. Early detection of CPE colonisation identifies patients most at-risk of subsequent CPE infection and facilitates timely implementation of IPC measures to prevent CPE transmission.</w:t>
      </w:r>
    </w:p>
    <w:p w14:paraId="4CFA331B" w14:textId="77777777" w:rsidR="00E8440F" w:rsidRPr="00E8440F" w:rsidRDefault="00E8440F" w:rsidP="00E8440F">
      <w:pPr>
        <w:pStyle w:val="Body"/>
      </w:pPr>
      <w:r w:rsidRPr="00E8440F">
        <w:t>Active surveillance for CPA and CPP may not be as beneficial as for CPE but is certainly recommended during outbreak situations and follow-up of contacts of cases.</w:t>
      </w:r>
    </w:p>
    <w:p w14:paraId="35877C3C" w14:textId="1E416ABB" w:rsidR="00E8440F" w:rsidRPr="00E8440F" w:rsidRDefault="00E8440F" w:rsidP="00E8440F">
      <w:pPr>
        <w:pStyle w:val="Body"/>
      </w:pPr>
      <w:r w:rsidRPr="00E8440F">
        <w:t>Surveillance cultures should be performed and processed as soon as possible after hospital admission or risk exposure</w:t>
      </w:r>
      <w:r w:rsidR="007009C3">
        <w:t>,</w:t>
      </w:r>
      <w:r w:rsidRPr="00E8440F">
        <w:t xml:space="preserve"> to minimise the risk of further transmission.</w:t>
      </w:r>
    </w:p>
    <w:p w14:paraId="29B5D314" w14:textId="77777777" w:rsidR="00E8440F" w:rsidRPr="00E8440F" w:rsidRDefault="00E8440F" w:rsidP="00E8440F">
      <w:pPr>
        <w:pStyle w:val="Body"/>
      </w:pPr>
      <w:r w:rsidRPr="00E8440F">
        <w:t>This section describes the minimum requirements for healthcare facilities in relation to contact tracing and screening. A healthcare facility may choose to undertake more extensive contact tracing based on a local risk assessment. This should be undertaken or overseen by an IPC professional or equivalent.</w:t>
      </w:r>
    </w:p>
    <w:p w14:paraId="3F6F7278" w14:textId="77777777" w:rsidR="00E8440F" w:rsidRPr="00E8440F" w:rsidRDefault="00E8440F" w:rsidP="00E8440F">
      <w:pPr>
        <w:pStyle w:val="Heading2"/>
        <w:rPr>
          <w:rFonts w:eastAsia="Times"/>
        </w:rPr>
      </w:pPr>
      <w:bookmarkStart w:id="32" w:name="_Toc108539918"/>
      <w:bookmarkStart w:id="33" w:name="_Toc149319547"/>
      <w:r w:rsidRPr="00E8440F">
        <w:rPr>
          <w:rFonts w:eastAsia="Times"/>
        </w:rPr>
        <w:t>Choice of screening specimen(s) for patients</w:t>
      </w:r>
      <w:bookmarkEnd w:id="32"/>
      <w:bookmarkEnd w:id="33"/>
    </w:p>
    <w:p w14:paraId="31873505" w14:textId="7F94904F" w:rsidR="00E8440F" w:rsidRPr="00E8440F" w:rsidRDefault="00E8440F" w:rsidP="00E8440F">
      <w:pPr>
        <w:pStyle w:val="Body"/>
      </w:pPr>
      <w:r w:rsidRPr="00E8440F">
        <w:t>Screening specimens for CPE, CPA and CPP are not always the same. For all three CPOs there are different requirements depend</w:t>
      </w:r>
      <w:r w:rsidR="00CF080A">
        <w:t>e</w:t>
      </w:r>
      <w:r w:rsidRPr="00E8440F">
        <w:t xml:space="preserve">nt on the clinical picture as </w:t>
      </w:r>
      <w:r w:rsidR="00642722">
        <w:t xml:space="preserve">indicated in </w:t>
      </w:r>
      <w:r w:rsidR="00040480">
        <w:t>T</w:t>
      </w:r>
      <w:r w:rsidR="00642722">
        <w:t xml:space="preserve">able </w:t>
      </w:r>
      <w:r w:rsidR="00040480">
        <w:t xml:space="preserve">1 </w:t>
      </w:r>
      <w:r w:rsidRPr="00E8440F">
        <w:t>below.</w:t>
      </w:r>
      <w:r w:rsidR="00642722">
        <w:t xml:space="preserve"> </w:t>
      </w:r>
      <w:r w:rsidR="00BD2F39">
        <w:t>Recommended</w:t>
      </w:r>
      <w:r w:rsidR="00642722">
        <w:t xml:space="preserve"> screening samples have been </w:t>
      </w:r>
      <w:r w:rsidR="00862722">
        <w:t xml:space="preserve">somewhat </w:t>
      </w:r>
      <w:r w:rsidR="00E714FF">
        <w:t xml:space="preserve">standardised to facilitate </w:t>
      </w:r>
      <w:r w:rsidR="001B3EFB">
        <w:t>screening for additional</w:t>
      </w:r>
      <w:r w:rsidR="003C4344">
        <w:t xml:space="preserve"> multi-resistant organisms</w:t>
      </w:r>
      <w:r w:rsidR="001B3EFB">
        <w:t xml:space="preserve"> </w:t>
      </w:r>
      <w:r w:rsidR="003C4344">
        <w:t>(</w:t>
      </w:r>
      <w:r w:rsidR="001B3EFB">
        <w:t>MRO</w:t>
      </w:r>
      <w:r w:rsidR="003C4344">
        <w:t>)</w:t>
      </w:r>
      <w:r w:rsidR="001B3EFB">
        <w:t xml:space="preserve"> which is often required</w:t>
      </w:r>
      <w:r w:rsidR="006E68FD">
        <w:t xml:space="preserve">, </w:t>
      </w:r>
      <w:r w:rsidR="001B3EFB">
        <w:t xml:space="preserve">for example, when screening patients who have been in overseas </w:t>
      </w:r>
      <w:r w:rsidR="008B340C">
        <w:t>hospitals</w:t>
      </w:r>
      <w:r w:rsidR="001B3EFB">
        <w:t>.</w:t>
      </w:r>
      <w:r w:rsidR="00F563C6">
        <w:t xml:space="preserve"> If unsure which samples to take, </w:t>
      </w:r>
      <w:r w:rsidR="00F671CD">
        <w:t>particularly</w:t>
      </w:r>
      <w:r w:rsidR="00D6380A">
        <w:t xml:space="preserve"> if screening for mul</w:t>
      </w:r>
      <w:r w:rsidR="00F671CD">
        <w:t xml:space="preserve">tiple MROs, </w:t>
      </w:r>
      <w:r w:rsidR="00F563C6">
        <w:t xml:space="preserve">consult with your </w:t>
      </w:r>
      <w:r w:rsidR="00FA1714">
        <w:t>diagnostic microbiology laboratory</w:t>
      </w:r>
      <w:r w:rsidR="00D6380A">
        <w:t>.</w:t>
      </w:r>
    </w:p>
    <w:p w14:paraId="71DF80BF" w14:textId="77777777" w:rsidR="002B0994" w:rsidRDefault="002B0994" w:rsidP="002B0994">
      <w:pPr>
        <w:pStyle w:val="Body"/>
      </w:pPr>
      <w:r>
        <w:br w:type="page"/>
      </w:r>
    </w:p>
    <w:p w14:paraId="43EAF817" w14:textId="072EC3C9" w:rsidR="00C84883" w:rsidRDefault="00466FE3" w:rsidP="00DF0F60">
      <w:pPr>
        <w:pStyle w:val="Tablecaption"/>
      </w:pPr>
      <w:r>
        <w:lastRenderedPageBreak/>
        <w:t>Table</w:t>
      </w:r>
      <w:r w:rsidR="00BB17A6">
        <w:t xml:space="preserve">1: </w:t>
      </w:r>
      <w:r w:rsidR="002224A4">
        <w:t>Recommended screening samples</w:t>
      </w:r>
    </w:p>
    <w:tbl>
      <w:tblPr>
        <w:tblStyle w:val="GridTable5Dark-Accent2"/>
        <w:tblW w:w="9235" w:type="dxa"/>
        <w:tblLook w:val="04A0" w:firstRow="1" w:lastRow="0" w:firstColumn="1" w:lastColumn="0" w:noHBand="0" w:noVBand="1"/>
      </w:tblPr>
      <w:tblGrid>
        <w:gridCol w:w="2268"/>
        <w:gridCol w:w="3582"/>
        <w:gridCol w:w="3385"/>
      </w:tblGrid>
      <w:tr w:rsidR="00452B89" w:rsidRPr="00452B89" w14:paraId="4C1A4E10" w14:textId="77777777" w:rsidTr="001312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C63663"/>
          </w:tcPr>
          <w:p w14:paraId="2809C6DB" w14:textId="77777777" w:rsidR="00C42846" w:rsidRPr="00452B89" w:rsidRDefault="00C42846" w:rsidP="00DF0F60">
            <w:pPr>
              <w:pStyle w:val="Tablecolhead"/>
              <w:rPr>
                <w:b/>
                <w:bCs w:val="0"/>
                <w:color w:val="FFFFFF" w:themeColor="background1"/>
              </w:rPr>
            </w:pPr>
          </w:p>
        </w:tc>
        <w:tc>
          <w:tcPr>
            <w:tcW w:w="3582" w:type="dxa"/>
            <w:shd w:val="clear" w:color="auto" w:fill="C63663"/>
          </w:tcPr>
          <w:p w14:paraId="1A1E88C4" w14:textId="77777777" w:rsidR="00C42846" w:rsidRPr="00452B89" w:rsidRDefault="00C42846" w:rsidP="00DF0F60">
            <w:pPr>
              <w:pStyle w:val="Tablecolhead"/>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452B89">
              <w:rPr>
                <w:rFonts w:eastAsia="Times"/>
                <w:b/>
                <w:bCs w:val="0"/>
                <w:color w:val="FFFFFF" w:themeColor="background1"/>
              </w:rPr>
              <w:t>CPE</w:t>
            </w:r>
          </w:p>
        </w:tc>
        <w:tc>
          <w:tcPr>
            <w:tcW w:w="3385" w:type="dxa"/>
            <w:shd w:val="clear" w:color="auto" w:fill="C63663"/>
          </w:tcPr>
          <w:p w14:paraId="20718C70" w14:textId="77777777" w:rsidR="00C42846" w:rsidRPr="00452B89" w:rsidRDefault="00C42846" w:rsidP="00DF0F60">
            <w:pPr>
              <w:pStyle w:val="Tablecolhead"/>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452B89">
              <w:rPr>
                <w:rFonts w:eastAsia="Times"/>
                <w:b/>
                <w:bCs w:val="0"/>
                <w:color w:val="FFFFFF" w:themeColor="background1"/>
              </w:rPr>
              <w:t>CPA and CPP</w:t>
            </w:r>
          </w:p>
        </w:tc>
      </w:tr>
      <w:tr w:rsidR="00F00708" w:rsidRPr="00C42846" w14:paraId="2C35BD79" w14:textId="77777777" w:rsidTr="00F00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C63663"/>
          </w:tcPr>
          <w:p w14:paraId="1B825D95" w14:textId="61927842" w:rsidR="00C42846" w:rsidRPr="00452B89" w:rsidRDefault="00252223" w:rsidP="00DF0F60">
            <w:pPr>
              <w:pStyle w:val="Tablecolhead"/>
              <w:rPr>
                <w:b/>
                <w:bCs w:val="0"/>
                <w:color w:val="FFFFFF" w:themeColor="background1"/>
              </w:rPr>
            </w:pPr>
            <w:r w:rsidRPr="00452B89">
              <w:rPr>
                <w:b/>
                <w:bCs w:val="0"/>
                <w:color w:val="FFFFFF" w:themeColor="background1"/>
              </w:rPr>
              <w:t>Recommended</w:t>
            </w:r>
          </w:p>
        </w:tc>
        <w:tc>
          <w:tcPr>
            <w:tcW w:w="3582" w:type="dxa"/>
            <w:shd w:val="clear" w:color="auto" w:fill="EDC5D1"/>
          </w:tcPr>
          <w:p w14:paraId="734CD10D" w14:textId="77777777" w:rsidR="00C42846" w:rsidRPr="00C42846" w:rsidRDefault="00C42846" w:rsidP="00DF0F60">
            <w:pPr>
              <w:pStyle w:val="Tabletext6pt"/>
              <w:cnfStyle w:val="000000100000" w:firstRow="0" w:lastRow="0" w:firstColumn="0" w:lastColumn="0" w:oddVBand="0" w:evenVBand="0" w:oddHBand="1" w:evenHBand="0" w:firstRowFirstColumn="0" w:firstRowLastColumn="0" w:lastRowFirstColumn="0" w:lastRowLastColumn="0"/>
              <w:rPr>
                <w:lang w:val="en-US"/>
              </w:rPr>
            </w:pPr>
            <w:r w:rsidRPr="00C42846">
              <w:rPr>
                <w:rFonts w:eastAsia="Times"/>
              </w:rPr>
              <w:t>Options in order of preference:</w:t>
            </w:r>
          </w:p>
          <w:p w14:paraId="64FCDB34" w14:textId="77777777" w:rsidR="00C42846" w:rsidRPr="00C42846" w:rsidRDefault="00C42846" w:rsidP="00C80A68">
            <w:pPr>
              <w:pStyle w:val="Tabletext6pt"/>
              <w:numPr>
                <w:ilvl w:val="0"/>
                <w:numId w:val="44"/>
              </w:numPr>
              <w:cnfStyle w:val="000000100000" w:firstRow="0" w:lastRow="0" w:firstColumn="0" w:lastColumn="0" w:oddVBand="0" w:evenVBand="0" w:oddHBand="1" w:evenHBand="0" w:firstRowFirstColumn="0" w:firstRowLastColumn="0" w:lastRowFirstColumn="0" w:lastRowLastColumn="0"/>
            </w:pPr>
            <w:proofErr w:type="spellStart"/>
            <w:r w:rsidRPr="00C42846">
              <w:rPr>
                <w:rFonts w:eastAsia="Times"/>
                <w:lang w:val="en-US"/>
              </w:rPr>
              <w:t>Faeces</w:t>
            </w:r>
            <w:proofErr w:type="spellEnd"/>
          </w:p>
          <w:p w14:paraId="537240EB" w14:textId="721F4386" w:rsidR="00C42846" w:rsidRPr="00C42846" w:rsidRDefault="00C42846" w:rsidP="00C80A68">
            <w:pPr>
              <w:pStyle w:val="Tabletext6pt"/>
              <w:numPr>
                <w:ilvl w:val="0"/>
                <w:numId w:val="44"/>
              </w:numPr>
              <w:cnfStyle w:val="000000100000" w:firstRow="0" w:lastRow="0" w:firstColumn="0" w:lastColumn="0" w:oddVBand="0" w:evenVBand="0" w:oddHBand="1" w:evenHBand="0" w:firstRowFirstColumn="0" w:firstRowLastColumn="0" w:lastRowFirstColumn="0" w:lastRowLastColumn="0"/>
            </w:pPr>
            <w:r w:rsidRPr="00C42846">
              <w:rPr>
                <w:rFonts w:eastAsia="Times"/>
              </w:rPr>
              <w:t>Rectal swab</w:t>
            </w:r>
            <w:r w:rsidR="009A4A0A">
              <w:rPr>
                <w:rFonts w:eastAsia="Times"/>
              </w:rPr>
              <w:t>*</w:t>
            </w:r>
            <w:r w:rsidRPr="00C42846">
              <w:rPr>
                <w:rFonts w:eastAsia="Times"/>
              </w:rPr>
              <w:t xml:space="preserve"> </w:t>
            </w:r>
            <w:r w:rsidRPr="00C42846">
              <w:rPr>
                <w:rFonts w:eastAsia="Times"/>
                <w:b/>
                <w:bCs/>
              </w:rPr>
              <w:t>plus</w:t>
            </w:r>
            <w:r w:rsidRPr="00C42846">
              <w:rPr>
                <w:rFonts w:eastAsia="Times"/>
              </w:rPr>
              <w:t xml:space="preserve"> inguinal swab</w:t>
            </w:r>
          </w:p>
          <w:p w14:paraId="613147D8" w14:textId="12D599EB" w:rsidR="00C42846" w:rsidRPr="00C42846" w:rsidRDefault="00C42846" w:rsidP="00C80A68">
            <w:pPr>
              <w:pStyle w:val="Tabletext6pt"/>
              <w:numPr>
                <w:ilvl w:val="0"/>
                <w:numId w:val="44"/>
              </w:numPr>
              <w:cnfStyle w:val="000000100000" w:firstRow="0" w:lastRow="0" w:firstColumn="0" w:lastColumn="0" w:oddVBand="0" w:evenVBand="0" w:oddHBand="1" w:evenHBand="0" w:firstRowFirstColumn="0" w:firstRowLastColumn="0" w:lastRowFirstColumn="0" w:lastRowLastColumn="0"/>
            </w:pPr>
            <w:r w:rsidRPr="00C42846">
              <w:rPr>
                <w:rFonts w:eastAsia="Times"/>
              </w:rPr>
              <w:t>Rectal swab</w:t>
            </w:r>
            <w:r w:rsidR="00923649">
              <w:rPr>
                <w:rFonts w:eastAsia="Times"/>
              </w:rPr>
              <w:t>*</w:t>
            </w:r>
          </w:p>
          <w:p w14:paraId="3A9E0675" w14:textId="277E8CE3" w:rsidR="00C42846" w:rsidRPr="00C42846" w:rsidRDefault="00C42846" w:rsidP="00C80A68">
            <w:pPr>
              <w:pStyle w:val="Tabletext6pt"/>
              <w:numPr>
                <w:ilvl w:val="0"/>
                <w:numId w:val="44"/>
              </w:numPr>
              <w:cnfStyle w:val="000000100000" w:firstRow="0" w:lastRow="0" w:firstColumn="0" w:lastColumn="0" w:oddVBand="0" w:evenVBand="0" w:oddHBand="1" w:evenHBand="0" w:firstRowFirstColumn="0" w:firstRowLastColumn="0" w:lastRowFirstColumn="0" w:lastRowLastColumn="0"/>
              <w:rPr>
                <w:lang w:val="en-US"/>
              </w:rPr>
            </w:pPr>
            <w:r w:rsidRPr="00C42846">
              <w:rPr>
                <w:rFonts w:eastAsia="Times"/>
              </w:rPr>
              <w:t>Peri-anal</w:t>
            </w:r>
            <w:r w:rsidR="00923649">
              <w:rPr>
                <w:rFonts w:eastAsia="Times"/>
              </w:rPr>
              <w:t>*</w:t>
            </w:r>
            <w:r w:rsidRPr="00C42846">
              <w:rPr>
                <w:rFonts w:eastAsia="Times"/>
              </w:rPr>
              <w:t xml:space="preserve"> (should only be used when clinically indicated, for example neutropenic patient)</w:t>
            </w:r>
          </w:p>
        </w:tc>
        <w:tc>
          <w:tcPr>
            <w:tcW w:w="3385" w:type="dxa"/>
            <w:shd w:val="clear" w:color="auto" w:fill="EDC5D1"/>
          </w:tcPr>
          <w:p w14:paraId="3F1F92C5" w14:textId="77777777" w:rsidR="00583782" w:rsidRPr="006D540A" w:rsidRDefault="00583782" w:rsidP="00583782">
            <w:pPr>
              <w:pStyle w:val="Bodyafterbullets"/>
              <w:cnfStyle w:val="000000100000" w:firstRow="0" w:lastRow="0" w:firstColumn="0" w:lastColumn="0" w:oddVBand="0" w:evenVBand="0" w:oddHBand="1" w:evenHBand="0" w:firstRowFirstColumn="0" w:firstRowLastColumn="0" w:lastRowFirstColumn="0" w:lastRowLastColumn="0"/>
              <w:rPr>
                <w:lang w:val="en-US"/>
              </w:rPr>
            </w:pPr>
            <w:r>
              <w:rPr>
                <w:lang w:val="en-US"/>
              </w:rPr>
              <w:t>Preferred o</w:t>
            </w:r>
            <w:r w:rsidRPr="05CBF055">
              <w:rPr>
                <w:lang w:val="en-US"/>
              </w:rPr>
              <w:t>ptions in order:</w:t>
            </w:r>
          </w:p>
          <w:p w14:paraId="394E5699" w14:textId="77777777" w:rsidR="00583782" w:rsidRPr="006D540A" w:rsidRDefault="00583782" w:rsidP="00C80A68">
            <w:pPr>
              <w:pStyle w:val="Tablebullet1"/>
              <w:numPr>
                <w:ilvl w:val="0"/>
                <w:numId w:val="43"/>
              </w:numPr>
              <w:cnfStyle w:val="000000100000" w:firstRow="0" w:lastRow="0" w:firstColumn="0" w:lastColumn="0" w:oddVBand="0" w:evenVBand="0" w:oddHBand="1" w:evenHBand="0" w:firstRowFirstColumn="0" w:firstRowLastColumn="0" w:lastRowFirstColumn="0" w:lastRowLastColumn="0"/>
              <w:rPr>
                <w:lang w:val="en-US"/>
              </w:rPr>
            </w:pPr>
            <w:proofErr w:type="spellStart"/>
            <w:r w:rsidRPr="006D540A">
              <w:rPr>
                <w:lang w:val="en-US"/>
              </w:rPr>
              <w:t>Faeces</w:t>
            </w:r>
            <w:proofErr w:type="spellEnd"/>
            <w:r w:rsidRPr="006D540A">
              <w:rPr>
                <w:lang w:val="en-US"/>
              </w:rPr>
              <w:t xml:space="preserve"> </w:t>
            </w:r>
            <w:r w:rsidRPr="006D540A">
              <w:rPr>
                <w:b/>
                <w:bCs/>
                <w:lang w:val="en-US"/>
              </w:rPr>
              <w:t>plus</w:t>
            </w:r>
            <w:r w:rsidRPr="006D540A">
              <w:rPr>
                <w:lang w:val="en-US"/>
              </w:rPr>
              <w:t xml:space="preserve"> an axilla/groin swab</w:t>
            </w:r>
          </w:p>
          <w:p w14:paraId="0D5D0CEB" w14:textId="77777777" w:rsidR="00583782" w:rsidRDefault="00583782" w:rsidP="00C80A68">
            <w:pPr>
              <w:pStyle w:val="Tablebullet1"/>
              <w:numPr>
                <w:ilvl w:val="0"/>
                <w:numId w:val="43"/>
              </w:numPr>
              <w:cnfStyle w:val="000000100000" w:firstRow="0" w:lastRow="0" w:firstColumn="0" w:lastColumn="0" w:oddVBand="0" w:evenVBand="0" w:oddHBand="1" w:evenHBand="0" w:firstRowFirstColumn="0" w:firstRowLastColumn="0" w:lastRowFirstColumn="0" w:lastRowLastColumn="0"/>
              <w:rPr>
                <w:lang w:val="en-US"/>
              </w:rPr>
            </w:pPr>
            <w:r w:rsidRPr="05CBF055">
              <w:rPr>
                <w:lang w:val="en-US"/>
              </w:rPr>
              <w:t xml:space="preserve">Rectal swab* </w:t>
            </w:r>
            <w:r w:rsidRPr="05CBF055">
              <w:rPr>
                <w:b/>
                <w:bCs/>
                <w:lang w:val="en-US"/>
              </w:rPr>
              <w:t>plus</w:t>
            </w:r>
            <w:r w:rsidRPr="05CBF055">
              <w:rPr>
                <w:lang w:val="en-US"/>
              </w:rPr>
              <w:t xml:space="preserve"> an axilla/groin swab</w:t>
            </w:r>
          </w:p>
          <w:p w14:paraId="45C544F9" w14:textId="77777777" w:rsidR="00583782" w:rsidRPr="006D540A" w:rsidRDefault="00583782" w:rsidP="00583782">
            <w:pPr>
              <w:pStyle w:val="Bodyafterbullets"/>
              <w:cnfStyle w:val="000000100000" w:firstRow="0" w:lastRow="0" w:firstColumn="0" w:lastColumn="0" w:oddVBand="0" w:evenVBand="0" w:oddHBand="1" w:evenHBand="0" w:firstRowFirstColumn="0" w:firstRowLastColumn="0" w:lastRowFirstColumn="0" w:lastRowLastColumn="0"/>
              <w:rPr>
                <w:lang w:val="en-US"/>
              </w:rPr>
            </w:pPr>
            <w:r w:rsidRPr="006D540A">
              <w:rPr>
                <w:lang w:val="en-US"/>
              </w:rPr>
              <w:t>Consider addition of</w:t>
            </w:r>
            <w:r w:rsidRPr="05CBF055">
              <w:rPr>
                <w:lang w:val="en-US"/>
              </w:rPr>
              <w:t>:</w:t>
            </w:r>
          </w:p>
          <w:p w14:paraId="667B2CA8" w14:textId="4DEF405A" w:rsidR="00C42846" w:rsidRPr="00C42846" w:rsidRDefault="00583782" w:rsidP="00583782">
            <w:pPr>
              <w:pStyle w:val="Tablebullet1"/>
              <w:cnfStyle w:val="000000100000" w:firstRow="0" w:lastRow="0" w:firstColumn="0" w:lastColumn="0" w:oddVBand="0" w:evenVBand="0" w:oddHBand="1" w:evenHBand="0" w:firstRowFirstColumn="0" w:firstRowLastColumn="0" w:lastRowFirstColumn="0" w:lastRowLastColumn="0"/>
              <w:rPr>
                <w:lang w:val="en-US"/>
              </w:rPr>
            </w:pPr>
            <w:r w:rsidRPr="05CBF055">
              <w:rPr>
                <w:lang w:val="en-US"/>
              </w:rPr>
              <w:t>B</w:t>
            </w:r>
            <w:r w:rsidRPr="006D540A">
              <w:rPr>
                <w:lang w:val="en-US"/>
              </w:rPr>
              <w:t>uccal mucosa swab during TRA/outbreaks.</w:t>
            </w:r>
          </w:p>
        </w:tc>
      </w:tr>
      <w:tr w:rsidR="003912B6" w:rsidRPr="00C42846" w14:paraId="6DDE8B04" w14:textId="77777777" w:rsidTr="00F00708">
        <w:tc>
          <w:tcPr>
            <w:cnfStyle w:val="001000000000" w:firstRow="0" w:lastRow="0" w:firstColumn="1" w:lastColumn="0" w:oddVBand="0" w:evenVBand="0" w:oddHBand="0" w:evenHBand="0" w:firstRowFirstColumn="0" w:firstRowLastColumn="0" w:lastRowFirstColumn="0" w:lastRowLastColumn="0"/>
            <w:tcW w:w="2268" w:type="dxa"/>
            <w:shd w:val="clear" w:color="auto" w:fill="C63663"/>
          </w:tcPr>
          <w:p w14:paraId="5B8C0336" w14:textId="2BA5A68D" w:rsidR="00C42846" w:rsidRPr="00452B89" w:rsidRDefault="00D561AA" w:rsidP="00DF0F60">
            <w:pPr>
              <w:pStyle w:val="Tablecolhead"/>
              <w:rPr>
                <w:b/>
                <w:bCs w:val="0"/>
                <w:color w:val="FFFFFF" w:themeColor="background1"/>
              </w:rPr>
            </w:pPr>
            <w:r w:rsidRPr="00452B89">
              <w:rPr>
                <w:rFonts w:eastAsia="Times"/>
                <w:b/>
                <w:bCs w:val="0"/>
                <w:color w:val="FFFFFF" w:themeColor="background1"/>
              </w:rPr>
              <w:t xml:space="preserve">Consider </w:t>
            </w:r>
            <w:r w:rsidR="003912B6" w:rsidRPr="00452B89">
              <w:rPr>
                <w:rFonts w:eastAsia="Times"/>
                <w:b/>
                <w:bCs w:val="0"/>
                <w:color w:val="FFFFFF" w:themeColor="background1"/>
              </w:rPr>
              <w:t xml:space="preserve">obtaining </w:t>
            </w:r>
            <w:r w:rsidR="00450E04" w:rsidRPr="00452B89">
              <w:rPr>
                <w:rFonts w:eastAsia="Times"/>
                <w:b/>
                <w:bCs w:val="0"/>
                <w:color w:val="FFFFFF" w:themeColor="background1"/>
              </w:rPr>
              <w:t>screening</w:t>
            </w:r>
            <w:r w:rsidR="003D143B" w:rsidRPr="00452B89">
              <w:rPr>
                <w:rFonts w:eastAsia="Times"/>
                <w:b/>
                <w:bCs w:val="0"/>
                <w:color w:val="FFFFFF" w:themeColor="background1"/>
              </w:rPr>
              <w:t xml:space="preserve"> samples</w:t>
            </w:r>
            <w:r w:rsidRPr="00452B89">
              <w:rPr>
                <w:rFonts w:eastAsia="Times"/>
                <w:b/>
                <w:bCs w:val="0"/>
                <w:color w:val="FFFFFF" w:themeColor="background1"/>
              </w:rPr>
              <w:t xml:space="preserve"> if present or clinically relevant</w:t>
            </w:r>
          </w:p>
        </w:tc>
        <w:tc>
          <w:tcPr>
            <w:tcW w:w="3582" w:type="dxa"/>
            <w:shd w:val="clear" w:color="auto" w:fill="F8E8ED"/>
          </w:tcPr>
          <w:p w14:paraId="2CB305F4" w14:textId="77777777" w:rsidR="001850F8" w:rsidRPr="00C42846" w:rsidRDefault="001850F8" w:rsidP="001850F8">
            <w:pPr>
              <w:pStyle w:val="Tablebullet1"/>
              <w:cnfStyle w:val="000000000000" w:firstRow="0" w:lastRow="0" w:firstColumn="0" w:lastColumn="0" w:oddVBand="0" w:evenVBand="0" w:oddHBand="0" w:evenHBand="0" w:firstRowFirstColumn="0" w:firstRowLastColumn="0" w:lastRowFirstColumn="0" w:lastRowLastColumn="0"/>
            </w:pPr>
            <w:r w:rsidRPr="00C42846">
              <w:rPr>
                <w:rFonts w:eastAsia="Times"/>
              </w:rPr>
              <w:t>endotracheal tube</w:t>
            </w:r>
          </w:p>
          <w:p w14:paraId="6BF26045" w14:textId="77777777" w:rsidR="00564B86" w:rsidRPr="00564B86" w:rsidRDefault="001850F8" w:rsidP="001850F8">
            <w:pPr>
              <w:pStyle w:val="Tablebullet1"/>
              <w:cnfStyle w:val="000000000000" w:firstRow="0" w:lastRow="0" w:firstColumn="0" w:lastColumn="0" w:oddVBand="0" w:evenVBand="0" w:oddHBand="0" w:evenHBand="0" w:firstRowFirstColumn="0" w:firstRowLastColumn="0" w:lastRowFirstColumn="0" w:lastRowLastColumn="0"/>
            </w:pPr>
            <w:r w:rsidRPr="00C42846">
              <w:rPr>
                <w:rFonts w:eastAsia="Times"/>
              </w:rPr>
              <w:t>enterostomy</w:t>
            </w:r>
          </w:p>
          <w:p w14:paraId="15AC9BD8" w14:textId="77777777" w:rsidR="00564B86" w:rsidRPr="00C42846" w:rsidRDefault="00564B86" w:rsidP="00564B86">
            <w:pPr>
              <w:pStyle w:val="Tablebullet1"/>
              <w:cnfStyle w:val="000000000000" w:firstRow="0" w:lastRow="0" w:firstColumn="0" w:lastColumn="0" w:oddVBand="0" w:evenVBand="0" w:oddHBand="0" w:evenHBand="0" w:firstRowFirstColumn="0" w:firstRowLastColumn="0" w:lastRowFirstColumn="0" w:lastRowLastColumn="0"/>
            </w:pPr>
            <w:r w:rsidRPr="00C42846">
              <w:rPr>
                <w:rFonts w:eastAsia="Times"/>
              </w:rPr>
              <w:t>urinary catheter (intermittent or indwelling)</w:t>
            </w:r>
          </w:p>
          <w:p w14:paraId="42EB3D7F" w14:textId="6C3DADFF" w:rsidR="00C42846" w:rsidRPr="00564B86" w:rsidRDefault="00C42846" w:rsidP="00564B86">
            <w:pPr>
              <w:pStyle w:val="Tablebullet1"/>
              <w:cnfStyle w:val="000000000000" w:firstRow="0" w:lastRow="0" w:firstColumn="0" w:lastColumn="0" w:oddVBand="0" w:evenVBand="0" w:oddHBand="0" w:evenHBand="0" w:firstRowFirstColumn="0" w:firstRowLastColumn="0" w:lastRowFirstColumn="0" w:lastRowLastColumn="0"/>
            </w:pPr>
            <w:r w:rsidRPr="00C42846">
              <w:rPr>
                <w:rFonts w:eastAsia="Times"/>
              </w:rPr>
              <w:t>wound</w:t>
            </w:r>
          </w:p>
        </w:tc>
        <w:tc>
          <w:tcPr>
            <w:tcW w:w="3385" w:type="dxa"/>
            <w:shd w:val="clear" w:color="auto" w:fill="F8E8ED"/>
          </w:tcPr>
          <w:p w14:paraId="709A08C6" w14:textId="77777777" w:rsidR="00C42846" w:rsidRPr="00C42846" w:rsidRDefault="00C42846" w:rsidP="00DF0F60">
            <w:pPr>
              <w:pStyle w:val="Tablebullet1"/>
              <w:cnfStyle w:val="000000000000" w:firstRow="0" w:lastRow="0" w:firstColumn="0" w:lastColumn="0" w:oddVBand="0" w:evenVBand="0" w:oddHBand="0" w:evenHBand="0" w:firstRowFirstColumn="0" w:firstRowLastColumn="0" w:lastRowFirstColumn="0" w:lastRowLastColumn="0"/>
            </w:pPr>
            <w:r w:rsidRPr="00C42846">
              <w:rPr>
                <w:rFonts w:eastAsia="Times"/>
              </w:rPr>
              <w:t>endotracheal tube</w:t>
            </w:r>
          </w:p>
          <w:p w14:paraId="6B5F8607" w14:textId="77777777" w:rsidR="008C7638" w:rsidRPr="008C7638" w:rsidRDefault="00C42846" w:rsidP="008C7638">
            <w:pPr>
              <w:pStyle w:val="Tablebullet1"/>
              <w:cnfStyle w:val="000000000000" w:firstRow="0" w:lastRow="0" w:firstColumn="0" w:lastColumn="0" w:oddVBand="0" w:evenVBand="0" w:oddHBand="0" w:evenHBand="0" w:firstRowFirstColumn="0" w:firstRowLastColumn="0" w:lastRowFirstColumn="0" w:lastRowLastColumn="0"/>
            </w:pPr>
            <w:r w:rsidRPr="00C42846">
              <w:rPr>
                <w:rFonts w:eastAsia="Times"/>
              </w:rPr>
              <w:t>sputum</w:t>
            </w:r>
          </w:p>
          <w:p w14:paraId="3A795822" w14:textId="2AD29309" w:rsidR="008C7638" w:rsidRPr="00C42846" w:rsidRDefault="008C7638" w:rsidP="008C7638">
            <w:pPr>
              <w:pStyle w:val="Tablebullet1"/>
              <w:cnfStyle w:val="000000000000" w:firstRow="0" w:lastRow="0" w:firstColumn="0" w:lastColumn="0" w:oddVBand="0" w:evenVBand="0" w:oddHBand="0" w:evenHBand="0" w:firstRowFirstColumn="0" w:firstRowLastColumn="0" w:lastRowFirstColumn="0" w:lastRowLastColumn="0"/>
            </w:pPr>
            <w:r w:rsidRPr="00C42846">
              <w:rPr>
                <w:rFonts w:eastAsia="Times"/>
              </w:rPr>
              <w:t>urinary catheter (intermittent or indwelling)</w:t>
            </w:r>
          </w:p>
          <w:p w14:paraId="65CAC6ED" w14:textId="3234C76B" w:rsidR="00C42846" w:rsidRPr="008C7638" w:rsidRDefault="008C7638" w:rsidP="008C7638">
            <w:pPr>
              <w:pStyle w:val="Tablebullet1"/>
              <w:cnfStyle w:val="000000000000" w:firstRow="0" w:lastRow="0" w:firstColumn="0" w:lastColumn="0" w:oddVBand="0" w:evenVBand="0" w:oddHBand="0" w:evenHBand="0" w:firstRowFirstColumn="0" w:firstRowLastColumn="0" w:lastRowFirstColumn="0" w:lastRowLastColumn="0"/>
            </w:pPr>
            <w:r>
              <w:rPr>
                <w:rFonts w:eastAsia="Times"/>
                <w:lang w:val="en-US"/>
              </w:rPr>
              <w:t>wou</w:t>
            </w:r>
            <w:r w:rsidRPr="00C42846">
              <w:rPr>
                <w:rFonts w:eastAsia="Times"/>
                <w:lang w:val="en-US"/>
              </w:rPr>
              <w:t>nd</w:t>
            </w:r>
          </w:p>
        </w:tc>
      </w:tr>
    </w:tbl>
    <w:p w14:paraId="504D1C3A" w14:textId="220026D0" w:rsidR="00923649" w:rsidRDefault="00923649" w:rsidP="005E6E9C">
      <w:pPr>
        <w:pStyle w:val="Tablefigurenote"/>
      </w:pPr>
      <w:r>
        <w:t>*</w:t>
      </w:r>
      <w:r w:rsidRPr="00923649">
        <w:t xml:space="preserve"> </w:t>
      </w:r>
      <w:r>
        <w:t>Th</w:t>
      </w:r>
      <w:r w:rsidR="005E6E9C">
        <w:t>e</w:t>
      </w:r>
      <w:r>
        <w:t xml:space="preserve"> quality of r</w:t>
      </w:r>
      <w:r w:rsidRPr="00923649">
        <w:t>ectal and perianal swab</w:t>
      </w:r>
      <w:r>
        <w:t>s</w:t>
      </w:r>
      <w:r w:rsidRPr="00923649">
        <w:t xml:space="preserve"> is an important consideration </w:t>
      </w:r>
      <w:r>
        <w:t>if choosing to use these samples, particularly if samples are</w:t>
      </w:r>
      <w:r w:rsidRPr="00923649">
        <w:t xml:space="preserve"> self-collected</w:t>
      </w:r>
      <w:r>
        <w:t>.</w:t>
      </w:r>
    </w:p>
    <w:p w14:paraId="71530923" w14:textId="3CEFA300" w:rsidR="00E8440F" w:rsidRPr="00E8440F" w:rsidRDefault="00E8440F" w:rsidP="00DF0F60">
      <w:pPr>
        <w:pStyle w:val="Bodyaftertablefigure"/>
      </w:pPr>
      <w:r w:rsidRPr="00E8440F">
        <w:t>In all cases, follow appropriate referenced collection methods for the sample type(s) taken.</w:t>
      </w:r>
    </w:p>
    <w:p w14:paraId="199269C5" w14:textId="77777777" w:rsidR="00E8440F" w:rsidRPr="00E8440F" w:rsidRDefault="00E8440F" w:rsidP="00E8440F">
      <w:pPr>
        <w:pStyle w:val="Heading2"/>
        <w:rPr>
          <w:rFonts w:eastAsia="Times"/>
        </w:rPr>
      </w:pPr>
      <w:bookmarkStart w:id="34" w:name="_Toc108539919"/>
      <w:bookmarkStart w:id="35" w:name="_Toc149319548"/>
      <w:r w:rsidRPr="00E8440F">
        <w:rPr>
          <w:rFonts w:eastAsia="Times"/>
        </w:rPr>
        <w:t>Screening requirements for all facilities</w:t>
      </w:r>
      <w:bookmarkEnd w:id="34"/>
      <w:bookmarkEnd w:id="35"/>
    </w:p>
    <w:p w14:paraId="20F06D54" w14:textId="461C1FEF" w:rsidR="00E8440F" w:rsidRPr="00E8440F" w:rsidRDefault="00E8440F" w:rsidP="00E8440F">
      <w:pPr>
        <w:pStyle w:val="Body"/>
      </w:pPr>
      <w:r w:rsidRPr="00E8440F">
        <w:t xml:space="preserve">In Australia, the current major risk factor for CPE acquisition is overseas travel, particularly when there is a history of </w:t>
      </w:r>
      <w:r w:rsidR="0042682A">
        <w:t xml:space="preserve">contact with </w:t>
      </w:r>
      <w:r w:rsidR="00794BF3">
        <w:t>an overseas healthcare facility</w:t>
      </w:r>
      <w:r w:rsidRPr="00E8440F">
        <w:t xml:space="preserve">. However, there have been numerous CPE cases </w:t>
      </w:r>
      <w:r w:rsidR="00E478C2">
        <w:t>in which</w:t>
      </w:r>
      <w:r w:rsidRPr="00E8440F">
        <w:t xml:space="preserve"> overseas travel was not an identified exposure route. Other risk factors associated with an</w:t>
      </w:r>
      <w:r w:rsidRPr="00E8440F" w:rsidDel="009A1EF7">
        <w:t xml:space="preserve"> </w:t>
      </w:r>
      <w:r w:rsidR="009A1EF7">
        <w:t>increased</w:t>
      </w:r>
      <w:r w:rsidR="009A1EF7" w:rsidRPr="00E8440F">
        <w:t xml:space="preserve"> </w:t>
      </w:r>
      <w:r w:rsidRPr="00E8440F">
        <w:t xml:space="preserve">risk of CPE acquisition include: extended hospitalisation, dialysis or chemotherapy in the previous 12 months, multiple </w:t>
      </w:r>
      <w:r w:rsidR="00A75B8C">
        <w:t>and/</w:t>
      </w:r>
      <w:r w:rsidRPr="00E8440F">
        <w:t xml:space="preserve">or recent exposure to different antibiotic agents (including extended-spectrum penicillins, cephalosporins, fluoroquinolones and carbapenems), indwelling medical devices (such as central venous catheters, urinary catheters, biliary catheters or wound drains), organ or stem cell transplant recipients, mechanical ventilation, admission to an intensive care unit, diabetes mellitus, prior vancomycin-resistant </w:t>
      </w:r>
      <w:r w:rsidRPr="00E8440F">
        <w:rPr>
          <w:i/>
        </w:rPr>
        <w:t>Enterococcus</w:t>
      </w:r>
      <w:r w:rsidRPr="00E8440F">
        <w:t xml:space="preserve"> (VRE) colonisation, </w:t>
      </w:r>
      <w:r w:rsidR="00F33578">
        <w:t xml:space="preserve">and </w:t>
      </w:r>
      <w:r w:rsidRPr="00E8440F">
        <w:t>recent hospitalisation in a hospital with a known CPE outbreak or endemic transmission.</w:t>
      </w:r>
    </w:p>
    <w:p w14:paraId="429F0349" w14:textId="3D38100C" w:rsidR="00E8440F" w:rsidRPr="00E8440F" w:rsidRDefault="00E8440F" w:rsidP="00E8440F">
      <w:pPr>
        <w:pStyle w:val="Body"/>
      </w:pPr>
      <w:r w:rsidRPr="00E8440F">
        <w:t xml:space="preserve">Depending on the individual risk assessment, pre-emptive isolation and the use of contact precautions is necessary until the results of screening cultures are </w:t>
      </w:r>
      <w:r w:rsidR="00F33578">
        <w:t>available</w:t>
      </w:r>
      <w:r w:rsidRPr="00E8440F">
        <w:t>. This</w:t>
      </w:r>
      <w:r w:rsidRPr="00E8440F" w:rsidDel="00D03142">
        <w:t xml:space="preserve"> </w:t>
      </w:r>
      <w:r w:rsidR="00D03142">
        <w:t>i</w:t>
      </w:r>
      <w:r w:rsidR="00DC1FCC">
        <w:t xml:space="preserve">s </w:t>
      </w:r>
      <w:r w:rsidR="00F33578">
        <w:t xml:space="preserve">a </w:t>
      </w:r>
      <w:r w:rsidR="00DC1FCC">
        <w:t xml:space="preserve">particularly </w:t>
      </w:r>
      <w:r w:rsidRPr="00E8440F">
        <w:t xml:space="preserve">important consideration for patients with a history of recent hospitalisation in regions </w:t>
      </w:r>
      <w:r w:rsidR="00D3632C">
        <w:t>wi</w:t>
      </w:r>
      <w:r w:rsidR="00FF0117">
        <w:t>th</w:t>
      </w:r>
      <w:r w:rsidRPr="00E8440F">
        <w:t xml:space="preserve"> an increased risk of CPO acquisition.</w:t>
      </w:r>
    </w:p>
    <w:p w14:paraId="694DE434" w14:textId="4B18E46C" w:rsidR="00F71F34" w:rsidRDefault="00E8440F" w:rsidP="00E8440F">
      <w:pPr>
        <w:pStyle w:val="Body"/>
      </w:pPr>
      <w:r w:rsidRPr="00E8440F">
        <w:t xml:space="preserve">The following patients are at significant risk of being infected or colonised with a CPO. The in-patient admission process should include relevant questions to identify patients requiring pre-emptive isolation and screening (PRIS) as indicated in </w:t>
      </w:r>
      <w:r w:rsidR="00F97425">
        <w:t>Box</w:t>
      </w:r>
      <w:r w:rsidRPr="00E8440F">
        <w:t xml:space="preserve"> 2.</w:t>
      </w:r>
    </w:p>
    <w:p w14:paraId="14FFF0DB" w14:textId="77777777" w:rsidR="00F71F34" w:rsidRDefault="00F71F34">
      <w:pPr>
        <w:spacing w:after="0" w:line="240" w:lineRule="auto"/>
        <w:rPr>
          <w:rFonts w:eastAsia="Times"/>
        </w:rPr>
      </w:pPr>
      <w:r>
        <w:br w:type="page"/>
      </w:r>
    </w:p>
    <w:p w14:paraId="6C38932D" w14:textId="5CE1356E" w:rsidR="00E8440F" w:rsidRDefault="00302A17" w:rsidP="00E8440F">
      <w:pPr>
        <w:pStyle w:val="Figurecaption"/>
        <w:rPr>
          <w:rFonts w:eastAsia="Times"/>
        </w:rPr>
      </w:pPr>
      <w:r>
        <w:rPr>
          <w:rFonts w:eastAsia="Times"/>
        </w:rPr>
        <w:lastRenderedPageBreak/>
        <w:t>Box</w:t>
      </w:r>
      <w:r w:rsidR="00E8440F" w:rsidRPr="00E8440F">
        <w:rPr>
          <w:rFonts w:eastAsia="Times"/>
        </w:rPr>
        <w:t xml:space="preserve"> 2: </w:t>
      </w:r>
      <w:r w:rsidR="00E8440F" w:rsidRPr="007576B9">
        <w:rPr>
          <w:rFonts w:eastAsia="Times"/>
        </w:rPr>
        <w:t>Patients requiring pre-emptive isolation and screening (PRIS)</w:t>
      </w:r>
    </w:p>
    <w:tbl>
      <w:tblPr>
        <w:tblStyle w:val="TableGrid"/>
        <w:tblW w:w="0" w:type="auto"/>
        <w:tblBorders>
          <w:top w:val="single" w:sz="18" w:space="0" w:color="C63663"/>
          <w:left w:val="single" w:sz="18" w:space="0" w:color="C63663"/>
          <w:bottom w:val="single" w:sz="18" w:space="0" w:color="C63663"/>
          <w:right w:val="single" w:sz="18" w:space="0" w:color="C63663"/>
          <w:insideH w:val="single" w:sz="18" w:space="0" w:color="C63663"/>
          <w:insideV w:val="single" w:sz="18" w:space="0" w:color="C63663"/>
        </w:tblBorders>
        <w:shd w:val="clear" w:color="auto" w:fill="F8E8ED"/>
        <w:tblLook w:val="04A0" w:firstRow="1" w:lastRow="0" w:firstColumn="1" w:lastColumn="0" w:noHBand="0" w:noVBand="1"/>
      </w:tblPr>
      <w:tblGrid>
        <w:gridCol w:w="9252"/>
      </w:tblGrid>
      <w:tr w:rsidR="00302A17" w14:paraId="6240F4C9" w14:textId="77777777" w:rsidTr="00A713A8">
        <w:tc>
          <w:tcPr>
            <w:tcW w:w="9288" w:type="dxa"/>
            <w:shd w:val="clear" w:color="auto" w:fill="F8E8ED"/>
          </w:tcPr>
          <w:p w14:paraId="507B2960" w14:textId="77777777" w:rsidR="00302A17" w:rsidRPr="00AB3EA4" w:rsidRDefault="00302A17" w:rsidP="00AB3EA4">
            <w:pPr>
              <w:pStyle w:val="Tablebullet1"/>
            </w:pPr>
            <w:r w:rsidRPr="00AB3EA4">
              <w:t>Direct transfer from an overseas hospital.</w:t>
            </w:r>
          </w:p>
          <w:p w14:paraId="1FEF1DD2" w14:textId="32AE9BB4" w:rsidR="00302A17" w:rsidRPr="00AB3EA4" w:rsidRDefault="002E70F6" w:rsidP="00AB3EA4">
            <w:pPr>
              <w:pStyle w:val="Tablebullet1"/>
            </w:pPr>
            <w:r w:rsidRPr="00AB3EA4">
              <w:t xml:space="preserve">Received care </w:t>
            </w:r>
            <w:r w:rsidR="00302A17" w:rsidRPr="00AB3EA4">
              <w:t>in an overseas healthcare</w:t>
            </w:r>
            <w:r w:rsidR="005B14DE">
              <w:t xml:space="preserve"> facility</w:t>
            </w:r>
            <w:r w:rsidR="00302A17" w:rsidRPr="00AB3EA4">
              <w:t xml:space="preserve"> or </w:t>
            </w:r>
            <w:r w:rsidR="005B14DE">
              <w:t>RCF</w:t>
            </w:r>
            <w:r w:rsidR="00302A17" w:rsidRPr="00AB3EA4">
              <w:t xml:space="preserve"> in the previous 12 months.</w:t>
            </w:r>
          </w:p>
          <w:p w14:paraId="6B02C4AC" w14:textId="77777777" w:rsidR="000259EA" w:rsidRPr="00AB3EA4" w:rsidRDefault="00302A17" w:rsidP="00AB3EA4">
            <w:pPr>
              <w:pStyle w:val="Tablebullet1"/>
            </w:pPr>
            <w:r w:rsidRPr="00AB3EA4">
              <w:t xml:space="preserve">A room contact of a CPO case who has not achieved clearance criteria (see </w:t>
            </w:r>
            <w:hyperlink w:anchor="_Clearance_criteria_for_1" w:history="1">
              <w:r w:rsidR="00394264" w:rsidRPr="00AB3EA4">
                <w:rPr>
                  <w:rStyle w:val="Hyperlink"/>
                  <w:u w:val="none"/>
                </w:rPr>
                <w:t>Clearance criteria for room contacts</w:t>
              </w:r>
            </w:hyperlink>
            <w:r w:rsidRPr="00AB3EA4">
              <w:t>).</w:t>
            </w:r>
          </w:p>
          <w:p w14:paraId="67CDEE6F" w14:textId="4A25CA12" w:rsidR="00F32CE0" w:rsidRDefault="00302A17" w:rsidP="00AB3EA4">
            <w:pPr>
              <w:pStyle w:val="Tablebullet1"/>
            </w:pPr>
            <w:r w:rsidRPr="00AB3EA4">
              <w:t>A ward contact of a CPO case where transmission has occurred</w:t>
            </w:r>
            <w:r w:rsidR="0029751D" w:rsidRPr="00AB3EA4">
              <w:t xml:space="preserve"> who has not achieved clearance criteria (see </w:t>
            </w:r>
            <w:hyperlink w:anchor="_Clearance_criteria_for" w:history="1">
              <w:r w:rsidR="003D2A39" w:rsidRPr="00AB3EA4">
                <w:t>Clearance criteria for ward contacts</w:t>
              </w:r>
            </w:hyperlink>
            <w:r w:rsidR="0029751D" w:rsidRPr="00AB3EA4">
              <w:t>)</w:t>
            </w:r>
            <w:r w:rsidRPr="00AB3EA4">
              <w:t>.</w:t>
            </w:r>
          </w:p>
        </w:tc>
      </w:tr>
    </w:tbl>
    <w:p w14:paraId="68B5A04D" w14:textId="5EE69EC1" w:rsidR="00E8440F" w:rsidRPr="00E8440F" w:rsidRDefault="00E8440F" w:rsidP="00F97425">
      <w:pPr>
        <w:pStyle w:val="Bodyaftertablefigure"/>
      </w:pPr>
      <w:r w:rsidRPr="00E8440F">
        <w:t>On admission, these patients will require a single room</w:t>
      </w:r>
      <w:r w:rsidR="00F874E2">
        <w:t xml:space="preserve"> </w:t>
      </w:r>
      <w:r w:rsidR="00F874E2" w:rsidRPr="000259EA">
        <w:t>(</w:t>
      </w:r>
      <w:r w:rsidR="00032BAC">
        <w:t xml:space="preserve">for patient placement </w:t>
      </w:r>
      <w:r w:rsidR="007447D2">
        <w:t>recommendations see</w:t>
      </w:r>
      <w:r w:rsidR="00032BAC">
        <w:t xml:space="preserve"> </w:t>
      </w:r>
      <w:r w:rsidR="00032BAC" w:rsidRPr="00032BAC">
        <w:t>Section 5: Management and control of cases</w:t>
      </w:r>
      <w:r w:rsidR="00032BAC">
        <w:t xml:space="preserve"> - </w:t>
      </w:r>
      <w:hyperlink w:anchor="_Patient_placement" w:history="1">
        <w:r w:rsidR="00F874E2" w:rsidRPr="000259EA">
          <w:rPr>
            <w:rStyle w:val="Hyperlink"/>
          </w:rPr>
          <w:t>Patient placement</w:t>
        </w:r>
      </w:hyperlink>
      <w:r w:rsidR="00F874E2" w:rsidRPr="000259EA">
        <w:t>)</w:t>
      </w:r>
      <w:r w:rsidRPr="00E8440F">
        <w:t>, contact precautions and screening.</w:t>
      </w:r>
      <w:r w:rsidR="00F874E2">
        <w:t xml:space="preserve"> Health services may consider PRIS for additional </w:t>
      </w:r>
      <w:r w:rsidR="00AD71E0">
        <w:t>high-risk</w:t>
      </w:r>
      <w:r w:rsidR="00F874E2">
        <w:t xml:space="preserve"> patients as determined by individual risk assessment.</w:t>
      </w:r>
    </w:p>
    <w:p w14:paraId="1AD39067" w14:textId="32143917" w:rsidR="00E8440F" w:rsidRDefault="00E8440F" w:rsidP="00E8440F">
      <w:pPr>
        <w:pStyle w:val="Body"/>
      </w:pPr>
      <w:r w:rsidRPr="00E8440F">
        <w:t xml:space="preserve">Those who are being screened based on an exposure event or other risk factors can be taken out of isolation once they have achieved appropriate clearance criteria for </w:t>
      </w:r>
      <w:r w:rsidR="00CB0217">
        <w:t xml:space="preserve">their </w:t>
      </w:r>
      <w:r w:rsidR="00146EE6">
        <w:t>category</w:t>
      </w:r>
      <w:r w:rsidR="00CB0217">
        <w:t xml:space="preserve"> of risk,</w:t>
      </w:r>
      <w:r w:rsidR="00146EE6">
        <w:t xml:space="preserve"> that is, </w:t>
      </w:r>
      <w:r w:rsidRPr="00E8440F">
        <w:t xml:space="preserve">room contacts (see </w:t>
      </w:r>
      <w:hyperlink w:anchor="_Clearance_criteria_for_1" w:history="1">
        <w:r w:rsidRPr="000974C8">
          <w:rPr>
            <w:rStyle w:val="Hyperlink"/>
          </w:rPr>
          <w:t>Clearance criteria for room contacts</w:t>
        </w:r>
      </w:hyperlink>
      <w:r w:rsidRPr="000974C8">
        <w:t>),</w:t>
      </w:r>
      <w:r w:rsidRPr="00E8440F">
        <w:t xml:space="preserve"> ward contacts (see </w:t>
      </w:r>
      <w:hyperlink w:anchor="_Clearance_criteria_for" w:history="1">
        <w:r w:rsidRPr="000974C8">
          <w:rPr>
            <w:rStyle w:val="Hyperlink"/>
          </w:rPr>
          <w:t>Clearance criteria ward contacts</w:t>
        </w:r>
      </w:hyperlink>
      <w:r w:rsidRPr="000974C8">
        <w:t>)</w:t>
      </w:r>
      <w:r w:rsidRPr="00E8440F">
        <w:t xml:space="preserve"> or overseas healthcare facility contacts (see below).</w:t>
      </w:r>
    </w:p>
    <w:p w14:paraId="55ECF8AE" w14:textId="4D548655" w:rsidR="00423069" w:rsidRPr="00E8440F" w:rsidRDefault="00423069" w:rsidP="00423069">
      <w:pPr>
        <w:pStyle w:val="Figurecaption"/>
        <w:rPr>
          <w:rFonts w:eastAsia="Times"/>
        </w:rPr>
      </w:pPr>
      <w:r w:rsidRPr="00E8440F">
        <w:rPr>
          <w:rFonts w:eastAsia="Times"/>
        </w:rPr>
        <w:t>Flowchart 1: CP</w:t>
      </w:r>
      <w:r w:rsidR="0065005D">
        <w:rPr>
          <w:rFonts w:eastAsia="Times"/>
        </w:rPr>
        <w:t>O</w:t>
      </w:r>
      <w:r w:rsidRPr="00E8440F">
        <w:rPr>
          <w:rFonts w:eastAsia="Times"/>
        </w:rPr>
        <w:t xml:space="preserve"> screening requirements for all facilities</w:t>
      </w:r>
    </w:p>
    <w:tbl>
      <w:tblPr>
        <w:tblStyle w:val="TableGrid"/>
        <w:tblW w:w="0" w:type="auto"/>
        <w:jc w:val="center"/>
        <w:tblBorders>
          <w:top w:val="single" w:sz="18" w:space="0" w:color="C63663"/>
          <w:left w:val="single" w:sz="18" w:space="0" w:color="C63663"/>
          <w:bottom w:val="single" w:sz="18" w:space="0" w:color="C63663"/>
          <w:right w:val="single" w:sz="18" w:space="0" w:color="C63663"/>
          <w:insideH w:val="single" w:sz="18" w:space="0" w:color="C63663"/>
          <w:insideV w:val="single" w:sz="18" w:space="0" w:color="C63663"/>
        </w:tblBorders>
        <w:tblCellMar>
          <w:top w:w="28" w:type="dxa"/>
          <w:left w:w="28" w:type="dxa"/>
          <w:bottom w:w="28" w:type="dxa"/>
          <w:right w:w="28" w:type="dxa"/>
        </w:tblCellMar>
        <w:tblLook w:val="04A0" w:firstRow="1" w:lastRow="0" w:firstColumn="1" w:lastColumn="0" w:noHBand="0" w:noVBand="1"/>
      </w:tblPr>
      <w:tblGrid>
        <w:gridCol w:w="9252"/>
      </w:tblGrid>
      <w:tr w:rsidR="00423069" w:rsidRPr="00E8440F" w14:paraId="352AEB7E" w14:textId="77777777" w:rsidTr="00004949">
        <w:trPr>
          <w:tblHeader/>
          <w:jc w:val="center"/>
        </w:trPr>
        <w:tc>
          <w:tcPr>
            <w:tcW w:w="9252" w:type="dxa"/>
            <w:vAlign w:val="center"/>
          </w:tcPr>
          <w:p w14:paraId="7F0D1D53" w14:textId="2DA93298" w:rsidR="00423069" w:rsidRPr="00E8440F" w:rsidRDefault="00266887" w:rsidP="00F71F34">
            <w:pPr>
              <w:pStyle w:val="Body"/>
              <w:spacing w:before="60" w:after="60" w:line="240" w:lineRule="auto"/>
              <w:jc w:val="center"/>
            </w:pPr>
            <w:r>
              <w:rPr>
                <w:noProof/>
              </w:rPr>
              <w:drawing>
                <wp:inline distT="0" distB="0" distL="0" distR="0" wp14:anchorId="5694C962" wp14:editId="46353E48">
                  <wp:extent cx="5815068" cy="3593989"/>
                  <wp:effectExtent l="0" t="0" r="0" b="6985"/>
                  <wp:docPr id="770936644" name="Picture 770936644" descr="Flowchart 1 outlines who should be screened for CPO on admission to a health care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36644" name="Picture 770936644" descr="Flowchart 1 outlines who should be screened for CPO on admission to a health care facility."/>
                          <pic:cNvPicPr>
                            <a:picLocks noChangeAspect="1" noChangeArrowheads="1"/>
                          </pic:cNvPicPr>
                        </pic:nvPicPr>
                        <pic:blipFill rotWithShape="1">
                          <a:blip r:embed="rId29">
                            <a:extLst>
                              <a:ext uri="{28A0092B-C50C-407E-A947-70E740481C1C}">
                                <a14:useLocalDpi xmlns:a14="http://schemas.microsoft.com/office/drawing/2010/main" val="0"/>
                              </a:ext>
                            </a:extLst>
                          </a:blip>
                          <a:srcRect l="2635" t="3952" r="2614" b="4505"/>
                          <a:stretch/>
                        </pic:blipFill>
                        <pic:spPr bwMode="auto">
                          <a:xfrm>
                            <a:off x="0" y="0"/>
                            <a:ext cx="5832993" cy="360506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F740A9B" w14:textId="77777777" w:rsidR="00F71F34" w:rsidRPr="00F71F34" w:rsidRDefault="00F71F34" w:rsidP="00F71F34">
      <w:pPr>
        <w:pStyle w:val="Body"/>
      </w:pPr>
      <w:r>
        <w:br w:type="page"/>
      </w:r>
    </w:p>
    <w:p w14:paraId="41577E82" w14:textId="3BE44691" w:rsidR="00E8440F" w:rsidRPr="00E8440F" w:rsidRDefault="00E8440F" w:rsidP="00E8440F">
      <w:pPr>
        <w:pStyle w:val="Heading3"/>
      </w:pPr>
      <w:r w:rsidRPr="00E8440F">
        <w:lastRenderedPageBreak/>
        <w:t xml:space="preserve">Clearance criteria for overseas healthcare facility </w:t>
      </w:r>
      <w:proofErr w:type="gramStart"/>
      <w:r w:rsidRPr="00E8440F">
        <w:t>contact</w:t>
      </w:r>
      <w:proofErr w:type="gramEnd"/>
    </w:p>
    <w:p w14:paraId="549D18D1" w14:textId="1D4F699E" w:rsidR="00E8440F" w:rsidRPr="00E8440F" w:rsidRDefault="00E8440F" w:rsidP="00E8440F">
      <w:pPr>
        <w:pStyle w:val="Body"/>
      </w:pPr>
      <w:r w:rsidRPr="00E8440F">
        <w:t xml:space="preserve">Patients who have </w:t>
      </w:r>
      <w:r w:rsidR="00B94526">
        <w:t xml:space="preserve">received care </w:t>
      </w:r>
      <w:r w:rsidR="00827D34">
        <w:t>in a</w:t>
      </w:r>
      <w:r w:rsidR="00F62EEF">
        <w:t>n overseas</w:t>
      </w:r>
      <w:r w:rsidR="00827D34">
        <w:t xml:space="preserve"> healthcare </w:t>
      </w:r>
      <w:r w:rsidR="005B14DE">
        <w:t xml:space="preserve">facility </w:t>
      </w:r>
      <w:r w:rsidR="00827D34">
        <w:t xml:space="preserve">or </w:t>
      </w:r>
      <w:r w:rsidR="005B14DE">
        <w:t>RCF</w:t>
      </w:r>
      <w:r w:rsidR="00827D34" w:rsidRPr="00E8440F">
        <w:t xml:space="preserve"> </w:t>
      </w:r>
      <w:r w:rsidRPr="00E8440F">
        <w:t xml:space="preserve">in the last 12 months do not need to be isolated and screened each time they are admitted </w:t>
      </w:r>
      <w:proofErr w:type="gramStart"/>
      <w:r w:rsidRPr="00E8440F">
        <w:t>as long as</w:t>
      </w:r>
      <w:proofErr w:type="gramEnd"/>
      <w:r w:rsidRPr="00E8440F">
        <w:t xml:space="preserve"> the following criteria have been met.</w:t>
      </w:r>
    </w:p>
    <w:p w14:paraId="29CDF0BB" w14:textId="2A947273" w:rsidR="00E8440F" w:rsidRPr="00E8440F" w:rsidRDefault="00E8440F" w:rsidP="002035CF">
      <w:pPr>
        <w:pStyle w:val="Bullet1"/>
      </w:pPr>
      <w:r w:rsidRPr="00E8440F">
        <w:t xml:space="preserve">All screening specimens were taken more than seven days after the </w:t>
      </w:r>
      <w:r w:rsidR="006D0982">
        <w:t xml:space="preserve">patient’s </w:t>
      </w:r>
      <w:r w:rsidRPr="00E8440F">
        <w:t>most recent contact with an overseas facility.</w:t>
      </w:r>
    </w:p>
    <w:p w14:paraId="5C98F180" w14:textId="77777777" w:rsidR="00E8440F" w:rsidRPr="00E8440F" w:rsidRDefault="00E8440F" w:rsidP="002035CF">
      <w:pPr>
        <w:pStyle w:val="Bullet1"/>
      </w:pPr>
      <w:r w:rsidRPr="00E8440F">
        <w:t xml:space="preserve">A </w:t>
      </w:r>
      <w:r w:rsidRPr="002035CF">
        <w:rPr>
          <w:b/>
          <w:bCs/>
        </w:rPr>
        <w:t>faeces</w:t>
      </w:r>
      <w:r w:rsidRPr="00E8440F">
        <w:t xml:space="preserve"> sample has been screened and the result is negative.</w:t>
      </w:r>
    </w:p>
    <w:p w14:paraId="7275A4D9" w14:textId="77777777" w:rsidR="00E8440F" w:rsidRPr="00E8440F" w:rsidRDefault="00E8440F" w:rsidP="002035CF">
      <w:pPr>
        <w:pStyle w:val="Bullet1"/>
      </w:pPr>
      <w:r w:rsidRPr="00E8440F">
        <w:t>All other relevant sites (for example wounds, urine if indwelling catheter) present at time of first admission have been screened following the most recent contact with an overseas facility.</w:t>
      </w:r>
    </w:p>
    <w:p w14:paraId="26420182" w14:textId="647B1C49" w:rsidR="00E8440F" w:rsidRPr="00E8440F" w:rsidRDefault="00E8440F" w:rsidP="00E8440F">
      <w:pPr>
        <w:pStyle w:val="Heading3"/>
      </w:pPr>
      <w:r w:rsidRPr="00E8440F">
        <w:t xml:space="preserve">Higher-risk patients – consider screening based on local risk </w:t>
      </w:r>
      <w:proofErr w:type="gramStart"/>
      <w:r w:rsidRPr="00E8440F">
        <w:t>assessment</w:t>
      </w:r>
      <w:proofErr w:type="gramEnd"/>
    </w:p>
    <w:p w14:paraId="4D40A8A0" w14:textId="77777777" w:rsidR="00E8440F" w:rsidRPr="00E8440F" w:rsidRDefault="00E8440F" w:rsidP="00E8440F">
      <w:pPr>
        <w:pStyle w:val="Body"/>
      </w:pPr>
      <w:r w:rsidRPr="00E8440F">
        <w:t xml:space="preserve">Health services are encouraged to undertake hospital wide or high-risk </w:t>
      </w:r>
      <w:bookmarkStart w:id="36" w:name="_Hlk101353121"/>
      <w:r w:rsidRPr="00E8440F">
        <w:t xml:space="preserve">ward </w:t>
      </w:r>
      <w:bookmarkEnd w:id="36"/>
      <w:r w:rsidRPr="00E8440F">
        <w:t>PPS based on local risk assessments. The AMR-IMT may request the results of voluntary screening results as part of investigations into cases.</w:t>
      </w:r>
    </w:p>
    <w:p w14:paraId="4491D825" w14:textId="304D31BC" w:rsidR="00287AF7" w:rsidRDefault="00E8440F" w:rsidP="00E8440F">
      <w:pPr>
        <w:pStyle w:val="Body"/>
      </w:pPr>
      <w:r w:rsidRPr="00E8440F">
        <w:t>There are two types of high-risk patients that health services may consider screening: those who are at higher</w:t>
      </w:r>
      <w:r w:rsidR="00FC2871">
        <w:t xml:space="preserve"> </w:t>
      </w:r>
      <w:r w:rsidRPr="00E8440F">
        <w:t>risk for acquiring CP</w:t>
      </w:r>
      <w:r w:rsidR="005E6E9C">
        <w:t>O</w:t>
      </w:r>
      <w:r w:rsidRPr="00E8440F">
        <w:t xml:space="preserve"> (see </w:t>
      </w:r>
      <w:r w:rsidR="00F97425">
        <w:t>Box</w:t>
      </w:r>
      <w:r w:rsidRPr="00E8440F">
        <w:t xml:space="preserve"> 3 below), and those at higher</w:t>
      </w:r>
      <w:r w:rsidR="00D83BA5">
        <w:t xml:space="preserve"> </w:t>
      </w:r>
      <w:r w:rsidRPr="00E8440F">
        <w:t>risk of developing severe illness due to CP</w:t>
      </w:r>
      <w:r w:rsidR="005E6E9C">
        <w:t>O</w:t>
      </w:r>
      <w:r w:rsidRPr="00E8440F">
        <w:t xml:space="preserve"> (see </w:t>
      </w:r>
      <w:r w:rsidR="00F97425">
        <w:t>Box</w:t>
      </w:r>
      <w:r w:rsidRPr="00E8440F">
        <w:t xml:space="preserve"> 4 below). Health services may decide to increase screening frequency of some or all these patients at their own discretion.</w:t>
      </w:r>
    </w:p>
    <w:p w14:paraId="2A1DCB00" w14:textId="0B7C49E5" w:rsidR="00E8440F" w:rsidRDefault="00F97425" w:rsidP="00E8440F">
      <w:pPr>
        <w:pStyle w:val="Figurecaption"/>
        <w:rPr>
          <w:rFonts w:eastAsia="Times"/>
        </w:rPr>
      </w:pPr>
      <w:r>
        <w:rPr>
          <w:rFonts w:eastAsia="Times"/>
        </w:rPr>
        <w:t>Box</w:t>
      </w:r>
      <w:r w:rsidR="00E8440F" w:rsidRPr="00E8440F">
        <w:rPr>
          <w:rFonts w:eastAsia="Times"/>
        </w:rPr>
        <w:t xml:space="preserve"> 3: </w:t>
      </w:r>
      <w:r w:rsidR="00A62178">
        <w:rPr>
          <w:rFonts w:eastAsia="Times"/>
        </w:rPr>
        <w:t xml:space="preserve">Factors contributing to a </w:t>
      </w:r>
      <w:r w:rsidR="00F0174A">
        <w:rPr>
          <w:rFonts w:eastAsia="Times"/>
        </w:rPr>
        <w:t>higher risk</w:t>
      </w:r>
      <w:r w:rsidR="00A62178">
        <w:rPr>
          <w:rFonts w:eastAsia="Times"/>
        </w:rPr>
        <w:t xml:space="preserve"> of acquiring a </w:t>
      </w:r>
      <w:proofErr w:type="gramStart"/>
      <w:r w:rsidR="00A62178">
        <w:rPr>
          <w:rFonts w:eastAsia="Times"/>
        </w:rPr>
        <w:t>CPO</w:t>
      </w:r>
      <w:proofErr w:type="gramEnd"/>
    </w:p>
    <w:tbl>
      <w:tblPr>
        <w:tblStyle w:val="TableGrid"/>
        <w:tblW w:w="0" w:type="auto"/>
        <w:tblBorders>
          <w:top w:val="single" w:sz="18" w:space="0" w:color="C63663"/>
          <w:left w:val="single" w:sz="18" w:space="0" w:color="C63663"/>
          <w:bottom w:val="single" w:sz="18" w:space="0" w:color="C63663"/>
          <w:right w:val="single" w:sz="18" w:space="0" w:color="C63663"/>
          <w:insideH w:val="single" w:sz="18" w:space="0" w:color="C63663"/>
          <w:insideV w:val="single" w:sz="18" w:space="0" w:color="C63663"/>
        </w:tblBorders>
        <w:shd w:val="clear" w:color="auto" w:fill="F8E8ED"/>
        <w:tblLook w:val="04A0" w:firstRow="1" w:lastRow="0" w:firstColumn="1" w:lastColumn="0" w:noHBand="0" w:noVBand="1"/>
      </w:tblPr>
      <w:tblGrid>
        <w:gridCol w:w="9252"/>
      </w:tblGrid>
      <w:tr w:rsidR="00F97425" w14:paraId="22341A04" w14:textId="77777777" w:rsidTr="00D3646C">
        <w:tc>
          <w:tcPr>
            <w:tcW w:w="9288" w:type="dxa"/>
            <w:shd w:val="clear" w:color="auto" w:fill="F8E8ED"/>
          </w:tcPr>
          <w:p w14:paraId="697E1CE3" w14:textId="77777777" w:rsidR="00F97425" w:rsidRPr="00E8440F" w:rsidRDefault="00F97425" w:rsidP="00F97425">
            <w:pPr>
              <w:pStyle w:val="Tablebullet1"/>
            </w:pPr>
            <w:r w:rsidRPr="00E8440F">
              <w:t xml:space="preserve">Prolonged hospital </w:t>
            </w:r>
            <w:proofErr w:type="gramStart"/>
            <w:r w:rsidRPr="00E8440F">
              <w:t>stay</w:t>
            </w:r>
            <w:proofErr w:type="gramEnd"/>
            <w:r w:rsidRPr="00E8440F">
              <w:t>, for example, geriatric evaluation and management units.</w:t>
            </w:r>
          </w:p>
          <w:p w14:paraId="26271EE9" w14:textId="247D9573" w:rsidR="00F97425" w:rsidRPr="00E8440F" w:rsidRDefault="00F97425" w:rsidP="00F97425">
            <w:pPr>
              <w:pStyle w:val="Tablebullet1"/>
            </w:pPr>
            <w:r w:rsidRPr="00E8440F">
              <w:t xml:space="preserve">Multiple </w:t>
            </w:r>
            <w:r w:rsidR="005234CA">
              <w:t>and/</w:t>
            </w:r>
            <w:r w:rsidRPr="00E8440F">
              <w:t>or recent exposures to different antibiotic agents, including extended-spectrum penicillins, cephalosporins, fluoroquinolones and carbapenems.</w:t>
            </w:r>
          </w:p>
          <w:p w14:paraId="45D9A071" w14:textId="77777777" w:rsidR="00F97425" w:rsidRPr="00E8440F" w:rsidRDefault="00F97425" w:rsidP="00F97425">
            <w:pPr>
              <w:pStyle w:val="Tablebullet1"/>
            </w:pPr>
            <w:r w:rsidRPr="00E8440F">
              <w:t xml:space="preserve">An indwelling medical device, such as a central venous catheter, urinary catheter, biliary </w:t>
            </w:r>
            <w:proofErr w:type="gramStart"/>
            <w:r w:rsidRPr="00E8440F">
              <w:t>catheter</w:t>
            </w:r>
            <w:proofErr w:type="gramEnd"/>
            <w:r w:rsidRPr="00E8440F">
              <w:t xml:space="preserve"> or wound drain.</w:t>
            </w:r>
          </w:p>
          <w:p w14:paraId="48ECFA0C" w14:textId="77777777" w:rsidR="00F97425" w:rsidRPr="00E8440F" w:rsidRDefault="00F97425" w:rsidP="00F97425">
            <w:pPr>
              <w:pStyle w:val="Tablebullet1"/>
            </w:pPr>
            <w:r w:rsidRPr="00E8440F">
              <w:t>An organ or stem-cell transplant recipient.</w:t>
            </w:r>
          </w:p>
          <w:p w14:paraId="464186E2" w14:textId="77777777" w:rsidR="00F97425" w:rsidRDefault="00F97425" w:rsidP="00F97425">
            <w:pPr>
              <w:pStyle w:val="Tablebullet1"/>
            </w:pPr>
            <w:r>
              <w:t xml:space="preserve">Burns </w:t>
            </w:r>
            <w:proofErr w:type="gramStart"/>
            <w:r>
              <w:t>patients</w:t>
            </w:r>
            <w:proofErr w:type="gramEnd"/>
          </w:p>
          <w:p w14:paraId="5AE074DA" w14:textId="3ACA7A75" w:rsidR="00F97425" w:rsidRPr="00E8440F" w:rsidRDefault="00F97425" w:rsidP="00F97425">
            <w:pPr>
              <w:pStyle w:val="Tablebullet1"/>
            </w:pPr>
            <w:r>
              <w:t xml:space="preserve">Respiratory patients on long-term antimicrobials (for example, </w:t>
            </w:r>
            <w:r w:rsidR="003A49E3">
              <w:t xml:space="preserve">people with </w:t>
            </w:r>
            <w:r>
              <w:t>cystic fibrosis)</w:t>
            </w:r>
          </w:p>
          <w:p w14:paraId="6FEFA67C" w14:textId="77777777" w:rsidR="00F97425" w:rsidRPr="00E8440F" w:rsidRDefault="00F97425" w:rsidP="00F97425">
            <w:pPr>
              <w:pStyle w:val="Tablebullet1"/>
            </w:pPr>
            <w:r w:rsidRPr="00E8440F">
              <w:t>Admission to an intensive care unit.</w:t>
            </w:r>
          </w:p>
          <w:p w14:paraId="2FEFEBC1" w14:textId="49B5ECBD" w:rsidR="00F97425" w:rsidRDefault="00F97425" w:rsidP="00F97425">
            <w:pPr>
              <w:pStyle w:val="Tablebullet1"/>
            </w:pPr>
            <w:r w:rsidRPr="00E8440F">
              <w:t>Received mechanical ventilation.</w:t>
            </w:r>
          </w:p>
        </w:tc>
      </w:tr>
    </w:tbl>
    <w:p w14:paraId="26BBBB27" w14:textId="31506DAF" w:rsidR="00E8440F" w:rsidRDefault="00F97425" w:rsidP="00E8440F">
      <w:pPr>
        <w:pStyle w:val="Figurecaption"/>
        <w:rPr>
          <w:rFonts w:eastAsia="Times"/>
        </w:rPr>
      </w:pPr>
      <w:r>
        <w:rPr>
          <w:rFonts w:eastAsia="Times"/>
        </w:rPr>
        <w:t>Box</w:t>
      </w:r>
      <w:r w:rsidR="00E8440F" w:rsidRPr="00E8440F">
        <w:rPr>
          <w:rFonts w:eastAsia="Times"/>
        </w:rPr>
        <w:t xml:space="preserve"> 4: </w:t>
      </w:r>
      <w:r w:rsidR="00336139">
        <w:rPr>
          <w:rFonts w:eastAsia="Times"/>
        </w:rPr>
        <w:t xml:space="preserve">Patients at </w:t>
      </w:r>
      <w:r w:rsidR="00F0174A">
        <w:rPr>
          <w:rFonts w:eastAsia="Times"/>
        </w:rPr>
        <w:t>h</w:t>
      </w:r>
      <w:r w:rsidR="00F0174A" w:rsidRPr="00E8440F">
        <w:rPr>
          <w:rFonts w:eastAsia="Times"/>
        </w:rPr>
        <w:t>igher risk</w:t>
      </w:r>
      <w:r w:rsidR="00E8440F" w:rsidRPr="00E8440F">
        <w:rPr>
          <w:rFonts w:eastAsia="Times"/>
        </w:rPr>
        <w:t xml:space="preserve"> for developing severe illness due to </w:t>
      </w:r>
      <w:r w:rsidR="00336139">
        <w:rPr>
          <w:rFonts w:eastAsia="Times"/>
        </w:rPr>
        <w:t xml:space="preserve">a </w:t>
      </w:r>
      <w:proofErr w:type="gramStart"/>
      <w:r w:rsidR="00E8440F" w:rsidRPr="00E8440F">
        <w:rPr>
          <w:rFonts w:eastAsia="Times"/>
        </w:rPr>
        <w:t>CP</w:t>
      </w:r>
      <w:r w:rsidR="00336139">
        <w:rPr>
          <w:rFonts w:eastAsia="Times"/>
        </w:rPr>
        <w:t>O</w:t>
      </w:r>
      <w:proofErr w:type="gramEnd"/>
    </w:p>
    <w:tbl>
      <w:tblPr>
        <w:tblStyle w:val="TableGrid"/>
        <w:tblW w:w="0" w:type="auto"/>
        <w:tblBorders>
          <w:top w:val="single" w:sz="18" w:space="0" w:color="C63663"/>
          <w:left w:val="single" w:sz="18" w:space="0" w:color="C63663"/>
          <w:bottom w:val="single" w:sz="18" w:space="0" w:color="C63663"/>
          <w:right w:val="single" w:sz="18" w:space="0" w:color="C63663"/>
          <w:insideH w:val="single" w:sz="18" w:space="0" w:color="C63663"/>
          <w:insideV w:val="single" w:sz="18" w:space="0" w:color="C63663"/>
        </w:tblBorders>
        <w:shd w:val="clear" w:color="auto" w:fill="F8E8ED"/>
        <w:tblLook w:val="04A0" w:firstRow="1" w:lastRow="0" w:firstColumn="1" w:lastColumn="0" w:noHBand="0" w:noVBand="1"/>
      </w:tblPr>
      <w:tblGrid>
        <w:gridCol w:w="9252"/>
      </w:tblGrid>
      <w:tr w:rsidR="00F97425" w14:paraId="3318704C" w14:textId="77777777" w:rsidTr="003E08C8">
        <w:trPr>
          <w:trHeight w:val="1020"/>
        </w:trPr>
        <w:tc>
          <w:tcPr>
            <w:tcW w:w="9288" w:type="dxa"/>
            <w:shd w:val="clear" w:color="auto" w:fill="F8E8ED"/>
          </w:tcPr>
          <w:p w14:paraId="6A97D773" w14:textId="77777777" w:rsidR="00F97425" w:rsidRPr="00E8440F" w:rsidRDefault="00F97425" w:rsidP="00F97425">
            <w:pPr>
              <w:pStyle w:val="Tablebullet1"/>
            </w:pPr>
            <w:r w:rsidRPr="00E8440F">
              <w:t>Patients with organ or stem-cell transplants.</w:t>
            </w:r>
          </w:p>
          <w:p w14:paraId="5E314E36" w14:textId="77777777" w:rsidR="00F97425" w:rsidRPr="00E8440F" w:rsidRDefault="00F97425" w:rsidP="00F97425">
            <w:pPr>
              <w:pStyle w:val="Tablebullet1"/>
            </w:pPr>
            <w:r w:rsidRPr="00E8440F">
              <w:t>Patients admitted to an intensive care unit.</w:t>
            </w:r>
          </w:p>
          <w:p w14:paraId="6808C272" w14:textId="26D0E3B9" w:rsidR="00F97425" w:rsidRDefault="00F97425" w:rsidP="00F97425">
            <w:pPr>
              <w:pStyle w:val="Tablebullet1"/>
            </w:pPr>
            <w:r w:rsidRPr="00E8440F">
              <w:t>Haematology patients.</w:t>
            </w:r>
          </w:p>
        </w:tc>
      </w:tr>
    </w:tbl>
    <w:p w14:paraId="5C140AE2" w14:textId="78C16EB5" w:rsidR="00E8440F" w:rsidRPr="00E8440F" w:rsidRDefault="00E8440F" w:rsidP="00E8440F">
      <w:pPr>
        <w:pStyle w:val="Heading2"/>
        <w:rPr>
          <w:rFonts w:eastAsia="Times"/>
        </w:rPr>
      </w:pPr>
      <w:bookmarkStart w:id="37" w:name="_Toc108539920"/>
      <w:bookmarkStart w:id="38" w:name="_Toc149319549"/>
      <w:r w:rsidRPr="00E8440F">
        <w:rPr>
          <w:rFonts w:eastAsia="Times"/>
        </w:rPr>
        <w:lastRenderedPageBreak/>
        <w:t xml:space="preserve">Actions when a single case of CPO is </w:t>
      </w:r>
      <w:proofErr w:type="gramStart"/>
      <w:r w:rsidRPr="00E8440F">
        <w:rPr>
          <w:rFonts w:eastAsia="Times"/>
        </w:rPr>
        <w:t>detected</w:t>
      </w:r>
      <w:bookmarkEnd w:id="37"/>
      <w:bookmarkEnd w:id="38"/>
      <w:proofErr w:type="gramEnd"/>
    </w:p>
    <w:p w14:paraId="07F26E40" w14:textId="77777777" w:rsidR="00E8440F" w:rsidRPr="00E8440F" w:rsidRDefault="00E8440F" w:rsidP="0033368E">
      <w:pPr>
        <w:pStyle w:val="Heading3"/>
      </w:pPr>
      <w:r w:rsidRPr="00E8440F">
        <w:t>Management of the case</w:t>
      </w:r>
    </w:p>
    <w:p w14:paraId="7A7C412C" w14:textId="77777777" w:rsidR="00E8440F" w:rsidRPr="00E8440F" w:rsidRDefault="00E8440F" w:rsidP="0033368E">
      <w:pPr>
        <w:pStyle w:val="Heading4"/>
      </w:pPr>
      <w:r w:rsidRPr="00E8440F">
        <w:t>Suspected CPO cases</w:t>
      </w:r>
    </w:p>
    <w:p w14:paraId="0BDD3078" w14:textId="1CB206C1" w:rsidR="00E8440F" w:rsidRPr="00E8440F" w:rsidRDefault="00E8440F" w:rsidP="00070500">
      <w:pPr>
        <w:pStyle w:val="Numberdigit"/>
      </w:pPr>
      <w:r w:rsidRPr="00E8440F">
        <w:t xml:space="preserve">Immediately implement IPC measures (see </w:t>
      </w:r>
      <w:hyperlink w:anchor="_Section_5:_Management" w:history="1">
        <w:r w:rsidRPr="004153F8">
          <w:rPr>
            <w:rStyle w:val="Hyperlink"/>
          </w:rPr>
          <w:t>Section 5</w:t>
        </w:r>
      </w:hyperlink>
      <w:r w:rsidRPr="004153F8">
        <w:t>).</w:t>
      </w:r>
    </w:p>
    <w:p w14:paraId="3F992C42" w14:textId="742B3A57" w:rsidR="00E8440F" w:rsidRPr="00E8440F" w:rsidRDefault="00E8440F" w:rsidP="00070500">
      <w:pPr>
        <w:pStyle w:val="Numberdigit"/>
      </w:pPr>
      <w:r>
        <w:t xml:space="preserve">Ensure the isolate is referred immediately to MDU PHL for further confirmation and typing along with the CPO isolate referral form. Download the form </w:t>
      </w:r>
      <w:r w:rsidR="008D1D2B">
        <w:t>(FM</w:t>
      </w:r>
      <w:r w:rsidR="002477F1">
        <w:t xml:space="preserve">2458) </w:t>
      </w:r>
      <w:r>
        <w:t xml:space="preserve">from the </w:t>
      </w:r>
      <w:hyperlink r:id="rId30" w:history="1">
        <w:r w:rsidRPr="00650E8B">
          <w:rPr>
            <w:rStyle w:val="Hyperlink"/>
          </w:rPr>
          <w:t>department’s website</w:t>
        </w:r>
      </w:hyperlink>
      <w:r>
        <w:t xml:space="preserve"> &lt;</w:t>
      </w:r>
      <w:r w:rsidR="005E2990" w:rsidRPr="005E2990">
        <w:t>www.health.vic.gov.au/infectious-diseases/carbapenemase-producing-enterobacteriaceae-management-guidelines</w:t>
      </w:r>
      <w:r>
        <w:t xml:space="preserve">&gt; or the </w:t>
      </w:r>
      <w:hyperlink r:id="rId31" w:anchor="services">
        <w:r w:rsidRPr="653540BA">
          <w:rPr>
            <w:rStyle w:val="Hyperlink"/>
          </w:rPr>
          <w:t>MDU PHL website</w:t>
        </w:r>
      </w:hyperlink>
      <w:r>
        <w:t xml:space="preserve"> </w:t>
      </w:r>
      <w:bookmarkStart w:id="39" w:name="_Hlk122089418"/>
      <w:r>
        <w:t>&lt;http://biomedicalsciences.unimelb.edu.au/departments/microbiology-Immunology/research/services/microbiological-diagnostic-unit-public-health-laboratory#services&gt;</w:t>
      </w:r>
      <w:bookmarkEnd w:id="39"/>
      <w:r>
        <w:t>.</w:t>
      </w:r>
    </w:p>
    <w:p w14:paraId="7243B072" w14:textId="3CFBBDC9" w:rsidR="00E8440F" w:rsidRPr="00E8440F" w:rsidRDefault="00E8440F" w:rsidP="00070500">
      <w:pPr>
        <w:pStyle w:val="Numberdigit"/>
      </w:pPr>
      <w:r w:rsidRPr="00E8440F">
        <w:t>If a suspected case is rejected by MDU PHL</w:t>
      </w:r>
      <w:r w:rsidR="00960CC8">
        <w:t xml:space="preserve"> (that is, a carbapenemase gene has not been detected)</w:t>
      </w:r>
      <w:r w:rsidRPr="00E8440F">
        <w:t xml:space="preserve">, a revision of IPC measures required for the case should occur as per the </w:t>
      </w:r>
      <w:hyperlink r:id="rId32" w:history="1">
        <w:r w:rsidRPr="00E8440F">
          <w:rPr>
            <w:rStyle w:val="Hyperlink"/>
          </w:rPr>
          <w:t>Australian Guidelines for the Prevention and Control of Infection in Healthcare</w:t>
        </w:r>
      </w:hyperlink>
      <w:r w:rsidRPr="00E8440F">
        <w:t xml:space="preserve"> &lt;https://www.nhmrc.gov.au/about-us/publications/australian-guidelines-prevention-and-control-infection-healthcare-2019&gt; and the </w:t>
      </w:r>
      <w:hyperlink r:id="rId33" w:history="1">
        <w:r w:rsidRPr="00E8440F">
          <w:rPr>
            <w:rStyle w:val="Hyperlink"/>
          </w:rPr>
          <w:t>Victorian Patient-centred risk management strategy for multi-resistant organisms</w:t>
        </w:r>
      </w:hyperlink>
      <w:r w:rsidRPr="00E8440F">
        <w:t xml:space="preserve"> &lt;</w:t>
      </w:r>
      <w:r w:rsidR="00B75F1E" w:rsidRPr="00650E8B">
        <w:t>www</w:t>
      </w:r>
      <w:r w:rsidRPr="00E8440F">
        <w:t>.health.vic.gov.au/infectious-diseases/patient-</w:t>
      </w:r>
      <w:r w:rsidR="00B75F1E" w:rsidRPr="00650E8B">
        <w:t>centred-risk</w:t>
      </w:r>
      <w:r w:rsidRPr="00E8440F">
        <w:t>-management-</w:t>
      </w:r>
      <w:r w:rsidR="00B75F1E" w:rsidRPr="00650E8B">
        <w:t>strategy-for-</w:t>
      </w:r>
      <w:r w:rsidRPr="00E8440F">
        <w:t>multi-resistant</w:t>
      </w:r>
      <w:r w:rsidR="00B75F1E" w:rsidRPr="00650E8B">
        <w:t>-organisms</w:t>
      </w:r>
      <w:r w:rsidRPr="00E8440F">
        <w:t>&gt;.</w:t>
      </w:r>
    </w:p>
    <w:p w14:paraId="29D508C4" w14:textId="77777777" w:rsidR="00E8440F" w:rsidRPr="00E8440F" w:rsidRDefault="00E8440F" w:rsidP="0033368E">
      <w:pPr>
        <w:pStyle w:val="Figurecaption"/>
        <w:rPr>
          <w:rFonts w:eastAsia="Times"/>
        </w:rPr>
      </w:pPr>
      <w:r w:rsidRPr="00E8440F">
        <w:rPr>
          <w:rFonts w:eastAsia="Times"/>
        </w:rPr>
        <w:t>Flowchart 2: Suspected CPO case reporting and management requirements</w:t>
      </w:r>
    </w:p>
    <w:tbl>
      <w:tblPr>
        <w:tblStyle w:val="TableGrid"/>
        <w:tblW w:w="9298" w:type="dxa"/>
        <w:jc w:val="center"/>
        <w:tblBorders>
          <w:top w:val="single" w:sz="18" w:space="0" w:color="C63663"/>
          <w:left w:val="single" w:sz="18" w:space="0" w:color="C63663"/>
          <w:bottom w:val="single" w:sz="18" w:space="0" w:color="C63663"/>
          <w:right w:val="single" w:sz="18" w:space="0" w:color="C63663"/>
          <w:insideH w:val="single" w:sz="18" w:space="0" w:color="C63663"/>
          <w:insideV w:val="single" w:sz="18" w:space="0" w:color="C63663"/>
        </w:tblBorders>
        <w:tblCellMar>
          <w:top w:w="28" w:type="dxa"/>
          <w:left w:w="28" w:type="dxa"/>
          <w:bottom w:w="28" w:type="dxa"/>
          <w:right w:w="28" w:type="dxa"/>
        </w:tblCellMar>
        <w:tblLook w:val="04A0" w:firstRow="1" w:lastRow="0" w:firstColumn="1" w:lastColumn="0" w:noHBand="0" w:noVBand="1"/>
      </w:tblPr>
      <w:tblGrid>
        <w:gridCol w:w="9298"/>
      </w:tblGrid>
      <w:tr w:rsidR="00E8440F" w:rsidRPr="00E8440F" w14:paraId="51ADDB35" w14:textId="77777777" w:rsidTr="00BF5F9A">
        <w:trPr>
          <w:trHeight w:val="510"/>
          <w:tblHeader/>
          <w:jc w:val="center"/>
        </w:trPr>
        <w:tc>
          <w:tcPr>
            <w:tcW w:w="9298" w:type="dxa"/>
            <w:vAlign w:val="center"/>
          </w:tcPr>
          <w:p w14:paraId="6CBE0AB6" w14:textId="0B647972" w:rsidR="00E8440F" w:rsidRPr="00E8440F" w:rsidRDefault="00D446A2" w:rsidP="00F71F34">
            <w:pPr>
              <w:pStyle w:val="Body"/>
              <w:spacing w:before="60" w:after="60" w:line="240" w:lineRule="auto"/>
              <w:jc w:val="center"/>
            </w:pPr>
            <w:r>
              <w:rPr>
                <w:noProof/>
              </w:rPr>
              <w:drawing>
                <wp:inline distT="0" distB="0" distL="0" distR="0" wp14:anchorId="2893C7C8" wp14:editId="1E4F616D">
                  <wp:extent cx="5856663" cy="4182386"/>
                  <wp:effectExtent l="0" t="0" r="0" b="8890"/>
                  <wp:docPr id="10" name="Picture 10" descr="Flowchart 2: Suspected CPO case reporting and management requirements&#10;&#10;This flowchart outlines the reporting and case management actions required when a suspected CPO isolate is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lowchart 2: Suspected CPO case reporting and management requirements&#10;&#10;This flowchart outlines the reporting and case management actions required when a suspected CPO isolate is identified."/>
                          <pic:cNvPicPr>
                            <a:picLocks noChangeAspect="1" noChangeArrowheads="1"/>
                          </pic:cNvPicPr>
                        </pic:nvPicPr>
                        <pic:blipFill rotWithShape="1">
                          <a:blip r:embed="rId34">
                            <a:extLst>
                              <a:ext uri="{28A0092B-C50C-407E-A947-70E740481C1C}">
                                <a14:useLocalDpi xmlns:a14="http://schemas.microsoft.com/office/drawing/2010/main" val="0"/>
                              </a:ext>
                            </a:extLst>
                          </a:blip>
                          <a:srcRect l="2366" t="3393" r="2452" b="3363"/>
                          <a:stretch/>
                        </pic:blipFill>
                        <pic:spPr bwMode="auto">
                          <a:xfrm>
                            <a:off x="0" y="0"/>
                            <a:ext cx="5866270" cy="418924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5BF5A19" w14:textId="037B2180" w:rsidR="00E8440F" w:rsidRPr="00E8440F" w:rsidRDefault="00E8440F" w:rsidP="0033368E">
      <w:pPr>
        <w:pStyle w:val="Heading4"/>
      </w:pPr>
      <w:r w:rsidRPr="00E8440F">
        <w:lastRenderedPageBreak/>
        <w:t xml:space="preserve">Confirmed CPO </w:t>
      </w:r>
      <w:proofErr w:type="gramStart"/>
      <w:r w:rsidRPr="00E8440F">
        <w:t>cases</w:t>
      </w:r>
      <w:proofErr w:type="gramEnd"/>
    </w:p>
    <w:p w14:paraId="68F01C63" w14:textId="633DC878" w:rsidR="00E8440F" w:rsidRPr="00E8440F" w:rsidRDefault="00E8440F" w:rsidP="00070500">
      <w:pPr>
        <w:pStyle w:val="Numberdigit"/>
        <w:numPr>
          <w:ilvl w:val="0"/>
          <w:numId w:val="19"/>
        </w:numPr>
      </w:pPr>
      <w:r>
        <w:t xml:space="preserve">Ensure the patient, and/or their carer is notified and counselled appropriately regarding the diagnosis. An information sheet for patients with CPO can be found on the </w:t>
      </w:r>
      <w:hyperlink r:id="rId35" w:history="1">
        <w:r w:rsidRPr="00B75F1E">
          <w:rPr>
            <w:rStyle w:val="Hyperlink"/>
          </w:rPr>
          <w:t>department’s website</w:t>
        </w:r>
      </w:hyperlink>
      <w:r>
        <w:t xml:space="preserve"> &lt;</w:t>
      </w:r>
      <w:r w:rsidR="005E2990" w:rsidRPr="005E2990">
        <w:t>www.health.vic.gov.au/infectious-diseases/victorian-guideline-on-cpo-for-health-services</w:t>
      </w:r>
      <w:r>
        <w:t>&gt;.</w:t>
      </w:r>
    </w:p>
    <w:p w14:paraId="4FA7090C" w14:textId="368E63C3" w:rsidR="007A5316" w:rsidRDefault="007A5316" w:rsidP="00070500">
      <w:pPr>
        <w:pStyle w:val="Numberdigit"/>
        <w:numPr>
          <w:ilvl w:val="0"/>
          <w:numId w:val="19"/>
        </w:numPr>
      </w:pPr>
      <w:r>
        <w:t xml:space="preserve">Commence or continue additional IPC measures (see </w:t>
      </w:r>
      <w:hyperlink w:anchor="_Section_5:_Management" w:history="1">
        <w:r w:rsidRPr="00C35B1C">
          <w:rPr>
            <w:rStyle w:val="Hyperlink"/>
          </w:rPr>
          <w:t>Section 5</w:t>
        </w:r>
      </w:hyperlink>
      <w:r>
        <w:t>).</w:t>
      </w:r>
    </w:p>
    <w:p w14:paraId="5E7E01B7" w14:textId="77982B12" w:rsidR="00E8440F" w:rsidRPr="00E8440F" w:rsidRDefault="00E8440F" w:rsidP="00070500">
      <w:pPr>
        <w:pStyle w:val="Numberdigit"/>
        <w:numPr>
          <w:ilvl w:val="0"/>
          <w:numId w:val="19"/>
        </w:numPr>
      </w:pPr>
      <w:r w:rsidRPr="00E8440F">
        <w:t xml:space="preserve">Ensure the patient’s local doctor is informed of the case confirmation upon discharge. An example template letter and information sheet for clinicians can be found on the </w:t>
      </w:r>
      <w:hyperlink r:id="rId36" w:history="1">
        <w:r w:rsidRPr="00B75F1E">
          <w:rPr>
            <w:rStyle w:val="Hyperlink"/>
          </w:rPr>
          <w:t>department’s website</w:t>
        </w:r>
      </w:hyperlink>
      <w:r w:rsidRPr="00E8440F">
        <w:t xml:space="preserve"> </w:t>
      </w:r>
      <w:r w:rsidR="0064119E">
        <w:t>&lt;</w:t>
      </w:r>
      <w:r w:rsidR="005E2990" w:rsidRPr="005E2990">
        <w:t>www.health.vic.gov.au/infectious-diseases/victorian-guideline-on-cpo-for-health-services</w:t>
      </w:r>
      <w:r w:rsidR="0064119E">
        <w:t>&gt;</w:t>
      </w:r>
      <w:r w:rsidRPr="00E8440F">
        <w:t>.</w:t>
      </w:r>
    </w:p>
    <w:p w14:paraId="2314BE12" w14:textId="2696826A" w:rsidR="00E8440F" w:rsidRPr="00E8440F" w:rsidRDefault="00E8440F" w:rsidP="00070500">
      <w:pPr>
        <w:pStyle w:val="Numberdigit"/>
        <w:numPr>
          <w:ilvl w:val="0"/>
          <w:numId w:val="19"/>
        </w:numPr>
      </w:pPr>
      <w:r w:rsidRPr="00E8440F">
        <w:t xml:space="preserve">Ensure other healthcare providers are alerted to the patient’s CPO status, and the requirement for isolation </w:t>
      </w:r>
      <w:r w:rsidR="005B4CE1">
        <w:t xml:space="preserve">and/or additional IPC measures </w:t>
      </w:r>
      <w:r w:rsidRPr="00E8440F">
        <w:t xml:space="preserve">should they be transferred to another healthcare facility or </w:t>
      </w:r>
      <w:r w:rsidR="005B14DE">
        <w:t>RCF</w:t>
      </w:r>
      <w:r w:rsidRPr="00E8440F">
        <w:t>.</w:t>
      </w:r>
    </w:p>
    <w:p w14:paraId="6DCC844A" w14:textId="0DA60DC5" w:rsidR="00E8440F" w:rsidRPr="00E8440F" w:rsidRDefault="00E8440F" w:rsidP="00070500">
      <w:pPr>
        <w:pStyle w:val="Numberdigit"/>
        <w:numPr>
          <w:ilvl w:val="0"/>
          <w:numId w:val="19"/>
        </w:numPr>
      </w:pPr>
      <w:r w:rsidRPr="00E8440F">
        <w:t xml:space="preserve">Complete </w:t>
      </w:r>
      <w:r w:rsidR="001276E5">
        <w:t xml:space="preserve">the </w:t>
      </w:r>
      <w:r w:rsidR="007105BE">
        <w:t xml:space="preserve">CPO </w:t>
      </w:r>
      <w:r w:rsidR="00DE01CD">
        <w:t xml:space="preserve">Surveillance </w:t>
      </w:r>
      <w:r w:rsidR="007105BE">
        <w:t>Form</w:t>
      </w:r>
      <w:r w:rsidRPr="00E8440F">
        <w:t xml:space="preserve"> and return </w:t>
      </w:r>
      <w:r w:rsidR="00371DCD">
        <w:t xml:space="preserve">via fax </w:t>
      </w:r>
      <w:r w:rsidR="00DE2C8A">
        <w:t>(</w:t>
      </w:r>
      <w:r w:rsidR="00DE2C8A" w:rsidRPr="00590AC6">
        <w:t>1300 651 170</w:t>
      </w:r>
      <w:r w:rsidR="00DE2C8A">
        <w:t>)</w:t>
      </w:r>
      <w:r w:rsidR="003E0CF2">
        <w:t xml:space="preserve"> </w:t>
      </w:r>
      <w:r w:rsidR="00371DCD">
        <w:t xml:space="preserve">or </w:t>
      </w:r>
      <w:hyperlink r:id="rId37" w:history="1">
        <w:r w:rsidR="00371DCD" w:rsidRPr="001C5CBD">
          <w:rPr>
            <w:rStyle w:val="Hyperlink"/>
          </w:rPr>
          <w:t>email</w:t>
        </w:r>
      </w:hyperlink>
      <w:r w:rsidR="00371DCD">
        <w:t xml:space="preserve"> </w:t>
      </w:r>
      <w:r w:rsidR="001C5CBD">
        <w:t>&lt;</w:t>
      </w:r>
      <w:r w:rsidR="003E0CF2">
        <w:t>amr.secretariat</w:t>
      </w:r>
      <w:r w:rsidR="003E0CF2" w:rsidRPr="004F0737">
        <w:t>@health.vic.gov.au</w:t>
      </w:r>
      <w:r w:rsidR="001C5CBD">
        <w:t>&gt;</w:t>
      </w:r>
      <w:r w:rsidR="003E0CF2">
        <w:t xml:space="preserve"> </w:t>
      </w:r>
      <w:r w:rsidRPr="00E8440F">
        <w:t xml:space="preserve">to </w:t>
      </w:r>
      <w:r w:rsidR="005F648D">
        <w:t>the department</w:t>
      </w:r>
      <w:r w:rsidRPr="00E8440F">
        <w:t xml:space="preserve"> within two business days. This form can be found on the </w:t>
      </w:r>
      <w:hyperlink r:id="rId38" w:history="1">
        <w:r w:rsidRPr="00B75F1E">
          <w:rPr>
            <w:rStyle w:val="Hyperlink"/>
          </w:rPr>
          <w:t>department’s website</w:t>
        </w:r>
      </w:hyperlink>
      <w:r w:rsidRPr="00E8440F">
        <w:t xml:space="preserve"> </w:t>
      </w:r>
      <w:r w:rsidR="0064119E">
        <w:t>&lt;</w:t>
      </w:r>
      <w:r w:rsidR="005E2990" w:rsidRPr="005E2990">
        <w:t>www.health.vic.gov.au/infectious-diseases/victorian-guideline-on-cpo-for-health-services</w:t>
      </w:r>
      <w:r w:rsidR="0064119E">
        <w:t>&gt;</w:t>
      </w:r>
      <w:r w:rsidRPr="00E8440F">
        <w:t>.</w:t>
      </w:r>
    </w:p>
    <w:p w14:paraId="59FBFD39" w14:textId="77777777" w:rsidR="00E8440F" w:rsidRPr="00E8440F" w:rsidRDefault="00E8440F" w:rsidP="00070500">
      <w:pPr>
        <w:pStyle w:val="Numberdigit"/>
        <w:numPr>
          <w:ilvl w:val="0"/>
          <w:numId w:val="19"/>
        </w:numPr>
      </w:pPr>
      <w:r w:rsidRPr="00E8440F">
        <w:t>Place an alert in the hard-copy and/or electronic patient records.</w:t>
      </w:r>
    </w:p>
    <w:p w14:paraId="332E54BE" w14:textId="2C936170" w:rsidR="00E8440F" w:rsidRPr="00E8440F" w:rsidRDefault="00E8440F" w:rsidP="00070500">
      <w:pPr>
        <w:pStyle w:val="Numberdigit"/>
        <w:numPr>
          <w:ilvl w:val="0"/>
          <w:numId w:val="19"/>
        </w:numPr>
      </w:pPr>
      <w:r w:rsidRPr="00E8440F">
        <w:t xml:space="preserve">Identify (where possible) and document the </w:t>
      </w:r>
      <w:r w:rsidRPr="004B65FA">
        <w:rPr>
          <w:b/>
        </w:rPr>
        <w:t>date of likely acquisition</w:t>
      </w:r>
      <w:r w:rsidRPr="00E8440F">
        <w:t xml:space="preserve"> and </w:t>
      </w:r>
      <w:r w:rsidRPr="004B65FA">
        <w:rPr>
          <w:b/>
        </w:rPr>
        <w:t>period of transmission risk</w:t>
      </w:r>
      <w:r w:rsidRPr="00E8440F">
        <w:t xml:space="preserve">. This is required </w:t>
      </w:r>
      <w:r w:rsidR="00831EB3" w:rsidRPr="00E8440F">
        <w:t>to</w:t>
      </w:r>
      <w:r w:rsidRPr="00E8440F">
        <w:t xml:space="preserve"> determine which patients are room contacts of the case.</w:t>
      </w:r>
    </w:p>
    <w:p w14:paraId="4D247BC5" w14:textId="77777777" w:rsidR="00DE672F" w:rsidRDefault="00E8440F" w:rsidP="00070500">
      <w:pPr>
        <w:pStyle w:val="Numberloweralphaindent"/>
      </w:pPr>
      <w:r w:rsidRPr="009624AC">
        <w:t>The date of likely acquisition depends on epidemiological factors, such as</w:t>
      </w:r>
      <w:r w:rsidR="00DE672F">
        <w:t>:</w:t>
      </w:r>
    </w:p>
    <w:p w14:paraId="566F83EA" w14:textId="77777777" w:rsidR="00DE672F" w:rsidRDefault="00E8440F" w:rsidP="00DE672F">
      <w:pPr>
        <w:pStyle w:val="Numberloweralphaindent"/>
        <w:numPr>
          <w:ilvl w:val="3"/>
          <w:numId w:val="18"/>
        </w:numPr>
        <w:ind w:left="1253" w:hanging="357"/>
      </w:pPr>
      <w:r w:rsidRPr="009624AC">
        <w:t xml:space="preserve">when contact first occurred with a known case with the same </w:t>
      </w:r>
      <w:proofErr w:type="gramStart"/>
      <w:r w:rsidRPr="009624AC">
        <w:t>strain</w:t>
      </w:r>
      <w:proofErr w:type="gramEnd"/>
    </w:p>
    <w:p w14:paraId="2939F8AC" w14:textId="77777777" w:rsidR="00DE672F" w:rsidRDefault="00E8440F" w:rsidP="00DE672F">
      <w:pPr>
        <w:pStyle w:val="Numberloweralphaindent"/>
        <w:numPr>
          <w:ilvl w:val="3"/>
          <w:numId w:val="18"/>
        </w:numPr>
        <w:ind w:left="1253" w:hanging="357"/>
      </w:pPr>
      <w:r w:rsidRPr="009624AC">
        <w:t>an overseas hospital admission in the absence of local risks</w:t>
      </w:r>
    </w:p>
    <w:p w14:paraId="1C8A1929" w14:textId="77777777" w:rsidR="00DE672F" w:rsidRDefault="00DE672F" w:rsidP="00DE672F">
      <w:pPr>
        <w:pStyle w:val="Numberloweralphaindent"/>
        <w:numPr>
          <w:ilvl w:val="3"/>
          <w:numId w:val="18"/>
        </w:numPr>
        <w:ind w:left="1253" w:hanging="357"/>
      </w:pPr>
      <w:r>
        <w:t>any previous negative screening results</w:t>
      </w:r>
      <w:r w:rsidR="00E8440F" w:rsidRPr="009624AC">
        <w:t>.</w:t>
      </w:r>
    </w:p>
    <w:p w14:paraId="1375B91E" w14:textId="76902873" w:rsidR="00E8440F" w:rsidRPr="009624AC" w:rsidRDefault="00E8440F" w:rsidP="00DE672F">
      <w:pPr>
        <w:pStyle w:val="Numberloweralphaindent"/>
        <w:numPr>
          <w:ilvl w:val="0"/>
          <w:numId w:val="0"/>
        </w:numPr>
        <w:ind w:left="896"/>
      </w:pPr>
      <w:r w:rsidRPr="009624AC">
        <w:t xml:space="preserve">The final determination </w:t>
      </w:r>
      <w:r w:rsidR="00DE672F">
        <w:t xml:space="preserve">of the date of likely acquisition </w:t>
      </w:r>
      <w:r w:rsidRPr="009624AC">
        <w:t>will be made by the AMR-IMT.</w:t>
      </w:r>
    </w:p>
    <w:p w14:paraId="264B814D" w14:textId="77777777" w:rsidR="00C7580F" w:rsidRDefault="00C7580F" w:rsidP="00070500">
      <w:pPr>
        <w:pStyle w:val="Numberloweralphaindent"/>
      </w:pPr>
      <w:r w:rsidRPr="009624AC">
        <w:t>The period of transmission risk is from the date of likely acquisition until the time that the case is placed in contact precautions.</w:t>
      </w:r>
    </w:p>
    <w:p w14:paraId="39AC32CD" w14:textId="2999D197" w:rsidR="00E8440F" w:rsidRPr="00E8440F" w:rsidRDefault="00E8440F" w:rsidP="00C7580F">
      <w:pPr>
        <w:pStyle w:val="Numberloweralphaindent"/>
      </w:pPr>
      <w:r w:rsidRPr="009624AC">
        <w:t xml:space="preserve">If the date of likely acquisition is unable to be determined, the period of transmission risk is </w:t>
      </w:r>
      <w:r w:rsidR="003A76DC">
        <w:t xml:space="preserve">usually </w:t>
      </w:r>
      <w:r w:rsidRPr="009624AC">
        <w:t>considered to be one month prior to the date of CPO isolation (the date the screen or test was taken) until the time that the case is placed in contact precautions.</w:t>
      </w:r>
    </w:p>
    <w:p w14:paraId="27ADA6A2" w14:textId="41C2C6E2" w:rsidR="00E8440F" w:rsidRPr="00E8440F" w:rsidRDefault="00E8440F" w:rsidP="0033368E">
      <w:pPr>
        <w:pStyle w:val="Heading3"/>
      </w:pPr>
      <w:r w:rsidRPr="00E8440F">
        <w:t>Clearance of cases</w:t>
      </w:r>
    </w:p>
    <w:p w14:paraId="4BDE69BF" w14:textId="77777777" w:rsidR="00E8440F" w:rsidRPr="00E8440F" w:rsidRDefault="00E8440F" w:rsidP="0033368E">
      <w:pPr>
        <w:pStyle w:val="Heading4"/>
      </w:pPr>
      <w:r w:rsidRPr="00E8440F">
        <w:t>CPE</w:t>
      </w:r>
    </w:p>
    <w:p w14:paraId="2E8B9682" w14:textId="77777777" w:rsidR="00E8440F" w:rsidRPr="00E8440F" w:rsidRDefault="00E8440F" w:rsidP="00E8440F">
      <w:pPr>
        <w:pStyle w:val="Body"/>
      </w:pPr>
      <w:r w:rsidRPr="00E8440F">
        <w:t>Most CPE patients remain colonised for at least 6 to 12 months and some considerably longer, particularly with ongoing or repeated healthcare contact and/or antibiotic use. It is acknowledged that the requirement for a single room and contact precautions for every subsequent admission to a healthcare facility may be onerous for the patient and not always the best use of healthcare resources.</w:t>
      </w:r>
    </w:p>
    <w:p w14:paraId="3C19D610" w14:textId="6854AACF" w:rsidR="00E8440F" w:rsidRPr="00E8440F" w:rsidRDefault="00E8440F" w:rsidP="00E8440F">
      <w:pPr>
        <w:pStyle w:val="Body"/>
      </w:pPr>
      <w:r w:rsidRPr="00E8440F">
        <w:t xml:space="preserve">While it is still a requirement </w:t>
      </w:r>
      <w:r w:rsidRPr="00E8440F">
        <w:rPr>
          <w:b/>
        </w:rPr>
        <w:t>that an alert remain in the patient’s medical record</w:t>
      </w:r>
      <w:r w:rsidRPr="00E8440F">
        <w:t xml:space="preserve"> noting that CPE has been isolated, an assessment must be made at </w:t>
      </w:r>
      <w:r w:rsidRPr="00E8440F">
        <w:rPr>
          <w:b/>
        </w:rPr>
        <w:t>each subsequent admission</w:t>
      </w:r>
      <w:r w:rsidRPr="00E8440F">
        <w:t xml:space="preserve"> to determine if additional IPC measures are warranted using the following risk-based approach to determine ‘clearance criteria’.</w:t>
      </w:r>
    </w:p>
    <w:p w14:paraId="4635FFAD" w14:textId="77777777" w:rsidR="00E8440F" w:rsidRPr="00E8440F" w:rsidRDefault="00E8440F" w:rsidP="00070500">
      <w:pPr>
        <w:pStyle w:val="Bullet1"/>
      </w:pPr>
      <w:r w:rsidRPr="00E8440F">
        <w:lastRenderedPageBreak/>
        <w:t>Patients who have had a positive result for CPE in the previous 12 months should remain in contact precautions if readmitted, regardless of subsequent negative screens during that time.</w:t>
      </w:r>
    </w:p>
    <w:p w14:paraId="209E5DDA" w14:textId="10FF0B12" w:rsidR="00E8440F" w:rsidRPr="00E8440F" w:rsidRDefault="00E8440F" w:rsidP="00070500">
      <w:pPr>
        <w:pStyle w:val="Bullet1"/>
      </w:pPr>
      <w:r w:rsidRPr="00E8440F">
        <w:t xml:space="preserve">Patients whose last positive CPE result was more than 12 months prior should have </w:t>
      </w:r>
      <w:r w:rsidR="003B2EA1">
        <w:t xml:space="preserve">a risk assessment conducted to determine if they </w:t>
      </w:r>
      <w:r w:rsidR="000B17B7">
        <w:t xml:space="preserve">may still pose a risk of being colonised. For example, have they had </w:t>
      </w:r>
      <w:r w:rsidR="00AA4790">
        <w:t xml:space="preserve">a course of </w:t>
      </w:r>
      <w:r w:rsidR="00E52A57">
        <w:t>antibiotics</w:t>
      </w:r>
      <w:r w:rsidR="00AA4790">
        <w:t xml:space="preserve"> </w:t>
      </w:r>
      <w:r w:rsidR="00E113E6">
        <w:t xml:space="preserve">since their last </w:t>
      </w:r>
      <w:r w:rsidR="000574BA">
        <w:t>admission,</w:t>
      </w:r>
      <w:r w:rsidR="003313C3">
        <w:t xml:space="preserve"> or will they be placed on a treatment course </w:t>
      </w:r>
      <w:r w:rsidR="00BC6790">
        <w:t>duri</w:t>
      </w:r>
      <w:r w:rsidR="00B639D7">
        <w:t xml:space="preserve">ng this </w:t>
      </w:r>
      <w:r w:rsidR="00706FF3">
        <w:t>admission?</w:t>
      </w:r>
      <w:r w:rsidR="00B639D7">
        <w:t xml:space="preserve"> If not, then </w:t>
      </w:r>
      <w:r w:rsidR="00587770">
        <w:t xml:space="preserve">they </w:t>
      </w:r>
      <w:r w:rsidR="005A3DBF">
        <w:t>may</w:t>
      </w:r>
      <w:r w:rsidR="00587770">
        <w:t xml:space="preserve"> be screened to ‘clear’ them for that admission</w:t>
      </w:r>
      <w:r w:rsidR="00240619">
        <w:t xml:space="preserve">. </w:t>
      </w:r>
      <w:r w:rsidR="005A3DBF">
        <w:t xml:space="preserve">Such </w:t>
      </w:r>
      <w:r w:rsidR="003C715D">
        <w:t xml:space="preserve">admission </w:t>
      </w:r>
      <w:r w:rsidR="005A3DBF">
        <w:t xml:space="preserve">clearance should include </w:t>
      </w:r>
      <w:r w:rsidR="004D4A8A">
        <w:t xml:space="preserve">screening </w:t>
      </w:r>
      <w:r w:rsidRPr="00E8440F">
        <w:t xml:space="preserve">three CPE screening samples (each taken at least 24 hours apart), with at least one of those </w:t>
      </w:r>
      <w:r w:rsidR="00FF0823">
        <w:t xml:space="preserve">being </w:t>
      </w:r>
      <w:r w:rsidRPr="00E8440F">
        <w:t>a faeces sample. If all samples collected are negative, all additional IPC measures may be ceased</w:t>
      </w:r>
      <w:r w:rsidR="000C0CB4">
        <w:t xml:space="preserve"> for that admission</w:t>
      </w:r>
      <w:r w:rsidRPr="00E8440F">
        <w:t>.</w:t>
      </w:r>
    </w:p>
    <w:p w14:paraId="76832B0A" w14:textId="77777777" w:rsidR="00E8440F" w:rsidRPr="00E8440F" w:rsidRDefault="00E8440F" w:rsidP="00070500">
      <w:pPr>
        <w:pStyle w:val="Bullet1"/>
      </w:pPr>
      <w:r w:rsidRPr="00E8440F">
        <w:t>If a course of antibiotics is commenced during the admission (or known to have occurred since last screened negative), consideration should be given to rescreening the patient or delaying initial screening until several days after commencing the course of antibiotics.</w:t>
      </w:r>
    </w:p>
    <w:p w14:paraId="21171D57" w14:textId="3108BA9B" w:rsidR="00E8440F" w:rsidRPr="00E8440F" w:rsidRDefault="00E8440F" w:rsidP="0033368E">
      <w:pPr>
        <w:pStyle w:val="Bodyafterbullets"/>
      </w:pPr>
      <w:r w:rsidRPr="00E8440F">
        <w:t>Note: The final decision to cease IPC measures should be made in consultation with the healthcare facility’s I</w:t>
      </w:r>
      <w:r w:rsidR="00FA5B1E">
        <w:t>PC coordinator</w:t>
      </w:r>
      <w:r w:rsidRPr="00E8440F">
        <w:t>, infectious diseases and/or medical microbiology experts.</w:t>
      </w:r>
    </w:p>
    <w:p w14:paraId="0ECD4C14" w14:textId="1329B7D2" w:rsidR="00E8440F" w:rsidRPr="00E8440F" w:rsidRDefault="00E8440F" w:rsidP="00D01F62">
      <w:pPr>
        <w:pStyle w:val="Heading4"/>
      </w:pPr>
      <w:r w:rsidRPr="00E8440F">
        <w:t>CPA and CPP</w:t>
      </w:r>
    </w:p>
    <w:p w14:paraId="74EC5AF4" w14:textId="349FDA7D" w:rsidR="00E8440F" w:rsidRPr="00E8440F" w:rsidRDefault="00E8440F" w:rsidP="00E8440F">
      <w:pPr>
        <w:pStyle w:val="Body"/>
      </w:pPr>
      <w:r w:rsidRPr="00E8440F">
        <w:t xml:space="preserve">Although an alert should remain in the patient’s medical record, patients with a history of CPA or CPP </w:t>
      </w:r>
      <w:r w:rsidR="000031D1">
        <w:t>may</w:t>
      </w:r>
      <w:r w:rsidR="000031D1" w:rsidRPr="00E8440F">
        <w:t xml:space="preserve"> </w:t>
      </w:r>
      <w:r w:rsidRPr="00E8440F">
        <w:t xml:space="preserve">not require </w:t>
      </w:r>
      <w:r w:rsidR="00C219C5">
        <w:t xml:space="preserve">implementation of </w:t>
      </w:r>
      <w:r w:rsidR="008149DA">
        <w:t xml:space="preserve">additional </w:t>
      </w:r>
      <w:r w:rsidR="00C219C5">
        <w:t xml:space="preserve">IPC precautions </w:t>
      </w:r>
      <w:r w:rsidR="00AF543F">
        <w:t>at each admission.</w:t>
      </w:r>
      <w:r w:rsidRPr="00E8440F">
        <w:t xml:space="preserve"> </w:t>
      </w:r>
      <w:r w:rsidR="00833E84">
        <w:t>A risk assessment should be conduc</w:t>
      </w:r>
      <w:r w:rsidR="00526047">
        <w:t>ted</w:t>
      </w:r>
      <w:r w:rsidR="00631DF0">
        <w:t xml:space="preserve"> at each admission</w:t>
      </w:r>
      <w:r w:rsidR="00526047">
        <w:t xml:space="preserve">, </w:t>
      </w:r>
      <w:r w:rsidR="00B75F1E">
        <w:t>considering</w:t>
      </w:r>
      <w:r w:rsidR="00526047">
        <w:t xml:space="preserve"> factors such as</w:t>
      </w:r>
      <w:r w:rsidR="00F958CA">
        <w:t xml:space="preserve"> </w:t>
      </w:r>
      <w:r w:rsidR="00E749BA">
        <w:t>which ward or unit they are to be admitted to (for example</w:t>
      </w:r>
      <w:r w:rsidR="008E1BB0">
        <w:t xml:space="preserve">, admission to ICU would be a high risk </w:t>
      </w:r>
      <w:r w:rsidR="00237B66">
        <w:t xml:space="preserve">in the case of a </w:t>
      </w:r>
      <w:r w:rsidR="008E1BB0">
        <w:t>previously colonised CPA patient)</w:t>
      </w:r>
      <w:r w:rsidR="0077307C">
        <w:t xml:space="preserve">, reason for admission </w:t>
      </w:r>
      <w:r w:rsidR="00C228C4">
        <w:t>(</w:t>
      </w:r>
      <w:r w:rsidR="0077307C">
        <w:t>for example,</w:t>
      </w:r>
      <w:r w:rsidR="00C228C4">
        <w:t xml:space="preserve"> tre</w:t>
      </w:r>
      <w:r w:rsidR="00375EB6">
        <w:t>atment of a</w:t>
      </w:r>
      <w:r w:rsidR="00EA0074">
        <w:t xml:space="preserve"> current</w:t>
      </w:r>
      <w:r w:rsidR="00375EB6">
        <w:t xml:space="preserve"> infection)</w:t>
      </w:r>
      <w:r w:rsidR="0077307C">
        <w:t xml:space="preserve"> </w:t>
      </w:r>
      <w:r w:rsidR="00B26524">
        <w:t xml:space="preserve">or other patient risk factors (for example, </w:t>
      </w:r>
      <w:r w:rsidR="003D7CCF">
        <w:t>chronic respiratory condition and colonised with CPP in past).</w:t>
      </w:r>
      <w:r w:rsidRPr="00E8440F">
        <w:t xml:space="preserve"> I</w:t>
      </w:r>
      <w:r w:rsidR="005B3BA9">
        <w:t>f</w:t>
      </w:r>
      <w:r w:rsidRPr="00E8440F">
        <w:t xml:space="preserve"> </w:t>
      </w:r>
      <w:r w:rsidR="005B3BA9">
        <w:t>additional IPC preca</w:t>
      </w:r>
      <w:r w:rsidR="00AE47F1">
        <w:t xml:space="preserve">utions are not </w:t>
      </w:r>
      <w:r w:rsidR="007A0412">
        <w:t>implemented</w:t>
      </w:r>
      <w:r w:rsidR="003C1E21">
        <w:t xml:space="preserve"> at the </w:t>
      </w:r>
      <w:r w:rsidR="00D84091">
        <w:t>time of admission</w:t>
      </w:r>
      <w:r w:rsidR="00DD4A95">
        <w:t xml:space="preserve">, </w:t>
      </w:r>
      <w:r w:rsidRPr="00E8440F">
        <w:t>these cases</w:t>
      </w:r>
      <w:r w:rsidR="00A71DE1">
        <w:t xml:space="preserve"> should still</w:t>
      </w:r>
      <w:r w:rsidRPr="00E8440F">
        <w:t xml:space="preserve"> </w:t>
      </w:r>
      <w:r w:rsidR="00417956">
        <w:t xml:space="preserve">be </w:t>
      </w:r>
      <w:r w:rsidRPr="00E8440F">
        <w:t>monitor</w:t>
      </w:r>
      <w:r w:rsidR="00A71DE1">
        <w:t>ed</w:t>
      </w:r>
      <w:r w:rsidRPr="00E8440F">
        <w:t xml:space="preserve"> </w:t>
      </w:r>
      <w:r w:rsidR="003E551A">
        <w:t>for</w:t>
      </w:r>
      <w:r w:rsidR="003E551A" w:rsidRPr="00E8440F">
        <w:t xml:space="preserve"> </w:t>
      </w:r>
      <w:r w:rsidRPr="00E8440F">
        <w:t xml:space="preserve">signs and symptoms of infection, </w:t>
      </w:r>
      <w:r w:rsidR="00981C75">
        <w:t>and</w:t>
      </w:r>
      <w:r w:rsidR="00981C75" w:rsidRPr="00E8440F">
        <w:t xml:space="preserve"> immediate</w:t>
      </w:r>
      <w:r w:rsidRPr="00E8440F">
        <w:t xml:space="preserve"> laboratory </w:t>
      </w:r>
      <w:r w:rsidR="003E551A">
        <w:t>investigation</w:t>
      </w:r>
      <w:r w:rsidR="00981C75">
        <w:t>s undertaken</w:t>
      </w:r>
      <w:r w:rsidR="003E551A" w:rsidRPr="00E8440F">
        <w:t xml:space="preserve"> </w:t>
      </w:r>
      <w:r w:rsidR="00302E4C">
        <w:t>to identify possible</w:t>
      </w:r>
      <w:r w:rsidRPr="00E8440F">
        <w:t xml:space="preserve"> carbapenem resistance </w:t>
      </w:r>
      <w:r w:rsidR="00040F29">
        <w:t xml:space="preserve">if infection </w:t>
      </w:r>
      <w:r w:rsidR="00987E51">
        <w:t xml:space="preserve">is </w:t>
      </w:r>
      <w:r w:rsidR="00040F29">
        <w:t>suspected</w:t>
      </w:r>
      <w:r w:rsidRPr="00E8440F">
        <w:t>.</w:t>
      </w:r>
    </w:p>
    <w:p w14:paraId="2A6A2B9E" w14:textId="1EDA2E2D" w:rsidR="00E8440F" w:rsidRPr="00E8440F" w:rsidRDefault="00E8440F" w:rsidP="00E8440F">
      <w:pPr>
        <w:pStyle w:val="Body"/>
      </w:pPr>
      <w:proofErr w:type="gramStart"/>
      <w:r w:rsidRPr="00E8440F">
        <w:t>Particular precaution</w:t>
      </w:r>
      <w:proofErr w:type="gramEnd"/>
      <w:r w:rsidRPr="00E8440F">
        <w:t xml:space="preserve"> should be taken </w:t>
      </w:r>
      <w:r w:rsidR="00B050B3">
        <w:t>for</w:t>
      </w:r>
      <w:r w:rsidR="00237B66" w:rsidRPr="00E8440F">
        <w:t xml:space="preserve"> </w:t>
      </w:r>
      <w:r w:rsidRPr="00E8440F">
        <w:t xml:space="preserve">patients with cystic fibrosis </w:t>
      </w:r>
      <w:r w:rsidR="00B050B3">
        <w:t xml:space="preserve">or other chronic lung diseases </w:t>
      </w:r>
      <w:r w:rsidRPr="00E8440F">
        <w:t xml:space="preserve">and a history of CPP colonisation or infection as the risk of relapse </w:t>
      </w:r>
      <w:r w:rsidR="000D7137">
        <w:t>is</w:t>
      </w:r>
      <w:r w:rsidR="000D7137" w:rsidRPr="00E8440F">
        <w:t xml:space="preserve"> </w:t>
      </w:r>
      <w:r w:rsidRPr="00E8440F">
        <w:t xml:space="preserve">high in these patients. </w:t>
      </w:r>
      <w:r w:rsidR="009516C3">
        <w:t xml:space="preserve">Once again, a local risk assessment should be undertaken to ascertain </w:t>
      </w:r>
      <w:r w:rsidR="00AD45BC">
        <w:t xml:space="preserve">the </w:t>
      </w:r>
      <w:r w:rsidR="009516C3">
        <w:t xml:space="preserve">need for additional IPC measures at each </w:t>
      </w:r>
      <w:r w:rsidR="00241CE1">
        <w:t>admission</w:t>
      </w:r>
      <w:r w:rsidR="00001C2E">
        <w:t xml:space="preserve">, although </w:t>
      </w:r>
      <w:r w:rsidR="00EF449C">
        <w:t>i</w:t>
      </w:r>
      <w:r w:rsidRPr="00E8440F">
        <w:t>t is recommended that these patients be screened at each readmission.</w:t>
      </w:r>
    </w:p>
    <w:p w14:paraId="4618124E" w14:textId="77777777" w:rsidR="00E8440F" w:rsidRPr="00E8440F" w:rsidRDefault="00E8440F" w:rsidP="0033368E">
      <w:pPr>
        <w:pStyle w:val="Heading3"/>
      </w:pPr>
      <w:r w:rsidRPr="00E8440F">
        <w:t>Management of contacts</w:t>
      </w:r>
    </w:p>
    <w:p w14:paraId="2483263C" w14:textId="77777777" w:rsidR="00E8440F" w:rsidRPr="00E8440F" w:rsidRDefault="00E8440F" w:rsidP="0033368E">
      <w:pPr>
        <w:pStyle w:val="Heading4"/>
      </w:pPr>
      <w:r w:rsidRPr="00E8440F">
        <w:t>Purpose of contact tracing</w:t>
      </w:r>
    </w:p>
    <w:p w14:paraId="565E94DA" w14:textId="103906C9" w:rsidR="00E8440F" w:rsidRPr="00E8440F" w:rsidRDefault="00E8440F" w:rsidP="00E8440F">
      <w:pPr>
        <w:pStyle w:val="Body"/>
      </w:pPr>
      <w:r w:rsidRPr="00E8440F">
        <w:t xml:space="preserve">The purpose of contact tracing is to identify potentially infected or colonised patients and to manage the risk of onwards transmission from these patients. This occurs by identifying which patients should be screened and over what </w:t>
      </w:r>
      <w:proofErr w:type="gramStart"/>
      <w:r w:rsidR="00D2456B">
        <w:t xml:space="preserve">time </w:t>
      </w:r>
      <w:r w:rsidRPr="00E8440F">
        <w:t>period</w:t>
      </w:r>
      <w:proofErr w:type="gramEnd"/>
      <w:r w:rsidRPr="00E8440F">
        <w:t>. It may also involve pre-emptive isolation until a person is cleared.</w:t>
      </w:r>
    </w:p>
    <w:p w14:paraId="05814CDC" w14:textId="77777777" w:rsidR="00E8440F" w:rsidRPr="00E8440F" w:rsidRDefault="00E8440F" w:rsidP="00E8440F">
      <w:pPr>
        <w:pStyle w:val="Body"/>
      </w:pPr>
      <w:r w:rsidRPr="00E8440F">
        <w:t>No contact tracing is required until the case has been confirmed.</w:t>
      </w:r>
    </w:p>
    <w:p w14:paraId="4C6E4958" w14:textId="77777777" w:rsidR="00E8440F" w:rsidRPr="00E8440F" w:rsidRDefault="00E8440F" w:rsidP="0033368E">
      <w:pPr>
        <w:pStyle w:val="Heading4"/>
      </w:pPr>
      <w:bookmarkStart w:id="40" w:name="_Room_contacts"/>
      <w:bookmarkEnd w:id="40"/>
      <w:r w:rsidRPr="00E8440F">
        <w:t>Room contacts</w:t>
      </w:r>
    </w:p>
    <w:p w14:paraId="3E00A25D" w14:textId="77777777" w:rsidR="00E8440F" w:rsidRPr="00E8440F" w:rsidRDefault="00E8440F" w:rsidP="00E8440F">
      <w:pPr>
        <w:pStyle w:val="Body"/>
      </w:pPr>
      <w:r w:rsidRPr="00E8440F">
        <w:t>A room contact is any person who shared a room or a bathroom with a case for ≥ 24 hours in a health service during the case’s period of transmission risk. Patients discharged prior to the case being diagnosed, and who meet the room contact criteria are included in the required actions.</w:t>
      </w:r>
    </w:p>
    <w:p w14:paraId="3961AB1E" w14:textId="77777777" w:rsidR="00E8440F" w:rsidRPr="00E8440F" w:rsidRDefault="00E8440F" w:rsidP="00E8440F">
      <w:pPr>
        <w:pStyle w:val="Body"/>
      </w:pPr>
      <w:r w:rsidRPr="00E8440F">
        <w:t>Room contacts should have IPC precautions and other recommendations applied until clearance criteria are met.</w:t>
      </w:r>
    </w:p>
    <w:p w14:paraId="72EE75DD" w14:textId="357AB6A7" w:rsidR="00E8440F" w:rsidRPr="00E8440F" w:rsidRDefault="00E8440F" w:rsidP="00E8440F">
      <w:pPr>
        <w:pStyle w:val="Body"/>
      </w:pPr>
      <w:r w:rsidRPr="00E8440F">
        <w:lastRenderedPageBreak/>
        <w:t>On confirmation of a case of CPO, the following actions must be taken for all room contacts:</w:t>
      </w:r>
    </w:p>
    <w:p w14:paraId="412C8291" w14:textId="77777777" w:rsidR="00E8440F" w:rsidRPr="00E8440F" w:rsidRDefault="00E8440F" w:rsidP="00070500">
      <w:pPr>
        <w:pStyle w:val="Numberdigit"/>
        <w:numPr>
          <w:ilvl w:val="0"/>
          <w:numId w:val="20"/>
        </w:numPr>
      </w:pPr>
      <w:r w:rsidRPr="00E8440F">
        <w:t>Room contacts who are still inpatients:</w:t>
      </w:r>
    </w:p>
    <w:p w14:paraId="6399C213" w14:textId="5B8ECE38" w:rsidR="00E8440F" w:rsidRPr="00E8440F" w:rsidRDefault="00E8440F" w:rsidP="00070500">
      <w:pPr>
        <w:pStyle w:val="Numberloweralphaindent"/>
        <w:numPr>
          <w:ilvl w:val="1"/>
          <w:numId w:val="21"/>
        </w:numPr>
        <w:ind w:left="782" w:hanging="357"/>
      </w:pPr>
      <w:r w:rsidRPr="00E8440F">
        <w:t>Pre-emptively isolate and screen for CPO</w:t>
      </w:r>
    </w:p>
    <w:p w14:paraId="1CB74518" w14:textId="77777777" w:rsidR="00E8440F" w:rsidRPr="00E8440F" w:rsidRDefault="00E8440F" w:rsidP="00070500">
      <w:pPr>
        <w:pStyle w:val="Numberloweralphaindent"/>
        <w:numPr>
          <w:ilvl w:val="1"/>
          <w:numId w:val="21"/>
        </w:numPr>
        <w:ind w:left="782" w:hanging="357"/>
      </w:pPr>
      <w:r w:rsidRPr="00E8440F">
        <w:t>Implement contact precautions until clearance criteria (see below) have been met.</w:t>
      </w:r>
    </w:p>
    <w:p w14:paraId="3DE27CAA" w14:textId="77777777" w:rsidR="00E8440F" w:rsidRPr="00E8440F" w:rsidRDefault="00E8440F" w:rsidP="00070500">
      <w:pPr>
        <w:pStyle w:val="Numberdigit"/>
      </w:pPr>
      <w:r w:rsidRPr="00E8440F">
        <w:t>Room contacts who have been discharged prior to diagnosis and/or who have not met clearance criteria prior to discharge:</w:t>
      </w:r>
    </w:p>
    <w:p w14:paraId="34D56285" w14:textId="04C09F6F" w:rsidR="00E8440F" w:rsidRPr="00E8440F" w:rsidRDefault="00E8440F" w:rsidP="00070500">
      <w:pPr>
        <w:pStyle w:val="Numberloweralphaindent"/>
        <w:numPr>
          <w:ilvl w:val="1"/>
          <w:numId w:val="22"/>
        </w:numPr>
        <w:ind w:left="782" w:hanging="357"/>
      </w:pPr>
      <w:r w:rsidRPr="00E8440F">
        <w:t xml:space="preserve">Give or send the room contact written advice of their room contact status. An example room contact letter can be found on the </w:t>
      </w:r>
      <w:hyperlink r:id="rId39" w:history="1">
        <w:r w:rsidRPr="00B75F1E">
          <w:rPr>
            <w:rStyle w:val="Hyperlink"/>
          </w:rPr>
          <w:t>department’s website</w:t>
        </w:r>
      </w:hyperlink>
      <w:r w:rsidRPr="00E8440F">
        <w:t xml:space="preserve"> </w:t>
      </w:r>
      <w:r w:rsidR="00877DF2">
        <w:t>&lt;</w:t>
      </w:r>
      <w:r w:rsidR="00495708" w:rsidRPr="00495708">
        <w:t>www.health.vic.gov.au/infectious-diseases/victorian-guideline-on-cpo-for-health-services</w:t>
      </w:r>
      <w:r w:rsidR="00877DF2">
        <w:t>&gt;</w:t>
      </w:r>
      <w:r w:rsidRPr="00E8440F">
        <w:t>.</w:t>
      </w:r>
    </w:p>
    <w:p w14:paraId="79315D35" w14:textId="77777777" w:rsidR="00E8440F" w:rsidRPr="00E8440F" w:rsidRDefault="00E8440F" w:rsidP="00070500">
      <w:pPr>
        <w:pStyle w:val="Numberloweralphaindent"/>
        <w:numPr>
          <w:ilvl w:val="1"/>
          <w:numId w:val="22"/>
        </w:numPr>
        <w:ind w:left="782" w:hanging="357"/>
      </w:pPr>
      <w:r w:rsidRPr="00E8440F">
        <w:t>Place an alert on their hard-copy and/or electronic hospital records so that they are placed into a single room with contact precautions and screened if readmitted before clearance criteria are met in the 12 months following last contact with the CPO case. This includes room contacts who have refused to be screened. (Alerts in hospital records may be removed after 12 months if screening has not occurred.)</w:t>
      </w:r>
    </w:p>
    <w:p w14:paraId="75D1B2BC" w14:textId="77777777" w:rsidR="00E8440F" w:rsidRPr="00E8440F" w:rsidRDefault="00E8440F" w:rsidP="0033368E">
      <w:pPr>
        <w:pStyle w:val="Heading5"/>
      </w:pPr>
      <w:bookmarkStart w:id="41" w:name="_Clearance_criteria_for_1"/>
      <w:bookmarkEnd w:id="41"/>
      <w:r w:rsidRPr="00E8440F">
        <w:t>Clearance criteria for room contacts</w:t>
      </w:r>
    </w:p>
    <w:p w14:paraId="08C2D980" w14:textId="49A2F661" w:rsidR="00E8440F" w:rsidRPr="00E8440F" w:rsidRDefault="00E8440F" w:rsidP="00E8440F">
      <w:pPr>
        <w:pStyle w:val="Body"/>
      </w:pPr>
      <w:r w:rsidRPr="00E8440F">
        <w:t xml:space="preserve">A </w:t>
      </w:r>
      <w:r w:rsidRPr="00E8440F">
        <w:rPr>
          <w:b/>
          <w:bCs/>
        </w:rPr>
        <w:t xml:space="preserve">room contact is considered cleared </w:t>
      </w:r>
      <w:r w:rsidRPr="00E8440F">
        <w:t>when two suitable specimens taken &gt; 48 hours apart are negative for CPO. Both specimens must be taken more than seven days after cessation of room contact with a case of CPO.</w:t>
      </w:r>
      <w:r w:rsidR="00FF45B9">
        <w:t xml:space="preserve"> See </w:t>
      </w:r>
      <w:r w:rsidR="003B4216">
        <w:t>T</w:t>
      </w:r>
      <w:r w:rsidR="00FF45B9">
        <w:t xml:space="preserve">able 1 for recommended </w:t>
      </w:r>
      <w:r w:rsidR="003B4216">
        <w:t xml:space="preserve">screening </w:t>
      </w:r>
      <w:r w:rsidR="00FF45B9">
        <w:t>samples</w:t>
      </w:r>
      <w:r w:rsidR="003B4216">
        <w:t>.</w:t>
      </w:r>
    </w:p>
    <w:p w14:paraId="361EB913" w14:textId="33F6BC7C" w:rsidR="00E8440F" w:rsidRPr="00E8440F" w:rsidRDefault="00E8440F" w:rsidP="0033368E">
      <w:pPr>
        <w:pStyle w:val="Heading4"/>
      </w:pPr>
      <w:bookmarkStart w:id="42" w:name="_Further_screening_following"/>
      <w:bookmarkEnd w:id="42"/>
      <w:r w:rsidRPr="00E8440F">
        <w:t>Further screening following confirmation of</w:t>
      </w:r>
      <w:r w:rsidR="004E5590">
        <w:t xml:space="preserve"> a</w:t>
      </w:r>
      <w:r w:rsidRPr="00E8440F">
        <w:t xml:space="preserve"> case of CPO</w:t>
      </w:r>
    </w:p>
    <w:p w14:paraId="53AEE2DF" w14:textId="02AD6AD2" w:rsidR="00E8440F" w:rsidRPr="00E8440F" w:rsidRDefault="00E8440F" w:rsidP="00E8440F">
      <w:pPr>
        <w:pStyle w:val="Body"/>
      </w:pPr>
      <w:r w:rsidRPr="00E8440F">
        <w:t xml:space="preserve">A ward contact, as previously defined, is any person who has been on a ward for ≥ 24 hours in the period that the ward has been designated as a TRA. Therefore, when there has been </w:t>
      </w:r>
      <w:r w:rsidRPr="00E8440F">
        <w:rPr>
          <w:b/>
          <w:bCs/>
        </w:rPr>
        <w:t>no local transmission, there are no ward contacts</w:t>
      </w:r>
      <w:r w:rsidRPr="00E8440F">
        <w:t xml:space="preserve"> for the purposes of this guideline. Further actions are required if transmission is identified (see </w:t>
      </w:r>
      <w:hyperlink w:anchor="_Actions_when_local" w:history="1">
        <w:r w:rsidRPr="009A2C19">
          <w:rPr>
            <w:rStyle w:val="Hyperlink"/>
          </w:rPr>
          <w:t>Actions when local transmission of CPO is identified</w:t>
        </w:r>
      </w:hyperlink>
      <w:r w:rsidRPr="00E8440F">
        <w:t>).</w:t>
      </w:r>
    </w:p>
    <w:p w14:paraId="77425E19" w14:textId="5DB0A65B" w:rsidR="00E8440F" w:rsidRPr="00E8440F" w:rsidRDefault="00E8440F" w:rsidP="00E8440F">
      <w:pPr>
        <w:pStyle w:val="Body"/>
      </w:pPr>
      <w:r w:rsidRPr="00E8440F">
        <w:t>Some cases, however, are considered high-risk for onwards transmission (</w:t>
      </w:r>
      <w:r w:rsidR="00F97425">
        <w:t>Box</w:t>
      </w:r>
      <w:r w:rsidRPr="00E8440F">
        <w:t xml:space="preserve"> 5 below). Health services may conduct their own risk assessment regarding these patients and consider performing further screening on some or all the other patients on that ward. Further advice can be sought from the </w:t>
      </w:r>
      <w:r w:rsidR="005D7F48">
        <w:t>VASRU</w:t>
      </w:r>
      <w:r w:rsidR="005D7F48" w:rsidRPr="00E8440F">
        <w:t xml:space="preserve"> </w:t>
      </w:r>
      <w:r w:rsidRPr="00E8440F">
        <w:t>(</w:t>
      </w:r>
      <w:hyperlink r:id="rId40" w:history="1">
        <w:r w:rsidR="00E0684A" w:rsidRPr="00E0684A">
          <w:rPr>
            <w:rStyle w:val="Hyperlink"/>
          </w:rPr>
          <w:t>email</w:t>
        </w:r>
      </w:hyperlink>
      <w:r w:rsidR="00E0684A">
        <w:t xml:space="preserve"> &lt;amr.secretariat@health.vic.gov.au&gt;</w:t>
      </w:r>
      <w:r w:rsidRPr="00E8440F">
        <w:t>) if a health service requires guidance or assistance in responding to complex cases.</w:t>
      </w:r>
    </w:p>
    <w:p w14:paraId="4820E429" w14:textId="14A7F287" w:rsidR="00E8440F" w:rsidRDefault="00F97425" w:rsidP="0033368E">
      <w:pPr>
        <w:pStyle w:val="Figurecaption"/>
        <w:rPr>
          <w:rFonts w:eastAsia="Times"/>
        </w:rPr>
      </w:pPr>
      <w:bookmarkStart w:id="43" w:name="_Figure_5:_Patients"/>
      <w:bookmarkEnd w:id="43"/>
      <w:r>
        <w:rPr>
          <w:rFonts w:eastAsia="Times"/>
        </w:rPr>
        <w:t>Box</w:t>
      </w:r>
      <w:r w:rsidR="00E8440F" w:rsidRPr="00E8440F">
        <w:rPr>
          <w:rFonts w:eastAsia="Times"/>
        </w:rPr>
        <w:t xml:space="preserve"> 5: </w:t>
      </w:r>
      <w:r w:rsidR="00171FF5">
        <w:rPr>
          <w:rFonts w:eastAsia="Times"/>
        </w:rPr>
        <w:t>Risk factors</w:t>
      </w:r>
      <w:r w:rsidR="00F86462">
        <w:rPr>
          <w:rFonts w:eastAsia="Times"/>
        </w:rPr>
        <w:t xml:space="preserve"> that contribute to a</w:t>
      </w:r>
      <w:r w:rsidR="00E8440F" w:rsidRPr="00E8440F">
        <w:rPr>
          <w:rFonts w:eastAsia="Times"/>
        </w:rPr>
        <w:t xml:space="preserve"> higher risk </w:t>
      </w:r>
      <w:r w:rsidR="00F86462">
        <w:rPr>
          <w:rFonts w:eastAsia="Times"/>
        </w:rPr>
        <w:t>of</w:t>
      </w:r>
      <w:r w:rsidR="00F86462" w:rsidRPr="00E8440F">
        <w:rPr>
          <w:rFonts w:eastAsia="Times"/>
        </w:rPr>
        <w:t xml:space="preserve"> </w:t>
      </w:r>
      <w:r w:rsidR="00E8440F" w:rsidRPr="00E8440F">
        <w:rPr>
          <w:rFonts w:eastAsia="Times"/>
        </w:rPr>
        <w:t xml:space="preserve">onwards </w:t>
      </w:r>
      <w:proofErr w:type="gramStart"/>
      <w:r w:rsidR="00E8440F" w:rsidRPr="00E8440F">
        <w:rPr>
          <w:rFonts w:eastAsia="Times"/>
        </w:rPr>
        <w:t>transmission</w:t>
      </w:r>
      <w:proofErr w:type="gramEnd"/>
    </w:p>
    <w:tbl>
      <w:tblPr>
        <w:tblStyle w:val="TableGrid"/>
        <w:tblW w:w="0" w:type="auto"/>
        <w:tblBorders>
          <w:top w:val="single" w:sz="18" w:space="0" w:color="C63663"/>
          <w:left w:val="single" w:sz="18" w:space="0" w:color="C63663"/>
          <w:bottom w:val="single" w:sz="18" w:space="0" w:color="C63663"/>
          <w:right w:val="single" w:sz="18" w:space="0" w:color="C63663"/>
          <w:insideH w:val="single" w:sz="18" w:space="0" w:color="C63663"/>
          <w:insideV w:val="single" w:sz="18" w:space="0" w:color="C63663"/>
        </w:tblBorders>
        <w:shd w:val="clear" w:color="auto" w:fill="F2F2F2" w:themeFill="background1" w:themeFillShade="F2"/>
        <w:tblLook w:val="04A0" w:firstRow="1" w:lastRow="0" w:firstColumn="1" w:lastColumn="0" w:noHBand="0" w:noVBand="1"/>
      </w:tblPr>
      <w:tblGrid>
        <w:gridCol w:w="9252"/>
      </w:tblGrid>
      <w:tr w:rsidR="00FE3527" w14:paraId="266C2884" w14:textId="77777777" w:rsidTr="00E31064">
        <w:tc>
          <w:tcPr>
            <w:tcW w:w="9288" w:type="dxa"/>
            <w:shd w:val="clear" w:color="auto" w:fill="F8E8ED"/>
          </w:tcPr>
          <w:p w14:paraId="3B50EDBB" w14:textId="2F6D5446" w:rsidR="00FE3527" w:rsidRPr="00E8440F" w:rsidRDefault="00D92EEA" w:rsidP="00FE3527">
            <w:pPr>
              <w:pStyle w:val="Tablebullet1"/>
            </w:pPr>
            <w:r>
              <w:t>C</w:t>
            </w:r>
            <w:r w:rsidR="00FE3527" w:rsidRPr="00E8440F">
              <w:t>opious or uncontained drainage from wounds or abscesses.</w:t>
            </w:r>
          </w:p>
          <w:p w14:paraId="2ABCEDAF" w14:textId="46FF925D" w:rsidR="00FE3527" w:rsidRPr="00E8440F" w:rsidRDefault="00EB1A26" w:rsidP="00FE3527">
            <w:pPr>
              <w:pStyle w:val="Tablebullet1"/>
            </w:pPr>
            <w:r>
              <w:t xml:space="preserve">Faecal incontinence, </w:t>
            </w:r>
            <w:r w:rsidR="00FE3527" w:rsidRPr="00E8440F">
              <w:t xml:space="preserve">diarrhoea, intestinal </w:t>
            </w:r>
            <w:proofErr w:type="gramStart"/>
            <w:r w:rsidR="00FE3527" w:rsidRPr="00E8440F">
              <w:t>stoma</w:t>
            </w:r>
            <w:proofErr w:type="gramEnd"/>
            <w:r w:rsidR="00FE3527" w:rsidRPr="00E8440F">
              <w:t xml:space="preserve"> or </w:t>
            </w:r>
            <w:r w:rsidR="001924A9">
              <w:t xml:space="preserve">history of </w:t>
            </w:r>
            <w:r w:rsidR="00142FE3">
              <w:t xml:space="preserve">recent </w:t>
            </w:r>
            <w:r w:rsidR="00FE3527" w:rsidRPr="00E8440F">
              <w:t>colorectal procedure.</w:t>
            </w:r>
          </w:p>
          <w:p w14:paraId="28B32369" w14:textId="5A75980E" w:rsidR="00AC05F4" w:rsidRPr="00E8440F" w:rsidRDefault="007739BD" w:rsidP="00FE3527">
            <w:pPr>
              <w:pStyle w:val="Tablebullet1"/>
            </w:pPr>
            <w:r>
              <w:t>C</w:t>
            </w:r>
            <w:r w:rsidR="00FE3527" w:rsidRPr="00E8440F">
              <w:t>opious or uncontained respiratory secretions</w:t>
            </w:r>
          </w:p>
          <w:p w14:paraId="20E2D685" w14:textId="6CF6111F" w:rsidR="00FE3527" w:rsidRPr="00E8440F" w:rsidRDefault="00D26718" w:rsidP="00FE3527">
            <w:pPr>
              <w:pStyle w:val="Tablebullet1"/>
            </w:pPr>
            <w:r>
              <w:t>Urinary incontinence or</w:t>
            </w:r>
            <w:r w:rsidR="00FE3527" w:rsidRPr="00E8440F">
              <w:t xml:space="preserve"> indwelling urinary catheter.</w:t>
            </w:r>
          </w:p>
          <w:p w14:paraId="394C6975" w14:textId="1E2BD2A0" w:rsidR="00FE3527" w:rsidRPr="00E8440F" w:rsidRDefault="00CD4962" w:rsidP="00FE3527">
            <w:pPr>
              <w:pStyle w:val="Tablebullet1"/>
            </w:pPr>
            <w:r>
              <w:t>D</w:t>
            </w:r>
            <w:r w:rsidR="00FE3527" w:rsidRPr="00E8440F">
              <w:t xml:space="preserve">ifficulty complying with hygiene and self-care, for example patients living with dementia and </w:t>
            </w:r>
            <w:r w:rsidR="00237B66">
              <w:t xml:space="preserve">exhibiting </w:t>
            </w:r>
            <w:r w:rsidR="00FE3527" w:rsidRPr="00E8440F">
              <w:t>wandering behaviours.</w:t>
            </w:r>
          </w:p>
          <w:p w14:paraId="7037C421" w14:textId="332A4665" w:rsidR="00FE3527" w:rsidRDefault="00FE3527" w:rsidP="00FE3527">
            <w:pPr>
              <w:pStyle w:val="Tablebullet1"/>
            </w:pPr>
            <w:r w:rsidRPr="00E8440F">
              <w:t>High acuity</w:t>
            </w:r>
            <w:r w:rsidR="00237B66">
              <w:t xml:space="preserve"> patients</w:t>
            </w:r>
            <w:r w:rsidR="00250D21">
              <w:t>,</w:t>
            </w:r>
            <w:r w:rsidRPr="00E8440F">
              <w:t xml:space="preserve"> </w:t>
            </w:r>
            <w:r w:rsidR="00250D21">
              <w:t>for example</w:t>
            </w:r>
            <w:r w:rsidRPr="00E8440F">
              <w:t xml:space="preserve"> </w:t>
            </w:r>
            <w:r w:rsidR="00237B66">
              <w:t xml:space="preserve">those </w:t>
            </w:r>
            <w:r w:rsidRPr="00E8440F">
              <w:t>admitted to ICU, patients with burns</w:t>
            </w:r>
            <w:r w:rsidR="000271B0">
              <w:t xml:space="preserve"> or</w:t>
            </w:r>
            <w:r w:rsidRPr="00E8440F">
              <w:t xml:space="preserve"> malignant haematology.</w:t>
            </w:r>
          </w:p>
        </w:tc>
      </w:tr>
    </w:tbl>
    <w:p w14:paraId="5AF96D16" w14:textId="77777777" w:rsidR="00E8440F" w:rsidRPr="00E8440F" w:rsidRDefault="00E8440F" w:rsidP="0033368E">
      <w:pPr>
        <w:pStyle w:val="Heading4"/>
      </w:pPr>
      <w:r w:rsidRPr="00E8440F">
        <w:t xml:space="preserve">Healthcare workers, </w:t>
      </w:r>
      <w:proofErr w:type="gramStart"/>
      <w:r w:rsidRPr="00E8440F">
        <w:t>household</w:t>
      </w:r>
      <w:proofErr w:type="gramEnd"/>
      <w:r w:rsidRPr="00E8440F">
        <w:t xml:space="preserve"> and casual contacts</w:t>
      </w:r>
    </w:p>
    <w:p w14:paraId="2DDAC474" w14:textId="409612DE" w:rsidR="00E8440F" w:rsidRPr="00E8440F" w:rsidRDefault="003A55C3" w:rsidP="00E8440F">
      <w:pPr>
        <w:pStyle w:val="Body"/>
      </w:pPr>
      <w:r>
        <w:t>Screening is generally not recommended for h</w:t>
      </w:r>
      <w:r w:rsidR="00E8440F" w:rsidRPr="00E8440F">
        <w:t xml:space="preserve">ealthcare workers who care for and manage CPO </w:t>
      </w:r>
      <w:r w:rsidR="00FC4E04">
        <w:t>cases</w:t>
      </w:r>
      <w:r w:rsidR="00E8440F" w:rsidRPr="00E8440F">
        <w:t>.</w:t>
      </w:r>
    </w:p>
    <w:p w14:paraId="3CAF595A" w14:textId="77777777" w:rsidR="00E8440F" w:rsidRPr="00E8440F" w:rsidRDefault="00E8440F" w:rsidP="00E8440F">
      <w:pPr>
        <w:pStyle w:val="Body"/>
      </w:pPr>
      <w:r w:rsidRPr="00E8440F">
        <w:t>Household and community contacts do not require contact tracing or screening.</w:t>
      </w:r>
    </w:p>
    <w:p w14:paraId="2E03A8EA" w14:textId="4A82D510" w:rsidR="00E8440F" w:rsidRPr="00E8440F" w:rsidRDefault="00E8440F" w:rsidP="00E8440F">
      <w:pPr>
        <w:pStyle w:val="Body"/>
      </w:pPr>
      <w:r w:rsidRPr="00E8440F">
        <w:lastRenderedPageBreak/>
        <w:t>Screening of healthcare workers or household contacts may be undertaken at the discretion of the AMR-IMT, however given the lack of current evidence regarding the risk for transmission to these groups</w:t>
      </w:r>
      <w:r w:rsidR="00840123">
        <w:t>,</w:t>
      </w:r>
      <w:r w:rsidRPr="00E8440F">
        <w:t xml:space="preserve"> this is unlikely and would only occur in an extreme circumstance.</w:t>
      </w:r>
    </w:p>
    <w:p w14:paraId="5D73DCF7" w14:textId="77777777" w:rsidR="00E8440F" w:rsidRPr="00E8440F" w:rsidRDefault="00E8440F" w:rsidP="0033368E">
      <w:pPr>
        <w:pStyle w:val="Figurecaption"/>
        <w:rPr>
          <w:rFonts w:eastAsia="Times"/>
        </w:rPr>
      </w:pPr>
      <w:r w:rsidRPr="00E8440F">
        <w:rPr>
          <w:rFonts w:eastAsia="Times"/>
        </w:rPr>
        <w:t>Flowchart 3: Confirmed CPO case management and screening requirements</w:t>
      </w:r>
    </w:p>
    <w:tbl>
      <w:tblPr>
        <w:tblStyle w:val="TableGrid"/>
        <w:tblW w:w="0" w:type="auto"/>
        <w:tblBorders>
          <w:top w:val="single" w:sz="18" w:space="0" w:color="C63663"/>
          <w:left w:val="single" w:sz="18" w:space="0" w:color="C63663"/>
          <w:bottom w:val="single" w:sz="18" w:space="0" w:color="C63663"/>
          <w:right w:val="single" w:sz="18" w:space="0" w:color="C63663"/>
          <w:insideH w:val="single" w:sz="18" w:space="0" w:color="C63663"/>
          <w:insideV w:val="single" w:sz="18" w:space="0" w:color="C63663"/>
        </w:tblBorders>
        <w:tblCellMar>
          <w:top w:w="28" w:type="dxa"/>
          <w:left w:w="28" w:type="dxa"/>
          <w:bottom w:w="28" w:type="dxa"/>
          <w:right w:w="28" w:type="dxa"/>
        </w:tblCellMar>
        <w:tblLook w:val="04A0" w:firstRow="1" w:lastRow="0" w:firstColumn="1" w:lastColumn="0" w:noHBand="0" w:noVBand="1"/>
      </w:tblPr>
      <w:tblGrid>
        <w:gridCol w:w="9252"/>
      </w:tblGrid>
      <w:tr w:rsidR="00E8440F" w:rsidRPr="00E8440F" w14:paraId="74BEA62D" w14:textId="77777777" w:rsidTr="00BF5F9A">
        <w:trPr>
          <w:trHeight w:val="11622"/>
          <w:tblHeader/>
        </w:trPr>
        <w:tc>
          <w:tcPr>
            <w:tcW w:w="9252" w:type="dxa"/>
            <w:vAlign w:val="center"/>
          </w:tcPr>
          <w:p w14:paraId="40F0E644" w14:textId="18602BCA" w:rsidR="00EE415B" w:rsidRPr="00E8440F" w:rsidRDefault="00F6423C" w:rsidP="005138FB">
            <w:pPr>
              <w:pStyle w:val="Body"/>
              <w:spacing w:before="60" w:after="60" w:line="240" w:lineRule="auto"/>
              <w:jc w:val="center"/>
            </w:pPr>
            <w:r>
              <w:rPr>
                <w:noProof/>
              </w:rPr>
              <w:drawing>
                <wp:inline distT="0" distB="0" distL="0" distR="0" wp14:anchorId="5D1527D4" wp14:editId="542C8EA1">
                  <wp:extent cx="5820355" cy="7386992"/>
                  <wp:effectExtent l="0" t="0" r="9525" b="4445"/>
                  <wp:docPr id="1579412354" name="Picture 1579412354" descr="Flowchart 3 outlines case management and screening requirements for a newly identified CPO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12354" name="Picture 1579412354" descr="Flowchart 3 outlines case management and screening requirements for a newly identified CPO case."/>
                          <pic:cNvPicPr>
                            <a:picLocks noChangeAspect="1" noChangeArrowheads="1"/>
                          </pic:cNvPicPr>
                        </pic:nvPicPr>
                        <pic:blipFill rotWithShape="1">
                          <a:blip r:embed="rId41">
                            <a:extLst>
                              <a:ext uri="{28A0092B-C50C-407E-A947-70E740481C1C}">
                                <a14:useLocalDpi xmlns:a14="http://schemas.microsoft.com/office/drawing/2010/main" val="0"/>
                              </a:ext>
                            </a:extLst>
                          </a:blip>
                          <a:srcRect l="2904" t="1933" r="2399" b="2062"/>
                          <a:stretch/>
                        </pic:blipFill>
                        <pic:spPr bwMode="auto">
                          <a:xfrm>
                            <a:off x="0" y="0"/>
                            <a:ext cx="5832544" cy="74024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85FFC34" w14:textId="31D18F3E" w:rsidR="00D12A7A" w:rsidRPr="00D12A7A" w:rsidRDefault="00D12A7A" w:rsidP="00D12A7A">
      <w:pPr>
        <w:pStyle w:val="Body"/>
      </w:pPr>
      <w:bookmarkStart w:id="44" w:name="_Toc108539921"/>
      <w:r w:rsidRPr="00D12A7A">
        <w:br w:type="page"/>
      </w:r>
    </w:p>
    <w:p w14:paraId="020E94A8" w14:textId="4702FAE5" w:rsidR="0033368E" w:rsidRPr="0033368E" w:rsidRDefault="0033368E" w:rsidP="003D118D">
      <w:pPr>
        <w:pStyle w:val="Heading2"/>
        <w:rPr>
          <w:rFonts w:eastAsia="Times"/>
        </w:rPr>
      </w:pPr>
      <w:bookmarkStart w:id="45" w:name="_Actions_when_local"/>
      <w:bookmarkStart w:id="46" w:name="_Toc149319550"/>
      <w:bookmarkEnd w:id="45"/>
      <w:r w:rsidRPr="0033368E">
        <w:rPr>
          <w:rFonts w:eastAsia="Times"/>
        </w:rPr>
        <w:lastRenderedPageBreak/>
        <w:t xml:space="preserve">Actions when local transmission of CPO is </w:t>
      </w:r>
      <w:proofErr w:type="gramStart"/>
      <w:r w:rsidRPr="0033368E">
        <w:rPr>
          <w:rFonts w:eastAsia="Times"/>
        </w:rPr>
        <w:t>identified</w:t>
      </w:r>
      <w:bookmarkEnd w:id="44"/>
      <w:bookmarkEnd w:id="46"/>
      <w:proofErr w:type="gramEnd"/>
    </w:p>
    <w:p w14:paraId="0469AA35" w14:textId="7CCBD6C9" w:rsidR="0033368E" w:rsidRPr="0033368E" w:rsidRDefault="0033368E" w:rsidP="0033368E">
      <w:pPr>
        <w:pStyle w:val="Body"/>
      </w:pPr>
      <w:r w:rsidRPr="0033368E">
        <w:t xml:space="preserve">When transmission of CPO is suspected, the </w:t>
      </w:r>
      <w:r w:rsidR="005D7F48">
        <w:t>VASRU</w:t>
      </w:r>
      <w:r w:rsidR="005D7F48" w:rsidRPr="0033368E">
        <w:t xml:space="preserve"> </w:t>
      </w:r>
      <w:r w:rsidRPr="0033368E">
        <w:t>will prepare a risk assessment for the AMR-IMT. The AMR-IMT will review the information and determine if transmission has occurred. If transmission has occurred, the ward (or a specified geographical area in the health service) will be designated as a TRA</w:t>
      </w:r>
      <w:r w:rsidRPr="0033368E">
        <w:rPr>
          <w:b/>
          <w:bCs/>
        </w:rPr>
        <w:t xml:space="preserve">. </w:t>
      </w:r>
      <w:r w:rsidRPr="0033368E">
        <w:t>It is not necessary to delay the commencement of contact screening and other IPC actions while awaiting formal recommendations from the AMR-IMT.</w:t>
      </w:r>
    </w:p>
    <w:p w14:paraId="64B35712" w14:textId="77777777" w:rsidR="0033368E" w:rsidRPr="0033368E" w:rsidRDefault="0033368E" w:rsidP="003D118D">
      <w:pPr>
        <w:pStyle w:val="Heading3"/>
      </w:pPr>
      <w:bookmarkStart w:id="47" w:name="_Transmission_Risk_Area"/>
      <w:bookmarkEnd w:id="47"/>
      <w:r w:rsidRPr="0033368E">
        <w:t>TRA – overview</w:t>
      </w:r>
    </w:p>
    <w:p w14:paraId="4F2037A1" w14:textId="77777777" w:rsidR="0033368E" w:rsidRPr="0033368E" w:rsidRDefault="0033368E" w:rsidP="0033368E">
      <w:pPr>
        <w:pStyle w:val="Body"/>
      </w:pPr>
      <w:r w:rsidRPr="0033368E">
        <w:t>A TRA is an area (a distinct geographical area or ward) in which local transmission has been determined by the AMR-IMT to have occurred. The following criteria are used by the AMR-IMT:</w:t>
      </w:r>
    </w:p>
    <w:p w14:paraId="2202EDD6" w14:textId="1F10ECCE" w:rsidR="0033368E" w:rsidRPr="0033368E" w:rsidRDefault="0033368E" w:rsidP="00070500">
      <w:pPr>
        <w:pStyle w:val="Bullet1"/>
      </w:pPr>
      <w:r w:rsidRPr="0033368E">
        <w:t xml:space="preserve">two or more confirmed cases of genetically related CPO as determined by MDU PHL </w:t>
      </w:r>
      <w:r w:rsidR="00C32DB9">
        <w:rPr>
          <w:b/>
          <w:bCs/>
        </w:rPr>
        <w:t>AND</w:t>
      </w:r>
    </w:p>
    <w:p w14:paraId="656AF61E" w14:textId="78CE65F3" w:rsidR="0033368E" w:rsidRPr="0033368E" w:rsidRDefault="0033368E" w:rsidP="00070500">
      <w:pPr>
        <w:pStyle w:val="Bullet1"/>
      </w:pPr>
      <w:r w:rsidRPr="0033368E">
        <w:t xml:space="preserve">at least one case is a locally acquired case </w:t>
      </w:r>
      <w:r w:rsidR="00C32DB9">
        <w:rPr>
          <w:b/>
        </w:rPr>
        <w:t>AND</w:t>
      </w:r>
    </w:p>
    <w:p w14:paraId="5370D2C3" w14:textId="212A0F58" w:rsidR="0033368E" w:rsidRPr="0033368E" w:rsidRDefault="0033368E" w:rsidP="00070500">
      <w:pPr>
        <w:pStyle w:val="Bullet1"/>
      </w:pPr>
      <w:r w:rsidRPr="0033368E">
        <w:t>there is a plausible epidemiological connection between the two cases, either through geographic proximity or shared staff, equipment or other exposures in the healthcare setting as determined by the AMR-IMT</w:t>
      </w:r>
      <w:r w:rsidR="00C32DB9">
        <w:t>.</w:t>
      </w:r>
    </w:p>
    <w:p w14:paraId="2A5251F7" w14:textId="637774FF" w:rsidR="0033368E" w:rsidRPr="00C32DB9" w:rsidRDefault="00C32DB9" w:rsidP="00C32DB9">
      <w:pPr>
        <w:pStyle w:val="Bodyafterbullets"/>
        <w:rPr>
          <w:b/>
          <w:bCs/>
        </w:rPr>
      </w:pPr>
      <w:r w:rsidRPr="00C32DB9">
        <w:rPr>
          <w:b/>
          <w:bCs/>
        </w:rPr>
        <w:t>OR</w:t>
      </w:r>
    </w:p>
    <w:p w14:paraId="331F4361" w14:textId="77777777" w:rsidR="0033368E" w:rsidRPr="0033368E" w:rsidRDefault="0033368E" w:rsidP="00070500">
      <w:pPr>
        <w:pStyle w:val="Bullet1"/>
      </w:pPr>
      <w:r w:rsidRPr="0033368E">
        <w:t>where acquisition from an environmental source is hypothesised, clustering in time and place without a direct patient to patient epidemiological link will also be considered.</w:t>
      </w:r>
    </w:p>
    <w:p w14:paraId="5168A120" w14:textId="77777777" w:rsidR="0033368E" w:rsidRPr="0033368E" w:rsidRDefault="0033368E" w:rsidP="007405C0">
      <w:pPr>
        <w:pStyle w:val="Bodyafterbullets"/>
      </w:pPr>
      <w:r w:rsidRPr="0033368E">
        <w:t>If the AMR-IMT cannot reach a consensus regarding a TRA, the Victorian Chief Health Officer or delegate will have the final determination.</w:t>
      </w:r>
    </w:p>
    <w:p w14:paraId="35FA2E01" w14:textId="427DA6FD" w:rsidR="0033368E" w:rsidRPr="0033368E" w:rsidRDefault="0033368E" w:rsidP="00EA25FA">
      <w:pPr>
        <w:pStyle w:val="Heading3"/>
      </w:pPr>
      <w:bookmarkStart w:id="48" w:name="_Health_facility_actions:"/>
      <w:bookmarkEnd w:id="48"/>
      <w:r w:rsidRPr="0033368E">
        <w:t>Health facility actions</w:t>
      </w:r>
    </w:p>
    <w:p w14:paraId="59C3ACFC" w14:textId="77777777" w:rsidR="0033368E" w:rsidRPr="006F579A" w:rsidRDefault="0033368E" w:rsidP="00070500">
      <w:pPr>
        <w:pStyle w:val="Numberdigit"/>
        <w:numPr>
          <w:ilvl w:val="0"/>
          <w:numId w:val="23"/>
        </w:numPr>
        <w:rPr>
          <w:b/>
          <w:bCs/>
        </w:rPr>
      </w:pPr>
      <w:bookmarkStart w:id="49" w:name="_Hlk142992849"/>
      <w:r w:rsidRPr="006F579A">
        <w:rPr>
          <w:b/>
          <w:bCs/>
        </w:rPr>
        <w:t xml:space="preserve">Determine and document the timeframe for the </w:t>
      </w:r>
      <w:proofErr w:type="gramStart"/>
      <w:r w:rsidRPr="006F579A">
        <w:rPr>
          <w:b/>
          <w:bCs/>
        </w:rPr>
        <w:t>TRA</w:t>
      </w:r>
      <w:proofErr w:type="gramEnd"/>
    </w:p>
    <w:p w14:paraId="42D02A78" w14:textId="77777777" w:rsidR="0033368E" w:rsidRPr="0033368E" w:rsidRDefault="0033368E" w:rsidP="00EA25FA">
      <w:pPr>
        <w:pStyle w:val="Body"/>
        <w:ind w:left="426"/>
      </w:pPr>
      <w:r w:rsidRPr="0033368E">
        <w:t xml:space="preserve">This will be done formally by the AMR-IMT. The facility should also make a preliminary determination at the time a transmission is identified </w:t>
      </w:r>
      <w:proofErr w:type="gramStart"/>
      <w:r w:rsidRPr="0033368E">
        <w:t>in order to</w:t>
      </w:r>
      <w:proofErr w:type="gramEnd"/>
      <w:r w:rsidRPr="0033368E">
        <w:t xml:space="preserve"> commence contact tracing activities without delay.</w:t>
      </w:r>
    </w:p>
    <w:p w14:paraId="46FA1F26" w14:textId="20610CA1" w:rsidR="0033368E" w:rsidRPr="0033368E" w:rsidRDefault="0033368E" w:rsidP="00824E19">
      <w:pPr>
        <w:pStyle w:val="Bulletafternumbers1"/>
      </w:pPr>
      <w:r w:rsidRPr="0033368E">
        <w:t>If one or more of the patients remains an inpatient or was discharged within the past four weeks</w:t>
      </w:r>
      <w:r w:rsidR="00C66292">
        <w:t xml:space="preserve"> </w:t>
      </w:r>
      <w:r w:rsidR="00A27211" w:rsidRPr="00A27211">
        <w:t>from the ward/s identified as a TRA</w:t>
      </w:r>
      <w:r w:rsidRPr="0033368E">
        <w:t>: generally, the TRA will apply from the day that the first CPO positive patient involved in the transmission was admitted, until there have been four consecutive weeks of negative ward screens.</w:t>
      </w:r>
    </w:p>
    <w:p w14:paraId="0489E1AE" w14:textId="4F530E03" w:rsidR="0033368E" w:rsidRPr="0033368E" w:rsidRDefault="0033368E" w:rsidP="00824E19">
      <w:pPr>
        <w:pStyle w:val="Bulletafternumbers1"/>
      </w:pPr>
      <w:r w:rsidRPr="0033368E">
        <w:t>If all the patients involved in the transmission have been discharged for longer than four weeks</w:t>
      </w:r>
      <w:r w:rsidR="00C66292">
        <w:t xml:space="preserve"> </w:t>
      </w:r>
      <w:r w:rsidR="00A27211" w:rsidRPr="00A27211">
        <w:t>from the ward/s identified as a TR</w:t>
      </w:r>
      <w:r w:rsidR="003129B6">
        <w:t>A</w:t>
      </w:r>
      <w:r w:rsidRPr="0033368E">
        <w:t>: generally, the TRA will apply from the time that the first patient involved in the transmission was admitted to four weeks after the final patient involved in the transmission was discharged.</w:t>
      </w:r>
    </w:p>
    <w:p w14:paraId="38A380C4" w14:textId="04BFCAFC" w:rsidR="0033368E" w:rsidRPr="0033368E" w:rsidRDefault="0033368E" w:rsidP="00824E19">
      <w:pPr>
        <w:pStyle w:val="Bulletafternumbers1"/>
      </w:pPr>
      <w:r w:rsidRPr="0033368E">
        <w:t xml:space="preserve">For </w:t>
      </w:r>
      <w:proofErr w:type="gramStart"/>
      <w:r w:rsidRPr="0033368E">
        <w:t>an</w:t>
      </w:r>
      <w:proofErr w:type="gramEnd"/>
      <w:r w:rsidRPr="0033368E">
        <w:t xml:space="preserve"> hypothesised environmental source, the timeframe will apply until appropriate environmental cleaning or other risk mitigation strategy has been implemented. Re-establishment or extension of the TRA timeframe will occur if there is evidence of further clustering of cases.</w:t>
      </w:r>
    </w:p>
    <w:bookmarkEnd w:id="49"/>
    <w:p w14:paraId="738FADA6" w14:textId="4550E446" w:rsidR="00E01F1B" w:rsidRDefault="0033368E" w:rsidP="00070500">
      <w:pPr>
        <w:pStyle w:val="Numberdigit"/>
        <w:rPr>
          <w:rStyle w:val="Hyperlink"/>
          <w:b/>
          <w:bCs/>
        </w:rPr>
      </w:pPr>
      <w:r w:rsidRPr="006F579A">
        <w:rPr>
          <w:b/>
          <w:bCs/>
        </w:rPr>
        <w:t xml:space="preserve">Identify, </w:t>
      </w:r>
      <w:proofErr w:type="gramStart"/>
      <w:r w:rsidRPr="006F579A">
        <w:rPr>
          <w:b/>
          <w:bCs/>
        </w:rPr>
        <w:t>notify</w:t>
      </w:r>
      <w:proofErr w:type="gramEnd"/>
      <w:r w:rsidRPr="006F579A">
        <w:rPr>
          <w:b/>
          <w:bCs/>
        </w:rPr>
        <w:t xml:space="preserve"> and place alerts on room contacts as </w:t>
      </w:r>
      <w:hyperlink w:anchor="_Room_contacts" w:history="1">
        <w:r w:rsidRPr="006F579A">
          <w:rPr>
            <w:rStyle w:val="Hyperlink"/>
            <w:b/>
            <w:bCs/>
          </w:rPr>
          <w:t>previously described</w:t>
        </w:r>
      </w:hyperlink>
    </w:p>
    <w:p w14:paraId="4B522D24" w14:textId="77777777" w:rsidR="00E01F1B" w:rsidRPr="0058776C" w:rsidRDefault="00E01F1B">
      <w:pPr>
        <w:spacing w:after="0" w:line="240" w:lineRule="auto"/>
        <w:rPr>
          <w:rStyle w:val="Hyperlink"/>
          <w:rFonts w:eastAsia="Times"/>
        </w:rPr>
      </w:pPr>
      <w:r>
        <w:rPr>
          <w:rStyle w:val="Hyperlink"/>
          <w:b/>
          <w:bCs/>
        </w:rPr>
        <w:br w:type="page"/>
      </w:r>
    </w:p>
    <w:p w14:paraId="6A05C053" w14:textId="77777777" w:rsidR="0033368E" w:rsidRPr="006F579A" w:rsidRDefault="0033368E" w:rsidP="00070500">
      <w:pPr>
        <w:pStyle w:val="Numberdigit"/>
        <w:rPr>
          <w:b/>
          <w:bCs/>
        </w:rPr>
      </w:pPr>
      <w:r w:rsidRPr="006F579A">
        <w:rPr>
          <w:b/>
          <w:bCs/>
        </w:rPr>
        <w:lastRenderedPageBreak/>
        <w:t xml:space="preserve">Commence screening </w:t>
      </w:r>
      <w:proofErr w:type="gramStart"/>
      <w:r w:rsidRPr="006F579A">
        <w:rPr>
          <w:b/>
          <w:bCs/>
        </w:rPr>
        <w:t>programs</w:t>
      </w:r>
      <w:proofErr w:type="gramEnd"/>
    </w:p>
    <w:p w14:paraId="79B01647" w14:textId="77777777" w:rsidR="0033368E" w:rsidRPr="0033368E" w:rsidRDefault="0033368E" w:rsidP="003F5658">
      <w:pPr>
        <w:pStyle w:val="Bulletafternumbers1"/>
      </w:pPr>
      <w:r w:rsidRPr="0033368E">
        <w:t>If one or more of the patients remains an inpatient, or were discharged within the past four weeks, perform a weekly PPS for CPO on ward patients until there have been four consecutive weeks of negative screens.</w:t>
      </w:r>
    </w:p>
    <w:p w14:paraId="735391BC" w14:textId="77777777" w:rsidR="0033368E" w:rsidRPr="0033368E" w:rsidRDefault="0033368E" w:rsidP="003F5658">
      <w:pPr>
        <w:pStyle w:val="Bulletafternumbers1"/>
      </w:pPr>
      <w:r w:rsidRPr="0033368E">
        <w:t>If all the patients involved in the transmission have been discharged for longer than four weeks, perform a single PPS on the ward.</w:t>
      </w:r>
    </w:p>
    <w:p w14:paraId="680AC185" w14:textId="77777777" w:rsidR="0033368E" w:rsidRPr="0033368E" w:rsidRDefault="0033368E" w:rsidP="003F5658">
      <w:pPr>
        <w:pStyle w:val="Bulletafternumbers1"/>
      </w:pPr>
      <w:r w:rsidRPr="0033368E">
        <w:t>Where an environmental source is implicated in the TRA, the AMR-IMT may recommend environmental screening in addition to patient screening requirements outlined above.</w:t>
      </w:r>
    </w:p>
    <w:p w14:paraId="7FAEFEA1" w14:textId="77777777" w:rsidR="0033368E" w:rsidRPr="006F579A" w:rsidRDefault="0033368E" w:rsidP="00070500">
      <w:pPr>
        <w:pStyle w:val="Numberdigit"/>
        <w:rPr>
          <w:b/>
          <w:bCs/>
        </w:rPr>
      </w:pPr>
      <w:r w:rsidRPr="006F579A">
        <w:rPr>
          <w:b/>
          <w:bCs/>
        </w:rPr>
        <w:t xml:space="preserve">Identify, notify and place alerts on ward </w:t>
      </w:r>
      <w:proofErr w:type="gramStart"/>
      <w:r w:rsidRPr="006F579A">
        <w:rPr>
          <w:b/>
          <w:bCs/>
        </w:rPr>
        <w:t>contacts</w:t>
      </w:r>
      <w:proofErr w:type="gramEnd"/>
    </w:p>
    <w:p w14:paraId="776B553B" w14:textId="77777777" w:rsidR="0033368E" w:rsidRPr="0033368E" w:rsidRDefault="0033368E" w:rsidP="00EA25FA">
      <w:pPr>
        <w:pStyle w:val="Body"/>
        <w:ind w:left="426"/>
      </w:pPr>
      <w:r w:rsidRPr="0033368E">
        <w:t>A ward contact is any person who has been on a ward for ≥ 24 hours during the period that the ward has been designated as a TRA.</w:t>
      </w:r>
    </w:p>
    <w:p w14:paraId="6BB1A441" w14:textId="77777777" w:rsidR="0033368E" w:rsidRPr="0033368E" w:rsidRDefault="0033368E" w:rsidP="003F5658">
      <w:pPr>
        <w:pStyle w:val="Bulletafternumbers1"/>
      </w:pPr>
      <w:r w:rsidRPr="0033368E">
        <w:t>Ensure that all ward contacts discharged before clearance criteria are met have alerts placed on their medical record (see below for further information on clearance criteria). This is to ensure they are placed into contact precautions and screened if readmitted prior to meeting clearance criteria within 12 months of their last contact with the TRA. (Alerts in hospital records may be removed after 12 months if screening has not occurred.)</w:t>
      </w:r>
    </w:p>
    <w:p w14:paraId="18F73A24" w14:textId="204708E2" w:rsidR="0033368E" w:rsidRPr="0033368E" w:rsidRDefault="0033368E" w:rsidP="003F5658">
      <w:pPr>
        <w:pStyle w:val="Bulletafternumbers1"/>
      </w:pPr>
      <w:r w:rsidRPr="0033368E">
        <w:t xml:space="preserve">Notify any healthcare </w:t>
      </w:r>
      <w:r w:rsidR="001E3617">
        <w:t xml:space="preserve">facility </w:t>
      </w:r>
      <w:r w:rsidRPr="0033368E">
        <w:t xml:space="preserve">or </w:t>
      </w:r>
      <w:r w:rsidR="001E3617">
        <w:t>RCF</w:t>
      </w:r>
      <w:r w:rsidRPr="0033368E">
        <w:t xml:space="preserve"> where TRA ward contacts have been transferred prior to clearance, to enable the receiving facility to place alerts and consider further action if required.</w:t>
      </w:r>
    </w:p>
    <w:p w14:paraId="5F7E398A" w14:textId="77777777" w:rsidR="0033368E" w:rsidRPr="006F579A" w:rsidRDefault="0033368E" w:rsidP="00070500">
      <w:pPr>
        <w:pStyle w:val="Numberdigit"/>
        <w:rPr>
          <w:b/>
          <w:bCs/>
        </w:rPr>
      </w:pPr>
      <w:r w:rsidRPr="006F579A">
        <w:rPr>
          <w:b/>
          <w:bCs/>
        </w:rPr>
        <w:t>Enact patient transfer procedures for ward contacts (if the TRA is active)</w:t>
      </w:r>
    </w:p>
    <w:p w14:paraId="08724165" w14:textId="77777777" w:rsidR="0033368E" w:rsidRPr="0033368E" w:rsidRDefault="0033368E" w:rsidP="00EA25FA">
      <w:pPr>
        <w:pStyle w:val="Body"/>
        <w:ind w:left="426"/>
      </w:pPr>
      <w:r w:rsidRPr="0033368E">
        <w:t>When transferring patients from a TRA to another ward or healthcare facility:</w:t>
      </w:r>
    </w:p>
    <w:p w14:paraId="22438680" w14:textId="77777777" w:rsidR="0033368E" w:rsidRPr="00172922" w:rsidRDefault="0033368E" w:rsidP="003F5658">
      <w:pPr>
        <w:pStyle w:val="Bulletafternumbers1"/>
      </w:pPr>
      <w:r w:rsidRPr="00172922">
        <w:t>Ensure that all ward contacts are screened on discharge or within the 24 hours prior to transfer to another ward or healthcare facility.</w:t>
      </w:r>
    </w:p>
    <w:p w14:paraId="138BA8EE" w14:textId="77777777" w:rsidR="0033368E" w:rsidRPr="0033368E" w:rsidRDefault="0033368E" w:rsidP="003F5658">
      <w:pPr>
        <w:pStyle w:val="Bulletafternumbers1"/>
      </w:pPr>
      <w:r w:rsidRPr="0033368E">
        <w:t>Inform the receiving ward or facility in writing that the patient is a ward contact and that the patient must be placed in contact precautions until cleared.</w:t>
      </w:r>
    </w:p>
    <w:p w14:paraId="6FDC706D" w14:textId="70E7BDFE" w:rsidR="0033368E" w:rsidRPr="0033368E" w:rsidRDefault="0033368E" w:rsidP="005C5827">
      <w:pPr>
        <w:pStyle w:val="Bodyafterbullets"/>
        <w:ind w:left="426"/>
      </w:pPr>
      <w:r w:rsidRPr="0033368E">
        <w:t>When transferring patients to RCF</w:t>
      </w:r>
      <w:r w:rsidR="00A64C9C">
        <w:t>s</w:t>
      </w:r>
      <w:r w:rsidRPr="0033368E">
        <w:t>:</w:t>
      </w:r>
    </w:p>
    <w:p w14:paraId="76D1E7C0" w14:textId="2433E0C4" w:rsidR="0033368E" w:rsidRPr="0033368E" w:rsidRDefault="0033368E" w:rsidP="003F5658">
      <w:pPr>
        <w:pStyle w:val="Bulletafternumbers1"/>
      </w:pPr>
      <w:r w:rsidRPr="0033368E">
        <w:t xml:space="preserve">Ensure that all ward contacts are screened on discharge or within the 24 hours prior to transfer to </w:t>
      </w:r>
      <w:proofErr w:type="gramStart"/>
      <w:r w:rsidRPr="0033368E">
        <w:t>a</w:t>
      </w:r>
      <w:proofErr w:type="gramEnd"/>
      <w:r w:rsidRPr="0033368E">
        <w:t xml:space="preserve"> RCF.</w:t>
      </w:r>
    </w:p>
    <w:p w14:paraId="6DB4AF27" w14:textId="1D0529C3" w:rsidR="0033368E" w:rsidRPr="0033368E" w:rsidRDefault="0033368E" w:rsidP="003F5658">
      <w:pPr>
        <w:pStyle w:val="Bulletafternumbers1"/>
      </w:pPr>
      <w:r w:rsidRPr="0033368E">
        <w:t xml:space="preserve">If the result will be available within 24 hours, it is ideal </w:t>
      </w:r>
      <w:r w:rsidR="0059234F">
        <w:t xml:space="preserve">(but not mandatory) </w:t>
      </w:r>
      <w:r w:rsidRPr="0033368E">
        <w:t>to wait for the result prior to transferring the patient.</w:t>
      </w:r>
    </w:p>
    <w:p w14:paraId="47B0557E" w14:textId="19B67091" w:rsidR="0033368E" w:rsidRPr="0033368E" w:rsidRDefault="0033368E" w:rsidP="003F5658">
      <w:pPr>
        <w:pStyle w:val="Bulletafternumbers1"/>
      </w:pPr>
      <w:r w:rsidRPr="0033368E">
        <w:t xml:space="preserve">RCFs </w:t>
      </w:r>
      <w:r w:rsidRPr="00172922">
        <w:rPr>
          <w:b/>
        </w:rPr>
        <w:t>should not</w:t>
      </w:r>
      <w:r w:rsidRPr="0033368E">
        <w:t xml:space="preserve"> refuse transfer of a patient awaiting a screening result.</w:t>
      </w:r>
    </w:p>
    <w:p w14:paraId="52CC9305" w14:textId="2E3FF908" w:rsidR="00A0632D" w:rsidRDefault="0033368E" w:rsidP="003F5658">
      <w:pPr>
        <w:pStyle w:val="Bulletafternumbers1"/>
      </w:pPr>
      <w:r w:rsidRPr="0033368E">
        <w:t xml:space="preserve">RCFs should manage any cases of CPO as per the </w:t>
      </w:r>
      <w:hyperlink r:id="rId42" w:history="1">
        <w:r w:rsidRPr="004F393F">
          <w:rPr>
            <w:rStyle w:val="Hyperlink"/>
            <w:i/>
            <w:iCs/>
          </w:rPr>
          <w:t xml:space="preserve">Victorian Guideline on carbapenemase-producing </w:t>
        </w:r>
        <w:r w:rsidR="00293A52" w:rsidRPr="004F393F">
          <w:rPr>
            <w:rStyle w:val="Hyperlink"/>
            <w:i/>
            <w:iCs/>
          </w:rPr>
          <w:t xml:space="preserve">organisms </w:t>
        </w:r>
        <w:r w:rsidRPr="004F393F">
          <w:rPr>
            <w:rStyle w:val="Hyperlink"/>
            <w:i/>
            <w:iCs/>
          </w:rPr>
          <w:t>for residential care facilities</w:t>
        </w:r>
        <w:r w:rsidRPr="004F393F">
          <w:rPr>
            <w:rStyle w:val="Hyperlink"/>
          </w:rPr>
          <w:t xml:space="preserve"> </w:t>
        </w:r>
        <w:r w:rsidR="00ED46F8" w:rsidRPr="004F393F">
          <w:rPr>
            <w:rStyle w:val="Hyperlink"/>
          </w:rPr>
          <w:t>(2023)</w:t>
        </w:r>
      </w:hyperlink>
      <w:r w:rsidR="00ED46F8">
        <w:t xml:space="preserve"> </w:t>
      </w:r>
      <w:r w:rsidR="00D8722E">
        <w:t>&lt;</w:t>
      </w:r>
      <w:r w:rsidR="004F393F" w:rsidRPr="004F393F">
        <w:t>https://www.health.vic.gov.au/infectious-diseases/carbapenemase-producing-enterobacteriaceae-management-guidelines</w:t>
      </w:r>
      <w:r w:rsidR="00D8722E">
        <w:t>&gt;</w:t>
      </w:r>
      <w:r w:rsidRPr="0033368E">
        <w:t>.</w:t>
      </w:r>
    </w:p>
    <w:p w14:paraId="674185B7" w14:textId="77777777" w:rsidR="00A0632D" w:rsidRDefault="00A0632D">
      <w:pPr>
        <w:spacing w:after="0" w:line="240" w:lineRule="auto"/>
        <w:rPr>
          <w:rFonts w:eastAsia="Times"/>
        </w:rPr>
      </w:pPr>
      <w:r>
        <w:br w:type="page"/>
      </w:r>
    </w:p>
    <w:p w14:paraId="0D311544" w14:textId="77777777" w:rsidR="0033368E" w:rsidRPr="0033368E" w:rsidRDefault="0033368E" w:rsidP="00C32DB9">
      <w:pPr>
        <w:pStyle w:val="Heading4"/>
      </w:pPr>
      <w:bookmarkStart w:id="50" w:name="_Clearance_criteria_for"/>
      <w:bookmarkEnd w:id="50"/>
      <w:r w:rsidRPr="0033368E">
        <w:lastRenderedPageBreak/>
        <w:t>Clearance criteria for ward contacts</w:t>
      </w:r>
    </w:p>
    <w:p w14:paraId="2F097B24" w14:textId="77777777" w:rsidR="0033368E" w:rsidRPr="0033368E" w:rsidRDefault="0033368E" w:rsidP="0033368E">
      <w:pPr>
        <w:pStyle w:val="Body"/>
      </w:pPr>
      <w:r w:rsidRPr="0033368E">
        <w:t xml:space="preserve">A </w:t>
      </w:r>
      <w:r w:rsidRPr="0033368E">
        <w:rPr>
          <w:b/>
        </w:rPr>
        <w:t xml:space="preserve">ward contact is considered cleared </w:t>
      </w:r>
      <w:r w:rsidRPr="0033368E">
        <w:t>when:</w:t>
      </w:r>
    </w:p>
    <w:p w14:paraId="19C5D8B7" w14:textId="77777777" w:rsidR="0033368E" w:rsidRPr="0033368E" w:rsidRDefault="0033368E" w:rsidP="00070500">
      <w:pPr>
        <w:pStyle w:val="Bullet1"/>
      </w:pPr>
      <w:r w:rsidRPr="0033368E">
        <w:t xml:space="preserve">a suitable specimen is negative for CPO at any time after discharge or transfer out of the </w:t>
      </w:r>
      <w:proofErr w:type="gramStart"/>
      <w:r w:rsidRPr="0033368E">
        <w:t>TRA</w:t>
      </w:r>
      <w:proofErr w:type="gramEnd"/>
    </w:p>
    <w:p w14:paraId="5617A6A4" w14:textId="77777777" w:rsidR="0033368E" w:rsidRPr="00C32DB9" w:rsidRDefault="0033368E" w:rsidP="00C32DB9">
      <w:pPr>
        <w:pStyle w:val="Bodyafterbullets"/>
        <w:rPr>
          <w:b/>
          <w:bCs/>
        </w:rPr>
      </w:pPr>
      <w:r w:rsidRPr="00C32DB9">
        <w:rPr>
          <w:b/>
          <w:bCs/>
        </w:rPr>
        <w:t>OR</w:t>
      </w:r>
    </w:p>
    <w:p w14:paraId="6460CA53" w14:textId="77777777" w:rsidR="0033368E" w:rsidRPr="0033368E" w:rsidRDefault="0033368E" w:rsidP="00070500">
      <w:pPr>
        <w:pStyle w:val="Bullet1"/>
      </w:pPr>
      <w:r w:rsidRPr="0033368E">
        <w:t>a suitable specimen taken within 24 hours of discharge or transfer out of the TRA is negative for CPO.</w:t>
      </w:r>
    </w:p>
    <w:p w14:paraId="36F58D44" w14:textId="4CA887D2" w:rsidR="000C7A79" w:rsidRDefault="000C7A79" w:rsidP="00C32DB9">
      <w:pPr>
        <w:pStyle w:val="Bodyafterbullets"/>
      </w:pPr>
      <w:r>
        <w:t>See Table 1 for recommended screening samples.</w:t>
      </w:r>
    </w:p>
    <w:p w14:paraId="703ECFCE" w14:textId="458FC140" w:rsidR="0033368E" w:rsidRPr="0033368E" w:rsidRDefault="0033368E" w:rsidP="00C32DB9">
      <w:pPr>
        <w:pStyle w:val="Bodyafterbullets"/>
      </w:pPr>
      <w:r w:rsidRPr="0033368E">
        <w:t>If a patient remains in contact with a TRA, they should be screened weekly as per the TRA requirements.</w:t>
      </w:r>
    </w:p>
    <w:p w14:paraId="34B70321" w14:textId="77777777" w:rsidR="0033368E" w:rsidRPr="0033368E" w:rsidRDefault="0033368E" w:rsidP="00C32DB9">
      <w:pPr>
        <w:pStyle w:val="Figurecaption"/>
        <w:rPr>
          <w:rFonts w:eastAsia="Times"/>
        </w:rPr>
      </w:pPr>
      <w:r w:rsidRPr="0033368E">
        <w:rPr>
          <w:rFonts w:eastAsia="Times"/>
        </w:rPr>
        <w:t>Flowchart 4: Local transmission/outbreak response requirements</w:t>
      </w:r>
    </w:p>
    <w:tbl>
      <w:tblPr>
        <w:tblStyle w:val="TableGrid"/>
        <w:tblW w:w="0" w:type="auto"/>
        <w:jc w:val="center"/>
        <w:tblBorders>
          <w:top w:val="single" w:sz="18" w:space="0" w:color="C63663"/>
          <w:left w:val="single" w:sz="18" w:space="0" w:color="C63663"/>
          <w:bottom w:val="single" w:sz="18" w:space="0" w:color="C63663"/>
          <w:right w:val="single" w:sz="18" w:space="0" w:color="C63663"/>
          <w:insideH w:val="single" w:sz="18" w:space="0" w:color="C63663"/>
          <w:insideV w:val="single" w:sz="18" w:space="0" w:color="C63663"/>
        </w:tblBorders>
        <w:tblCellMar>
          <w:top w:w="28" w:type="dxa"/>
          <w:left w:w="28" w:type="dxa"/>
          <w:bottom w:w="28" w:type="dxa"/>
          <w:right w:w="28" w:type="dxa"/>
        </w:tblCellMar>
        <w:tblLook w:val="04A0" w:firstRow="1" w:lastRow="0" w:firstColumn="1" w:lastColumn="0" w:noHBand="0" w:noVBand="1"/>
      </w:tblPr>
      <w:tblGrid>
        <w:gridCol w:w="9252"/>
      </w:tblGrid>
      <w:tr w:rsidR="0033368E" w:rsidRPr="0033368E" w14:paraId="509CC87C" w14:textId="77777777" w:rsidTr="00BF5F9A">
        <w:trPr>
          <w:tblHeader/>
          <w:jc w:val="center"/>
        </w:trPr>
        <w:tc>
          <w:tcPr>
            <w:tcW w:w="9252" w:type="dxa"/>
            <w:vAlign w:val="center"/>
          </w:tcPr>
          <w:p w14:paraId="6BFFD50A" w14:textId="63CA5BD0" w:rsidR="00A75958" w:rsidRPr="0033368E" w:rsidRDefault="00A75958" w:rsidP="00957E46">
            <w:pPr>
              <w:pStyle w:val="Body"/>
              <w:spacing w:before="60" w:after="60" w:line="240" w:lineRule="auto"/>
              <w:jc w:val="center"/>
            </w:pPr>
            <w:r>
              <w:rPr>
                <w:noProof/>
              </w:rPr>
              <w:drawing>
                <wp:inline distT="0" distB="0" distL="0" distR="0" wp14:anchorId="727742FD" wp14:editId="35DCFC8B">
                  <wp:extent cx="5820793" cy="6264000"/>
                  <wp:effectExtent l="0" t="0" r="8890" b="3810"/>
                  <wp:docPr id="9" name="Picture 9" descr="Flowchart 4: Local transmission/outbreak response requirements&#10;&#10;This flowchart outlines the actions required when transmission of a CPO in a health service is identified. This includes:&#10;- actions undertaken by the AMR-IMT&#10;- identifying and screening of ward contacts&#10;- additional screening requirements, for example, weekly point prevalence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lowchart 4: Local transmission/outbreak response requirements&#10;&#10;This flowchart outlines the actions required when transmission of a CPO in a health service is identified. This includes:&#10;- actions undertaken by the AMR-IMT&#10;- identifying and screening of ward contacts&#10;- additional screening requirements, for example, weekly point prevalence screening."/>
                          <pic:cNvPicPr>
                            <a:picLocks noChangeAspect="1" noChangeArrowheads="1"/>
                          </pic:cNvPicPr>
                        </pic:nvPicPr>
                        <pic:blipFill rotWithShape="1">
                          <a:blip r:embed="rId43">
                            <a:extLst>
                              <a:ext uri="{28A0092B-C50C-407E-A947-70E740481C1C}">
                                <a14:useLocalDpi xmlns:a14="http://schemas.microsoft.com/office/drawing/2010/main" val="0"/>
                              </a:ext>
                            </a:extLst>
                          </a:blip>
                          <a:srcRect l="2258" t="2245" r="2399" b="2555"/>
                          <a:stretch/>
                        </pic:blipFill>
                        <pic:spPr bwMode="auto">
                          <a:xfrm>
                            <a:off x="0" y="0"/>
                            <a:ext cx="5820793" cy="626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14A642C" w14:textId="651573BF" w:rsidR="0033368E" w:rsidRPr="0033368E" w:rsidRDefault="0033368E" w:rsidP="00C32DB9">
      <w:pPr>
        <w:pStyle w:val="Heading2"/>
        <w:rPr>
          <w:rFonts w:eastAsia="Times"/>
        </w:rPr>
      </w:pPr>
      <w:bookmarkStart w:id="51" w:name="_Clearance_of_contacts"/>
      <w:bookmarkStart w:id="52" w:name="_Toc440553310"/>
      <w:bookmarkStart w:id="53" w:name="_Toc108539922"/>
      <w:bookmarkStart w:id="54" w:name="_Toc149319551"/>
      <w:bookmarkEnd w:id="51"/>
      <w:r w:rsidRPr="0033368E">
        <w:rPr>
          <w:rFonts w:eastAsia="Times"/>
        </w:rPr>
        <w:lastRenderedPageBreak/>
        <w:t>Environmental screenin</w:t>
      </w:r>
      <w:bookmarkEnd w:id="52"/>
      <w:r w:rsidRPr="0033368E">
        <w:rPr>
          <w:rFonts w:eastAsia="Times"/>
        </w:rPr>
        <w:t>g</w:t>
      </w:r>
      <w:bookmarkEnd w:id="53"/>
      <w:bookmarkEnd w:id="54"/>
    </w:p>
    <w:p w14:paraId="7DF1D1A9" w14:textId="7E49D115" w:rsidR="0033368E" w:rsidRPr="0033368E" w:rsidRDefault="0033368E" w:rsidP="0033368E">
      <w:pPr>
        <w:pStyle w:val="Body"/>
      </w:pPr>
      <w:r w:rsidRPr="0033368E">
        <w:t>Environmental contamination with CPO is commonly associated with increased rates of patient colonisation and infection with these pathogens, particularly carbapenem</w:t>
      </w:r>
      <w:r w:rsidR="000C435F">
        <w:t>ase</w:t>
      </w:r>
      <w:r w:rsidRPr="0033368E">
        <w:t xml:space="preserve">-producing </w:t>
      </w:r>
      <w:proofErr w:type="gramStart"/>
      <w:r w:rsidRPr="0033368E">
        <w:rPr>
          <w:i/>
        </w:rPr>
        <w:t>Acinetobacter</w:t>
      </w:r>
      <w:proofErr w:type="gramEnd"/>
      <w:r w:rsidRPr="0033368E">
        <w:t xml:space="preserve"> and </w:t>
      </w:r>
      <w:r w:rsidRPr="0033368E">
        <w:rPr>
          <w:i/>
        </w:rPr>
        <w:t>Pseudomonas</w:t>
      </w:r>
      <w:r w:rsidRPr="0033368E">
        <w:t>. Thus, as part of IPC measures, environmental surveillance cultures for CPA and CPP</w:t>
      </w:r>
      <w:r w:rsidR="009E349D">
        <w:t xml:space="preserve"> should be considered</w:t>
      </w:r>
      <w:r w:rsidRPr="0033368E">
        <w:t xml:space="preserve"> during a TRA or outbreak investigation to monitor the efficacy of hospital cleaning and disinfection measures or to investigate a possible environmental source should an outbreak be ongoing.</w:t>
      </w:r>
    </w:p>
    <w:p w14:paraId="41052CE4" w14:textId="3DA5AD86" w:rsidR="0033368E" w:rsidRPr="0033368E" w:rsidRDefault="00B135B8" w:rsidP="0033368E">
      <w:pPr>
        <w:pStyle w:val="Body"/>
      </w:pPr>
      <w:r>
        <w:t>E</w:t>
      </w:r>
      <w:r w:rsidR="0033368E" w:rsidRPr="0033368E">
        <w:t>nvironmental screening for CPE in non-outbreak situations is</w:t>
      </w:r>
      <w:r>
        <w:t xml:space="preserve"> however</w:t>
      </w:r>
      <w:r w:rsidR="0033368E" w:rsidRPr="0033368E">
        <w:t xml:space="preserve"> generally not required. </w:t>
      </w:r>
    </w:p>
    <w:p w14:paraId="7E980143" w14:textId="6ACBFEB5" w:rsidR="0033368E" w:rsidRPr="0033368E" w:rsidRDefault="0033368E" w:rsidP="0033368E">
      <w:pPr>
        <w:pStyle w:val="Body"/>
      </w:pPr>
      <w:r w:rsidRPr="0033368E">
        <w:t xml:space="preserve">In the case of </w:t>
      </w:r>
      <w:r w:rsidR="00B135B8">
        <w:t xml:space="preserve">evidence of </w:t>
      </w:r>
      <w:r w:rsidR="003E306B">
        <w:t xml:space="preserve">local </w:t>
      </w:r>
      <w:r w:rsidRPr="0033368E">
        <w:t xml:space="preserve">CPO transmission, environmental samples taken before comprehensive cleaning can be a valuable part of an investigation to determine </w:t>
      </w:r>
      <w:r w:rsidR="006F6106">
        <w:t xml:space="preserve">if </w:t>
      </w:r>
      <w:r w:rsidR="00B135B8">
        <w:t xml:space="preserve">an </w:t>
      </w:r>
      <w:r w:rsidR="00B135B8" w:rsidRPr="0033368E">
        <w:t>environmental reservoi</w:t>
      </w:r>
      <w:r w:rsidR="00B135B8">
        <w:t xml:space="preserve">r </w:t>
      </w:r>
      <w:r w:rsidR="006F6106">
        <w:t>is</w:t>
      </w:r>
      <w:r w:rsidR="00B135B8">
        <w:t xml:space="preserve"> </w:t>
      </w:r>
      <w:r w:rsidRPr="0033368E">
        <w:t xml:space="preserve">the source of persistent cases of CPO in a healthcare setting. Screening </w:t>
      </w:r>
      <w:r w:rsidR="00B135B8">
        <w:t>of the environment</w:t>
      </w:r>
      <w:r w:rsidRPr="0033368E">
        <w:t xml:space="preserve"> after comprehensive cleaning can enable a healthcare facility to target </w:t>
      </w:r>
      <w:r w:rsidR="00B135B8">
        <w:t xml:space="preserve">specific </w:t>
      </w:r>
      <w:r w:rsidRPr="0033368E">
        <w:t>problem areas</w:t>
      </w:r>
      <w:r w:rsidR="00B135B8">
        <w:t xml:space="preserve"> or reservoirs </w:t>
      </w:r>
      <w:r w:rsidRPr="0033368E">
        <w:t>effectively.</w:t>
      </w:r>
    </w:p>
    <w:p w14:paraId="287570C3" w14:textId="77777777" w:rsidR="0033368E" w:rsidRPr="0033368E" w:rsidRDefault="0033368E" w:rsidP="0033368E">
      <w:pPr>
        <w:pStyle w:val="Body"/>
      </w:pPr>
      <w:r w:rsidRPr="0033368E">
        <w:t xml:space="preserve">Sites that may be sampled for CPO can be categorised into wet or dry surfaces. In general, </w:t>
      </w:r>
      <w:r w:rsidRPr="0033368E">
        <w:rPr>
          <w:iCs/>
        </w:rPr>
        <w:t>CPO</w:t>
      </w:r>
      <w:r w:rsidRPr="0033368E">
        <w:t xml:space="preserve"> are isolated from wet or moist environments more frequently than dry surfaces, although this is also dependent on the organism. CPO outbreaks have also been associated with point source acquisition (for example contaminated ultrasound gel; contaminated endoscopes). Where epidemiological evidence exists for such acquisition, sampling sites should be extended to include these possibilities.</w:t>
      </w:r>
    </w:p>
    <w:p w14:paraId="3C73A169" w14:textId="77777777" w:rsidR="0033368E" w:rsidRPr="0033368E" w:rsidRDefault="0033368E" w:rsidP="0033368E">
      <w:pPr>
        <w:pStyle w:val="Body"/>
      </w:pPr>
      <w:r w:rsidRPr="0033368E">
        <w:t>The AMR-IMT may direct a health service to undertake environmental screening as part of the required responses for managing a TRA. Choice and number of sampling sites is to be determined in consultation with the AMR-IMT.</w:t>
      </w:r>
    </w:p>
    <w:p w14:paraId="3B04184E" w14:textId="0755A6B9" w:rsidR="0033368E" w:rsidRPr="0033368E" w:rsidRDefault="0033368E" w:rsidP="0033368E">
      <w:pPr>
        <w:pStyle w:val="Body"/>
      </w:pPr>
      <w:r w:rsidRPr="0033368E">
        <w:t xml:space="preserve">The </w:t>
      </w:r>
      <w:r w:rsidRPr="0033368E">
        <w:rPr>
          <w:i/>
          <w:iCs/>
        </w:rPr>
        <w:t>Victorian guideline on environmental sampling for CPE</w:t>
      </w:r>
      <w:r w:rsidRPr="0033368E">
        <w:t xml:space="preserve"> (2018) outlines recommended sampling and laboratory methods for the isolation of CPE from the environment. This guideline can be found on the </w:t>
      </w:r>
      <w:hyperlink r:id="rId44" w:history="1">
        <w:r w:rsidRPr="00B75F1E">
          <w:rPr>
            <w:rStyle w:val="Hyperlink"/>
          </w:rPr>
          <w:t>department’s website</w:t>
        </w:r>
      </w:hyperlink>
      <w:r w:rsidRPr="0033368E">
        <w:t xml:space="preserve"> </w:t>
      </w:r>
      <w:r w:rsidR="004138C6">
        <w:t>&lt;</w:t>
      </w:r>
      <w:r w:rsidR="005E2990" w:rsidRPr="005E2990">
        <w:t>https://www.health.vic.gov.au/infectious-diseases/victorian-guideline-on-environmental-sampling-for-cpe</w:t>
      </w:r>
      <w:r w:rsidR="004138C6">
        <w:t>&gt;</w:t>
      </w:r>
      <w:r w:rsidRPr="0033368E">
        <w:t>.</w:t>
      </w:r>
    </w:p>
    <w:p w14:paraId="2725360A" w14:textId="77777777" w:rsidR="0033368E" w:rsidRPr="0033368E" w:rsidRDefault="0033368E" w:rsidP="00C32DB9">
      <w:pPr>
        <w:pStyle w:val="Heading3"/>
      </w:pPr>
      <w:r w:rsidRPr="0033368E">
        <w:t>Screening endoscopes</w:t>
      </w:r>
    </w:p>
    <w:p w14:paraId="5996DEF8" w14:textId="524733D5" w:rsidR="0033368E" w:rsidRPr="0033368E" w:rsidRDefault="0033368E" w:rsidP="0033368E">
      <w:pPr>
        <w:pStyle w:val="Body"/>
      </w:pPr>
      <w:r w:rsidRPr="0033368E">
        <w:t xml:space="preserve">Endoscopes should be screened / microbiologically tested if more than one patient with confirmed CPO is found to have had a common exposure to an endoscope. Such screening should be conducted in addition to routine microbiological sampling as laid out in the current edition of the Gastroenterological Society of Australia (GESA) </w:t>
      </w:r>
      <w:r w:rsidRPr="0033368E">
        <w:rPr>
          <w:i/>
          <w:iCs/>
        </w:rPr>
        <w:t>Infection Prevention and Control in Endoscopy</w:t>
      </w:r>
      <w:r w:rsidRPr="0033368E">
        <w:t xml:space="preserve"> (2021). Refer to sections ‘Chapter 10: Microbiological surveillance cultures’ and ‘Chapter 11: Response to possible endoscopy-related infection transmission’. This document can be found on the </w:t>
      </w:r>
      <w:hyperlink r:id="rId45" w:history="1">
        <w:r w:rsidRPr="0033368E">
          <w:rPr>
            <w:rStyle w:val="Hyperlink"/>
          </w:rPr>
          <w:t>GESA website</w:t>
        </w:r>
      </w:hyperlink>
      <w:r w:rsidRPr="0033368E">
        <w:t xml:space="preserve"> &lt;https://www.gesa.org.au/education/clinical-information/&gt;.</w:t>
      </w:r>
    </w:p>
    <w:p w14:paraId="50FA06A1" w14:textId="08677FD6" w:rsidR="00C32DB9" w:rsidRDefault="00C32DB9">
      <w:pPr>
        <w:spacing w:after="0" w:line="240" w:lineRule="auto"/>
        <w:rPr>
          <w:rFonts w:eastAsia="Times"/>
        </w:rPr>
      </w:pPr>
      <w:r>
        <w:br w:type="page"/>
      </w:r>
    </w:p>
    <w:p w14:paraId="736A74E3" w14:textId="04C17F35" w:rsidR="00C32DB9" w:rsidRPr="00C32DB9" w:rsidRDefault="00C32DB9" w:rsidP="00C32DB9">
      <w:pPr>
        <w:pStyle w:val="Heading1"/>
      </w:pPr>
      <w:bookmarkStart w:id="55" w:name="_Section_4:_Laboratory"/>
      <w:bookmarkStart w:id="56" w:name="_Toc108539923"/>
      <w:bookmarkStart w:id="57" w:name="_Toc149319552"/>
      <w:bookmarkEnd w:id="55"/>
      <w:r w:rsidRPr="00C32DB9">
        <w:lastRenderedPageBreak/>
        <w:t xml:space="preserve">Section </w:t>
      </w:r>
      <w:r w:rsidR="00E75C11">
        <w:t>4</w:t>
      </w:r>
      <w:r w:rsidRPr="00C32DB9">
        <w:t>: Laboratory methods and reporting requirements</w:t>
      </w:r>
      <w:bookmarkEnd w:id="56"/>
      <w:bookmarkEnd w:id="57"/>
    </w:p>
    <w:p w14:paraId="7661DAB1" w14:textId="77777777" w:rsidR="00C32DB9" w:rsidRPr="00C32DB9" w:rsidRDefault="00C32DB9" w:rsidP="00F21D5D">
      <w:pPr>
        <w:pStyle w:val="Heading2"/>
        <w:rPr>
          <w:rFonts w:eastAsia="Times"/>
        </w:rPr>
      </w:pPr>
      <w:bookmarkStart w:id="58" w:name="_Toc108539925"/>
      <w:bookmarkStart w:id="59" w:name="_Toc149319553"/>
      <w:r w:rsidRPr="00C32DB9">
        <w:rPr>
          <w:rFonts w:eastAsia="Times"/>
        </w:rPr>
        <w:t xml:space="preserve">Methods for detecting suspected or confirmed </w:t>
      </w:r>
      <w:proofErr w:type="gramStart"/>
      <w:r w:rsidRPr="00C32DB9">
        <w:rPr>
          <w:rFonts w:eastAsia="Times"/>
        </w:rPr>
        <w:t>CPO</w:t>
      </w:r>
      <w:bookmarkEnd w:id="58"/>
      <w:bookmarkEnd w:id="59"/>
      <w:proofErr w:type="gramEnd"/>
    </w:p>
    <w:p w14:paraId="34BC7D14" w14:textId="76804250" w:rsidR="003B42C9" w:rsidRPr="001F1C31" w:rsidRDefault="003B42C9" w:rsidP="001F1C31">
      <w:pPr>
        <w:pStyle w:val="Body"/>
      </w:pPr>
      <w:r w:rsidRPr="001F1C31">
        <w:t xml:space="preserve">All isolates of Enterobacterales, </w:t>
      </w:r>
      <w:r w:rsidRPr="001F1C31">
        <w:rPr>
          <w:i/>
          <w:iCs/>
        </w:rPr>
        <w:t>Pseudomonas</w:t>
      </w:r>
      <w:r w:rsidRPr="001F1C31">
        <w:t xml:space="preserve"> and </w:t>
      </w:r>
      <w:r w:rsidRPr="001F1C31">
        <w:rPr>
          <w:i/>
          <w:iCs/>
        </w:rPr>
        <w:t>Acinetobacter</w:t>
      </w:r>
      <w:r w:rsidRPr="001F1C31">
        <w:t xml:space="preserve"> should undergo routine antimicrobial susceptibility testing (AST) using the usual method undertaken by the laboratory. It is not necessary to introduce new methods of testing, although some laboratories may choose to use additional methods (</w:t>
      </w:r>
      <w:r w:rsidR="005B4CE1" w:rsidRPr="001F1C31">
        <w:t>for example,</w:t>
      </w:r>
      <w:r w:rsidRPr="001F1C31">
        <w:t xml:space="preserve"> phenotypic assays for carbapenemase activity, or multiplex PCR testing for carbapenemase gene) according to local requirements and capacities. As a minimum standard, laboratories should test meropenem susceptibility.</w:t>
      </w:r>
    </w:p>
    <w:p w14:paraId="797ED4CD" w14:textId="0EE9C369" w:rsidR="003B42C9" w:rsidRPr="001F1C31" w:rsidRDefault="00C76B29" w:rsidP="001F1C31">
      <w:pPr>
        <w:pStyle w:val="Body"/>
      </w:pPr>
      <w:r w:rsidRPr="001F1C31">
        <w:t xml:space="preserve">Laboratories using phenotypic assays for carbapenemase activity, such as the CIM </w:t>
      </w:r>
      <w:r w:rsidR="008D3B23">
        <w:t xml:space="preserve">(or accepted modified CIM method) </w:t>
      </w:r>
      <w:r w:rsidRPr="001F1C31">
        <w:t xml:space="preserve">or colorimetric tests such as </w:t>
      </w:r>
      <w:proofErr w:type="spellStart"/>
      <w:r w:rsidRPr="001F1C31">
        <w:t>CarbaNP</w:t>
      </w:r>
      <w:proofErr w:type="spellEnd"/>
      <w:r w:rsidRPr="001F1C31">
        <w:t xml:space="preserve"> or </w:t>
      </w:r>
      <w:proofErr w:type="spellStart"/>
      <w:r w:rsidRPr="001F1C31">
        <w:t>BlueCarba</w:t>
      </w:r>
      <w:proofErr w:type="spellEnd"/>
      <w:r w:rsidRPr="001F1C31">
        <w:t xml:space="preserve">, should ensure that they are adhering to documented methods and using appropriate quality control strains. Any queries about the performance of these assays may be directed to MDU PHL for further assistance. </w:t>
      </w:r>
    </w:p>
    <w:p w14:paraId="46277D20" w14:textId="0D322CD3" w:rsidR="000F128B" w:rsidRPr="001F1C31" w:rsidRDefault="000F128B" w:rsidP="001F1C31">
      <w:pPr>
        <w:pStyle w:val="Body"/>
      </w:pPr>
      <w:r w:rsidRPr="001F1C31">
        <w:t>The CIM test</w:t>
      </w:r>
      <w:proofErr w:type="gramStart"/>
      <w:r w:rsidRPr="001F1C31">
        <w:t>, in particular, has</w:t>
      </w:r>
      <w:proofErr w:type="gramEnd"/>
      <w:r w:rsidRPr="001F1C31">
        <w:t xml:space="preserve"> a high negative predictive value for the presence of carbapenemases in Enterobacterales and </w:t>
      </w:r>
      <w:r w:rsidRPr="001F1C31">
        <w:rPr>
          <w:i/>
          <w:iCs/>
        </w:rPr>
        <w:t>Pseudomonas</w:t>
      </w:r>
      <w:r w:rsidRPr="001F1C31">
        <w:t xml:space="preserve">. </w:t>
      </w:r>
      <w:r w:rsidR="009B3FB6" w:rsidRPr="001F1C31">
        <w:t>A</w:t>
      </w:r>
      <w:r w:rsidRPr="001F1C31">
        <w:t xml:space="preserve"> negative CIM test can effectively rule out carbapenemase production in these species</w:t>
      </w:r>
      <w:r w:rsidR="009B3FB6" w:rsidRPr="001F1C31">
        <w:t>. As such, these isolates do not need to be referred to MDU PHL, unless there are other indications for testing.</w:t>
      </w:r>
    </w:p>
    <w:p w14:paraId="71B44FDB" w14:textId="698D4B34" w:rsidR="005A2DFD" w:rsidRPr="003B42C9" w:rsidRDefault="005A2DFD" w:rsidP="001F1C31">
      <w:pPr>
        <w:pStyle w:val="Body"/>
      </w:pPr>
      <w:r w:rsidRPr="001F1C31">
        <w:t>For laboratories</w:t>
      </w:r>
      <w:r>
        <w:t xml:space="preserve"> that perform multiplex PCR carbapenemase assays, please note that a negative PCR result does not completely exclude the presence of a carbapenemase, as these assays only cover the most common carbapenemase genes. Isolates that meet the phenotypic criteria for referral but are negative on a multiplex PCR screen must still be referred to MDU PHL for testing.</w:t>
      </w:r>
    </w:p>
    <w:p w14:paraId="6AFC67C7" w14:textId="6EF1D275" w:rsidR="00D84CF9" w:rsidRDefault="00D03550" w:rsidP="00D84CF9">
      <w:pPr>
        <w:pStyle w:val="Heading2"/>
      </w:pPr>
      <w:bookmarkStart w:id="60" w:name="_Toc149319554"/>
      <w:r>
        <w:t>Referral criteria for suspected</w:t>
      </w:r>
      <w:r w:rsidR="00D84CF9">
        <w:t xml:space="preserve"> CPO isolates</w:t>
      </w:r>
      <w:bookmarkEnd w:id="60"/>
    </w:p>
    <w:p w14:paraId="210F76F5" w14:textId="35368D5C" w:rsidR="00CA3447" w:rsidRPr="00CA3447" w:rsidRDefault="008D4D8C" w:rsidP="00675EDA">
      <w:pPr>
        <w:pStyle w:val="Body"/>
      </w:pPr>
      <w:r w:rsidRPr="008D4D8C">
        <w:t xml:space="preserve">The referral criteria are aligned with </w:t>
      </w:r>
      <w:r w:rsidR="00433137">
        <w:t>the</w:t>
      </w:r>
      <w:r w:rsidR="00433137" w:rsidRPr="00433137">
        <w:t xml:space="preserve"> National Alert System for</w:t>
      </w:r>
      <w:r w:rsidR="00433137">
        <w:t xml:space="preserve"> </w:t>
      </w:r>
      <w:r w:rsidR="00675EDA">
        <w:t>Critical Antimicrobial Resistances (</w:t>
      </w:r>
      <w:proofErr w:type="spellStart"/>
      <w:r w:rsidRPr="008D4D8C">
        <w:t>CARAlert</w:t>
      </w:r>
      <w:proofErr w:type="spellEnd"/>
      <w:r w:rsidR="00675EDA">
        <w:t>)</w:t>
      </w:r>
      <w:r w:rsidRPr="008D4D8C">
        <w:t xml:space="preserve"> criteria (with additional detailed advice), and hence may change with updates to the </w:t>
      </w:r>
      <w:hyperlink r:id="rId46" w:history="1">
        <w:r w:rsidRPr="00433137">
          <w:rPr>
            <w:rStyle w:val="Hyperlink"/>
          </w:rPr>
          <w:t xml:space="preserve">CARAlert Laboratory Testing </w:t>
        </w:r>
        <w:r w:rsidR="00433137" w:rsidRPr="00433137">
          <w:rPr>
            <w:rStyle w:val="Hyperlink"/>
          </w:rPr>
          <w:t>H</w:t>
        </w:r>
        <w:r w:rsidRPr="00433137">
          <w:rPr>
            <w:rStyle w:val="Hyperlink"/>
          </w:rPr>
          <w:t>andbook</w:t>
        </w:r>
      </w:hyperlink>
      <w:r w:rsidRPr="008D4D8C">
        <w:t xml:space="preserve"> </w:t>
      </w:r>
      <w:r w:rsidR="00433137">
        <w:t>&lt;</w:t>
      </w:r>
      <w:r w:rsidRPr="008D4D8C">
        <w:t>https://www.safetyandquality.gov.au/publications-and-resources/resource-library/caralert-laboratory-handbook-0</w:t>
      </w:r>
      <w:r w:rsidR="00433137">
        <w:t>&gt;</w:t>
      </w:r>
      <w:r w:rsidRPr="008D4D8C">
        <w:t>.</w:t>
      </w:r>
    </w:p>
    <w:p w14:paraId="2B151668" w14:textId="6C8CA755" w:rsidR="00C32DB9" w:rsidRPr="00C32DB9" w:rsidRDefault="00C32DB9" w:rsidP="00F21D5D">
      <w:pPr>
        <w:pStyle w:val="Heading3"/>
      </w:pPr>
      <w:r w:rsidRPr="00C32DB9">
        <w:t>CPE</w:t>
      </w:r>
    </w:p>
    <w:p w14:paraId="7B6062B3" w14:textId="0ECB7FD1" w:rsidR="00C32DB9" w:rsidRPr="00C32DB9" w:rsidRDefault="00C32DB9" w:rsidP="001F1C31">
      <w:pPr>
        <w:pStyle w:val="Body"/>
      </w:pPr>
      <w:r w:rsidRPr="00C32DB9">
        <w:t xml:space="preserve">Isolates meeting </w:t>
      </w:r>
      <w:r w:rsidRPr="00C32DB9">
        <w:rPr>
          <w:b/>
          <w:bCs/>
        </w:rPr>
        <w:t>any</w:t>
      </w:r>
      <w:r w:rsidRPr="00C32DB9">
        <w:t xml:space="preserve"> of the following screening criteria are </w:t>
      </w:r>
      <w:r w:rsidR="00B135B8">
        <w:t xml:space="preserve">considered </w:t>
      </w:r>
      <w:r w:rsidRPr="00C32DB9">
        <w:t>suspected CPE and must be referred to MDU PHL for confirmatory testing:</w:t>
      </w:r>
    </w:p>
    <w:p w14:paraId="3BB75B53" w14:textId="77777777" w:rsidR="00C32DB9" w:rsidRPr="00C32DB9" w:rsidRDefault="00C32DB9" w:rsidP="00070500">
      <w:pPr>
        <w:pStyle w:val="Bullet1"/>
      </w:pPr>
      <w:r w:rsidRPr="00C32DB9">
        <w:t>meropenem MIC ≥ 0.5 mg/L</w:t>
      </w:r>
    </w:p>
    <w:p w14:paraId="04374105" w14:textId="7AC26F16" w:rsidR="00C32DB9" w:rsidRDefault="00C62CD5" w:rsidP="00070500">
      <w:pPr>
        <w:pStyle w:val="Bullet1"/>
      </w:pPr>
      <w:r>
        <w:t xml:space="preserve">meropenem </w:t>
      </w:r>
      <w:r w:rsidR="00C32DB9" w:rsidRPr="00C32DB9">
        <w:t xml:space="preserve">disk diffusion zone </w:t>
      </w:r>
      <w:r w:rsidR="00980378">
        <w:t>&lt;</w:t>
      </w:r>
      <w:r w:rsidR="00C32DB9" w:rsidRPr="00C32DB9">
        <w:t xml:space="preserve"> 2</w:t>
      </w:r>
      <w:r w:rsidR="00980378">
        <w:t>8</w:t>
      </w:r>
      <w:r w:rsidR="00C32DB9" w:rsidRPr="00C32DB9">
        <w:t xml:space="preserve"> mm (</w:t>
      </w:r>
      <w:r w:rsidR="00980378" w:rsidRPr="00C32DB9">
        <w:t xml:space="preserve">EUCAST or </w:t>
      </w:r>
      <w:r w:rsidR="00C32DB9" w:rsidRPr="00C32DB9">
        <w:t>CLSI methods)</w:t>
      </w:r>
    </w:p>
    <w:p w14:paraId="3AB1DFA2" w14:textId="3368504F" w:rsidR="00980378" w:rsidRDefault="00980378" w:rsidP="00980378">
      <w:pPr>
        <w:pStyle w:val="Bullet2"/>
      </w:pPr>
      <w:r>
        <w:t>if disk zone &lt;</w:t>
      </w:r>
      <w:r w:rsidR="001F3029">
        <w:t xml:space="preserve"> </w:t>
      </w:r>
      <w:r>
        <w:t xml:space="preserve">25mm, always </w:t>
      </w:r>
      <w:proofErr w:type="gramStart"/>
      <w:r>
        <w:t>refer</w:t>
      </w:r>
      <w:proofErr w:type="gramEnd"/>
    </w:p>
    <w:p w14:paraId="102C8BA4" w14:textId="0561716A" w:rsidR="00980378" w:rsidRPr="00C32DB9" w:rsidRDefault="00980378" w:rsidP="00980378">
      <w:pPr>
        <w:pStyle w:val="Bullet2"/>
      </w:pPr>
      <w:r>
        <w:t>if disk zone 25</w:t>
      </w:r>
      <w:r w:rsidR="00A0630D">
        <w:t>–</w:t>
      </w:r>
      <w:r>
        <w:t xml:space="preserve">27mm, only refer if piperacillin-tazobactam is also </w:t>
      </w:r>
      <w:proofErr w:type="gramStart"/>
      <w:r>
        <w:t>resistant</w:t>
      </w:r>
      <w:proofErr w:type="gramEnd"/>
    </w:p>
    <w:p w14:paraId="56C60354" w14:textId="4D782F54" w:rsidR="00C32DB9" w:rsidRPr="00C32DB9" w:rsidRDefault="00C62CD5" w:rsidP="00070500">
      <w:pPr>
        <w:pStyle w:val="Bullet1"/>
      </w:pPr>
      <w:r>
        <w:t xml:space="preserve">meropenem </w:t>
      </w:r>
      <w:r w:rsidR="00C32DB9" w:rsidRPr="00C32DB9">
        <w:t xml:space="preserve">disc diffusion zone </w:t>
      </w:r>
      <w:r w:rsidR="001F3029">
        <w:t>&lt;</w:t>
      </w:r>
      <w:r w:rsidR="00C32DB9" w:rsidRPr="00C32DB9">
        <w:t xml:space="preserve"> 6 mm</w:t>
      </w:r>
      <w:r>
        <w:t xml:space="preserve"> (CDS)</w:t>
      </w:r>
    </w:p>
    <w:p w14:paraId="057A954C" w14:textId="77777777" w:rsidR="00C32DB9" w:rsidRPr="00C32DB9" w:rsidRDefault="00C32DB9" w:rsidP="00070500">
      <w:pPr>
        <w:pStyle w:val="Bullet1"/>
      </w:pPr>
      <w:r w:rsidRPr="00C32DB9">
        <w:t xml:space="preserve">phenotypic resistance to any carbapenem where the MIC is above the clinical breakpoint as defined by CLSI or EUCAST or zone diameter suggests resistance by </w:t>
      </w:r>
      <w:proofErr w:type="gramStart"/>
      <w:r w:rsidRPr="00C32DB9">
        <w:t>CDS</w:t>
      </w:r>
      <w:proofErr w:type="gramEnd"/>
    </w:p>
    <w:p w14:paraId="4ABE27AD" w14:textId="226AB046" w:rsidR="00C32DB9" w:rsidRPr="00C32DB9" w:rsidRDefault="00C32DB9" w:rsidP="00070500">
      <w:pPr>
        <w:pStyle w:val="Bullet1"/>
      </w:pPr>
      <w:r w:rsidRPr="00C32DB9">
        <w:t xml:space="preserve">positive colorimetric test for </w:t>
      </w:r>
      <w:proofErr w:type="spellStart"/>
      <w:r w:rsidRPr="00C32DB9">
        <w:t>carbapenemase</w:t>
      </w:r>
      <w:proofErr w:type="spellEnd"/>
      <w:r w:rsidRPr="00C32DB9">
        <w:t xml:space="preserve"> (</w:t>
      </w:r>
      <w:r w:rsidR="00741BD6">
        <w:t xml:space="preserve">for example, </w:t>
      </w:r>
      <w:proofErr w:type="spellStart"/>
      <w:r w:rsidRPr="00C32DB9">
        <w:t>CarbaNP</w:t>
      </w:r>
      <w:proofErr w:type="spellEnd"/>
      <w:r w:rsidRPr="00C32DB9">
        <w:t xml:space="preserve"> or Blue-</w:t>
      </w:r>
      <w:proofErr w:type="spellStart"/>
      <w:r w:rsidRPr="00C32DB9">
        <w:t>Carba</w:t>
      </w:r>
      <w:proofErr w:type="spellEnd"/>
      <w:r w:rsidRPr="00C32DB9">
        <w:t>)</w:t>
      </w:r>
    </w:p>
    <w:p w14:paraId="49960E13" w14:textId="438ACD1A" w:rsidR="00097268" w:rsidRDefault="00C32DB9" w:rsidP="00070500">
      <w:pPr>
        <w:pStyle w:val="Bullet1"/>
      </w:pPr>
      <w:r w:rsidRPr="00C32DB9">
        <w:t xml:space="preserve">positive </w:t>
      </w:r>
      <w:r w:rsidR="00655475" w:rsidRPr="00C23115">
        <w:rPr>
          <w:u w:val="single"/>
        </w:rPr>
        <w:t>or equivocal</w:t>
      </w:r>
      <w:r w:rsidR="00655475" w:rsidRPr="00655475">
        <w:t xml:space="preserve"> </w:t>
      </w:r>
      <w:r w:rsidRPr="00C32DB9">
        <w:t>CIM</w:t>
      </w:r>
      <w:r w:rsidR="00C23115">
        <w:t xml:space="preserve"> test</w:t>
      </w:r>
      <w:r w:rsidR="001F3029">
        <w:t xml:space="preserve"> (or accepted modified CIM method)</w:t>
      </w:r>
    </w:p>
    <w:p w14:paraId="46E61339" w14:textId="08DE746A" w:rsidR="001E45C3" w:rsidRDefault="00097268" w:rsidP="00070500">
      <w:pPr>
        <w:pStyle w:val="Bullet1"/>
      </w:pPr>
      <w:r>
        <w:t>positive carbapenemase gene PCR</w:t>
      </w:r>
      <w:r w:rsidR="00C32DB9" w:rsidRPr="00C32DB9">
        <w:t>.</w:t>
      </w:r>
    </w:p>
    <w:p w14:paraId="03C46454" w14:textId="40C31D1D" w:rsidR="003B7D8D" w:rsidRPr="00DB2C95" w:rsidRDefault="003B7D8D" w:rsidP="001F1C31">
      <w:pPr>
        <w:pStyle w:val="Bodyafterbullets"/>
        <w:rPr>
          <w:u w:val="single"/>
        </w:rPr>
      </w:pPr>
      <w:r w:rsidRPr="00DB2C95">
        <w:rPr>
          <w:u w:val="single"/>
        </w:rPr>
        <w:lastRenderedPageBreak/>
        <w:t>Notes:</w:t>
      </w:r>
    </w:p>
    <w:p w14:paraId="44F34104" w14:textId="66A28490" w:rsidR="007B0E24" w:rsidRDefault="007B0E24" w:rsidP="00DB2C95">
      <w:pPr>
        <w:pStyle w:val="Numberdigit"/>
        <w:numPr>
          <w:ilvl w:val="0"/>
          <w:numId w:val="29"/>
        </w:numPr>
      </w:pPr>
      <w:r>
        <w:t xml:space="preserve">Isolates that meet the criteria </w:t>
      </w:r>
      <w:r w:rsidR="001F1C31">
        <w:t>above but</w:t>
      </w:r>
      <w:r>
        <w:t xml:space="preserve"> test </w:t>
      </w:r>
      <w:r w:rsidRPr="00DB2C95">
        <w:rPr>
          <w:b/>
          <w:bCs/>
        </w:rPr>
        <w:t>negative</w:t>
      </w:r>
      <w:r>
        <w:t xml:space="preserve"> on multiplex carbapenemase PCR testing </w:t>
      </w:r>
      <w:r w:rsidR="001F1C31" w:rsidRPr="00DB2C95">
        <w:rPr>
          <w:b/>
          <w:bCs/>
        </w:rPr>
        <w:t>must</w:t>
      </w:r>
      <w:r>
        <w:t xml:space="preserve"> still be referred to MDU PHL for testing</w:t>
      </w:r>
      <w:r w:rsidR="001F1C31">
        <w:t>.</w:t>
      </w:r>
    </w:p>
    <w:p w14:paraId="5163171F" w14:textId="5D56D34F" w:rsidR="007B0E24" w:rsidRDefault="001E45C3" w:rsidP="00DB2C95">
      <w:pPr>
        <w:pStyle w:val="Numberdigit"/>
        <w:numPr>
          <w:ilvl w:val="0"/>
          <w:numId w:val="29"/>
        </w:numPr>
      </w:pPr>
      <w:r>
        <w:t xml:space="preserve">Isolates with elevated meropenem MICs or reduced disc diffusion zones (as above) but test </w:t>
      </w:r>
      <w:r w:rsidRPr="00DB2C95">
        <w:rPr>
          <w:b/>
          <w:bCs/>
        </w:rPr>
        <w:t>negative</w:t>
      </w:r>
      <w:r w:rsidRPr="002E5C4A">
        <w:t xml:space="preserve"> by CIM test</w:t>
      </w:r>
      <w:r>
        <w:t xml:space="preserve"> </w:t>
      </w:r>
      <w:r w:rsidRPr="00DB2C95">
        <w:rPr>
          <w:b/>
          <w:bCs/>
        </w:rPr>
        <w:t>do</w:t>
      </w:r>
      <w:r>
        <w:t xml:space="preserve"> </w:t>
      </w:r>
      <w:r w:rsidRPr="00DB2C95">
        <w:rPr>
          <w:b/>
          <w:bCs/>
        </w:rPr>
        <w:t>not</w:t>
      </w:r>
      <w:r>
        <w:t xml:space="preserve"> need to be referred to MDU PHL for further testing. Isolates may still be referred for other reasons, </w:t>
      </w:r>
      <w:r w:rsidR="00E1217F">
        <w:t>for example,</w:t>
      </w:r>
      <w:r>
        <w:t xml:space="preserve"> extended antimicrobial susceptibility testing, if clinically indicated.</w:t>
      </w:r>
    </w:p>
    <w:p w14:paraId="62ABA0A4" w14:textId="6A888ABC" w:rsidR="00C32DB9" w:rsidRPr="00C32DB9" w:rsidRDefault="00D03550" w:rsidP="00000C32">
      <w:pPr>
        <w:pStyle w:val="Heading3"/>
      </w:pPr>
      <w:bookmarkStart w:id="61" w:name="_Toc440553333"/>
      <w:r>
        <w:t xml:space="preserve">Referral criteria for suspected </w:t>
      </w:r>
      <w:r w:rsidR="00C32DB9" w:rsidRPr="00C32DB9">
        <w:t>CPA</w:t>
      </w:r>
    </w:p>
    <w:p w14:paraId="16B251CB" w14:textId="3A6B00B8" w:rsidR="00C32DB9" w:rsidRPr="00C32DB9" w:rsidRDefault="00C32DB9" w:rsidP="00C32DB9">
      <w:pPr>
        <w:pStyle w:val="Body"/>
      </w:pPr>
      <w:r w:rsidRPr="00C32DB9">
        <w:t xml:space="preserve">Isolates meeting </w:t>
      </w:r>
      <w:r w:rsidRPr="00C32DB9">
        <w:rPr>
          <w:b/>
          <w:bCs/>
        </w:rPr>
        <w:t>any</w:t>
      </w:r>
      <w:r w:rsidRPr="00C32DB9">
        <w:t xml:space="preserve"> of the following screening criteria are </w:t>
      </w:r>
      <w:r w:rsidR="00A2017D">
        <w:t xml:space="preserve">considered </w:t>
      </w:r>
      <w:r w:rsidRPr="00C32DB9">
        <w:t>suspected CPA and must be referred to MDU PHL for confirmatory testing and genomic analysis:</w:t>
      </w:r>
    </w:p>
    <w:p w14:paraId="51F88A6C" w14:textId="15E8DF9B" w:rsidR="00C32DB9" w:rsidRPr="00C32DB9" w:rsidRDefault="00521DF8" w:rsidP="00070500">
      <w:pPr>
        <w:pStyle w:val="Bullet1"/>
      </w:pPr>
      <w:r>
        <w:t>m</w:t>
      </w:r>
      <w:r w:rsidR="00C32DB9" w:rsidRPr="00C32DB9">
        <w:t xml:space="preserve">eropenem MIC </w:t>
      </w:r>
      <w:r w:rsidR="0083424F">
        <w:rPr>
          <w:rFonts w:cs="Arial"/>
        </w:rPr>
        <w:t>&gt; </w:t>
      </w:r>
      <w:r w:rsidR="00C32DB9" w:rsidRPr="00C32DB9">
        <w:t>8 mg/L</w:t>
      </w:r>
    </w:p>
    <w:p w14:paraId="46E33B7C" w14:textId="1E07CCF5" w:rsidR="00C32DB9" w:rsidRPr="00C32DB9" w:rsidRDefault="00644BF8" w:rsidP="00070500">
      <w:pPr>
        <w:pStyle w:val="Bullet1"/>
      </w:pPr>
      <w:r>
        <w:t>m</w:t>
      </w:r>
      <w:r w:rsidRPr="00C32DB9">
        <w:t>eropenem</w:t>
      </w:r>
      <w:r w:rsidR="00C32DB9" w:rsidRPr="00C32DB9">
        <w:t xml:space="preserve"> </w:t>
      </w:r>
      <w:r w:rsidR="006C63F6" w:rsidRPr="00C32DB9">
        <w:t xml:space="preserve">disk diffusion </w:t>
      </w:r>
      <w:r w:rsidR="00C32DB9" w:rsidRPr="00C32DB9">
        <w:t>zone &lt;</w:t>
      </w:r>
      <w:r w:rsidR="00A07837">
        <w:t> </w:t>
      </w:r>
      <w:r w:rsidR="00C32DB9" w:rsidRPr="00C32DB9">
        <w:t>15 mm (EUCAST) or ≤ 14 mm (CLSI)</w:t>
      </w:r>
    </w:p>
    <w:p w14:paraId="03762B07" w14:textId="3C097639" w:rsidR="006C63F6" w:rsidRPr="00C32DB9" w:rsidRDefault="006C63F6" w:rsidP="006C63F6">
      <w:pPr>
        <w:pStyle w:val="Bullet1"/>
      </w:pPr>
      <w:r>
        <w:t xml:space="preserve">meropenem </w:t>
      </w:r>
      <w:r w:rsidRPr="00C32DB9">
        <w:t xml:space="preserve">disc diffusion zone </w:t>
      </w:r>
      <w:r w:rsidR="002543B9">
        <w:t>&lt;</w:t>
      </w:r>
      <w:r w:rsidRPr="00C32DB9">
        <w:t xml:space="preserve"> </w:t>
      </w:r>
      <w:r w:rsidR="002543B9">
        <w:t>6</w:t>
      </w:r>
      <w:r w:rsidRPr="00C32DB9">
        <w:t xml:space="preserve"> mm</w:t>
      </w:r>
      <w:r>
        <w:t xml:space="preserve"> (CDS)</w:t>
      </w:r>
    </w:p>
    <w:p w14:paraId="7E26C8B5" w14:textId="11DAD66C" w:rsidR="00C23115" w:rsidRPr="00C32DB9" w:rsidRDefault="00C23115" w:rsidP="00C23115">
      <w:pPr>
        <w:pStyle w:val="Bullet1"/>
      </w:pPr>
      <w:r w:rsidRPr="00C32DB9">
        <w:t xml:space="preserve">positive </w:t>
      </w:r>
      <w:r w:rsidRPr="00C23115">
        <w:rPr>
          <w:u w:val="single"/>
        </w:rPr>
        <w:t>or equivocal</w:t>
      </w:r>
      <w:r w:rsidRPr="00655475">
        <w:t xml:space="preserve"> </w:t>
      </w:r>
      <w:r w:rsidRPr="00C32DB9">
        <w:t xml:space="preserve">colorimetric test for </w:t>
      </w:r>
      <w:proofErr w:type="spellStart"/>
      <w:r w:rsidRPr="00C32DB9">
        <w:t>carbapenemase</w:t>
      </w:r>
      <w:proofErr w:type="spellEnd"/>
      <w:r w:rsidRPr="00C32DB9">
        <w:t xml:space="preserve"> (</w:t>
      </w:r>
      <w:r>
        <w:t xml:space="preserve">for example, </w:t>
      </w:r>
      <w:proofErr w:type="spellStart"/>
      <w:r w:rsidRPr="00C32DB9">
        <w:t>CarbaNP</w:t>
      </w:r>
      <w:proofErr w:type="spellEnd"/>
      <w:r w:rsidRPr="00C32DB9">
        <w:t xml:space="preserve"> or Blue-</w:t>
      </w:r>
      <w:proofErr w:type="spellStart"/>
      <w:r w:rsidRPr="00C32DB9">
        <w:t>Carba</w:t>
      </w:r>
      <w:proofErr w:type="spellEnd"/>
      <w:r w:rsidRPr="00C32DB9">
        <w:t>)</w:t>
      </w:r>
    </w:p>
    <w:p w14:paraId="1A02889B" w14:textId="6D187AE6" w:rsidR="00097268" w:rsidRDefault="00C23115" w:rsidP="00C23115">
      <w:pPr>
        <w:pStyle w:val="Bullet1"/>
      </w:pPr>
      <w:r w:rsidRPr="00C32DB9">
        <w:t xml:space="preserve">positive </w:t>
      </w:r>
      <w:r w:rsidRPr="00C23115">
        <w:rPr>
          <w:u w:val="single"/>
        </w:rPr>
        <w:t>or equivocal</w:t>
      </w:r>
      <w:r w:rsidRPr="00655475">
        <w:t xml:space="preserve"> </w:t>
      </w:r>
      <w:r w:rsidRPr="00C32DB9">
        <w:t>CIM</w:t>
      </w:r>
      <w:r>
        <w:t xml:space="preserve"> test</w:t>
      </w:r>
      <w:r w:rsidR="001F3029">
        <w:t xml:space="preserve"> (or accepted modified CIM method)</w:t>
      </w:r>
    </w:p>
    <w:p w14:paraId="166DCD41" w14:textId="194D95F7" w:rsidR="00C32DB9" w:rsidRPr="00C32DB9" w:rsidRDefault="00097268" w:rsidP="00070500">
      <w:pPr>
        <w:pStyle w:val="Bullet1"/>
      </w:pPr>
      <w:r>
        <w:t>positive carbapenemase gene PCR</w:t>
      </w:r>
      <w:r w:rsidR="00521DF8">
        <w:t>.</w:t>
      </w:r>
    </w:p>
    <w:p w14:paraId="4AA9AD9C" w14:textId="05C74063" w:rsidR="00F936C8" w:rsidRPr="00DB2C95" w:rsidRDefault="00F936C8" w:rsidP="001F1C31">
      <w:pPr>
        <w:pStyle w:val="Bodyafterbullets"/>
        <w:rPr>
          <w:u w:val="single"/>
        </w:rPr>
      </w:pPr>
      <w:r w:rsidRPr="00DB2C95">
        <w:rPr>
          <w:u w:val="single"/>
        </w:rPr>
        <w:t>Notes:</w:t>
      </w:r>
    </w:p>
    <w:p w14:paraId="66F689B7" w14:textId="4BA316AC" w:rsidR="007B0E24" w:rsidRDefault="007B0E24" w:rsidP="00DB2C95">
      <w:pPr>
        <w:pStyle w:val="Numberdigit"/>
        <w:numPr>
          <w:ilvl w:val="0"/>
          <w:numId w:val="30"/>
        </w:numPr>
      </w:pPr>
      <w:r>
        <w:t xml:space="preserve">Isolates that meet the criteria </w:t>
      </w:r>
      <w:r w:rsidR="009E1828">
        <w:t>above but</w:t>
      </w:r>
      <w:r>
        <w:t xml:space="preserve"> test </w:t>
      </w:r>
      <w:r w:rsidRPr="00DB2C95">
        <w:rPr>
          <w:b/>
          <w:bCs/>
        </w:rPr>
        <w:t>negative</w:t>
      </w:r>
      <w:r>
        <w:t xml:space="preserve"> on multiplex carbapenemase PCR testing </w:t>
      </w:r>
      <w:r w:rsidRPr="00DB2C95">
        <w:rPr>
          <w:b/>
          <w:bCs/>
        </w:rPr>
        <w:t>must</w:t>
      </w:r>
      <w:r>
        <w:t xml:space="preserve"> still be referred to MDU PHL for testing</w:t>
      </w:r>
      <w:r w:rsidR="002555E4">
        <w:t>.</w:t>
      </w:r>
    </w:p>
    <w:p w14:paraId="59E3A7D7" w14:textId="57561492" w:rsidR="000F128B" w:rsidRDefault="007B0E24" w:rsidP="00DB2C95">
      <w:pPr>
        <w:pStyle w:val="Numberdigit"/>
        <w:numPr>
          <w:ilvl w:val="0"/>
          <w:numId w:val="30"/>
        </w:numPr>
      </w:pPr>
      <w:r>
        <w:t xml:space="preserve">Phenotypic assays for </w:t>
      </w:r>
      <w:proofErr w:type="spellStart"/>
      <w:r>
        <w:t>carbapenemase</w:t>
      </w:r>
      <w:proofErr w:type="spellEnd"/>
      <w:r>
        <w:t xml:space="preserve"> activity (</w:t>
      </w:r>
      <w:proofErr w:type="spellStart"/>
      <w:r>
        <w:t>CarbaNP</w:t>
      </w:r>
      <w:proofErr w:type="spellEnd"/>
      <w:r>
        <w:t xml:space="preserve"> and, to a lesser extent, CIM testing) do not perform as well in </w:t>
      </w:r>
      <w:r w:rsidRPr="00DB2C95">
        <w:rPr>
          <w:i/>
          <w:iCs/>
        </w:rPr>
        <w:t>Acinetobacter</w:t>
      </w:r>
      <w:r>
        <w:t xml:space="preserve"> as in CPE or CPP, due to the predominance of OXA genes with weak carbapenemase activity.</w:t>
      </w:r>
      <w:r w:rsidR="00193C43">
        <w:t xml:space="preserve"> </w:t>
      </w:r>
      <w:r w:rsidR="000F128B">
        <w:t xml:space="preserve">Isolates with elevated meropenem MICs or reduced disc diffusion zones (as above) but test </w:t>
      </w:r>
      <w:r w:rsidR="000F128B" w:rsidRPr="00DB2C95">
        <w:rPr>
          <w:b/>
          <w:bCs/>
        </w:rPr>
        <w:t>negative</w:t>
      </w:r>
      <w:r w:rsidR="000F128B" w:rsidRPr="000B4F61">
        <w:t xml:space="preserve"> by CIM test</w:t>
      </w:r>
      <w:r w:rsidR="000F128B">
        <w:t xml:space="preserve"> </w:t>
      </w:r>
      <w:r w:rsidR="001F1C31" w:rsidRPr="00DB2C95">
        <w:rPr>
          <w:b/>
          <w:bCs/>
        </w:rPr>
        <w:t>must</w:t>
      </w:r>
      <w:r w:rsidR="000F128B">
        <w:t xml:space="preserve"> still be referred to MDU PHL for further testing.</w:t>
      </w:r>
    </w:p>
    <w:p w14:paraId="69358760" w14:textId="133F3DB8" w:rsidR="00C32DB9" w:rsidRPr="00C32DB9" w:rsidRDefault="00D03550" w:rsidP="00F21D5D">
      <w:pPr>
        <w:pStyle w:val="Heading3"/>
      </w:pPr>
      <w:r>
        <w:t xml:space="preserve">Referral criteria for suspected </w:t>
      </w:r>
      <w:r w:rsidR="00C32DB9" w:rsidRPr="00C32DB9">
        <w:t>CPP</w:t>
      </w:r>
    </w:p>
    <w:p w14:paraId="69A7EFB8" w14:textId="6D7CDB54" w:rsidR="00CF1ABF" w:rsidRPr="00C32DB9" w:rsidRDefault="00CF1ABF" w:rsidP="00CF1ABF">
      <w:pPr>
        <w:pStyle w:val="Body"/>
      </w:pPr>
      <w:r w:rsidRPr="00C32DB9">
        <w:t xml:space="preserve">Isolates meeting </w:t>
      </w:r>
      <w:r w:rsidRPr="00C815B5">
        <w:rPr>
          <w:b/>
          <w:bCs/>
        </w:rPr>
        <w:t>any</w:t>
      </w:r>
      <w:r w:rsidRPr="00C32DB9">
        <w:t xml:space="preserve"> of the following screening criteria are </w:t>
      </w:r>
      <w:r w:rsidR="00A2017D">
        <w:t xml:space="preserve">considered </w:t>
      </w:r>
      <w:r w:rsidRPr="00C32DB9">
        <w:t xml:space="preserve">suspected </w:t>
      </w:r>
      <w:r w:rsidR="00C61E56">
        <w:t>CPP</w:t>
      </w:r>
      <w:r w:rsidR="00C61E56" w:rsidRPr="00C32DB9">
        <w:t xml:space="preserve"> </w:t>
      </w:r>
      <w:r w:rsidRPr="00C32DB9">
        <w:t>and must be referred to MDU PHL for confirmatory testing and genomic analysis:</w:t>
      </w:r>
    </w:p>
    <w:p w14:paraId="75FD3D87" w14:textId="77777777" w:rsidR="006F1866" w:rsidRDefault="006F1866" w:rsidP="00070500">
      <w:pPr>
        <w:pStyle w:val="Bullet1"/>
      </w:pPr>
      <w:r>
        <w:t xml:space="preserve">Evidence of reduced susceptibility to meropenem </w:t>
      </w:r>
      <w:r w:rsidRPr="000B4F61">
        <w:rPr>
          <w:b/>
          <w:bCs/>
        </w:rPr>
        <w:t>AND</w:t>
      </w:r>
      <w:r>
        <w:t xml:space="preserve"> piperacillin-tazobactam:</w:t>
      </w:r>
    </w:p>
    <w:p w14:paraId="7BB3D4ED" w14:textId="0F9334C7" w:rsidR="006F1866" w:rsidRPr="000B4F61" w:rsidRDefault="00CF1ABF" w:rsidP="00070500">
      <w:pPr>
        <w:pStyle w:val="Bullet2"/>
      </w:pPr>
      <w:r>
        <w:t>m</w:t>
      </w:r>
      <w:r w:rsidRPr="00C32DB9">
        <w:t xml:space="preserve">eropenem MIC ≥ </w:t>
      </w:r>
      <w:r>
        <w:t>4</w:t>
      </w:r>
      <w:r w:rsidRPr="00C32DB9">
        <w:t xml:space="preserve"> mg/L</w:t>
      </w:r>
      <w:r>
        <w:t xml:space="preserve">, or </w:t>
      </w:r>
      <w:r w:rsidR="006874B8" w:rsidRPr="00C32DB9">
        <w:t xml:space="preserve">disc diffusion zone </w:t>
      </w:r>
      <w:r w:rsidRPr="00C32DB9">
        <w:t xml:space="preserve">&lt; </w:t>
      </w:r>
      <w:r>
        <w:t>24</w:t>
      </w:r>
      <w:r w:rsidRPr="00C32DB9">
        <w:t xml:space="preserve"> mm (EUCAST) or </w:t>
      </w:r>
      <w:r w:rsidR="005E6C08">
        <w:t>&lt;</w:t>
      </w:r>
      <w:r w:rsidRPr="00C32DB9">
        <w:t xml:space="preserve"> 1</w:t>
      </w:r>
      <w:r>
        <w:t>9</w:t>
      </w:r>
      <w:r w:rsidRPr="00C32DB9">
        <w:t xml:space="preserve"> mm (CLSI)</w:t>
      </w:r>
      <w:r w:rsidR="00097268">
        <w:t xml:space="preserve"> </w:t>
      </w:r>
      <w:r w:rsidR="002E5C4A">
        <w:t xml:space="preserve">or </w:t>
      </w:r>
      <w:r w:rsidR="005E6C08">
        <w:t>&lt;</w:t>
      </w:r>
      <w:r w:rsidR="007564D9">
        <w:t> </w:t>
      </w:r>
      <w:r w:rsidR="005E6C08">
        <w:t>6</w:t>
      </w:r>
      <w:r w:rsidR="007564D9">
        <w:t> </w:t>
      </w:r>
      <w:r w:rsidR="002E5C4A">
        <w:t xml:space="preserve">mm (CDS) </w:t>
      </w:r>
      <w:r w:rsidRPr="00097268">
        <w:rPr>
          <w:b/>
          <w:bCs/>
        </w:rPr>
        <w:t>AND</w:t>
      </w:r>
    </w:p>
    <w:p w14:paraId="00EE2D8B" w14:textId="00F59832" w:rsidR="00CF1ABF" w:rsidRDefault="00CF1ABF" w:rsidP="00070500">
      <w:pPr>
        <w:pStyle w:val="Bullet2"/>
      </w:pPr>
      <w:r>
        <w:t xml:space="preserve">piperacillin-tazobactam MIC </w:t>
      </w:r>
      <w:r w:rsidRPr="00021DB4">
        <w:t>≥</w:t>
      </w:r>
      <w:r>
        <w:t xml:space="preserve"> 32 mg/L</w:t>
      </w:r>
      <w:r w:rsidR="006F1866">
        <w:t xml:space="preserve">, or </w:t>
      </w:r>
      <w:r w:rsidR="00E01740" w:rsidRPr="00C32DB9">
        <w:t xml:space="preserve">disc diffusion zone </w:t>
      </w:r>
      <w:r w:rsidR="006F1866" w:rsidRPr="005E6C08">
        <w:t>&lt;</w:t>
      </w:r>
      <w:r w:rsidR="007564D9" w:rsidRPr="005E6C08">
        <w:t xml:space="preserve"> </w:t>
      </w:r>
      <w:r w:rsidR="006F1866" w:rsidRPr="005E6C08">
        <w:t>18 mm (EUCAST</w:t>
      </w:r>
      <w:r w:rsidR="006F1866">
        <w:t xml:space="preserve">) or </w:t>
      </w:r>
      <w:r w:rsidR="006F1866">
        <w:rPr>
          <w:rFonts w:cs="Arial"/>
        </w:rPr>
        <w:t>≤</w:t>
      </w:r>
      <w:r w:rsidR="007564D9">
        <w:rPr>
          <w:rFonts w:cs="Arial"/>
        </w:rPr>
        <w:t xml:space="preserve"> </w:t>
      </w:r>
      <w:r w:rsidR="006F1866">
        <w:t>20 mm (CLSI)</w:t>
      </w:r>
      <w:r w:rsidR="002E5C4A">
        <w:t xml:space="preserve">, or </w:t>
      </w:r>
      <w:r w:rsidR="005E6C08">
        <w:t>&lt; 6 mm (</w:t>
      </w:r>
      <w:r w:rsidR="002E5C4A">
        <w:t>CDS</w:t>
      </w:r>
      <w:r w:rsidR="005E6C08">
        <w:t>)</w:t>
      </w:r>
    </w:p>
    <w:p w14:paraId="0EDD1F58" w14:textId="77777777" w:rsidR="00CB03F9" w:rsidRPr="00C32DB9" w:rsidRDefault="00CB03F9" w:rsidP="00070500">
      <w:pPr>
        <w:pStyle w:val="Bullet1"/>
      </w:pPr>
      <w:r w:rsidRPr="00C32DB9">
        <w:t xml:space="preserve">positive colorimetric test for </w:t>
      </w:r>
      <w:proofErr w:type="spellStart"/>
      <w:r w:rsidRPr="00C32DB9">
        <w:t>carbapenemase</w:t>
      </w:r>
      <w:proofErr w:type="spellEnd"/>
      <w:r w:rsidRPr="00C32DB9">
        <w:t xml:space="preserve"> (</w:t>
      </w:r>
      <w:r>
        <w:t xml:space="preserve">for example, </w:t>
      </w:r>
      <w:proofErr w:type="spellStart"/>
      <w:r w:rsidRPr="00C32DB9">
        <w:t>CarbaNP</w:t>
      </w:r>
      <w:proofErr w:type="spellEnd"/>
      <w:r w:rsidRPr="00C32DB9">
        <w:t xml:space="preserve"> or Blue-</w:t>
      </w:r>
      <w:proofErr w:type="spellStart"/>
      <w:r w:rsidRPr="00C32DB9">
        <w:t>Carba</w:t>
      </w:r>
      <w:proofErr w:type="spellEnd"/>
      <w:r w:rsidRPr="00C32DB9">
        <w:t>)</w:t>
      </w:r>
    </w:p>
    <w:p w14:paraId="69244031" w14:textId="209176F9" w:rsidR="00CF1ABF" w:rsidRDefault="00CB03F9" w:rsidP="00070500">
      <w:pPr>
        <w:pStyle w:val="Bullet1"/>
      </w:pPr>
      <w:r w:rsidRPr="00C32DB9">
        <w:t xml:space="preserve">positive </w:t>
      </w:r>
      <w:r w:rsidRPr="00C23115">
        <w:rPr>
          <w:u w:val="single"/>
        </w:rPr>
        <w:t>or equivocal</w:t>
      </w:r>
      <w:r w:rsidRPr="00655475">
        <w:t xml:space="preserve"> </w:t>
      </w:r>
      <w:r w:rsidRPr="00C32DB9">
        <w:t>CIM test</w:t>
      </w:r>
      <w:r w:rsidR="001F3029">
        <w:t xml:space="preserve"> (or accepted modified CIM method)</w:t>
      </w:r>
    </w:p>
    <w:p w14:paraId="0DEF25C3" w14:textId="045D8100" w:rsidR="00097268" w:rsidRPr="00C32DB9" w:rsidRDefault="00097268" w:rsidP="00070500">
      <w:pPr>
        <w:pStyle w:val="Bullet1"/>
      </w:pPr>
      <w:r>
        <w:t>positive carbapenemase gene PCR.</w:t>
      </w:r>
    </w:p>
    <w:p w14:paraId="4A483FDB" w14:textId="7D49C6EE" w:rsidR="00DD4B37" w:rsidRPr="00DB2C95" w:rsidRDefault="00DD4B37" w:rsidP="001F1C31">
      <w:pPr>
        <w:pStyle w:val="Bodyafterbullets"/>
        <w:rPr>
          <w:u w:val="single"/>
        </w:rPr>
      </w:pPr>
      <w:r w:rsidRPr="00DB2C95">
        <w:rPr>
          <w:u w:val="single"/>
        </w:rPr>
        <w:t>Notes:</w:t>
      </w:r>
    </w:p>
    <w:p w14:paraId="68883E06" w14:textId="6153DFB3" w:rsidR="009B3FB6" w:rsidRDefault="009B3FB6" w:rsidP="00070500">
      <w:pPr>
        <w:pStyle w:val="Numberdigit"/>
        <w:numPr>
          <w:ilvl w:val="0"/>
          <w:numId w:val="16"/>
        </w:numPr>
      </w:pPr>
      <w:r>
        <w:t xml:space="preserve">Isolates that meet the criteria </w:t>
      </w:r>
      <w:r w:rsidR="00105CA6">
        <w:t>above but</w:t>
      </w:r>
      <w:r>
        <w:t xml:space="preserve"> test </w:t>
      </w:r>
      <w:r w:rsidRPr="004E7FB2">
        <w:rPr>
          <w:b/>
          <w:bCs/>
        </w:rPr>
        <w:t>negative</w:t>
      </w:r>
      <w:r>
        <w:t xml:space="preserve"> on multiplex carbapenemase PCR testing </w:t>
      </w:r>
      <w:r w:rsidRPr="004E7FB2">
        <w:rPr>
          <w:b/>
          <w:bCs/>
        </w:rPr>
        <w:t>must</w:t>
      </w:r>
      <w:r>
        <w:t xml:space="preserve"> still be referred to MDU PHL for testing</w:t>
      </w:r>
      <w:r w:rsidR="000C3831">
        <w:t>.</w:t>
      </w:r>
    </w:p>
    <w:p w14:paraId="69B9B6C2" w14:textId="64CDC712" w:rsidR="00032851" w:rsidRDefault="00C23115" w:rsidP="00070500">
      <w:pPr>
        <w:pStyle w:val="Numberdigit"/>
        <w:numPr>
          <w:ilvl w:val="0"/>
          <w:numId w:val="16"/>
        </w:numPr>
      </w:pPr>
      <w:r>
        <w:t xml:space="preserve">Isolates where the </w:t>
      </w:r>
      <w:r w:rsidR="005E6C08" w:rsidRPr="005E6C08">
        <w:t>colorimetric test (</w:t>
      </w:r>
      <w:r w:rsidR="005E6C08">
        <w:t xml:space="preserve">for example, </w:t>
      </w:r>
      <w:proofErr w:type="spellStart"/>
      <w:r>
        <w:t>CarbaNP</w:t>
      </w:r>
      <w:proofErr w:type="spellEnd"/>
      <w:r w:rsidR="005E6C08">
        <w:t>)</w:t>
      </w:r>
      <w:r>
        <w:t xml:space="preserve"> is negative or equivocal but meets the MIC criteria must still be referred.</w:t>
      </w:r>
    </w:p>
    <w:p w14:paraId="3FA190B3" w14:textId="6506BB4A" w:rsidR="009B3FB6" w:rsidRDefault="00097268" w:rsidP="00070500">
      <w:pPr>
        <w:pStyle w:val="Numberdigit"/>
        <w:numPr>
          <w:ilvl w:val="0"/>
          <w:numId w:val="16"/>
        </w:numPr>
      </w:pPr>
      <w:r>
        <w:lastRenderedPageBreak/>
        <w:t xml:space="preserve">Isolates with elevated meropenem MICs or reduced disc diffusion zones (as above) but test </w:t>
      </w:r>
      <w:r w:rsidRPr="004E7FB2">
        <w:rPr>
          <w:b/>
          <w:bCs/>
        </w:rPr>
        <w:t xml:space="preserve">negative </w:t>
      </w:r>
      <w:r w:rsidRPr="000B4F61">
        <w:t>by CIM test</w:t>
      </w:r>
      <w:r>
        <w:t xml:space="preserve"> </w:t>
      </w:r>
      <w:r w:rsidRPr="004E7FB2">
        <w:rPr>
          <w:b/>
          <w:bCs/>
        </w:rPr>
        <w:t>do not</w:t>
      </w:r>
      <w:r>
        <w:t xml:space="preserve"> need to be referred to MDU PHL for further testing. Isolates may still be referred for other reasons, </w:t>
      </w:r>
      <w:r w:rsidR="001F1C31">
        <w:t>for example,</w:t>
      </w:r>
      <w:r>
        <w:t xml:space="preserve"> extended antimicrobial susceptibility testing, if clinically indicated.</w:t>
      </w:r>
      <w:bookmarkStart w:id="62" w:name="_Toc108539924"/>
      <w:bookmarkStart w:id="63" w:name="_Toc440553332"/>
      <w:bookmarkStart w:id="64" w:name="_Toc108539926"/>
    </w:p>
    <w:p w14:paraId="66AF612B" w14:textId="77777777" w:rsidR="00776D9C" w:rsidRDefault="002B47E3" w:rsidP="000B4F61">
      <w:pPr>
        <w:pStyle w:val="Body"/>
      </w:pPr>
      <w:r>
        <w:t xml:space="preserve">See Table 2 for a summary of the above screening criteria for determining when to refer </w:t>
      </w:r>
      <w:r w:rsidR="00776D9C">
        <w:t>a CPO isolate.</w:t>
      </w:r>
    </w:p>
    <w:p w14:paraId="78BCCEE3" w14:textId="77777777" w:rsidR="00320B2C" w:rsidRDefault="00320B2C" w:rsidP="000B4F61">
      <w:pPr>
        <w:pStyle w:val="Body"/>
      </w:pPr>
    </w:p>
    <w:p w14:paraId="0B3DF75E" w14:textId="28FFCF34" w:rsidR="00320B2C" w:rsidRDefault="00320B2C" w:rsidP="000B4F61">
      <w:pPr>
        <w:pStyle w:val="Body"/>
        <w:sectPr w:rsidR="00320B2C" w:rsidSect="00A7410F">
          <w:headerReference w:type="first" r:id="rId47"/>
          <w:pgSz w:w="11906" w:h="16838" w:code="9"/>
          <w:pgMar w:top="1418" w:right="1304" w:bottom="1134" w:left="1304" w:header="680" w:footer="851" w:gutter="0"/>
          <w:pgNumType w:start="5"/>
          <w:cols w:space="340"/>
          <w:titlePg/>
          <w:docGrid w:linePitch="360"/>
        </w:sectPr>
      </w:pPr>
    </w:p>
    <w:p w14:paraId="672EEB9B" w14:textId="0CFC5C2A" w:rsidR="00ED656A" w:rsidRDefault="00ED656A" w:rsidP="00ED656A">
      <w:pPr>
        <w:pStyle w:val="Tablecaption"/>
      </w:pPr>
      <w:r>
        <w:lastRenderedPageBreak/>
        <w:t xml:space="preserve">Table 2: </w:t>
      </w:r>
      <w:r w:rsidR="007D3B25">
        <w:t xml:space="preserve">Summary of screening criteria for </w:t>
      </w:r>
      <w:r w:rsidR="00161402">
        <w:t xml:space="preserve">referral of </w:t>
      </w:r>
      <w:r w:rsidR="00772F74">
        <w:t xml:space="preserve">suspected or confirmed </w:t>
      </w:r>
      <w:r w:rsidR="007D3B25">
        <w:t>CPO</w:t>
      </w:r>
      <w:r w:rsidR="00161402">
        <w:t xml:space="preserve"> to MDU PHL</w:t>
      </w:r>
    </w:p>
    <w:tbl>
      <w:tblPr>
        <w:tblStyle w:val="GridTable5Dark-Accent2"/>
        <w:tblW w:w="14742" w:type="dxa"/>
        <w:tblLook w:val="04A0" w:firstRow="1" w:lastRow="0" w:firstColumn="1" w:lastColumn="0" w:noHBand="0" w:noVBand="1"/>
      </w:tblPr>
      <w:tblGrid>
        <w:gridCol w:w="2835"/>
        <w:gridCol w:w="3969"/>
        <w:gridCol w:w="3969"/>
        <w:gridCol w:w="3969"/>
      </w:tblGrid>
      <w:tr w:rsidR="004607E9" w:rsidRPr="004607E9" w14:paraId="0C1BFB8A" w14:textId="77777777" w:rsidTr="008173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C63663"/>
          </w:tcPr>
          <w:p w14:paraId="7CA38809" w14:textId="77777777" w:rsidR="00C07855" w:rsidRPr="004607E9" w:rsidRDefault="00C07855" w:rsidP="00F40F4E">
            <w:pPr>
              <w:pStyle w:val="Tablecolhead"/>
              <w:rPr>
                <w:b/>
                <w:color w:val="FFFFFF" w:themeColor="background1"/>
                <w:sz w:val="20"/>
                <w:szCs w:val="18"/>
              </w:rPr>
            </w:pPr>
            <w:r w:rsidRPr="004607E9">
              <w:rPr>
                <w:b/>
                <w:color w:val="FFFFFF" w:themeColor="background1"/>
                <w:sz w:val="20"/>
                <w:szCs w:val="18"/>
              </w:rPr>
              <w:t>Criteria</w:t>
            </w:r>
          </w:p>
        </w:tc>
        <w:tc>
          <w:tcPr>
            <w:tcW w:w="3969" w:type="dxa"/>
            <w:shd w:val="clear" w:color="auto" w:fill="C63663"/>
          </w:tcPr>
          <w:p w14:paraId="28A6B5DC" w14:textId="77777777" w:rsidR="00C07855" w:rsidRPr="004607E9" w:rsidRDefault="00C07855" w:rsidP="00F40F4E">
            <w:pPr>
              <w:pStyle w:val="Tablecolhead"/>
              <w:cnfStyle w:val="100000000000" w:firstRow="1" w:lastRow="0" w:firstColumn="0" w:lastColumn="0" w:oddVBand="0" w:evenVBand="0" w:oddHBand="0" w:evenHBand="0" w:firstRowFirstColumn="0" w:firstRowLastColumn="0" w:lastRowFirstColumn="0" w:lastRowLastColumn="0"/>
              <w:rPr>
                <w:b/>
                <w:color w:val="FFFFFF" w:themeColor="background1"/>
                <w:sz w:val="20"/>
                <w:szCs w:val="18"/>
              </w:rPr>
            </w:pPr>
            <w:r w:rsidRPr="004607E9">
              <w:rPr>
                <w:b/>
                <w:color w:val="FFFFFF" w:themeColor="background1"/>
                <w:sz w:val="20"/>
                <w:szCs w:val="18"/>
              </w:rPr>
              <w:t>CPE</w:t>
            </w:r>
          </w:p>
        </w:tc>
        <w:tc>
          <w:tcPr>
            <w:tcW w:w="3969" w:type="dxa"/>
            <w:shd w:val="clear" w:color="auto" w:fill="C63663"/>
          </w:tcPr>
          <w:p w14:paraId="1E9B84AD" w14:textId="77777777" w:rsidR="00C07855" w:rsidRPr="004607E9" w:rsidRDefault="00C07855" w:rsidP="00F40F4E">
            <w:pPr>
              <w:pStyle w:val="Tablecolhead"/>
              <w:cnfStyle w:val="100000000000" w:firstRow="1" w:lastRow="0" w:firstColumn="0" w:lastColumn="0" w:oddVBand="0" w:evenVBand="0" w:oddHBand="0" w:evenHBand="0" w:firstRowFirstColumn="0" w:firstRowLastColumn="0" w:lastRowFirstColumn="0" w:lastRowLastColumn="0"/>
              <w:rPr>
                <w:b/>
                <w:color w:val="FFFFFF" w:themeColor="background1"/>
                <w:sz w:val="20"/>
                <w:szCs w:val="18"/>
              </w:rPr>
            </w:pPr>
            <w:r w:rsidRPr="004607E9">
              <w:rPr>
                <w:b/>
                <w:color w:val="FFFFFF" w:themeColor="background1"/>
                <w:sz w:val="20"/>
                <w:szCs w:val="18"/>
              </w:rPr>
              <w:t>CPA</w:t>
            </w:r>
          </w:p>
        </w:tc>
        <w:tc>
          <w:tcPr>
            <w:tcW w:w="3969" w:type="dxa"/>
            <w:shd w:val="clear" w:color="auto" w:fill="C63663"/>
          </w:tcPr>
          <w:p w14:paraId="4F3DACD3" w14:textId="77777777" w:rsidR="00C07855" w:rsidRPr="004607E9" w:rsidRDefault="00C07855" w:rsidP="00F40F4E">
            <w:pPr>
              <w:pStyle w:val="Tablecolhead"/>
              <w:cnfStyle w:val="100000000000" w:firstRow="1" w:lastRow="0" w:firstColumn="0" w:lastColumn="0" w:oddVBand="0" w:evenVBand="0" w:oddHBand="0" w:evenHBand="0" w:firstRowFirstColumn="0" w:firstRowLastColumn="0" w:lastRowFirstColumn="0" w:lastRowLastColumn="0"/>
              <w:rPr>
                <w:b/>
                <w:color w:val="FFFFFF" w:themeColor="background1"/>
                <w:sz w:val="20"/>
                <w:szCs w:val="18"/>
              </w:rPr>
            </w:pPr>
            <w:r w:rsidRPr="004607E9">
              <w:rPr>
                <w:b/>
                <w:color w:val="FFFFFF" w:themeColor="background1"/>
                <w:sz w:val="20"/>
                <w:szCs w:val="18"/>
              </w:rPr>
              <w:t>CPP</w:t>
            </w:r>
          </w:p>
        </w:tc>
      </w:tr>
      <w:tr w:rsidR="00C07855" w:rsidRPr="004607E9" w14:paraId="1C4AFA94" w14:textId="77777777" w:rsidTr="00817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C63663"/>
          </w:tcPr>
          <w:p w14:paraId="288D8B4A" w14:textId="77777777" w:rsidR="00C07855" w:rsidRPr="004607E9" w:rsidRDefault="00C07855" w:rsidP="00F40F4E">
            <w:pPr>
              <w:pStyle w:val="Tablecolhead"/>
              <w:rPr>
                <w:rFonts w:cs="Arial"/>
                <w:b/>
                <w:color w:val="FFFFFF" w:themeColor="background1"/>
                <w:sz w:val="20"/>
                <w:szCs w:val="18"/>
              </w:rPr>
            </w:pPr>
            <w:r w:rsidRPr="004607E9">
              <w:rPr>
                <w:rFonts w:cs="Arial"/>
                <w:b/>
                <w:color w:val="FFFFFF" w:themeColor="background1"/>
                <w:sz w:val="20"/>
                <w:szCs w:val="18"/>
              </w:rPr>
              <w:t>Meropenem susceptibility test</w:t>
            </w:r>
          </w:p>
        </w:tc>
        <w:tc>
          <w:tcPr>
            <w:tcW w:w="3969" w:type="dxa"/>
            <w:shd w:val="clear" w:color="auto" w:fill="EDC5D1"/>
          </w:tcPr>
          <w:p w14:paraId="0B9AE520" w14:textId="45C0AD18" w:rsidR="00C07855" w:rsidRPr="004607E9" w:rsidRDefault="00C07855" w:rsidP="00F40F4E">
            <w:pPr>
              <w:pStyle w:val="Tablebullet1"/>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MIC ≥ 0.5 mg/L</w:t>
            </w:r>
          </w:p>
          <w:p w14:paraId="5054B040" w14:textId="77777777" w:rsidR="00C07855" w:rsidRPr="004607E9" w:rsidRDefault="00C07855" w:rsidP="00F40F4E">
            <w:pPr>
              <w:pStyle w:val="Tablebullet1"/>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Disc diffusion zone &lt; 28 mm (EUCAST or CLSI)</w:t>
            </w:r>
          </w:p>
          <w:p w14:paraId="5BFA66DB" w14:textId="77777777" w:rsidR="00C07855" w:rsidRPr="004607E9" w:rsidRDefault="00C07855" w:rsidP="00F40F4E">
            <w:pPr>
              <w:pStyle w:val="Tablebullet2"/>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 xml:space="preserve">if disk zone &lt; 25mm, always </w:t>
            </w:r>
            <w:proofErr w:type="gramStart"/>
            <w:r w:rsidRPr="004607E9">
              <w:rPr>
                <w:sz w:val="20"/>
                <w:szCs w:val="18"/>
              </w:rPr>
              <w:t>refer</w:t>
            </w:r>
            <w:proofErr w:type="gramEnd"/>
          </w:p>
          <w:p w14:paraId="756F9C83" w14:textId="696C3CE0" w:rsidR="00C07855" w:rsidRPr="004607E9" w:rsidRDefault="00C07855" w:rsidP="00F40F4E">
            <w:pPr>
              <w:pStyle w:val="Tablebullet2"/>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 xml:space="preserve">if disk zone 25-27mm, only refer if piperacillin-tazobactam is also </w:t>
            </w:r>
            <w:proofErr w:type="gramStart"/>
            <w:r w:rsidRPr="004607E9">
              <w:rPr>
                <w:sz w:val="20"/>
                <w:szCs w:val="18"/>
              </w:rPr>
              <w:t>resistant</w:t>
            </w:r>
            <w:proofErr w:type="gramEnd"/>
          </w:p>
          <w:p w14:paraId="55D438A9" w14:textId="77777777" w:rsidR="00C07855" w:rsidRPr="004607E9" w:rsidRDefault="00C07855" w:rsidP="00F40F4E">
            <w:pPr>
              <w:pStyle w:val="Tablebullet1"/>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Disc diffusion zone &lt; 6 mm (CDS)</w:t>
            </w:r>
          </w:p>
        </w:tc>
        <w:tc>
          <w:tcPr>
            <w:tcW w:w="3969" w:type="dxa"/>
            <w:shd w:val="clear" w:color="auto" w:fill="EDC5D1"/>
          </w:tcPr>
          <w:p w14:paraId="7EDBBAF6" w14:textId="7A0FDBEC" w:rsidR="00C07855" w:rsidRPr="004607E9" w:rsidRDefault="00C07855" w:rsidP="00F40F4E">
            <w:pPr>
              <w:pStyle w:val="Tablebullet1"/>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MIC &gt; 8 mg/L</w:t>
            </w:r>
          </w:p>
          <w:p w14:paraId="4EA06946" w14:textId="6B2218F3" w:rsidR="00C07855" w:rsidRPr="004607E9" w:rsidRDefault="00C07855" w:rsidP="00677F6C">
            <w:pPr>
              <w:pStyle w:val="Tablebullet1"/>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Disc diffusion zone &lt; 15 mm (EUCAST) or</w:t>
            </w:r>
            <w:r w:rsidR="00984735" w:rsidRPr="004607E9">
              <w:rPr>
                <w:sz w:val="20"/>
                <w:szCs w:val="18"/>
              </w:rPr>
              <w:t xml:space="preserve"> </w:t>
            </w:r>
            <w:r w:rsidRPr="004607E9">
              <w:rPr>
                <w:sz w:val="20"/>
                <w:szCs w:val="18"/>
              </w:rPr>
              <w:t>≤ 14 mm (CLSI) or &lt; 6 mm (CDS)</w:t>
            </w:r>
          </w:p>
        </w:tc>
        <w:tc>
          <w:tcPr>
            <w:tcW w:w="3969" w:type="dxa"/>
            <w:shd w:val="clear" w:color="auto" w:fill="EDC5D1"/>
          </w:tcPr>
          <w:p w14:paraId="7AF390A5" w14:textId="00C63EA6"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 xml:space="preserve">Must have evidence of reduced susceptibility meropenem </w:t>
            </w:r>
            <w:r w:rsidRPr="004607E9">
              <w:rPr>
                <w:b/>
                <w:sz w:val="20"/>
                <w:szCs w:val="18"/>
              </w:rPr>
              <w:t>AND</w:t>
            </w:r>
            <w:r w:rsidRPr="004607E9">
              <w:rPr>
                <w:sz w:val="20"/>
                <w:szCs w:val="18"/>
              </w:rPr>
              <w:t xml:space="preserve"> piperacillin-</w:t>
            </w:r>
            <w:proofErr w:type="gramStart"/>
            <w:r w:rsidRPr="004607E9">
              <w:rPr>
                <w:sz w:val="20"/>
                <w:szCs w:val="18"/>
              </w:rPr>
              <w:t>tazobactam</w:t>
            </w:r>
            <w:proofErr w:type="gramEnd"/>
          </w:p>
          <w:p w14:paraId="6D01118F"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u w:val="single"/>
              </w:rPr>
            </w:pPr>
            <w:r w:rsidRPr="004607E9">
              <w:rPr>
                <w:sz w:val="20"/>
                <w:szCs w:val="18"/>
                <w:u w:val="single"/>
              </w:rPr>
              <w:t>Meropenem:</w:t>
            </w:r>
          </w:p>
          <w:p w14:paraId="1FFE87EB" w14:textId="38938E88" w:rsidR="00C07855" w:rsidRPr="004607E9" w:rsidRDefault="00C07855" w:rsidP="00F40F4E">
            <w:pPr>
              <w:pStyle w:val="Tablebullet1"/>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MIC ≥ 4 mg/L</w:t>
            </w:r>
          </w:p>
          <w:p w14:paraId="02B10E0E" w14:textId="4EAB2862" w:rsidR="00C07855" w:rsidRPr="004607E9" w:rsidRDefault="00C07855" w:rsidP="00F40F4E">
            <w:pPr>
              <w:pStyle w:val="Tablebullet1"/>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Disc diffusion zone ≤ 24 mm (EUCAST) or</w:t>
            </w:r>
            <w:r w:rsidR="00F40F4E" w:rsidRPr="004607E9">
              <w:rPr>
                <w:sz w:val="20"/>
                <w:szCs w:val="18"/>
              </w:rPr>
              <w:t xml:space="preserve"> </w:t>
            </w:r>
            <w:r w:rsidRPr="004607E9">
              <w:rPr>
                <w:sz w:val="20"/>
                <w:szCs w:val="18"/>
              </w:rPr>
              <w:t>&lt; 19 mm (CLSI) or &lt; 6 mm (CDS)</w:t>
            </w:r>
          </w:p>
          <w:p w14:paraId="5D74CDBB"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b/>
                <w:sz w:val="20"/>
                <w:szCs w:val="18"/>
              </w:rPr>
            </w:pPr>
            <w:r w:rsidRPr="004607E9">
              <w:rPr>
                <w:b/>
                <w:sz w:val="20"/>
                <w:szCs w:val="18"/>
              </w:rPr>
              <w:t>AND</w:t>
            </w:r>
          </w:p>
          <w:p w14:paraId="650563F0"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u w:val="single"/>
              </w:rPr>
            </w:pPr>
            <w:r w:rsidRPr="004607E9">
              <w:rPr>
                <w:sz w:val="20"/>
                <w:szCs w:val="18"/>
                <w:u w:val="single"/>
              </w:rPr>
              <w:t>Piperacillin-Tazobactam:</w:t>
            </w:r>
          </w:p>
          <w:p w14:paraId="65B98857" w14:textId="400CBD70" w:rsidR="00C07855" w:rsidRPr="004607E9" w:rsidRDefault="00C07855" w:rsidP="00F40F4E">
            <w:pPr>
              <w:pStyle w:val="Tablebullet1"/>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MIC ≥ 32 mg/L</w:t>
            </w:r>
          </w:p>
          <w:p w14:paraId="19B0521E" w14:textId="0EDC32D5" w:rsidR="00C07855" w:rsidRPr="004607E9" w:rsidRDefault="00C07855" w:rsidP="00F40F4E">
            <w:pPr>
              <w:pStyle w:val="Tablebullet1"/>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Disc diffusion zone &lt; 18 mm (EUCAST) or</w:t>
            </w:r>
            <w:r w:rsidR="00F40F4E" w:rsidRPr="004607E9">
              <w:rPr>
                <w:sz w:val="20"/>
                <w:szCs w:val="18"/>
              </w:rPr>
              <w:t xml:space="preserve"> </w:t>
            </w:r>
            <w:r w:rsidRPr="004607E9">
              <w:rPr>
                <w:sz w:val="20"/>
                <w:szCs w:val="18"/>
              </w:rPr>
              <w:t>≤ 20 mm (CLSI) or &lt; 6 mm (CDS)</w:t>
            </w:r>
          </w:p>
        </w:tc>
      </w:tr>
      <w:tr w:rsidR="00C07855" w:rsidRPr="004607E9" w14:paraId="3FC7D420" w14:textId="77777777" w:rsidTr="008173E4">
        <w:tc>
          <w:tcPr>
            <w:cnfStyle w:val="001000000000" w:firstRow="0" w:lastRow="0" w:firstColumn="1" w:lastColumn="0" w:oddVBand="0" w:evenVBand="0" w:oddHBand="0" w:evenHBand="0" w:firstRowFirstColumn="0" w:firstRowLastColumn="0" w:lastRowFirstColumn="0" w:lastRowLastColumn="0"/>
            <w:tcW w:w="2835" w:type="dxa"/>
            <w:shd w:val="clear" w:color="auto" w:fill="C63663"/>
          </w:tcPr>
          <w:p w14:paraId="037BC3A8" w14:textId="77777777" w:rsidR="00C07855" w:rsidRPr="004607E9" w:rsidRDefault="00C07855" w:rsidP="00F40F4E">
            <w:pPr>
              <w:pStyle w:val="Tablecolhead"/>
              <w:rPr>
                <w:rFonts w:cs="Arial"/>
                <w:b/>
                <w:color w:val="FFFFFF" w:themeColor="background1"/>
                <w:sz w:val="20"/>
                <w:szCs w:val="18"/>
              </w:rPr>
            </w:pPr>
            <w:r w:rsidRPr="004607E9">
              <w:rPr>
                <w:rFonts w:cs="Arial"/>
                <w:b/>
                <w:color w:val="FFFFFF" w:themeColor="background1"/>
                <w:sz w:val="20"/>
                <w:szCs w:val="18"/>
              </w:rPr>
              <w:t>Resistance to carbapenem (other than meropenem)</w:t>
            </w:r>
          </w:p>
        </w:tc>
        <w:tc>
          <w:tcPr>
            <w:tcW w:w="3969" w:type="dxa"/>
            <w:shd w:val="clear" w:color="auto" w:fill="F8E8ED"/>
          </w:tcPr>
          <w:p w14:paraId="3E0DA6E0" w14:textId="77777777" w:rsidR="00C07855" w:rsidRPr="004607E9" w:rsidRDefault="00C07855" w:rsidP="00F40F4E">
            <w:pPr>
              <w:pStyle w:val="Tabletext"/>
              <w:cnfStyle w:val="000000000000" w:firstRow="0" w:lastRow="0" w:firstColumn="0" w:lastColumn="0" w:oddVBand="0" w:evenVBand="0" w:oddHBand="0" w:evenHBand="0" w:firstRowFirstColumn="0" w:firstRowLastColumn="0" w:lastRowFirstColumn="0" w:lastRowLastColumn="0"/>
              <w:rPr>
                <w:sz w:val="20"/>
                <w:szCs w:val="18"/>
              </w:rPr>
            </w:pPr>
            <w:r w:rsidRPr="004607E9">
              <w:rPr>
                <w:sz w:val="20"/>
                <w:szCs w:val="18"/>
              </w:rPr>
              <w:t>Where the MIC is above the clinical breakpoint as defined by CLSI or EUCAST or zone diameter suggests resistance by CDS.</w:t>
            </w:r>
          </w:p>
        </w:tc>
        <w:tc>
          <w:tcPr>
            <w:tcW w:w="3969" w:type="dxa"/>
            <w:shd w:val="clear" w:color="auto" w:fill="F8E8ED"/>
          </w:tcPr>
          <w:p w14:paraId="2CC7A49C" w14:textId="77777777" w:rsidR="00C07855" w:rsidRPr="004607E9" w:rsidRDefault="00C07855" w:rsidP="00F40F4E">
            <w:pPr>
              <w:pStyle w:val="Tabletext"/>
              <w:cnfStyle w:val="000000000000" w:firstRow="0" w:lastRow="0" w:firstColumn="0" w:lastColumn="0" w:oddVBand="0" w:evenVBand="0" w:oddHBand="0" w:evenHBand="0" w:firstRowFirstColumn="0" w:firstRowLastColumn="0" w:lastRowFirstColumn="0" w:lastRowLastColumn="0"/>
              <w:rPr>
                <w:sz w:val="20"/>
                <w:szCs w:val="18"/>
              </w:rPr>
            </w:pPr>
            <w:r w:rsidRPr="004607E9">
              <w:rPr>
                <w:sz w:val="20"/>
                <w:szCs w:val="18"/>
              </w:rPr>
              <w:t>N/A</w:t>
            </w:r>
          </w:p>
        </w:tc>
        <w:tc>
          <w:tcPr>
            <w:tcW w:w="3969" w:type="dxa"/>
            <w:shd w:val="clear" w:color="auto" w:fill="F8E8ED"/>
          </w:tcPr>
          <w:p w14:paraId="0202C839" w14:textId="77777777" w:rsidR="00C07855" w:rsidRPr="004607E9" w:rsidRDefault="00C07855" w:rsidP="00F40F4E">
            <w:pPr>
              <w:pStyle w:val="Tabletext"/>
              <w:cnfStyle w:val="000000000000" w:firstRow="0" w:lastRow="0" w:firstColumn="0" w:lastColumn="0" w:oddVBand="0" w:evenVBand="0" w:oddHBand="0" w:evenHBand="0" w:firstRowFirstColumn="0" w:firstRowLastColumn="0" w:lastRowFirstColumn="0" w:lastRowLastColumn="0"/>
              <w:rPr>
                <w:sz w:val="20"/>
                <w:szCs w:val="18"/>
              </w:rPr>
            </w:pPr>
            <w:r w:rsidRPr="004607E9">
              <w:rPr>
                <w:sz w:val="20"/>
                <w:szCs w:val="18"/>
              </w:rPr>
              <w:t>N/A</w:t>
            </w:r>
          </w:p>
        </w:tc>
      </w:tr>
      <w:tr w:rsidR="00C07855" w:rsidRPr="004607E9" w14:paraId="53EE2E34" w14:textId="77777777" w:rsidTr="00817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C63663"/>
          </w:tcPr>
          <w:p w14:paraId="7021A9EA" w14:textId="77777777" w:rsidR="00C07855" w:rsidRPr="004607E9" w:rsidRDefault="00C07855" w:rsidP="00F40F4E">
            <w:pPr>
              <w:pStyle w:val="Tablecolhead"/>
              <w:rPr>
                <w:rFonts w:cs="Arial"/>
                <w:b/>
                <w:color w:val="FFFFFF" w:themeColor="background1"/>
                <w:sz w:val="20"/>
                <w:szCs w:val="18"/>
              </w:rPr>
            </w:pPr>
            <w:r w:rsidRPr="004607E9">
              <w:rPr>
                <w:rFonts w:cs="Arial"/>
                <w:b/>
                <w:color w:val="FFFFFF" w:themeColor="background1"/>
                <w:sz w:val="20"/>
                <w:szCs w:val="18"/>
              </w:rPr>
              <w:t xml:space="preserve">Positive colorimetric test for carbapenemase (e.g., </w:t>
            </w:r>
            <w:proofErr w:type="spellStart"/>
            <w:r w:rsidRPr="004607E9">
              <w:rPr>
                <w:rFonts w:cs="Arial"/>
                <w:b/>
                <w:color w:val="FFFFFF" w:themeColor="background1"/>
                <w:sz w:val="20"/>
                <w:szCs w:val="18"/>
              </w:rPr>
              <w:t>CarbaNP</w:t>
            </w:r>
            <w:proofErr w:type="spellEnd"/>
            <w:r w:rsidRPr="004607E9">
              <w:rPr>
                <w:rFonts w:cs="Arial"/>
                <w:b/>
                <w:color w:val="FFFFFF" w:themeColor="background1"/>
                <w:sz w:val="20"/>
                <w:szCs w:val="18"/>
              </w:rPr>
              <w:t xml:space="preserve"> or </w:t>
            </w:r>
            <w:proofErr w:type="spellStart"/>
            <w:r w:rsidRPr="004607E9">
              <w:rPr>
                <w:rFonts w:cs="Arial"/>
                <w:b/>
                <w:color w:val="FFFFFF" w:themeColor="background1"/>
                <w:sz w:val="20"/>
                <w:szCs w:val="18"/>
              </w:rPr>
              <w:t>BlueCarba</w:t>
            </w:r>
            <w:proofErr w:type="spellEnd"/>
            <w:r w:rsidRPr="004607E9">
              <w:rPr>
                <w:rFonts w:cs="Arial"/>
                <w:b/>
                <w:color w:val="FFFFFF" w:themeColor="background1"/>
                <w:sz w:val="20"/>
                <w:szCs w:val="18"/>
              </w:rPr>
              <w:t>)</w:t>
            </w:r>
          </w:p>
        </w:tc>
        <w:tc>
          <w:tcPr>
            <w:tcW w:w="3969" w:type="dxa"/>
            <w:shd w:val="clear" w:color="auto" w:fill="EDC5D1"/>
          </w:tcPr>
          <w:p w14:paraId="56806221"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Yes</w:t>
            </w:r>
          </w:p>
        </w:tc>
        <w:tc>
          <w:tcPr>
            <w:tcW w:w="3969" w:type="dxa"/>
            <w:shd w:val="clear" w:color="auto" w:fill="EDC5D1"/>
          </w:tcPr>
          <w:p w14:paraId="16416A07"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Yes (including equivocal result)</w:t>
            </w:r>
          </w:p>
        </w:tc>
        <w:tc>
          <w:tcPr>
            <w:tcW w:w="3969" w:type="dxa"/>
            <w:shd w:val="clear" w:color="auto" w:fill="EDC5D1"/>
          </w:tcPr>
          <w:p w14:paraId="668D4071"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Yes</w:t>
            </w:r>
          </w:p>
        </w:tc>
      </w:tr>
      <w:tr w:rsidR="00C07855" w:rsidRPr="004607E9" w14:paraId="6EA0060A" w14:textId="77777777" w:rsidTr="008173E4">
        <w:tc>
          <w:tcPr>
            <w:cnfStyle w:val="001000000000" w:firstRow="0" w:lastRow="0" w:firstColumn="1" w:lastColumn="0" w:oddVBand="0" w:evenVBand="0" w:oddHBand="0" w:evenHBand="0" w:firstRowFirstColumn="0" w:firstRowLastColumn="0" w:lastRowFirstColumn="0" w:lastRowLastColumn="0"/>
            <w:tcW w:w="2835" w:type="dxa"/>
            <w:shd w:val="clear" w:color="auto" w:fill="C63663"/>
          </w:tcPr>
          <w:p w14:paraId="736F6418" w14:textId="77777777" w:rsidR="00C07855" w:rsidRPr="004607E9" w:rsidRDefault="00C07855" w:rsidP="00F40F4E">
            <w:pPr>
              <w:pStyle w:val="Tablecolhead"/>
              <w:rPr>
                <w:rFonts w:cs="Arial"/>
                <w:b/>
                <w:color w:val="FFFFFF" w:themeColor="background1"/>
                <w:sz w:val="20"/>
                <w:szCs w:val="18"/>
              </w:rPr>
            </w:pPr>
            <w:r w:rsidRPr="004607E9">
              <w:rPr>
                <w:rFonts w:cs="Arial"/>
                <w:b/>
                <w:color w:val="FFFFFF" w:themeColor="background1"/>
                <w:sz w:val="20"/>
                <w:szCs w:val="18"/>
              </w:rPr>
              <w:t>Positive CIM (or accepted modified CIM method)</w:t>
            </w:r>
          </w:p>
        </w:tc>
        <w:tc>
          <w:tcPr>
            <w:tcW w:w="3969" w:type="dxa"/>
            <w:shd w:val="clear" w:color="auto" w:fill="F8E8ED"/>
          </w:tcPr>
          <w:p w14:paraId="135FD971" w14:textId="77777777" w:rsidR="00C07855" w:rsidRPr="004607E9" w:rsidRDefault="00C07855" w:rsidP="00F40F4E">
            <w:pPr>
              <w:pStyle w:val="Tabletext"/>
              <w:cnfStyle w:val="000000000000" w:firstRow="0" w:lastRow="0" w:firstColumn="0" w:lastColumn="0" w:oddVBand="0" w:evenVBand="0" w:oddHBand="0" w:evenHBand="0" w:firstRowFirstColumn="0" w:firstRowLastColumn="0" w:lastRowFirstColumn="0" w:lastRowLastColumn="0"/>
              <w:rPr>
                <w:sz w:val="20"/>
                <w:szCs w:val="18"/>
              </w:rPr>
            </w:pPr>
            <w:r w:rsidRPr="004607E9">
              <w:rPr>
                <w:sz w:val="20"/>
                <w:szCs w:val="18"/>
              </w:rPr>
              <w:t>Yes (including equivocal result)</w:t>
            </w:r>
          </w:p>
          <w:p w14:paraId="5F258D1B" w14:textId="77777777" w:rsidR="00C07855" w:rsidRPr="004607E9" w:rsidRDefault="00C07855" w:rsidP="00F40F4E">
            <w:pPr>
              <w:pStyle w:val="Tabletext"/>
              <w:cnfStyle w:val="000000000000" w:firstRow="0" w:lastRow="0" w:firstColumn="0" w:lastColumn="0" w:oddVBand="0" w:evenVBand="0" w:oddHBand="0" w:evenHBand="0" w:firstRowFirstColumn="0" w:firstRowLastColumn="0" w:lastRowFirstColumn="0" w:lastRowLastColumn="0"/>
              <w:rPr>
                <w:sz w:val="20"/>
                <w:szCs w:val="18"/>
              </w:rPr>
            </w:pPr>
            <w:r w:rsidRPr="004607E9">
              <w:rPr>
                <w:b/>
                <w:sz w:val="20"/>
                <w:szCs w:val="18"/>
              </w:rPr>
              <w:t>Note:</w:t>
            </w:r>
            <w:r w:rsidRPr="004607E9">
              <w:rPr>
                <w:sz w:val="20"/>
                <w:szCs w:val="18"/>
              </w:rPr>
              <w:t xml:space="preserve"> Isolates with elevated meropenem MICs or reduced disc diffusion zones (as above) BUT test negative by CIM test do not need to be referred.</w:t>
            </w:r>
          </w:p>
        </w:tc>
        <w:tc>
          <w:tcPr>
            <w:tcW w:w="3969" w:type="dxa"/>
            <w:shd w:val="clear" w:color="auto" w:fill="F8E8ED"/>
          </w:tcPr>
          <w:p w14:paraId="3EA32278" w14:textId="77777777" w:rsidR="00C07855" w:rsidRPr="004607E9" w:rsidRDefault="00C07855" w:rsidP="00F40F4E">
            <w:pPr>
              <w:pStyle w:val="Tabletext"/>
              <w:cnfStyle w:val="000000000000" w:firstRow="0" w:lastRow="0" w:firstColumn="0" w:lastColumn="0" w:oddVBand="0" w:evenVBand="0" w:oddHBand="0" w:evenHBand="0" w:firstRowFirstColumn="0" w:firstRowLastColumn="0" w:lastRowFirstColumn="0" w:lastRowLastColumn="0"/>
              <w:rPr>
                <w:sz w:val="20"/>
                <w:szCs w:val="18"/>
              </w:rPr>
            </w:pPr>
            <w:r w:rsidRPr="004607E9">
              <w:rPr>
                <w:sz w:val="20"/>
                <w:szCs w:val="18"/>
              </w:rPr>
              <w:t>Yes (including equivocal result)</w:t>
            </w:r>
          </w:p>
          <w:p w14:paraId="136E3162" w14:textId="77777777" w:rsidR="00C07855" w:rsidRPr="004607E9" w:rsidRDefault="00C07855" w:rsidP="00F40F4E">
            <w:pPr>
              <w:pStyle w:val="Tabletext"/>
              <w:cnfStyle w:val="000000000000" w:firstRow="0" w:lastRow="0" w:firstColumn="0" w:lastColumn="0" w:oddVBand="0" w:evenVBand="0" w:oddHBand="0" w:evenHBand="0" w:firstRowFirstColumn="0" w:firstRowLastColumn="0" w:lastRowFirstColumn="0" w:lastRowLastColumn="0"/>
              <w:rPr>
                <w:sz w:val="20"/>
                <w:szCs w:val="18"/>
              </w:rPr>
            </w:pPr>
            <w:r w:rsidRPr="004607E9">
              <w:rPr>
                <w:b/>
                <w:sz w:val="20"/>
                <w:szCs w:val="18"/>
              </w:rPr>
              <w:t>Note:</w:t>
            </w:r>
            <w:r w:rsidRPr="004607E9">
              <w:rPr>
                <w:sz w:val="20"/>
                <w:szCs w:val="18"/>
              </w:rPr>
              <w:t xml:space="preserve"> Isolates with elevated meropenem MICs or reduced disc diffusion zones (as above) BUT test negative by CIM test </w:t>
            </w:r>
            <w:r w:rsidRPr="004607E9">
              <w:rPr>
                <w:b/>
                <w:sz w:val="20"/>
                <w:szCs w:val="18"/>
              </w:rPr>
              <w:t>must still be referred</w:t>
            </w:r>
            <w:r w:rsidRPr="004607E9">
              <w:rPr>
                <w:sz w:val="20"/>
                <w:szCs w:val="18"/>
              </w:rPr>
              <w:t>.</w:t>
            </w:r>
          </w:p>
        </w:tc>
        <w:tc>
          <w:tcPr>
            <w:tcW w:w="3969" w:type="dxa"/>
            <w:shd w:val="clear" w:color="auto" w:fill="F8E8ED"/>
          </w:tcPr>
          <w:p w14:paraId="056943A3" w14:textId="77777777" w:rsidR="00C07855" w:rsidRPr="004607E9" w:rsidRDefault="00C07855" w:rsidP="00F40F4E">
            <w:pPr>
              <w:pStyle w:val="Tabletext"/>
              <w:cnfStyle w:val="000000000000" w:firstRow="0" w:lastRow="0" w:firstColumn="0" w:lastColumn="0" w:oddVBand="0" w:evenVBand="0" w:oddHBand="0" w:evenHBand="0" w:firstRowFirstColumn="0" w:firstRowLastColumn="0" w:lastRowFirstColumn="0" w:lastRowLastColumn="0"/>
              <w:rPr>
                <w:sz w:val="20"/>
                <w:szCs w:val="18"/>
              </w:rPr>
            </w:pPr>
            <w:r w:rsidRPr="004607E9">
              <w:rPr>
                <w:sz w:val="20"/>
                <w:szCs w:val="18"/>
              </w:rPr>
              <w:t>Yes (including equivocal result)</w:t>
            </w:r>
          </w:p>
          <w:p w14:paraId="32547F2F" w14:textId="77777777" w:rsidR="00C07855" w:rsidRPr="004607E9" w:rsidRDefault="00C07855" w:rsidP="00F40F4E">
            <w:pPr>
              <w:pStyle w:val="Tabletext"/>
              <w:cnfStyle w:val="000000000000" w:firstRow="0" w:lastRow="0" w:firstColumn="0" w:lastColumn="0" w:oddVBand="0" w:evenVBand="0" w:oddHBand="0" w:evenHBand="0" w:firstRowFirstColumn="0" w:firstRowLastColumn="0" w:lastRowFirstColumn="0" w:lastRowLastColumn="0"/>
              <w:rPr>
                <w:sz w:val="20"/>
                <w:szCs w:val="18"/>
              </w:rPr>
            </w:pPr>
            <w:r w:rsidRPr="004607E9">
              <w:rPr>
                <w:b/>
                <w:sz w:val="20"/>
                <w:szCs w:val="18"/>
              </w:rPr>
              <w:t>Note:</w:t>
            </w:r>
            <w:r w:rsidRPr="004607E9">
              <w:rPr>
                <w:sz w:val="20"/>
                <w:szCs w:val="18"/>
              </w:rPr>
              <w:t xml:space="preserve"> Isolates with elevated meropenem MICs or reduced disc diffusion zones (as above) BUT test negative by CIM test do not need to be referred.</w:t>
            </w:r>
          </w:p>
        </w:tc>
      </w:tr>
      <w:tr w:rsidR="00C07855" w:rsidRPr="004607E9" w14:paraId="14465195" w14:textId="77777777" w:rsidTr="00817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C63663"/>
          </w:tcPr>
          <w:p w14:paraId="0C1490EB" w14:textId="77777777" w:rsidR="00C07855" w:rsidRPr="004607E9" w:rsidRDefault="00C07855" w:rsidP="00F40F4E">
            <w:pPr>
              <w:pStyle w:val="Tablecolhead"/>
              <w:rPr>
                <w:rFonts w:cs="Arial"/>
                <w:b/>
                <w:color w:val="FFFFFF" w:themeColor="background1"/>
                <w:sz w:val="20"/>
                <w:szCs w:val="18"/>
              </w:rPr>
            </w:pPr>
            <w:r w:rsidRPr="004607E9">
              <w:rPr>
                <w:rFonts w:cs="Arial"/>
                <w:b/>
                <w:color w:val="FFFFFF" w:themeColor="background1"/>
                <w:sz w:val="20"/>
                <w:szCs w:val="18"/>
              </w:rPr>
              <w:t>Positive carbapenemase gene PCR</w:t>
            </w:r>
          </w:p>
        </w:tc>
        <w:tc>
          <w:tcPr>
            <w:tcW w:w="3969" w:type="dxa"/>
            <w:shd w:val="clear" w:color="auto" w:fill="EDC5D1"/>
          </w:tcPr>
          <w:p w14:paraId="0C082E6A"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Yes</w:t>
            </w:r>
          </w:p>
          <w:p w14:paraId="30E93DF9"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rPr>
            </w:pPr>
            <w:r w:rsidRPr="004607E9">
              <w:rPr>
                <w:b/>
                <w:sz w:val="20"/>
                <w:szCs w:val="18"/>
              </w:rPr>
              <w:t>Note:</w:t>
            </w:r>
            <w:r w:rsidRPr="004607E9">
              <w:rPr>
                <w:sz w:val="20"/>
                <w:szCs w:val="18"/>
              </w:rPr>
              <w:t xml:space="preserve"> Isolates that meet other criteria BUT are PCR negative </w:t>
            </w:r>
            <w:r w:rsidRPr="004607E9">
              <w:rPr>
                <w:b/>
                <w:sz w:val="20"/>
                <w:szCs w:val="18"/>
              </w:rPr>
              <w:t>must still be referred</w:t>
            </w:r>
            <w:r w:rsidRPr="004607E9">
              <w:rPr>
                <w:sz w:val="20"/>
                <w:szCs w:val="18"/>
              </w:rPr>
              <w:t>.</w:t>
            </w:r>
          </w:p>
        </w:tc>
        <w:tc>
          <w:tcPr>
            <w:tcW w:w="3969" w:type="dxa"/>
            <w:shd w:val="clear" w:color="auto" w:fill="EDC5D1"/>
          </w:tcPr>
          <w:p w14:paraId="7EFB4C66"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Yes</w:t>
            </w:r>
          </w:p>
          <w:p w14:paraId="09AEE82F"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rPr>
            </w:pPr>
            <w:r w:rsidRPr="004607E9">
              <w:rPr>
                <w:b/>
                <w:sz w:val="20"/>
                <w:szCs w:val="18"/>
              </w:rPr>
              <w:t>Note:</w:t>
            </w:r>
            <w:r w:rsidRPr="004607E9">
              <w:rPr>
                <w:sz w:val="20"/>
                <w:szCs w:val="18"/>
              </w:rPr>
              <w:t xml:space="preserve"> Isolates that meet other criteria BUT are PCR negative </w:t>
            </w:r>
            <w:r w:rsidRPr="004607E9">
              <w:rPr>
                <w:b/>
                <w:sz w:val="20"/>
                <w:szCs w:val="18"/>
              </w:rPr>
              <w:t>must still be referred</w:t>
            </w:r>
            <w:r w:rsidRPr="004607E9">
              <w:rPr>
                <w:sz w:val="20"/>
                <w:szCs w:val="18"/>
              </w:rPr>
              <w:t>.</w:t>
            </w:r>
          </w:p>
        </w:tc>
        <w:tc>
          <w:tcPr>
            <w:tcW w:w="3969" w:type="dxa"/>
            <w:shd w:val="clear" w:color="auto" w:fill="EDC5D1"/>
          </w:tcPr>
          <w:p w14:paraId="160E01C2"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Yes</w:t>
            </w:r>
          </w:p>
          <w:p w14:paraId="3266292C"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rPr>
            </w:pPr>
            <w:r w:rsidRPr="004607E9">
              <w:rPr>
                <w:b/>
                <w:sz w:val="20"/>
                <w:szCs w:val="18"/>
              </w:rPr>
              <w:t>Note:</w:t>
            </w:r>
            <w:r w:rsidRPr="004607E9">
              <w:rPr>
                <w:bCs/>
                <w:sz w:val="20"/>
                <w:szCs w:val="18"/>
              </w:rPr>
              <w:t xml:space="preserve"> </w:t>
            </w:r>
            <w:r w:rsidRPr="004607E9">
              <w:rPr>
                <w:sz w:val="20"/>
                <w:szCs w:val="18"/>
              </w:rPr>
              <w:t xml:space="preserve">Isolates that meet other criteria BUT are PCR negative </w:t>
            </w:r>
            <w:r w:rsidRPr="004607E9">
              <w:rPr>
                <w:b/>
                <w:sz w:val="20"/>
                <w:szCs w:val="18"/>
              </w:rPr>
              <w:t>must still be referred</w:t>
            </w:r>
            <w:r w:rsidRPr="004607E9">
              <w:rPr>
                <w:sz w:val="20"/>
                <w:szCs w:val="18"/>
              </w:rPr>
              <w:t>.</w:t>
            </w:r>
          </w:p>
        </w:tc>
      </w:tr>
    </w:tbl>
    <w:p w14:paraId="332F89CC" w14:textId="77777777" w:rsidR="00320B2C" w:rsidRDefault="00320B2C" w:rsidP="000B4F61">
      <w:pPr>
        <w:pStyle w:val="Body"/>
      </w:pPr>
    </w:p>
    <w:p w14:paraId="6F46ECDC" w14:textId="420E21B2" w:rsidR="00320B2C" w:rsidRDefault="00320B2C" w:rsidP="000B4F61">
      <w:pPr>
        <w:pStyle w:val="Body"/>
        <w:sectPr w:rsidR="00320B2C" w:rsidSect="00195BB5">
          <w:headerReference w:type="default" r:id="rId48"/>
          <w:pgSz w:w="16838" w:h="11906" w:orient="landscape" w:code="9"/>
          <w:pgMar w:top="1304" w:right="1418" w:bottom="1304" w:left="1134" w:header="680" w:footer="851" w:gutter="0"/>
          <w:cols w:space="340"/>
          <w:docGrid w:linePitch="360"/>
        </w:sectPr>
      </w:pPr>
    </w:p>
    <w:p w14:paraId="365FB3FF" w14:textId="7697FBBE" w:rsidR="000560B1" w:rsidRPr="00C32DB9" w:rsidRDefault="000560B1" w:rsidP="000560B1">
      <w:pPr>
        <w:pStyle w:val="Heading2"/>
        <w:rPr>
          <w:rFonts w:eastAsia="Times"/>
        </w:rPr>
      </w:pPr>
      <w:bookmarkStart w:id="65" w:name="_Toc149319555"/>
      <w:r w:rsidRPr="00C32DB9">
        <w:rPr>
          <w:rFonts w:eastAsia="Times"/>
        </w:rPr>
        <w:lastRenderedPageBreak/>
        <w:t xml:space="preserve">Requirements for primary diagnostic laboratories to report </w:t>
      </w:r>
      <w:proofErr w:type="gramStart"/>
      <w:r w:rsidRPr="00C32DB9">
        <w:rPr>
          <w:rFonts w:eastAsia="Times"/>
        </w:rPr>
        <w:t>cases</w:t>
      </w:r>
      <w:bookmarkEnd w:id="62"/>
      <w:bookmarkEnd w:id="65"/>
      <w:proofErr w:type="gramEnd"/>
    </w:p>
    <w:p w14:paraId="1089075F" w14:textId="77777777" w:rsidR="000560B1" w:rsidRPr="00C32DB9" w:rsidRDefault="000560B1" w:rsidP="00070500">
      <w:pPr>
        <w:pStyle w:val="Numberdigit"/>
        <w:numPr>
          <w:ilvl w:val="0"/>
          <w:numId w:val="17"/>
        </w:numPr>
      </w:pPr>
      <w:r w:rsidRPr="00C32DB9">
        <w:t>Immediately notify IPC staff (or after hours, management staff) and treating clinicians of suspected or confirmed CPO cases so that appropriate precautions and necessary alerts can be implemented.</w:t>
      </w:r>
    </w:p>
    <w:p w14:paraId="3620B399" w14:textId="30CF472F" w:rsidR="006F6106" w:rsidRPr="00C32DB9" w:rsidRDefault="000560B1" w:rsidP="00070500">
      <w:pPr>
        <w:pStyle w:val="Numberdigit"/>
        <w:numPr>
          <w:ilvl w:val="0"/>
          <w:numId w:val="17"/>
        </w:numPr>
      </w:pPr>
      <w:r w:rsidRPr="00C32DB9">
        <w:t xml:space="preserve">Report all suspected and confirmed cases/isolates of CPO from clinical, </w:t>
      </w:r>
      <w:proofErr w:type="gramStart"/>
      <w:r w:rsidRPr="00C32DB9">
        <w:t>screening</w:t>
      </w:r>
      <w:proofErr w:type="gramEnd"/>
      <w:r w:rsidRPr="00C32DB9">
        <w:t xml:space="preserve"> and environmental samples to the department by </w:t>
      </w:r>
      <w:r w:rsidR="00F32CE0">
        <w:t xml:space="preserve">sending </w:t>
      </w:r>
      <w:r w:rsidRPr="00C32DB9">
        <w:t xml:space="preserve">the microbiological reports to Communicable Disease Prevention and Control </w:t>
      </w:r>
      <w:r w:rsidR="006F6106" w:rsidRPr="006F6106">
        <w:t xml:space="preserve">by fax (1300 651 170) or ELR </w:t>
      </w:r>
      <w:r w:rsidRPr="00C32DB9">
        <w:t>within one business day of detection. Results should be reported regardless of whether these have arisen from sporadic cases or as part of a recognised local outbreak.</w:t>
      </w:r>
    </w:p>
    <w:bookmarkEnd w:id="63"/>
    <w:p w14:paraId="50B01F2B" w14:textId="603533AF" w:rsidR="000560B1" w:rsidRPr="00C32DB9" w:rsidRDefault="000560B1" w:rsidP="00070500">
      <w:pPr>
        <w:pStyle w:val="Numberdigit"/>
        <w:numPr>
          <w:ilvl w:val="0"/>
          <w:numId w:val="17"/>
        </w:numPr>
      </w:pPr>
      <w:r w:rsidRPr="00C32DB9">
        <w:t xml:space="preserve">Refer all isolates of suspected or confirmed CPO to MDU PHL for further confirmation and typing. Isolates are to be accompanied by a completed laboratory CPO isolate referral form. Forms for human </w:t>
      </w:r>
      <w:r w:rsidR="00CB517E">
        <w:t>(FM2</w:t>
      </w:r>
      <w:r w:rsidR="00E15891">
        <w:t xml:space="preserve">458) </w:t>
      </w:r>
      <w:r w:rsidRPr="00C32DB9">
        <w:t xml:space="preserve">or environmental </w:t>
      </w:r>
      <w:r w:rsidR="00E15891">
        <w:t xml:space="preserve">(FM2699) </w:t>
      </w:r>
      <w:r w:rsidRPr="00C32DB9">
        <w:t xml:space="preserve">isolates can be found on the </w:t>
      </w:r>
      <w:hyperlink r:id="rId49" w:history="1">
        <w:r w:rsidRPr="00B75F1E">
          <w:rPr>
            <w:rStyle w:val="Hyperlink"/>
          </w:rPr>
          <w:t>department’s website</w:t>
        </w:r>
      </w:hyperlink>
      <w:r w:rsidRPr="00C32DB9">
        <w:t xml:space="preserve"> </w:t>
      </w:r>
      <w:r w:rsidR="000C3831">
        <w:t>&lt;</w:t>
      </w:r>
      <w:r w:rsidR="005E2990" w:rsidRPr="005E2990">
        <w:t>https://www.health.vic.gov.au/infectious-diseases/carbapenemase-producing-enterobacteriaceae-surveillance-and-isolate-referral</w:t>
      </w:r>
      <w:r w:rsidR="000C3831">
        <w:t>&gt;</w:t>
      </w:r>
      <w:r w:rsidR="00E15891">
        <w:t xml:space="preserve"> and</w:t>
      </w:r>
      <w:r w:rsidR="00716324">
        <w:t xml:space="preserve"> </w:t>
      </w:r>
      <w:hyperlink r:id="rId50" w:anchor="services" w:history="1">
        <w:r w:rsidR="00716324" w:rsidRPr="00716324">
          <w:rPr>
            <w:rStyle w:val="Hyperlink"/>
          </w:rPr>
          <w:t>MDU PHL website</w:t>
        </w:r>
      </w:hyperlink>
      <w:r w:rsidR="00716324">
        <w:t xml:space="preserve"> &lt;http://biomedicalsciences.unimelb.edu.au/departments/microbiology-Immunology/research/services/microbiological-diagnostic-unit-public-health-laboratory#services&gt;</w:t>
      </w:r>
      <w:r w:rsidRPr="00C32DB9">
        <w:t>. The form has provision for including the names of any infectious disease personnel that require a copy of the report.</w:t>
      </w:r>
    </w:p>
    <w:p w14:paraId="0FA8A58B" w14:textId="77777777" w:rsidR="000560B1" w:rsidRPr="00C32DB9" w:rsidRDefault="000560B1" w:rsidP="00070500">
      <w:pPr>
        <w:pStyle w:val="Numberdigit"/>
        <w:numPr>
          <w:ilvl w:val="0"/>
          <w:numId w:val="17"/>
        </w:numPr>
      </w:pPr>
      <w:r w:rsidRPr="00C32DB9">
        <w:t>Store all suspected CPO isolates at the testing laboratory for six months.</w:t>
      </w:r>
    </w:p>
    <w:p w14:paraId="78543E7D" w14:textId="77777777" w:rsidR="00C32DB9" w:rsidRPr="00C32DB9" w:rsidRDefault="00C32DB9" w:rsidP="00521DF8">
      <w:pPr>
        <w:pStyle w:val="Heading2"/>
        <w:rPr>
          <w:rFonts w:eastAsia="Times"/>
        </w:rPr>
      </w:pPr>
      <w:bookmarkStart w:id="66" w:name="_Toc149319556"/>
      <w:r w:rsidRPr="00C32DB9">
        <w:rPr>
          <w:rFonts w:eastAsia="Times"/>
        </w:rPr>
        <w:t>Role of the reference laboratory</w:t>
      </w:r>
      <w:bookmarkEnd w:id="61"/>
      <w:bookmarkEnd w:id="64"/>
      <w:bookmarkEnd w:id="66"/>
    </w:p>
    <w:p w14:paraId="52EE3420" w14:textId="77777777" w:rsidR="00C32DB9" w:rsidRPr="00C32DB9" w:rsidRDefault="00C32DB9" w:rsidP="00C32DB9">
      <w:pPr>
        <w:pStyle w:val="Body"/>
      </w:pPr>
      <w:r w:rsidRPr="00C32DB9">
        <w:t>All suspected and confirmed CPO isolates should be referred to MDU PHL for further testing, unless excluded above. This testing includes:</w:t>
      </w:r>
    </w:p>
    <w:p w14:paraId="17528D10" w14:textId="77777777" w:rsidR="00C32DB9" w:rsidRPr="00C32DB9" w:rsidRDefault="00C32DB9" w:rsidP="00070500">
      <w:pPr>
        <w:pStyle w:val="Bullet1"/>
      </w:pPr>
      <w:r w:rsidRPr="00C32DB9">
        <w:t xml:space="preserve">extended antimicrobial susceptibility </w:t>
      </w:r>
      <w:proofErr w:type="gramStart"/>
      <w:r w:rsidRPr="00C32DB9">
        <w:t>testing</w:t>
      </w:r>
      <w:proofErr w:type="gramEnd"/>
    </w:p>
    <w:p w14:paraId="54FA65B2" w14:textId="77777777" w:rsidR="00C32DB9" w:rsidRPr="00C32DB9" w:rsidRDefault="00C32DB9" w:rsidP="00070500">
      <w:pPr>
        <w:pStyle w:val="Bullet1"/>
      </w:pPr>
      <w:r w:rsidRPr="00C32DB9">
        <w:t xml:space="preserve">molecular and genomic characterisation to determine carbapenemase gene </w:t>
      </w:r>
      <w:proofErr w:type="gramStart"/>
      <w:r w:rsidRPr="00C32DB9">
        <w:t>presence</w:t>
      </w:r>
      <w:proofErr w:type="gramEnd"/>
    </w:p>
    <w:p w14:paraId="251C3110" w14:textId="77777777" w:rsidR="00C32DB9" w:rsidRDefault="00C32DB9" w:rsidP="00070500">
      <w:pPr>
        <w:pStyle w:val="Bullet1"/>
      </w:pPr>
      <w:r w:rsidRPr="00C32DB9">
        <w:t>phylogenetic analysis and inference of transmission pathways, where applicable.</w:t>
      </w:r>
    </w:p>
    <w:p w14:paraId="1B300165" w14:textId="600D68E3" w:rsidR="005F3BA7" w:rsidRDefault="00127107" w:rsidP="005F3BA7">
      <w:pPr>
        <w:pStyle w:val="Bodyafterbullets"/>
      </w:pPr>
      <w:r>
        <w:t xml:space="preserve">MDU PHL </w:t>
      </w:r>
      <w:r w:rsidR="00D649B5">
        <w:t>is</w:t>
      </w:r>
      <w:r>
        <w:t xml:space="preserve"> also </w:t>
      </w:r>
      <w:r w:rsidR="00D41984">
        <w:t xml:space="preserve">available to </w:t>
      </w:r>
      <w:r>
        <w:t xml:space="preserve">provide advice to </w:t>
      </w:r>
      <w:r w:rsidR="00673D6A">
        <w:t xml:space="preserve">primary </w:t>
      </w:r>
      <w:r>
        <w:t xml:space="preserve">laboratories </w:t>
      </w:r>
      <w:r w:rsidR="00673D6A">
        <w:t>regarding laboratory techniques</w:t>
      </w:r>
      <w:r w:rsidR="007212E4">
        <w:t>,</w:t>
      </w:r>
      <w:r w:rsidR="00943047">
        <w:t xml:space="preserve"> and other technical aspects</w:t>
      </w:r>
      <w:r w:rsidR="002311B4">
        <w:t xml:space="preserve"> </w:t>
      </w:r>
      <w:r w:rsidR="006D67C2">
        <w:t>for</w:t>
      </w:r>
      <w:r w:rsidR="002311B4">
        <w:t xml:space="preserve"> the isolation and identification of CPOs.</w:t>
      </w:r>
      <w:r w:rsidR="002A2A27">
        <w:t xml:space="preserve"> Contact details are:</w:t>
      </w:r>
    </w:p>
    <w:p w14:paraId="080A131B" w14:textId="71694E47" w:rsidR="00420D21" w:rsidRDefault="00420D21" w:rsidP="0098357C">
      <w:pPr>
        <w:pStyle w:val="Body"/>
        <w:rPr>
          <w:rFonts w:cs="Arial"/>
          <w:szCs w:val="21"/>
        </w:rPr>
      </w:pPr>
      <w:r>
        <w:rPr>
          <w:rFonts w:cs="Arial"/>
          <w:szCs w:val="21"/>
        </w:rPr>
        <w:t>Website: &lt;</w:t>
      </w:r>
      <w:hyperlink r:id="rId51" w:history="1">
        <w:r w:rsidRPr="00420D21">
          <w:rPr>
            <w:rStyle w:val="Hyperlink"/>
            <w:rFonts w:cs="Arial"/>
            <w:szCs w:val="21"/>
          </w:rPr>
          <w:t>https</w:t>
        </w:r>
      </w:hyperlink>
      <w:r w:rsidRPr="00420D21">
        <w:rPr>
          <w:rFonts w:cs="Arial"/>
          <w:szCs w:val="21"/>
        </w:rPr>
        <w:t>://biomedicalsciences.unimelb.edu.au/departments/microbiology-Immunology/research/services/microbiological-diagnostic-unit-public-health-laboratory</w:t>
      </w:r>
      <w:r>
        <w:rPr>
          <w:rFonts w:cs="Arial"/>
          <w:szCs w:val="21"/>
        </w:rPr>
        <w:t>&gt;</w:t>
      </w:r>
    </w:p>
    <w:p w14:paraId="2FACE356" w14:textId="1D2AA509" w:rsidR="0098357C" w:rsidRPr="00290FFE" w:rsidRDefault="002A2A27" w:rsidP="0098357C">
      <w:pPr>
        <w:pStyle w:val="Body"/>
        <w:rPr>
          <w:rFonts w:cs="Arial"/>
          <w:szCs w:val="21"/>
          <w:lang w:eastAsia="en-AU"/>
        </w:rPr>
      </w:pPr>
      <w:r w:rsidRPr="00290FFE">
        <w:rPr>
          <w:rFonts w:cs="Arial"/>
          <w:szCs w:val="21"/>
        </w:rPr>
        <w:t xml:space="preserve">Email: </w:t>
      </w:r>
      <w:hyperlink r:id="rId52" w:history="1">
        <w:r w:rsidR="00290FFE" w:rsidRPr="00290FFE">
          <w:rPr>
            <w:rStyle w:val="Hyperlink"/>
            <w:rFonts w:cs="Arial"/>
            <w:szCs w:val="21"/>
            <w:bdr w:val="none" w:sz="0" w:space="0" w:color="auto" w:frame="1"/>
          </w:rPr>
          <w:t>mdu-general@unimelb.edu.au</w:t>
        </w:r>
      </w:hyperlink>
    </w:p>
    <w:p w14:paraId="6E421A9E" w14:textId="1C82753A" w:rsidR="002A2A27" w:rsidRPr="00C32DB9" w:rsidRDefault="0098357C" w:rsidP="00290FFE">
      <w:pPr>
        <w:pStyle w:val="Body"/>
      </w:pPr>
      <w:r w:rsidRPr="00290FFE">
        <w:rPr>
          <w:rFonts w:cs="Arial"/>
          <w:szCs w:val="21"/>
          <w:bdr w:val="none" w:sz="0" w:space="0" w:color="auto" w:frame="1"/>
        </w:rPr>
        <w:t>Phone: +61 3 8344 5701 / 8344 5713</w:t>
      </w:r>
    </w:p>
    <w:p w14:paraId="4592ECA8" w14:textId="77777777" w:rsidR="00C32DB9" w:rsidRPr="00C32DB9" w:rsidRDefault="00C32DB9" w:rsidP="00521DF8">
      <w:pPr>
        <w:pStyle w:val="Heading2"/>
        <w:rPr>
          <w:rFonts w:eastAsia="Times"/>
        </w:rPr>
      </w:pPr>
      <w:bookmarkStart w:id="67" w:name="_Toc108539927"/>
      <w:bookmarkStart w:id="68" w:name="_Toc149319557"/>
      <w:r w:rsidRPr="00C32DB9">
        <w:rPr>
          <w:rFonts w:eastAsia="Times"/>
        </w:rPr>
        <w:t>Environmental sample testing</w:t>
      </w:r>
      <w:bookmarkEnd w:id="67"/>
      <w:bookmarkEnd w:id="68"/>
    </w:p>
    <w:p w14:paraId="308DCB90" w14:textId="540DC6BB" w:rsidR="00C32DB9" w:rsidRPr="00C32DB9" w:rsidRDefault="00C32DB9" w:rsidP="00C32DB9">
      <w:pPr>
        <w:pStyle w:val="Body"/>
      </w:pPr>
      <w:r w:rsidRPr="00C32DB9">
        <w:t xml:space="preserve">The </w:t>
      </w:r>
      <w:r w:rsidRPr="00C32DB9">
        <w:rPr>
          <w:i/>
          <w:iCs/>
        </w:rPr>
        <w:t>Victorian guideline on environmental sampling for CPE</w:t>
      </w:r>
      <w:r w:rsidRPr="00C32DB9">
        <w:t xml:space="preserve"> (2018) outlines recommended sampling and laboratory methods for the isolation of CPE from the environment. Download this guideline from the </w:t>
      </w:r>
      <w:hyperlink r:id="rId53" w:history="1">
        <w:r w:rsidRPr="00B75F1E">
          <w:rPr>
            <w:rStyle w:val="Hyperlink"/>
          </w:rPr>
          <w:t>department’s website</w:t>
        </w:r>
      </w:hyperlink>
      <w:r w:rsidRPr="00C32DB9">
        <w:t xml:space="preserve"> &lt;</w:t>
      </w:r>
      <w:r w:rsidR="005E2990" w:rsidRPr="005E2990">
        <w:t>https://www.health.vic.gov.au/infectious-diseases/victorian-guideline-on-environmental-sampling-for-cpe</w:t>
      </w:r>
      <w:r w:rsidRPr="00C32DB9">
        <w:t>&gt;.</w:t>
      </w:r>
    </w:p>
    <w:p w14:paraId="4AC727AE" w14:textId="77777777" w:rsidR="00C32DB9" w:rsidRPr="00C32DB9" w:rsidRDefault="00C32DB9" w:rsidP="00C32DB9">
      <w:pPr>
        <w:pStyle w:val="Body"/>
      </w:pPr>
      <w:r w:rsidRPr="00C32DB9">
        <w:t>If you require assistance with environmental sampling contact MDU PHL.</w:t>
      </w:r>
    </w:p>
    <w:p w14:paraId="708569CC" w14:textId="5B6D077C" w:rsidR="0004521F" w:rsidRPr="0004521F" w:rsidRDefault="0004521F" w:rsidP="00D91A49">
      <w:pPr>
        <w:pStyle w:val="Heading1"/>
      </w:pPr>
      <w:bookmarkStart w:id="69" w:name="_Section_5:_Management"/>
      <w:bookmarkStart w:id="70" w:name="_Toc108539928"/>
      <w:bookmarkStart w:id="71" w:name="_Toc149319558"/>
      <w:bookmarkEnd w:id="69"/>
      <w:r w:rsidRPr="0004521F">
        <w:lastRenderedPageBreak/>
        <w:t>Section 5: Management and control of cases</w:t>
      </w:r>
      <w:bookmarkEnd w:id="70"/>
      <w:bookmarkEnd w:id="71"/>
    </w:p>
    <w:p w14:paraId="4938AA0D" w14:textId="10024A2C" w:rsidR="0004521F" w:rsidRPr="0004521F" w:rsidRDefault="0004521F" w:rsidP="0004521F">
      <w:pPr>
        <w:pStyle w:val="Body"/>
      </w:pPr>
      <w:r w:rsidRPr="0004521F">
        <w:t xml:space="preserve">Health services should ensure that their routine admission processes reliably identify PRIS patients (see </w:t>
      </w:r>
      <w:r w:rsidR="00F97425">
        <w:t>Box</w:t>
      </w:r>
      <w:r w:rsidRPr="0072320E">
        <w:t xml:space="preserve"> 2</w:t>
      </w:r>
      <w:r w:rsidR="0072320E" w:rsidRPr="0072320E">
        <w:t>,</w:t>
      </w:r>
      <w:r w:rsidR="0072320E">
        <w:t xml:space="preserve"> </w:t>
      </w:r>
      <w:r w:rsidR="0072320E" w:rsidRPr="00F44073">
        <w:t xml:space="preserve">page </w:t>
      </w:r>
      <w:r w:rsidR="009D19E1">
        <w:t>21</w:t>
      </w:r>
      <w:r w:rsidRPr="0004521F">
        <w:t>). Each patient should be assessed on admission and re-admission to the healthcare facility as well as any transfer from another healthcare facility.</w:t>
      </w:r>
    </w:p>
    <w:p w14:paraId="1DE080C7" w14:textId="77777777" w:rsidR="0004521F" w:rsidRPr="0004521F" w:rsidRDefault="0004521F" w:rsidP="0004521F">
      <w:pPr>
        <w:pStyle w:val="Body"/>
      </w:pPr>
      <w:r w:rsidRPr="0004521F">
        <w:t>Transmission pathways for CPO in healthcare settings are most commonly via contamination of healthcare workers’ hands, shared patient equipment and the healthcare environment. Interventions recommended in this guideline to control transmission are therefore focused on these transmission pathways.</w:t>
      </w:r>
    </w:p>
    <w:p w14:paraId="48B913C8" w14:textId="77777777" w:rsidR="0004521F" w:rsidRPr="0004521F" w:rsidRDefault="0004521F" w:rsidP="00D91A49">
      <w:pPr>
        <w:pStyle w:val="Heading2"/>
        <w:rPr>
          <w:rFonts w:eastAsia="Times"/>
        </w:rPr>
      </w:pPr>
      <w:bookmarkStart w:id="72" w:name="_Toc108539929"/>
      <w:bookmarkStart w:id="73" w:name="_Toc149319559"/>
      <w:r w:rsidRPr="0004521F">
        <w:rPr>
          <w:rFonts w:eastAsia="Times"/>
        </w:rPr>
        <w:t>Medical therapy</w:t>
      </w:r>
      <w:bookmarkEnd w:id="72"/>
      <w:bookmarkEnd w:id="73"/>
    </w:p>
    <w:p w14:paraId="7F38B00D" w14:textId="15E3585B" w:rsidR="0004521F" w:rsidRPr="0004521F" w:rsidRDefault="0004521F" w:rsidP="0004521F">
      <w:pPr>
        <w:pStyle w:val="Body"/>
      </w:pPr>
      <w:r w:rsidRPr="0004521F">
        <w:t xml:space="preserve">Treatment of patients with a CPO infection should be managed in consultation with an infectious </w:t>
      </w:r>
      <w:proofErr w:type="gramStart"/>
      <w:r w:rsidRPr="0004521F">
        <w:t>diseases</w:t>
      </w:r>
      <w:proofErr w:type="gramEnd"/>
      <w:r w:rsidRPr="0004521F">
        <w:t xml:space="preserve"> physician.</w:t>
      </w:r>
      <w:r w:rsidR="00C8529A">
        <w:t xml:space="preserve"> Wherever </w:t>
      </w:r>
      <w:r w:rsidR="005729D9">
        <w:t>possible</w:t>
      </w:r>
      <w:r w:rsidR="00C8529A">
        <w:t>,</w:t>
      </w:r>
      <w:r w:rsidR="005729D9">
        <w:t xml:space="preserve"> </w:t>
      </w:r>
      <w:r w:rsidR="007852AF">
        <w:t xml:space="preserve">health services should </w:t>
      </w:r>
      <w:r w:rsidR="009F6384">
        <w:t xml:space="preserve">have </w:t>
      </w:r>
      <w:r w:rsidR="009F6384" w:rsidRPr="007852AF">
        <w:t xml:space="preserve">a </w:t>
      </w:r>
      <w:r w:rsidR="00012B18">
        <w:t xml:space="preserve">local </w:t>
      </w:r>
      <w:r w:rsidR="009F6384" w:rsidRPr="007852AF">
        <w:t>protocol for management</w:t>
      </w:r>
      <w:r w:rsidR="009F6384">
        <w:t xml:space="preserve"> of CPOs. This may include, </w:t>
      </w:r>
      <w:r w:rsidR="00071F83" w:rsidRPr="00071F83">
        <w:t xml:space="preserve">how to </w:t>
      </w:r>
      <w:r w:rsidR="00081540">
        <w:t>access</w:t>
      </w:r>
      <w:r w:rsidR="00071F83" w:rsidRPr="00071F83">
        <w:t xml:space="preserve"> restricted antimicrobials</w:t>
      </w:r>
      <w:r w:rsidR="00183C2C">
        <w:t xml:space="preserve"> </w:t>
      </w:r>
      <w:r w:rsidR="00012B18">
        <w:t>and</w:t>
      </w:r>
      <w:r w:rsidR="00183C2C">
        <w:t xml:space="preserve"> an antibiogram</w:t>
      </w:r>
      <w:r w:rsidR="0027748F">
        <w:t xml:space="preserve"> where appropriate.</w:t>
      </w:r>
    </w:p>
    <w:p w14:paraId="3CC6DF1B" w14:textId="77777777" w:rsidR="0004521F" w:rsidRPr="0004521F" w:rsidRDefault="0004521F" w:rsidP="0004521F">
      <w:pPr>
        <w:pStyle w:val="Body"/>
      </w:pPr>
      <w:r w:rsidRPr="0004521F">
        <w:t>For colonised patients, an infectious diseases physician should be consulted to provide advice on the use of antimicrobials in situations such as prophylaxis for planned invasive procedures or when a patient is unwell with sepsis or is significantly immunosuppressed.</w:t>
      </w:r>
    </w:p>
    <w:p w14:paraId="3469D65E" w14:textId="77777777" w:rsidR="0004521F" w:rsidRPr="0004521F" w:rsidRDefault="0004521F" w:rsidP="0004521F">
      <w:pPr>
        <w:pStyle w:val="Body"/>
      </w:pPr>
      <w:r w:rsidRPr="0004521F">
        <w:t>Currently, there are no known proven interventions for decolonisation for CPOs.</w:t>
      </w:r>
    </w:p>
    <w:p w14:paraId="5B519988" w14:textId="77777777" w:rsidR="0004521F" w:rsidRPr="0004521F" w:rsidRDefault="0004521F" w:rsidP="00D91A49">
      <w:pPr>
        <w:pStyle w:val="Heading2"/>
        <w:rPr>
          <w:rFonts w:eastAsia="Times"/>
        </w:rPr>
      </w:pPr>
      <w:bookmarkStart w:id="74" w:name="_Toc108539930"/>
      <w:bookmarkStart w:id="75" w:name="_Toc149319560"/>
      <w:r w:rsidRPr="0004521F">
        <w:rPr>
          <w:rFonts w:eastAsia="Times"/>
        </w:rPr>
        <w:t>Antimicrobial stewardship</w:t>
      </w:r>
      <w:bookmarkEnd w:id="74"/>
      <w:bookmarkEnd w:id="75"/>
    </w:p>
    <w:p w14:paraId="647BD7E3" w14:textId="1AEAAF3E" w:rsidR="0004521F" w:rsidRPr="0004521F" w:rsidRDefault="0004521F" w:rsidP="0004521F">
      <w:pPr>
        <w:pStyle w:val="Body"/>
      </w:pPr>
      <w:r w:rsidRPr="0004521F">
        <w:t xml:space="preserve">Antimicrobial stewardship is a crucial aspect of the prevention of all multi-resistant organisms. </w:t>
      </w:r>
      <w:r w:rsidRPr="0004521F">
        <w:rPr>
          <w:i/>
          <w:iCs/>
        </w:rPr>
        <w:t xml:space="preserve">Australia’s National Antimicrobial Resistance Strategy – 2020 &amp; </w:t>
      </w:r>
      <w:proofErr w:type="gramStart"/>
      <w:r w:rsidRPr="0004521F">
        <w:rPr>
          <w:i/>
          <w:iCs/>
        </w:rPr>
        <w:t>Beyond</w:t>
      </w:r>
      <w:proofErr w:type="gramEnd"/>
      <w:r w:rsidRPr="0004521F">
        <w:t xml:space="preserve"> published in March 2020 outlines priority areas for action. This document is available on the </w:t>
      </w:r>
      <w:hyperlink r:id="rId54" w:history="1">
        <w:r w:rsidRPr="0004521F">
          <w:rPr>
            <w:rStyle w:val="Hyperlink"/>
          </w:rPr>
          <w:t>Australian Government’s website</w:t>
        </w:r>
      </w:hyperlink>
      <w:r w:rsidRPr="0004521F">
        <w:t xml:space="preserve"> &lt;www.amr.gov.au/resources/australias-national-antimicrobial-resistance-strategy-2020-and-beyond&gt;.</w:t>
      </w:r>
    </w:p>
    <w:p w14:paraId="7E16055D" w14:textId="77777777" w:rsidR="0004521F" w:rsidRPr="0004521F" w:rsidRDefault="0004521F" w:rsidP="0004521F">
      <w:pPr>
        <w:pStyle w:val="Body"/>
      </w:pPr>
      <w:r w:rsidRPr="0004521F">
        <w:t>All healthcare facilities must have an antimicrobial stewardship program that is appropriately monitored.</w:t>
      </w:r>
    </w:p>
    <w:p w14:paraId="2DD8C230" w14:textId="1BD4DD61" w:rsidR="0004521F" w:rsidRPr="0004521F" w:rsidRDefault="0004521F" w:rsidP="00D91A49">
      <w:pPr>
        <w:pStyle w:val="Heading2"/>
        <w:rPr>
          <w:rFonts w:eastAsia="Times"/>
        </w:rPr>
      </w:pPr>
      <w:bookmarkStart w:id="76" w:name="_Toc108539931"/>
      <w:bookmarkStart w:id="77" w:name="_Toc149319561"/>
      <w:r w:rsidRPr="0004521F">
        <w:rPr>
          <w:rFonts w:eastAsia="Times"/>
        </w:rPr>
        <w:t>Standard and transmission-based precautions</w:t>
      </w:r>
      <w:bookmarkEnd w:id="76"/>
      <w:bookmarkEnd w:id="77"/>
    </w:p>
    <w:p w14:paraId="6F9E7996" w14:textId="77777777" w:rsidR="0004521F" w:rsidRPr="0004521F" w:rsidRDefault="0004521F" w:rsidP="0004521F">
      <w:pPr>
        <w:pStyle w:val="Body"/>
      </w:pPr>
      <w:r w:rsidRPr="0004521F">
        <w:t>CPO require targeted interventions to prevent ongoing transmission in health services. Health services should have localised specific policies and procedures for the management of CPOs. General IPC measures are outlined below but will need to be contextualised for specific facilities considering such things as aims of care, for example, acute care vs rehabilitation, and resources, such as access to single rooms with own ensuites vs shared bedrooms and bathrooms.</w:t>
      </w:r>
    </w:p>
    <w:p w14:paraId="2DAB5AA4" w14:textId="77777777" w:rsidR="0004521F" w:rsidRPr="0004521F" w:rsidRDefault="0004521F" w:rsidP="0004521F">
      <w:pPr>
        <w:pStyle w:val="Body"/>
      </w:pPr>
      <w:r w:rsidRPr="0004521F">
        <w:t>Measures covered in CPO case management policies and procedures should include:</w:t>
      </w:r>
    </w:p>
    <w:p w14:paraId="21C115D4" w14:textId="77777777" w:rsidR="0004521F" w:rsidRPr="0004521F" w:rsidRDefault="0004521F" w:rsidP="00070500">
      <w:pPr>
        <w:pStyle w:val="Bullet1"/>
      </w:pPr>
      <w:r w:rsidRPr="0004521F">
        <w:t>patient placement</w:t>
      </w:r>
    </w:p>
    <w:p w14:paraId="076F2E1A" w14:textId="77777777" w:rsidR="0004521F" w:rsidRPr="0004521F" w:rsidRDefault="0004521F" w:rsidP="00070500">
      <w:pPr>
        <w:pStyle w:val="Bullet1"/>
      </w:pPr>
      <w:r w:rsidRPr="0004521F">
        <w:t>use of personal protective equipment</w:t>
      </w:r>
    </w:p>
    <w:p w14:paraId="4F4844E1" w14:textId="77777777" w:rsidR="0004521F" w:rsidRPr="0004521F" w:rsidRDefault="0004521F" w:rsidP="00070500">
      <w:pPr>
        <w:pStyle w:val="Bullet1"/>
      </w:pPr>
      <w:r w:rsidRPr="0004521F">
        <w:t>environmental cleaning and disinfection</w:t>
      </w:r>
    </w:p>
    <w:p w14:paraId="228756BD" w14:textId="77777777" w:rsidR="0004521F" w:rsidRPr="0004521F" w:rsidRDefault="0004521F" w:rsidP="00070500">
      <w:pPr>
        <w:pStyle w:val="Bullet1"/>
      </w:pPr>
      <w:r w:rsidRPr="0004521F">
        <w:t>management of shared patient equipment</w:t>
      </w:r>
    </w:p>
    <w:p w14:paraId="3D1752D3" w14:textId="77777777" w:rsidR="0004521F" w:rsidRPr="0004521F" w:rsidRDefault="0004521F" w:rsidP="00070500">
      <w:pPr>
        <w:pStyle w:val="Bullet1"/>
      </w:pPr>
      <w:r w:rsidRPr="0004521F">
        <w:t>communication of CPO status upon transfer or discharge</w:t>
      </w:r>
    </w:p>
    <w:p w14:paraId="42D12B0A" w14:textId="77777777" w:rsidR="0004521F" w:rsidRPr="0004521F" w:rsidRDefault="0004521F" w:rsidP="00070500">
      <w:pPr>
        <w:pStyle w:val="Bullet1"/>
      </w:pPr>
      <w:r w:rsidRPr="0004521F">
        <w:t>contact identification and management.</w:t>
      </w:r>
    </w:p>
    <w:p w14:paraId="7D693B51" w14:textId="77777777" w:rsidR="0023759E" w:rsidRDefault="0023759E">
      <w:pPr>
        <w:spacing w:after="0" w:line="240" w:lineRule="auto"/>
        <w:rPr>
          <w:rFonts w:eastAsia="Times"/>
        </w:rPr>
      </w:pPr>
      <w:r>
        <w:br w:type="page"/>
      </w:r>
    </w:p>
    <w:p w14:paraId="6D6CF5EC" w14:textId="3E23C5D4" w:rsidR="0004521F" w:rsidRPr="0004521F" w:rsidRDefault="0004521F" w:rsidP="00D91A49">
      <w:pPr>
        <w:pStyle w:val="Bodyafterbullets"/>
      </w:pPr>
      <w:r w:rsidRPr="0004521F">
        <w:lastRenderedPageBreak/>
        <w:t>The use of standard precautions is an essential IPC strategy for the successful minimisation of transmission of infections, including multi-resistant organisms. Adherence to standard precautions, in particular hand hygiene and cleaning of shared patient equipment, minimises the risk of transmission from patients unknown to be colonised with a multi-resistant organism.</w:t>
      </w:r>
    </w:p>
    <w:p w14:paraId="08235008" w14:textId="72A4668B" w:rsidR="0004521F" w:rsidRPr="0004521F" w:rsidRDefault="0004521F" w:rsidP="0004521F">
      <w:pPr>
        <w:pStyle w:val="Body"/>
      </w:pPr>
      <w:r w:rsidRPr="0004521F">
        <w:t xml:space="preserve">Transmission-based precautions implemented for CPO cases should be based on the best available evidence of transmission pathways. The current version of the </w:t>
      </w:r>
      <w:r w:rsidRPr="0004521F">
        <w:rPr>
          <w:i/>
        </w:rPr>
        <w:t>Australian Guidelines for the Prevention and Control of Infection in Healthcare</w:t>
      </w:r>
      <w:r w:rsidRPr="0004521F">
        <w:t xml:space="preserve"> outlines such measures required. This guideline can be found on the </w:t>
      </w:r>
      <w:hyperlink r:id="rId55" w:history="1">
        <w:r w:rsidRPr="0004521F">
          <w:rPr>
            <w:rStyle w:val="Hyperlink"/>
          </w:rPr>
          <w:t>National Health and Medical Research website</w:t>
        </w:r>
      </w:hyperlink>
      <w:r w:rsidRPr="0004521F">
        <w:t xml:space="preserve"> &lt;www.nhmrc.gov.au/about-us/publications/australian-guidelines-prevention-and-control-infection-healthcare-2019&gt;.</w:t>
      </w:r>
    </w:p>
    <w:p w14:paraId="4DC1E898" w14:textId="5AE6050E" w:rsidR="0004521F" w:rsidRPr="0004521F" w:rsidRDefault="0004521F" w:rsidP="0004521F">
      <w:pPr>
        <w:pStyle w:val="Body"/>
      </w:pPr>
      <w:r w:rsidRPr="0004521F">
        <w:t xml:space="preserve">CPO are primarily transmitted by direct or indirect contact. A risk assessment should be undertaken to determine if other transmission-based precautions are required, such as droplet precautions for a patient whose has copious </w:t>
      </w:r>
      <w:proofErr w:type="gramStart"/>
      <w:r w:rsidRPr="0004521F">
        <w:t>sputum</w:t>
      </w:r>
      <w:proofErr w:type="gramEnd"/>
      <w:r w:rsidRPr="0004521F">
        <w:t xml:space="preserve"> and their sputum is colonised with a CPO. At a minimum, contact precautions are required for the following patients:</w:t>
      </w:r>
    </w:p>
    <w:p w14:paraId="2304F712" w14:textId="77777777" w:rsidR="0004521F" w:rsidRPr="0004521F" w:rsidRDefault="0004521F" w:rsidP="00070500">
      <w:pPr>
        <w:pStyle w:val="Bullet1"/>
      </w:pPr>
      <w:r w:rsidRPr="0004521F">
        <w:t>suspected CPO cases</w:t>
      </w:r>
    </w:p>
    <w:p w14:paraId="10873DF1" w14:textId="77777777" w:rsidR="0004521F" w:rsidRPr="0004521F" w:rsidRDefault="0004521F" w:rsidP="00070500">
      <w:pPr>
        <w:pStyle w:val="Bullet1"/>
      </w:pPr>
      <w:r w:rsidRPr="0004521F">
        <w:t xml:space="preserve">confirmed CPO </w:t>
      </w:r>
      <w:proofErr w:type="gramStart"/>
      <w:r w:rsidRPr="0004521F">
        <w:t>cases</w:t>
      </w:r>
      <w:proofErr w:type="gramEnd"/>
    </w:p>
    <w:p w14:paraId="2F5FF635" w14:textId="77777777" w:rsidR="0004521F" w:rsidRPr="0004521F" w:rsidRDefault="0004521F" w:rsidP="00070500">
      <w:pPr>
        <w:pStyle w:val="Bullet1"/>
      </w:pPr>
      <w:r w:rsidRPr="0004521F">
        <w:t xml:space="preserve">room contacts until clearance criteria have been </w:t>
      </w:r>
      <w:proofErr w:type="gramStart"/>
      <w:r w:rsidRPr="0004521F">
        <w:t>met</w:t>
      </w:r>
      <w:proofErr w:type="gramEnd"/>
    </w:p>
    <w:p w14:paraId="0F7516D0" w14:textId="77777777" w:rsidR="0004521F" w:rsidRPr="0004521F" w:rsidRDefault="0004521F" w:rsidP="00070500">
      <w:pPr>
        <w:pStyle w:val="Bullet1"/>
      </w:pPr>
      <w:r w:rsidRPr="0004521F">
        <w:t>PRIS patients until clearance criteria have been met.</w:t>
      </w:r>
    </w:p>
    <w:p w14:paraId="19F8EEF3" w14:textId="77777777" w:rsidR="0004521F" w:rsidRPr="0004521F" w:rsidRDefault="0004521F" w:rsidP="00D91A49">
      <w:pPr>
        <w:pStyle w:val="Bodyafterbullets"/>
      </w:pPr>
      <w:r w:rsidRPr="0004521F">
        <w:t>Contact precautions apply to all healthcare settings except where specified below, usually lower acuity settings including subacute, rehabilitation and ambulatory care.</w:t>
      </w:r>
    </w:p>
    <w:p w14:paraId="7DF39B64" w14:textId="77777777" w:rsidR="0004521F" w:rsidRPr="0004521F" w:rsidRDefault="0004521F" w:rsidP="0004521F">
      <w:pPr>
        <w:pStyle w:val="Body"/>
      </w:pPr>
      <w:r w:rsidRPr="0004521F">
        <w:rPr>
          <w:i/>
        </w:rPr>
        <w:t>Note:</w:t>
      </w:r>
      <w:r w:rsidRPr="0004521F">
        <w:t xml:space="preserve"> Standard precautions</w:t>
      </w:r>
      <w:r w:rsidRPr="0004521F" w:rsidDel="0057749E">
        <w:t xml:space="preserve"> </w:t>
      </w:r>
      <w:r w:rsidRPr="0004521F">
        <w:t xml:space="preserve">are adequate for linen management, </w:t>
      </w:r>
      <w:proofErr w:type="gramStart"/>
      <w:r w:rsidRPr="0004521F">
        <w:t>crockery</w:t>
      </w:r>
      <w:proofErr w:type="gramEnd"/>
      <w:r w:rsidRPr="0004521F">
        <w:t xml:space="preserve"> and cutlery.</w:t>
      </w:r>
    </w:p>
    <w:p w14:paraId="059D5799" w14:textId="77777777" w:rsidR="0004521F" w:rsidRPr="0004521F" w:rsidRDefault="0004521F" w:rsidP="00D91A49">
      <w:pPr>
        <w:pStyle w:val="Heading2"/>
        <w:rPr>
          <w:rFonts w:eastAsia="Times"/>
        </w:rPr>
      </w:pPr>
      <w:bookmarkStart w:id="78" w:name="_Toc108539932"/>
      <w:bookmarkStart w:id="79" w:name="_Toc149319562"/>
      <w:r w:rsidRPr="0004521F">
        <w:rPr>
          <w:rFonts w:eastAsia="Times"/>
        </w:rPr>
        <w:t>Additional measures for consideration</w:t>
      </w:r>
      <w:bookmarkEnd w:id="78"/>
      <w:bookmarkEnd w:id="79"/>
    </w:p>
    <w:p w14:paraId="00363D43" w14:textId="77777777" w:rsidR="0004521F" w:rsidRPr="0004521F" w:rsidRDefault="0004521F" w:rsidP="00D91A49">
      <w:pPr>
        <w:pStyle w:val="Heading3"/>
      </w:pPr>
      <w:bookmarkStart w:id="80" w:name="_Patient_placement"/>
      <w:bookmarkEnd w:id="80"/>
      <w:r w:rsidRPr="0004521F">
        <w:t>Patient placement</w:t>
      </w:r>
    </w:p>
    <w:p w14:paraId="3BD8DB0D" w14:textId="52B9CD18" w:rsidR="0004521F" w:rsidRPr="0004521F" w:rsidRDefault="0004521F" w:rsidP="0004521F">
      <w:pPr>
        <w:pStyle w:val="Body"/>
      </w:pPr>
      <w:r w:rsidRPr="0004521F">
        <w:t xml:space="preserve">Preferably, patients with a CPO should be placed in a single room with their own ensuite. If this is not possible, highest priority for a single room should be given to CPO cases who have higher-risk factors for onwards transmission (see </w:t>
      </w:r>
      <w:r w:rsidR="00F97425">
        <w:t>Box</w:t>
      </w:r>
      <w:r w:rsidRPr="001E5E2F">
        <w:t xml:space="preserve"> 5</w:t>
      </w:r>
      <w:r w:rsidR="0003005C" w:rsidRPr="001E5E2F">
        <w:t xml:space="preserve">, </w:t>
      </w:r>
      <w:r w:rsidR="0003005C" w:rsidRPr="00B75F1E">
        <w:t>page 2</w:t>
      </w:r>
      <w:r w:rsidR="00B75F1E" w:rsidRPr="00B75F1E">
        <w:t>6</w:t>
      </w:r>
      <w:r w:rsidRPr="001E5E2F">
        <w:t>).</w:t>
      </w:r>
    </w:p>
    <w:p w14:paraId="095865E8" w14:textId="7B1E159B" w:rsidR="0004521F" w:rsidRPr="0004521F" w:rsidRDefault="0004521F" w:rsidP="0004521F">
      <w:pPr>
        <w:pStyle w:val="Body"/>
      </w:pPr>
      <w:r w:rsidRPr="0004521F">
        <w:t>When a single room is not available patient placement should be prioritised as below</w:t>
      </w:r>
      <w:r w:rsidR="007F0DE1">
        <w:t>.</w:t>
      </w:r>
    </w:p>
    <w:p w14:paraId="1F4A3187" w14:textId="6B7BB5C6" w:rsidR="0004521F" w:rsidRPr="00151AC9" w:rsidRDefault="007F0DE1" w:rsidP="00070500">
      <w:pPr>
        <w:pStyle w:val="DHHSnumberdigit"/>
        <w:numPr>
          <w:ilvl w:val="0"/>
          <w:numId w:val="10"/>
        </w:numPr>
        <w:rPr>
          <w:sz w:val="21"/>
          <w:szCs w:val="21"/>
        </w:rPr>
      </w:pPr>
      <w:r w:rsidRPr="00151AC9">
        <w:rPr>
          <w:sz w:val="21"/>
          <w:szCs w:val="21"/>
        </w:rPr>
        <w:t>S</w:t>
      </w:r>
      <w:r w:rsidR="0004521F" w:rsidRPr="00151AC9">
        <w:rPr>
          <w:sz w:val="21"/>
          <w:szCs w:val="21"/>
        </w:rPr>
        <w:t>ingle room with separate dedicated bathroom facilities</w:t>
      </w:r>
      <w:r w:rsidRPr="00151AC9">
        <w:rPr>
          <w:sz w:val="21"/>
          <w:szCs w:val="21"/>
        </w:rPr>
        <w:t>.</w:t>
      </w:r>
    </w:p>
    <w:p w14:paraId="7C5ABD04" w14:textId="03F96797" w:rsidR="0004521F" w:rsidRPr="00151AC9" w:rsidRDefault="007F0DE1" w:rsidP="00070500">
      <w:pPr>
        <w:pStyle w:val="DHHSnumberdigit"/>
        <w:numPr>
          <w:ilvl w:val="0"/>
          <w:numId w:val="10"/>
        </w:numPr>
        <w:rPr>
          <w:sz w:val="21"/>
          <w:szCs w:val="21"/>
        </w:rPr>
      </w:pPr>
      <w:r w:rsidRPr="00151AC9">
        <w:rPr>
          <w:sz w:val="21"/>
          <w:szCs w:val="21"/>
        </w:rPr>
        <w:t>S</w:t>
      </w:r>
      <w:r w:rsidR="0004521F" w:rsidRPr="00151AC9">
        <w:rPr>
          <w:sz w:val="21"/>
          <w:szCs w:val="21"/>
        </w:rPr>
        <w:t>ingle room with dedicated commode, but shared showering facilities</w:t>
      </w:r>
      <w:r w:rsidRPr="00151AC9">
        <w:rPr>
          <w:sz w:val="21"/>
          <w:szCs w:val="21"/>
        </w:rPr>
        <w:t>.</w:t>
      </w:r>
    </w:p>
    <w:p w14:paraId="40122C67" w14:textId="7778AC6C" w:rsidR="0004521F" w:rsidRPr="00151AC9" w:rsidRDefault="007F0DE1" w:rsidP="00070500">
      <w:pPr>
        <w:pStyle w:val="DHHSnumberdigit"/>
        <w:numPr>
          <w:ilvl w:val="0"/>
          <w:numId w:val="10"/>
        </w:numPr>
        <w:rPr>
          <w:sz w:val="21"/>
          <w:szCs w:val="21"/>
        </w:rPr>
      </w:pPr>
      <w:r w:rsidRPr="00151AC9">
        <w:rPr>
          <w:sz w:val="21"/>
          <w:szCs w:val="21"/>
        </w:rPr>
        <w:t>S</w:t>
      </w:r>
      <w:r w:rsidR="0004521F" w:rsidRPr="00151AC9">
        <w:rPr>
          <w:sz w:val="21"/>
          <w:szCs w:val="21"/>
        </w:rPr>
        <w:t>hared room with dedicated commode and shared showering facilities.</w:t>
      </w:r>
    </w:p>
    <w:p w14:paraId="143E3F44" w14:textId="46ECBD4B" w:rsidR="0004521F" w:rsidRPr="0004521F" w:rsidRDefault="0004521F" w:rsidP="00D91A49">
      <w:pPr>
        <w:pStyle w:val="Bodyafterbullets"/>
      </w:pPr>
      <w:r w:rsidRPr="0004521F">
        <w:t>Patients with the same strain of CPO can be cohorted in the same room</w:t>
      </w:r>
      <w:r w:rsidR="000B4F61">
        <w:t xml:space="preserve"> </w:t>
      </w:r>
      <w:r w:rsidR="00A2017D">
        <w:t xml:space="preserve">unless one of them has </w:t>
      </w:r>
      <w:r w:rsidR="000B4F61" w:rsidRPr="000B4F61">
        <w:t>any other MRO or infectious disease</w:t>
      </w:r>
      <w:r w:rsidR="00A2017D">
        <w:t xml:space="preserve"> that require precautions. F</w:t>
      </w:r>
      <w:r w:rsidR="000B4F61">
        <w:t>or example, vancomycin resistant Enterococcus (VRE) or a</w:t>
      </w:r>
      <w:r w:rsidR="00A2017D">
        <w:t>n acute</w:t>
      </w:r>
      <w:r w:rsidR="000B4F61">
        <w:t xml:space="preserve"> respiratory illness</w:t>
      </w:r>
      <w:r w:rsidR="00A2017D">
        <w:t xml:space="preserve"> would be considered another MRO or infectious disease</w:t>
      </w:r>
      <w:r w:rsidRPr="0004521F">
        <w:t>.</w:t>
      </w:r>
      <w:r w:rsidR="00E85343">
        <w:t xml:space="preserve"> </w:t>
      </w:r>
      <w:r w:rsidR="00A2017D">
        <w:t xml:space="preserve">It is preferable that </w:t>
      </w:r>
      <w:r w:rsidR="00E4329B">
        <w:t xml:space="preserve">patients with the same </w:t>
      </w:r>
      <w:proofErr w:type="gramStart"/>
      <w:r w:rsidR="00E4329B">
        <w:t>organism</w:t>
      </w:r>
      <w:proofErr w:type="gramEnd"/>
      <w:r w:rsidR="00E4329B">
        <w:t xml:space="preserve"> but different resistance genes should not be cohorted either</w:t>
      </w:r>
      <w:r w:rsidR="00A71D54">
        <w:t>.</w:t>
      </w:r>
    </w:p>
    <w:p w14:paraId="330DD0FF" w14:textId="77777777" w:rsidR="0004521F" w:rsidRPr="0004521F" w:rsidRDefault="0004521F" w:rsidP="0004521F">
      <w:pPr>
        <w:pStyle w:val="Body"/>
      </w:pPr>
      <w:r w:rsidRPr="0004521F">
        <w:t>Clear signage should be visible to alert healthcare workers of required precautions before entering the room or patient zone.</w:t>
      </w:r>
    </w:p>
    <w:p w14:paraId="2C43CF1B" w14:textId="77777777" w:rsidR="00FA4A77" w:rsidRDefault="00FA4A77" w:rsidP="00FA4A77">
      <w:pPr>
        <w:pStyle w:val="Body"/>
      </w:pPr>
      <w:r>
        <w:br w:type="page"/>
      </w:r>
    </w:p>
    <w:p w14:paraId="34179071" w14:textId="0C86D91C" w:rsidR="0004521F" w:rsidRPr="0004521F" w:rsidRDefault="0004521F" w:rsidP="00D91A49">
      <w:pPr>
        <w:pStyle w:val="Heading3"/>
      </w:pPr>
      <w:r w:rsidRPr="0004521F">
        <w:lastRenderedPageBreak/>
        <w:t>Cohorting of patients and/or staff</w:t>
      </w:r>
    </w:p>
    <w:p w14:paraId="070D15AC" w14:textId="77777777" w:rsidR="0004521F" w:rsidRPr="0004521F" w:rsidRDefault="0004521F" w:rsidP="0004521F">
      <w:pPr>
        <w:pStyle w:val="Body"/>
      </w:pPr>
      <w:r w:rsidRPr="0004521F">
        <w:t>When there is local transmission, a risk assessment by the HSIMT should consider the value of staff and patient cohorting. If staff cohorting is enacted, priority should be given to cohorting nursing staff, allied health professionals and patient care attendants. If considering patient cohorting, only patients with the same strain of CPO should be cohorted together. This is only recommended when there are insufficient single rooms for instance in the case of endemic situations or where cohorting of patients colonised with the same strain is necessary for more efficient use of hospital rooms and resources.</w:t>
      </w:r>
    </w:p>
    <w:p w14:paraId="1C051A10" w14:textId="77777777" w:rsidR="0004521F" w:rsidRPr="0004521F" w:rsidRDefault="0004521F" w:rsidP="00D91A49">
      <w:pPr>
        <w:pStyle w:val="Heading3"/>
      </w:pPr>
      <w:r w:rsidRPr="0004521F">
        <w:t>Movement of patients</w:t>
      </w:r>
    </w:p>
    <w:p w14:paraId="0AC5A298" w14:textId="0326C269" w:rsidR="0004521F" w:rsidRPr="0004521F" w:rsidRDefault="0004521F" w:rsidP="0004521F">
      <w:pPr>
        <w:pStyle w:val="Body"/>
      </w:pPr>
      <w:r w:rsidRPr="0004521F">
        <w:t xml:space="preserve">Patients with a CPO should be strongly encouraged to </w:t>
      </w:r>
      <w:r w:rsidR="00996008" w:rsidRPr="0004521F">
        <w:t>stay within their room</w:t>
      </w:r>
      <w:r w:rsidRPr="0004521F">
        <w:t>. If it is necessary to attend other clinical areas for diagnostic tests or procedures transmission-based precautions must be maintained</w:t>
      </w:r>
      <w:r w:rsidR="00F32CE0">
        <w:t xml:space="preserve"> and schedule their procedure last in the day where feasible without compromising patient care</w:t>
      </w:r>
      <w:r w:rsidRPr="0004521F">
        <w:t>. Clinical areas receiving patients for procedures or investigations should be advised well in advance of patient arrival to enable adequate preparation to manage a CPO case, for example, to allow enough time to perform environmental cleaning and disinfection before the next patient.</w:t>
      </w:r>
    </w:p>
    <w:p w14:paraId="5AFB5F55" w14:textId="4741D5ED" w:rsidR="0004521F" w:rsidRPr="0004521F" w:rsidRDefault="0004521F" w:rsidP="0004521F">
      <w:pPr>
        <w:pStyle w:val="Body"/>
      </w:pPr>
      <w:r w:rsidRPr="0004521F">
        <w:t xml:space="preserve">Patients should avoid using toilets outside their room </w:t>
      </w:r>
      <w:r w:rsidR="00996008" w:rsidRPr="0004521F">
        <w:t>however,</w:t>
      </w:r>
      <w:r w:rsidRPr="0004521F">
        <w:t xml:space="preserve"> if necessary, staff should ensure cleaning and disinfection occurs after toilet use or that a commode is used where possible which must also be cleaned and disinfected afterwards.</w:t>
      </w:r>
    </w:p>
    <w:p w14:paraId="78852FF8" w14:textId="77777777" w:rsidR="0004521F" w:rsidRPr="0004521F" w:rsidRDefault="0004521F" w:rsidP="00D91A49">
      <w:pPr>
        <w:pStyle w:val="Heading3"/>
      </w:pPr>
      <w:r w:rsidRPr="0004521F">
        <w:t>Environmental cleaning and disinfection</w:t>
      </w:r>
    </w:p>
    <w:p w14:paraId="288E331C" w14:textId="0551DC0A" w:rsidR="0004521F" w:rsidRPr="0004521F" w:rsidRDefault="0004521F" w:rsidP="0004521F">
      <w:pPr>
        <w:pStyle w:val="Body"/>
      </w:pPr>
      <w:r w:rsidRPr="0004521F">
        <w:t>Healthcare facilities should have environment</w:t>
      </w:r>
      <w:r w:rsidR="006A7CED">
        <w:t>al</w:t>
      </w:r>
      <w:r w:rsidRPr="0004521F">
        <w:t xml:space="preserve"> cleaning and disinfection policies and procedures that include guidance for environmental management of rooms of patients with a CPO. Guidance should include:</w:t>
      </w:r>
    </w:p>
    <w:p w14:paraId="724B6FF1" w14:textId="77777777" w:rsidR="0004521F" w:rsidRPr="0004521F" w:rsidRDefault="0004521F" w:rsidP="00070500">
      <w:pPr>
        <w:pStyle w:val="Bullet1"/>
      </w:pPr>
      <w:r w:rsidRPr="0004521F">
        <w:t>product selection and use</w:t>
      </w:r>
    </w:p>
    <w:p w14:paraId="53126849" w14:textId="77777777" w:rsidR="0004521F" w:rsidRPr="0004521F" w:rsidRDefault="0004521F" w:rsidP="00070500">
      <w:pPr>
        <w:pStyle w:val="Bullet1"/>
      </w:pPr>
      <w:r w:rsidRPr="0004521F">
        <w:t>frequency of cleaning and disinfection for the patient’s room and bathroom, including frequently touched surfaces</w:t>
      </w:r>
    </w:p>
    <w:p w14:paraId="04379C8E" w14:textId="77777777" w:rsidR="0004521F" w:rsidRPr="0004521F" w:rsidRDefault="0004521F" w:rsidP="00070500">
      <w:pPr>
        <w:pStyle w:val="Bullet1"/>
      </w:pPr>
      <w:r w:rsidRPr="0004521F">
        <w:t>discharge cleaning and disinfection requirements.</w:t>
      </w:r>
    </w:p>
    <w:p w14:paraId="647D9381" w14:textId="77777777" w:rsidR="0004521F" w:rsidRPr="0004521F" w:rsidRDefault="0004521F" w:rsidP="00D91A49">
      <w:pPr>
        <w:pStyle w:val="Bodyafterbullets"/>
      </w:pPr>
      <w:r w:rsidRPr="0004521F">
        <w:t>If using a no-touch method of surface disinfection (for example, ultraviolet [UV-C] or hydrogen peroxide vapour) prior cleaning is required. When there is ongoing transmission, healthcare facilities should strongly consider the use of no-touch methods for discharge disinfection.</w:t>
      </w:r>
    </w:p>
    <w:p w14:paraId="4090A43D" w14:textId="77777777" w:rsidR="0004521F" w:rsidRPr="0004521F" w:rsidRDefault="0004521F" w:rsidP="00D91A49">
      <w:pPr>
        <w:pStyle w:val="Heading3"/>
      </w:pPr>
      <w:r w:rsidRPr="0004521F">
        <w:t>Limiting ward activity and ward closure</w:t>
      </w:r>
    </w:p>
    <w:p w14:paraId="07F992FA" w14:textId="6D720758" w:rsidR="0004521F" w:rsidRPr="0004521F" w:rsidRDefault="0004521F" w:rsidP="0004521F">
      <w:pPr>
        <w:pStyle w:val="Body"/>
        <w:rPr>
          <w:bCs/>
        </w:rPr>
      </w:pPr>
      <w:r w:rsidRPr="0004521F">
        <w:t>If, after implementation of initial control measures, there is ongoing transmission consideration may need to be given to closure of an affected ward to new admissions.</w:t>
      </w:r>
    </w:p>
    <w:p w14:paraId="0C8839FE" w14:textId="77777777" w:rsidR="0004521F" w:rsidRPr="0004521F" w:rsidRDefault="0004521F" w:rsidP="00D91A49">
      <w:pPr>
        <w:pStyle w:val="Heading2"/>
        <w:rPr>
          <w:rFonts w:eastAsia="Times"/>
        </w:rPr>
      </w:pPr>
      <w:bookmarkStart w:id="81" w:name="_Toc108539933"/>
      <w:bookmarkStart w:id="82" w:name="_Toc149319563"/>
      <w:r w:rsidRPr="0004521F">
        <w:rPr>
          <w:rFonts w:eastAsia="Times"/>
        </w:rPr>
        <w:t>Subacute or rehabilitation healthcare setting</w:t>
      </w:r>
      <w:bookmarkEnd w:id="81"/>
      <w:bookmarkEnd w:id="82"/>
    </w:p>
    <w:p w14:paraId="61258F73" w14:textId="77777777" w:rsidR="0004521F" w:rsidRPr="0004521F" w:rsidRDefault="0004521F" w:rsidP="0004521F">
      <w:pPr>
        <w:pStyle w:val="Body"/>
      </w:pPr>
      <w:r w:rsidRPr="0004521F">
        <w:t>Patient care activities in the subacute or rehabilitation healthcare setting are different from those in the acute healthcare setting. Patients are generally more ambulant and frequently participate in group activities or attend communal areas such as gymnasiums. In this lower acuity setting the application of some of the above IPC precautions can be modified to allow CPO cases to participate in rehabilitation activities as indicated below.</w:t>
      </w:r>
    </w:p>
    <w:p w14:paraId="78FD283C" w14:textId="77777777" w:rsidR="0004521F" w:rsidRPr="0004521F" w:rsidRDefault="0004521F" w:rsidP="00D91A49">
      <w:pPr>
        <w:pStyle w:val="Heading3"/>
      </w:pPr>
      <w:r w:rsidRPr="0004521F">
        <w:lastRenderedPageBreak/>
        <w:t>PPE</w:t>
      </w:r>
    </w:p>
    <w:p w14:paraId="22FD707F" w14:textId="77777777" w:rsidR="0004521F" w:rsidRPr="0004521F" w:rsidRDefault="0004521F" w:rsidP="0004521F">
      <w:pPr>
        <w:pStyle w:val="Body"/>
      </w:pPr>
      <w:r w:rsidRPr="0004521F">
        <w:t>At a minimum, staff should use a gown or apron and gloves when attending to a patient’s personal care, such as showering and toileting. Each facility should conduct their own risk assessment to determine if they require staff to always wear a gown/apron and gloves whenever entering the patient’s room. The risk assessment should be based on the following factors.</w:t>
      </w:r>
    </w:p>
    <w:p w14:paraId="6FD184C9" w14:textId="6A503108" w:rsidR="0004521F" w:rsidRPr="0004521F" w:rsidRDefault="00740344" w:rsidP="00070500">
      <w:pPr>
        <w:pStyle w:val="Bullet1"/>
      </w:pPr>
      <w:r>
        <w:t>A</w:t>
      </w:r>
      <w:r w:rsidR="0004521F" w:rsidRPr="0004521F">
        <w:t>cuity of the patients within the facility.</w:t>
      </w:r>
    </w:p>
    <w:p w14:paraId="53E00C41" w14:textId="5D18078F" w:rsidR="0004521F" w:rsidRPr="0004521F" w:rsidRDefault="00740344" w:rsidP="00070500">
      <w:pPr>
        <w:pStyle w:val="Bullet1"/>
      </w:pPr>
      <w:r>
        <w:t>L</w:t>
      </w:r>
      <w:r w:rsidR="0004521F" w:rsidRPr="0004521F">
        <w:t>ocation of the ward or facility (for example, stand-alone rehabilitation facility vs rehabilitation ward co-located with acute care wards).</w:t>
      </w:r>
    </w:p>
    <w:p w14:paraId="5542EF8E" w14:textId="6AE9A99D" w:rsidR="0004521F" w:rsidRPr="0004521F" w:rsidRDefault="0004521F" w:rsidP="00070500">
      <w:pPr>
        <w:pStyle w:val="Bullet1"/>
      </w:pPr>
      <w:r w:rsidRPr="0004521F">
        <w:t>Individual risk factors of the CPO case (for example, patient has risk factors for onwards transmission).</w:t>
      </w:r>
    </w:p>
    <w:p w14:paraId="03ED018B" w14:textId="77777777" w:rsidR="0004521F" w:rsidRPr="0004521F" w:rsidRDefault="0004521F" w:rsidP="00740344">
      <w:pPr>
        <w:pStyle w:val="Bodyafterbullets"/>
      </w:pPr>
      <w:r w:rsidRPr="0004521F">
        <w:t>When there is ongoing transmission a long-sleeved gown and gloves must be worn by staff whenever entering the patient’s room.</w:t>
      </w:r>
    </w:p>
    <w:p w14:paraId="3660D4A3" w14:textId="77777777" w:rsidR="0004521F" w:rsidRPr="0004521F" w:rsidRDefault="0004521F" w:rsidP="0004521F">
      <w:pPr>
        <w:pStyle w:val="Body"/>
      </w:pPr>
      <w:r w:rsidRPr="0004521F">
        <w:t>Visitors are not required to wear a gown and gloves unless assisting with patient care for example showering, toileting. After exiting the room, visitors should be discouraged from visiting other patients in the health service.</w:t>
      </w:r>
    </w:p>
    <w:p w14:paraId="3BCA5253" w14:textId="77777777" w:rsidR="0004521F" w:rsidRPr="0004521F" w:rsidRDefault="0004521F" w:rsidP="00D91A49">
      <w:pPr>
        <w:pStyle w:val="Heading4"/>
      </w:pPr>
      <w:r w:rsidRPr="0004521F">
        <w:t>Use of PPE during activities outside the patient’s room</w:t>
      </w:r>
    </w:p>
    <w:p w14:paraId="5BC4FD36" w14:textId="77777777" w:rsidR="0004521F" w:rsidRPr="0004521F" w:rsidRDefault="0004521F" w:rsidP="0004521F">
      <w:pPr>
        <w:pStyle w:val="Body"/>
      </w:pPr>
      <w:r w:rsidRPr="0004521F">
        <w:t>Staff conducting group activities or one-to-one sessions (for example, a physiotherapist) where minimal physical contact occurs do not need to wear additional PPE, unless providing close personal care, such as toileting, where clothes may become contaminated.</w:t>
      </w:r>
    </w:p>
    <w:p w14:paraId="2F32F043" w14:textId="77777777" w:rsidR="0004521F" w:rsidRPr="0004521F" w:rsidRDefault="0004521F" w:rsidP="00D91A49">
      <w:pPr>
        <w:pStyle w:val="Heading3"/>
      </w:pPr>
      <w:r w:rsidRPr="0004521F">
        <w:t>Movement of patients/participation in group activities</w:t>
      </w:r>
    </w:p>
    <w:p w14:paraId="5038068B" w14:textId="5037E431" w:rsidR="0004521F" w:rsidRPr="0004521F" w:rsidRDefault="0004521F" w:rsidP="0004521F">
      <w:pPr>
        <w:pStyle w:val="Body"/>
      </w:pPr>
      <w:r w:rsidRPr="0004521F">
        <w:t xml:space="preserve">Unless a patient is unwell (for example, </w:t>
      </w:r>
      <w:r w:rsidR="00E44C16">
        <w:t xml:space="preserve">has </w:t>
      </w:r>
      <w:r w:rsidRPr="0004521F">
        <w:t>diarrhoea)</w:t>
      </w:r>
      <w:r w:rsidR="00F6013D">
        <w:t xml:space="preserve"> </w:t>
      </w:r>
      <w:r w:rsidR="00064F30">
        <w:t xml:space="preserve">or there are other complicating risk factors </w:t>
      </w:r>
      <w:r w:rsidR="00CC3F9A">
        <w:t>(</w:t>
      </w:r>
      <w:r w:rsidR="00064F30">
        <w:t>for example</w:t>
      </w:r>
      <w:r w:rsidR="00A40B16">
        <w:t xml:space="preserve">, the patient has uncontainable </w:t>
      </w:r>
      <w:r w:rsidR="00E30353">
        <w:t>faecal</w:t>
      </w:r>
      <w:r w:rsidR="00A40B16">
        <w:t xml:space="preserve"> inco</w:t>
      </w:r>
      <w:r w:rsidR="00E30353">
        <w:t>ntinence</w:t>
      </w:r>
      <w:r w:rsidR="00CC3F9A">
        <w:t>)</w:t>
      </w:r>
      <w:r w:rsidRPr="0004521F">
        <w:t xml:space="preserve"> they may freely attend shared areas such as the dining room, and group activities. Patients should be educated to perform hand hygiene whenever they leave their room and when entering a communal area. If a patient is unable to adequately perform hand hygiene staff should assist. Patients’ personal hygiene should be </w:t>
      </w:r>
      <w:r w:rsidR="001533B5" w:rsidRPr="0004521F">
        <w:t>maintained,</w:t>
      </w:r>
      <w:r w:rsidRPr="0004521F">
        <w:t xml:space="preserve"> and clean clothes worn when outside their room. Ensure wounds are covered with a dressing that contains any ooze.</w:t>
      </w:r>
    </w:p>
    <w:p w14:paraId="105FD1EC" w14:textId="77777777" w:rsidR="0004521F" w:rsidRPr="0004521F" w:rsidRDefault="0004521F" w:rsidP="0004521F">
      <w:pPr>
        <w:pStyle w:val="Body"/>
      </w:pPr>
      <w:r w:rsidRPr="0004521F">
        <w:t>Avoid using toilets outside the patient’s room however if it is necessary, ensure cleaning and disinfection occurs after toilet use, or use a commode where possible which must also be cleaned and disinfected afterwards.</w:t>
      </w:r>
    </w:p>
    <w:p w14:paraId="470512E4" w14:textId="77777777" w:rsidR="0004521F" w:rsidRPr="0004521F" w:rsidRDefault="0004521F" w:rsidP="00D91A49">
      <w:pPr>
        <w:pStyle w:val="Heading3"/>
      </w:pPr>
      <w:r w:rsidRPr="0004521F">
        <w:t>Equipment and instruments/devices</w:t>
      </w:r>
    </w:p>
    <w:p w14:paraId="28B28B99" w14:textId="77777777" w:rsidR="0004521F" w:rsidRPr="0004521F" w:rsidRDefault="0004521F" w:rsidP="0004521F">
      <w:pPr>
        <w:pStyle w:val="Body"/>
      </w:pPr>
      <w:r w:rsidRPr="0004521F">
        <w:t>Equipment used in groups activities (for example, gymnasium equipment, weights) should be wiped over with a detergent/disinfectant wipe after use by each patient.</w:t>
      </w:r>
    </w:p>
    <w:p w14:paraId="64A22D18" w14:textId="77777777" w:rsidR="0004521F" w:rsidRPr="0004521F" w:rsidRDefault="0004521F" w:rsidP="00D91A49">
      <w:pPr>
        <w:pStyle w:val="Heading3"/>
      </w:pPr>
      <w:r w:rsidRPr="0004521F">
        <w:t>Environmental cleaning</w:t>
      </w:r>
    </w:p>
    <w:p w14:paraId="3CA8DA9E" w14:textId="25B869DC" w:rsidR="00D71E36" w:rsidRDefault="0004521F" w:rsidP="0004521F">
      <w:pPr>
        <w:pStyle w:val="Body"/>
      </w:pPr>
      <w:r w:rsidRPr="0004521F">
        <w:t>Environmental cleaning and disinfection of communal areas, such as gymnasiums, should also be increased when there is ongoing local transmission.</w:t>
      </w:r>
    </w:p>
    <w:p w14:paraId="2EC1D6B1" w14:textId="77777777" w:rsidR="00D71E36" w:rsidRDefault="00D71E36">
      <w:pPr>
        <w:spacing w:after="0" w:line="240" w:lineRule="auto"/>
        <w:rPr>
          <w:rFonts w:eastAsia="Times"/>
        </w:rPr>
      </w:pPr>
      <w:r>
        <w:br w:type="page"/>
      </w:r>
    </w:p>
    <w:p w14:paraId="34D7C4A1" w14:textId="77777777" w:rsidR="0004521F" w:rsidRPr="0004521F" w:rsidRDefault="0004521F" w:rsidP="00D91A49">
      <w:pPr>
        <w:pStyle w:val="Heading2"/>
        <w:rPr>
          <w:rFonts w:eastAsia="Times"/>
        </w:rPr>
      </w:pPr>
      <w:bookmarkStart w:id="83" w:name="_Toc108539934"/>
      <w:bookmarkStart w:id="84" w:name="_Toc149319564"/>
      <w:r w:rsidRPr="0004521F">
        <w:rPr>
          <w:rFonts w:eastAsia="Times"/>
        </w:rPr>
        <w:lastRenderedPageBreak/>
        <w:t>Ambulatory healthcare settings</w:t>
      </w:r>
      <w:bookmarkEnd w:id="83"/>
      <w:bookmarkEnd w:id="84"/>
    </w:p>
    <w:p w14:paraId="549F172C" w14:textId="77777777" w:rsidR="0004521F" w:rsidRPr="0004521F" w:rsidRDefault="0004521F" w:rsidP="0004521F">
      <w:pPr>
        <w:pStyle w:val="Body"/>
      </w:pPr>
      <w:proofErr w:type="gramStart"/>
      <w:r w:rsidRPr="0004521F">
        <w:t>For the purpose of</w:t>
      </w:r>
      <w:proofErr w:type="gramEnd"/>
      <w:r w:rsidRPr="0004521F">
        <w:t xml:space="preserve"> this guideline, ambulatory healthcare settings include haemodialysis and day oncology units but does not include outpatient clinics. Patients are generally only admitted for a few hours and access to single rooms is often limited. In this setting, the application of some of the above IPC precautions noted for acute-care settings may be difficult and require modification.</w:t>
      </w:r>
    </w:p>
    <w:p w14:paraId="7648E625" w14:textId="77777777" w:rsidR="0004521F" w:rsidRPr="0004521F" w:rsidRDefault="0004521F" w:rsidP="00D91A49">
      <w:pPr>
        <w:pStyle w:val="Heading3"/>
      </w:pPr>
      <w:r w:rsidRPr="0004521F">
        <w:t>Patient placement</w:t>
      </w:r>
    </w:p>
    <w:p w14:paraId="65B2209C" w14:textId="6A077349" w:rsidR="0004521F" w:rsidRPr="0004521F" w:rsidRDefault="0004521F" w:rsidP="0004521F">
      <w:pPr>
        <w:pStyle w:val="Body"/>
      </w:pPr>
      <w:r w:rsidRPr="0004521F">
        <w:t>The principles of patient placement outlined previously should be applied wherever possible. If none of these options are available then patients with a CPO should be placed away from other patients (for example, at the end of the row) and a toilet or commode should be dedicated to the patient for the duration of their day admission.</w:t>
      </w:r>
      <w:r w:rsidR="00C66030">
        <w:t xml:space="preserve"> Any </w:t>
      </w:r>
      <w:r w:rsidR="006F6281">
        <w:t xml:space="preserve">toilets </w:t>
      </w:r>
      <w:r w:rsidR="001D2046">
        <w:t>and/</w:t>
      </w:r>
      <w:r w:rsidR="006F6281">
        <w:t xml:space="preserve">or </w:t>
      </w:r>
      <w:r w:rsidR="001D2046">
        <w:t>equipment</w:t>
      </w:r>
      <w:r w:rsidR="006F6281">
        <w:t xml:space="preserve"> dedicated for their use during their </w:t>
      </w:r>
      <w:r w:rsidR="006C54C2">
        <w:t>admission must be cleaned and disinfected prior to reuse.</w:t>
      </w:r>
    </w:p>
    <w:p w14:paraId="7D99F495" w14:textId="77777777" w:rsidR="0004521F" w:rsidRPr="0004521F" w:rsidRDefault="0004521F" w:rsidP="00D91A49">
      <w:pPr>
        <w:pStyle w:val="Heading3"/>
      </w:pPr>
      <w:r w:rsidRPr="0004521F">
        <w:t>PPE</w:t>
      </w:r>
    </w:p>
    <w:p w14:paraId="1648F842" w14:textId="3DC34687" w:rsidR="0004521F" w:rsidRPr="0004521F" w:rsidRDefault="0004521F" w:rsidP="0004521F">
      <w:pPr>
        <w:pStyle w:val="Body"/>
      </w:pPr>
      <w:r w:rsidRPr="0004521F">
        <w:t>A gown or apron and gloves should be worn when undertaking procedures or assisting a patient to toilet. Staff should remember to always remove the gown/apron and gloves before exiting the immediate patient care area. Gloves must</w:t>
      </w:r>
      <w:r w:rsidR="00740344">
        <w:t xml:space="preserve"> also</w:t>
      </w:r>
      <w:r w:rsidRPr="0004521F">
        <w:t xml:space="preserve"> be changed </w:t>
      </w:r>
      <w:r w:rsidR="00740344" w:rsidRPr="00740344">
        <w:rPr>
          <w:b/>
          <w:bCs/>
        </w:rPr>
        <w:t>during</w:t>
      </w:r>
      <w:r w:rsidR="00740344">
        <w:t xml:space="preserve"> patient care episodes </w:t>
      </w:r>
      <w:r w:rsidRPr="0004521F">
        <w:t>in accordance with the five moments of hand hygiene</w:t>
      </w:r>
      <w:r w:rsidR="00740344">
        <w:t>, as well as between caring for different patients.</w:t>
      </w:r>
    </w:p>
    <w:p w14:paraId="0868C6D5" w14:textId="77777777" w:rsidR="0004521F" w:rsidRPr="0004521F" w:rsidRDefault="0004521F" w:rsidP="00D91A49">
      <w:pPr>
        <w:pStyle w:val="Heading2"/>
        <w:rPr>
          <w:rFonts w:eastAsia="Times"/>
        </w:rPr>
      </w:pPr>
      <w:bookmarkStart w:id="85" w:name="_Toc108539935"/>
      <w:bookmarkStart w:id="86" w:name="_Toc149319565"/>
      <w:r w:rsidRPr="0004521F">
        <w:rPr>
          <w:rFonts w:eastAsia="Times"/>
        </w:rPr>
        <w:t>Hydrotherapy</w:t>
      </w:r>
      <w:bookmarkEnd w:id="85"/>
      <w:bookmarkEnd w:id="86"/>
    </w:p>
    <w:p w14:paraId="36A09E77" w14:textId="00FCF9A9" w:rsidR="0004521F" w:rsidRPr="0004521F" w:rsidRDefault="0004521F" w:rsidP="0004521F">
      <w:pPr>
        <w:pStyle w:val="Body"/>
      </w:pPr>
      <w:r w:rsidRPr="0004521F">
        <w:t xml:space="preserve">Patients with a CPO may be required to access hydrotherapy pools as part of their rehabilitation program. Such patients should be permitted to attend a hydrotherapy pool and not be excluded merely because they are colonised or infected with a CPO. A risk assessment of patients should be conducted prior to their use of the hydrotherapy pool. </w:t>
      </w:r>
      <w:r w:rsidR="00B015A8">
        <w:t xml:space="preserve">This should include assessment of continence and </w:t>
      </w:r>
      <w:r w:rsidR="00BC5CBA">
        <w:t xml:space="preserve">presence of </w:t>
      </w:r>
      <w:r w:rsidR="00B015A8">
        <w:t>wounds.</w:t>
      </w:r>
      <w:r w:rsidR="00BC5CBA">
        <w:t xml:space="preserve"> </w:t>
      </w:r>
      <w:r w:rsidRPr="0004521F">
        <w:t>At times, a patient’s access to the pool may need to be deferred, for example, when they are incontinent of faeces.</w:t>
      </w:r>
    </w:p>
    <w:p w14:paraId="4AEC00D7" w14:textId="68EAB9C2" w:rsidR="0004521F" w:rsidRPr="0004521F" w:rsidRDefault="0004521F" w:rsidP="0004521F">
      <w:pPr>
        <w:pStyle w:val="Body"/>
      </w:pPr>
      <w:r w:rsidRPr="0004521F">
        <w:t xml:space="preserve">Aquatic facilities, such as hydrotherapy pools, must comply with the Public Health and Wellbeing Regulations 2019. All facilities must have a water quality risk management plan. Further information about aquatic facility requirements can be found on the </w:t>
      </w:r>
      <w:hyperlink r:id="rId56" w:history="1">
        <w:r w:rsidRPr="0004521F">
          <w:rPr>
            <w:rStyle w:val="Hyperlink"/>
          </w:rPr>
          <w:t>department’s website</w:t>
        </w:r>
      </w:hyperlink>
      <w:r w:rsidRPr="0004521F">
        <w:t xml:space="preserve"> &lt;</w:t>
      </w:r>
      <w:r w:rsidR="00FF2880" w:rsidRPr="00FF2880">
        <w:t>www.health.vic.gov.au/water/aquatic-facilities</w:t>
      </w:r>
      <w:r w:rsidRPr="0004521F">
        <w:t>&gt;.</w:t>
      </w:r>
    </w:p>
    <w:p w14:paraId="5AE90821" w14:textId="7DFD1564" w:rsidR="0004521F" w:rsidRPr="0004521F" w:rsidRDefault="0004521F" w:rsidP="0004521F">
      <w:pPr>
        <w:pStyle w:val="Body"/>
      </w:pPr>
      <w:r w:rsidRPr="0004521F">
        <w:t xml:space="preserve">Further information about infection control precautions for hydrotherapy pools and management of patients can be found in the Australian Physiotherapy Association </w:t>
      </w:r>
      <w:r w:rsidRPr="0004521F">
        <w:rPr>
          <w:i/>
          <w:iCs/>
        </w:rPr>
        <w:t>Australian guidelines for aquatic physiotherapists working in and/or managing hydrotherapy pools</w:t>
      </w:r>
      <w:r w:rsidRPr="0004521F">
        <w:t xml:space="preserve">, second edition, 2015. Download this document from the </w:t>
      </w:r>
      <w:hyperlink r:id="rId57" w:history="1">
        <w:r w:rsidRPr="0004521F">
          <w:rPr>
            <w:rStyle w:val="Hyperlink"/>
          </w:rPr>
          <w:t>APA website</w:t>
        </w:r>
      </w:hyperlink>
      <w:r w:rsidRPr="0004521F">
        <w:t xml:space="preserve"> &lt;https://australian.physio/sites/default/files/tools/Aquatic_Physiotherapy_Guidelines.pdf&gt;.</w:t>
      </w:r>
    </w:p>
    <w:p w14:paraId="38E9B387" w14:textId="77777777" w:rsidR="0004521F" w:rsidRPr="0004521F" w:rsidRDefault="0004521F" w:rsidP="00D91A49">
      <w:pPr>
        <w:pStyle w:val="Heading3"/>
      </w:pPr>
      <w:r w:rsidRPr="0004521F">
        <w:t>Management and risk assessment of patients</w:t>
      </w:r>
    </w:p>
    <w:p w14:paraId="78991E34" w14:textId="77777777" w:rsidR="0004521F" w:rsidRPr="0004521F" w:rsidRDefault="0004521F" w:rsidP="00070500">
      <w:pPr>
        <w:pStyle w:val="Bullet1"/>
      </w:pPr>
      <w:r w:rsidRPr="0004521F">
        <w:t>A risk assessment of all patients should be undertaken prior to hydrotherapy to determine their suitability. A risk assessment should include, but not be limited to, whether the patient is continent of urine or faeces, has an active infection or is colonised and if they have any wounds present.</w:t>
      </w:r>
    </w:p>
    <w:p w14:paraId="25289AC4" w14:textId="77777777" w:rsidR="0004521F" w:rsidRPr="0004521F" w:rsidRDefault="0004521F" w:rsidP="00070500">
      <w:pPr>
        <w:pStyle w:val="Bullet1"/>
      </w:pPr>
      <w:r w:rsidRPr="0004521F">
        <w:t>All patients should shower (including washing their bottom) before entering the pool.</w:t>
      </w:r>
    </w:p>
    <w:p w14:paraId="21C61E02" w14:textId="77777777" w:rsidR="0004521F" w:rsidRPr="0004521F" w:rsidRDefault="0004521F" w:rsidP="00070500">
      <w:pPr>
        <w:pStyle w:val="Bullet1"/>
      </w:pPr>
      <w:r w:rsidRPr="0004521F">
        <w:t>Patients with uncontrolled faecal incontinence should be deferred from using the pool until this has either ceased or can be managed with appropriate devices (for example, incontinence aids).</w:t>
      </w:r>
    </w:p>
    <w:p w14:paraId="4879ED2C" w14:textId="77777777" w:rsidR="0004521F" w:rsidRPr="0004521F" w:rsidRDefault="0004521F" w:rsidP="00070500">
      <w:pPr>
        <w:pStyle w:val="Bullet1"/>
      </w:pPr>
      <w:r w:rsidRPr="0004521F">
        <w:lastRenderedPageBreak/>
        <w:t>Patients should inform the facility if they have had loose bowel motions or been unwell. Hydrotherapy may need to be deferred for a period (for example, a period of two weeks after diarrhoea ceases).</w:t>
      </w:r>
    </w:p>
    <w:p w14:paraId="088C7E8A" w14:textId="77777777" w:rsidR="0004521F" w:rsidRPr="0004521F" w:rsidRDefault="0004521F" w:rsidP="00D91A49">
      <w:pPr>
        <w:pStyle w:val="Heading3"/>
      </w:pPr>
      <w:r w:rsidRPr="0004521F">
        <w:t>Equipment and instruments/devices</w:t>
      </w:r>
    </w:p>
    <w:p w14:paraId="10DF2789" w14:textId="77777777" w:rsidR="0004521F" w:rsidRPr="0004521F" w:rsidRDefault="0004521F" w:rsidP="0004521F">
      <w:pPr>
        <w:pStyle w:val="Body"/>
      </w:pPr>
      <w:r w:rsidRPr="0004521F">
        <w:t>Where possible, dedicate the use of equipment to one patient. If equipment must be shared between patients, ensure the equipment has been cleaned and disinfected before use on another patient. If a sling is used to transfer the patient in and out of the pool, the sling should preferably be dedicated to the use of that patient for the duration of their rehabilitation. Following use, the sling will need to be laundered prior to use on another patient.</w:t>
      </w:r>
    </w:p>
    <w:p w14:paraId="059FE5E6" w14:textId="3EB41BDC" w:rsidR="009B4CC8" w:rsidRDefault="009B4CC8">
      <w:pPr>
        <w:spacing w:after="0" w:line="240" w:lineRule="auto"/>
        <w:rPr>
          <w:rFonts w:eastAsia="Times"/>
        </w:rPr>
      </w:pPr>
      <w:r>
        <w:br w:type="page"/>
      </w:r>
    </w:p>
    <w:p w14:paraId="5AB91219" w14:textId="77777777" w:rsidR="009B4CC8" w:rsidRPr="009B4CC8" w:rsidRDefault="009B4CC8" w:rsidP="009B4CC8">
      <w:pPr>
        <w:pStyle w:val="Heading1"/>
      </w:pPr>
      <w:bookmarkStart w:id="87" w:name="_Toc108539936"/>
      <w:bookmarkStart w:id="88" w:name="_Toc149319566"/>
      <w:r w:rsidRPr="009B4CC8">
        <w:lastRenderedPageBreak/>
        <w:t>Appendices</w:t>
      </w:r>
      <w:bookmarkEnd w:id="87"/>
      <w:bookmarkEnd w:id="88"/>
    </w:p>
    <w:p w14:paraId="08F83701" w14:textId="77777777" w:rsidR="009B4CC8" w:rsidRPr="009B4CC8" w:rsidRDefault="009B4CC8" w:rsidP="005E0F6D">
      <w:pPr>
        <w:pStyle w:val="Heading2"/>
        <w:rPr>
          <w:rFonts w:eastAsia="Times"/>
        </w:rPr>
      </w:pPr>
      <w:bookmarkStart w:id="89" w:name="_Appendix_A:_Guide"/>
      <w:bookmarkStart w:id="90" w:name="_Toc108539937"/>
      <w:bookmarkStart w:id="91" w:name="_Toc149319567"/>
      <w:bookmarkEnd w:id="89"/>
      <w:r w:rsidRPr="009B4CC8">
        <w:rPr>
          <w:rFonts w:eastAsia="Times"/>
        </w:rPr>
        <w:t>Appendix A: Guide to microbiological testing and data collection</w:t>
      </w:r>
      <w:bookmarkEnd w:id="90"/>
      <w:bookmarkEnd w:id="91"/>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5"/>
        <w:gridCol w:w="6712"/>
        <w:gridCol w:w="1816"/>
      </w:tblGrid>
      <w:tr w:rsidR="009B4CC8" w:rsidRPr="009B4CC8" w14:paraId="2CD73C43" w14:textId="77777777" w:rsidTr="00371FB5">
        <w:trPr>
          <w:cantSplit/>
          <w:tblHeader/>
          <w:jc w:val="center"/>
        </w:trPr>
        <w:tc>
          <w:tcPr>
            <w:tcW w:w="1535" w:type="dxa"/>
          </w:tcPr>
          <w:p w14:paraId="3562E6BF" w14:textId="77777777" w:rsidR="009B4CC8" w:rsidRPr="009B4CC8" w:rsidRDefault="009B4CC8" w:rsidP="00AE760D">
            <w:pPr>
              <w:pStyle w:val="Tablecolhead"/>
              <w:rPr>
                <w:rFonts w:eastAsia="Times"/>
              </w:rPr>
            </w:pPr>
            <w:r w:rsidRPr="009B4CC8">
              <w:rPr>
                <w:rFonts w:eastAsia="Times"/>
              </w:rPr>
              <w:t>Agency</w:t>
            </w:r>
          </w:p>
        </w:tc>
        <w:tc>
          <w:tcPr>
            <w:tcW w:w="6712" w:type="dxa"/>
          </w:tcPr>
          <w:p w14:paraId="2E3B0EDF" w14:textId="77777777" w:rsidR="009B4CC8" w:rsidRPr="009B4CC8" w:rsidRDefault="009B4CC8" w:rsidP="00AE760D">
            <w:pPr>
              <w:pStyle w:val="Tablecolhead"/>
              <w:rPr>
                <w:rFonts w:eastAsia="Times"/>
              </w:rPr>
            </w:pPr>
            <w:r w:rsidRPr="009B4CC8">
              <w:rPr>
                <w:rFonts w:eastAsia="Times"/>
              </w:rPr>
              <w:t>Action</w:t>
            </w:r>
          </w:p>
        </w:tc>
        <w:tc>
          <w:tcPr>
            <w:tcW w:w="1816" w:type="dxa"/>
          </w:tcPr>
          <w:p w14:paraId="2AB6408D" w14:textId="77777777" w:rsidR="009B4CC8" w:rsidRPr="009B4CC8" w:rsidRDefault="009B4CC8" w:rsidP="00AE760D">
            <w:pPr>
              <w:pStyle w:val="Tablecolhead"/>
              <w:rPr>
                <w:rFonts w:eastAsia="Times"/>
              </w:rPr>
            </w:pPr>
            <w:r w:rsidRPr="009B4CC8">
              <w:rPr>
                <w:rFonts w:eastAsia="Times"/>
              </w:rPr>
              <w:t>When to initiate</w:t>
            </w:r>
          </w:p>
        </w:tc>
      </w:tr>
      <w:tr w:rsidR="009B4CC8" w:rsidRPr="009B4CC8" w14:paraId="28DC6CAA" w14:textId="77777777" w:rsidTr="00371FB5">
        <w:trPr>
          <w:jc w:val="center"/>
        </w:trPr>
        <w:tc>
          <w:tcPr>
            <w:tcW w:w="1535" w:type="dxa"/>
            <w:vMerge w:val="restart"/>
          </w:tcPr>
          <w:p w14:paraId="582FA46A" w14:textId="77777777" w:rsidR="009B4CC8" w:rsidRPr="009B4CC8" w:rsidRDefault="009B4CC8" w:rsidP="00AE760D">
            <w:pPr>
              <w:pStyle w:val="Tablecolhead"/>
              <w:rPr>
                <w:rFonts w:eastAsia="Times"/>
              </w:rPr>
            </w:pPr>
            <w:r w:rsidRPr="009B4CC8">
              <w:rPr>
                <w:rFonts w:eastAsia="Times"/>
              </w:rPr>
              <w:t>Diagnostic microbiology laboratory</w:t>
            </w:r>
          </w:p>
        </w:tc>
        <w:tc>
          <w:tcPr>
            <w:tcW w:w="6712" w:type="dxa"/>
          </w:tcPr>
          <w:p w14:paraId="36C35AB0" w14:textId="416F3EB1" w:rsidR="009B4CC8" w:rsidRPr="009B4CC8" w:rsidRDefault="009B4CC8" w:rsidP="00AE760D">
            <w:pPr>
              <w:pStyle w:val="Tabletext"/>
              <w:rPr>
                <w:rFonts w:eastAsia="Times"/>
              </w:rPr>
            </w:pPr>
            <w:r w:rsidRPr="009B4CC8">
              <w:rPr>
                <w:rFonts w:eastAsia="Times"/>
              </w:rPr>
              <w:t>Process clinical and screening samples referred for CPO testing as per CPO guideline (</w:t>
            </w:r>
            <w:hyperlink w:anchor="_Section_4:_Laboratory" w:history="1">
              <w:r w:rsidRPr="00EB0BED">
                <w:rPr>
                  <w:rStyle w:val="Hyperlink"/>
                </w:rPr>
                <w:t xml:space="preserve">Section </w:t>
              </w:r>
              <w:r w:rsidR="00EB0BED" w:rsidRPr="00EB0BED">
                <w:rPr>
                  <w:rStyle w:val="Hyperlink"/>
                </w:rPr>
                <w:t>4</w:t>
              </w:r>
            </w:hyperlink>
            <w:r w:rsidRPr="009B4CC8">
              <w:rPr>
                <w:rFonts w:eastAsia="Times"/>
              </w:rPr>
              <w:t>)</w:t>
            </w:r>
            <w:r w:rsidR="002713CA">
              <w:rPr>
                <w:rFonts w:eastAsia="Times"/>
              </w:rPr>
              <w:t>.</w:t>
            </w:r>
          </w:p>
        </w:tc>
        <w:tc>
          <w:tcPr>
            <w:tcW w:w="1816" w:type="dxa"/>
          </w:tcPr>
          <w:p w14:paraId="7F7AE627" w14:textId="77777777" w:rsidR="009B4CC8" w:rsidRPr="009B4CC8" w:rsidRDefault="009B4CC8" w:rsidP="00AE760D">
            <w:pPr>
              <w:pStyle w:val="Tabletext"/>
              <w:rPr>
                <w:rFonts w:eastAsia="Times"/>
              </w:rPr>
            </w:pPr>
            <w:r w:rsidRPr="009B4CC8">
              <w:rPr>
                <w:rFonts w:eastAsia="Times"/>
              </w:rPr>
              <w:t>The day the samples arrive in the laboratory</w:t>
            </w:r>
          </w:p>
        </w:tc>
      </w:tr>
      <w:tr w:rsidR="009B4CC8" w:rsidRPr="009B4CC8" w14:paraId="3CE71675" w14:textId="77777777" w:rsidTr="00881DFD">
        <w:trPr>
          <w:jc w:val="center"/>
        </w:trPr>
        <w:tc>
          <w:tcPr>
            <w:tcW w:w="1535" w:type="dxa"/>
            <w:vMerge/>
          </w:tcPr>
          <w:p w14:paraId="2B419166" w14:textId="77777777" w:rsidR="009B4CC8" w:rsidRPr="009B4CC8" w:rsidRDefault="009B4CC8" w:rsidP="00AE760D">
            <w:pPr>
              <w:pStyle w:val="Tablecolhead"/>
              <w:rPr>
                <w:rFonts w:eastAsia="Times"/>
              </w:rPr>
            </w:pPr>
          </w:p>
        </w:tc>
        <w:tc>
          <w:tcPr>
            <w:tcW w:w="6712" w:type="dxa"/>
          </w:tcPr>
          <w:p w14:paraId="0D73AF27" w14:textId="6E37D136" w:rsidR="009B4CC8" w:rsidRPr="009B4CC8" w:rsidRDefault="009B4CC8" w:rsidP="00AE760D">
            <w:pPr>
              <w:pStyle w:val="Tabletext"/>
              <w:rPr>
                <w:rFonts w:eastAsia="Times"/>
              </w:rPr>
            </w:pPr>
            <w:r w:rsidRPr="009B4CC8">
              <w:rPr>
                <w:rFonts w:eastAsia="Times"/>
              </w:rPr>
              <w:t xml:space="preserve">Report suspected or confirmed CPO to the referring clinician and an </w:t>
            </w:r>
            <w:r w:rsidR="00E01D4E">
              <w:rPr>
                <w:rFonts w:eastAsia="Times"/>
              </w:rPr>
              <w:t>IPC</w:t>
            </w:r>
            <w:r w:rsidRPr="009B4CC8">
              <w:rPr>
                <w:rFonts w:eastAsia="Times"/>
              </w:rPr>
              <w:t xml:space="preserve"> representative in the healthcare facility</w:t>
            </w:r>
            <w:r w:rsidR="002713CA">
              <w:rPr>
                <w:rFonts w:eastAsia="Times"/>
              </w:rPr>
              <w:t>.</w:t>
            </w:r>
          </w:p>
        </w:tc>
        <w:tc>
          <w:tcPr>
            <w:tcW w:w="1816" w:type="dxa"/>
            <w:vMerge w:val="restart"/>
          </w:tcPr>
          <w:p w14:paraId="2A132E61" w14:textId="77777777" w:rsidR="009B4CC8" w:rsidRPr="009B4CC8" w:rsidRDefault="009B4CC8" w:rsidP="00881DFD">
            <w:pPr>
              <w:pStyle w:val="Tabletext"/>
              <w:rPr>
                <w:rFonts w:eastAsia="Times"/>
              </w:rPr>
            </w:pPr>
            <w:r w:rsidRPr="009B4CC8">
              <w:rPr>
                <w:rFonts w:eastAsia="Times"/>
              </w:rPr>
              <w:t>Same day that the suspected or confirmed result is available</w:t>
            </w:r>
          </w:p>
        </w:tc>
      </w:tr>
      <w:tr w:rsidR="009B4CC8" w:rsidRPr="009B4CC8" w14:paraId="7899621C" w14:textId="77777777" w:rsidTr="00371FB5">
        <w:trPr>
          <w:jc w:val="center"/>
        </w:trPr>
        <w:tc>
          <w:tcPr>
            <w:tcW w:w="1535" w:type="dxa"/>
            <w:vMerge/>
          </w:tcPr>
          <w:p w14:paraId="08554A78" w14:textId="77777777" w:rsidR="009B4CC8" w:rsidRPr="009B4CC8" w:rsidRDefault="009B4CC8" w:rsidP="00AE760D">
            <w:pPr>
              <w:pStyle w:val="Tablecolhead"/>
              <w:rPr>
                <w:rFonts w:eastAsia="Times"/>
              </w:rPr>
            </w:pPr>
          </w:p>
        </w:tc>
        <w:tc>
          <w:tcPr>
            <w:tcW w:w="6712" w:type="dxa"/>
          </w:tcPr>
          <w:p w14:paraId="4B168767" w14:textId="115AA255" w:rsidR="009B4CC8" w:rsidRPr="009B4CC8" w:rsidRDefault="009B4CC8" w:rsidP="00AE760D">
            <w:pPr>
              <w:pStyle w:val="Tabletext"/>
              <w:rPr>
                <w:rFonts w:eastAsia="Times"/>
              </w:rPr>
            </w:pPr>
            <w:r w:rsidRPr="009B4CC8">
              <w:rPr>
                <w:rFonts w:eastAsia="Times"/>
              </w:rPr>
              <w:t>Report suspected or confirmed CPO isolates to Communicable Disease Prevention and Control by faxing the initial result to 1300</w:t>
            </w:r>
            <w:r w:rsidR="00350B63">
              <w:rPr>
                <w:rFonts w:eastAsia="Times"/>
              </w:rPr>
              <w:t> </w:t>
            </w:r>
            <w:r w:rsidRPr="009B4CC8">
              <w:rPr>
                <w:rFonts w:eastAsia="Times"/>
              </w:rPr>
              <w:t>651</w:t>
            </w:r>
            <w:r w:rsidR="00350B63">
              <w:rPr>
                <w:rFonts w:eastAsia="Times"/>
              </w:rPr>
              <w:t> </w:t>
            </w:r>
            <w:r w:rsidRPr="009B4CC8">
              <w:rPr>
                <w:rFonts w:eastAsia="Times"/>
              </w:rPr>
              <w:t xml:space="preserve">170 or </w:t>
            </w:r>
            <w:r w:rsidR="002713CA">
              <w:rPr>
                <w:rFonts w:eastAsia="Times"/>
              </w:rPr>
              <w:t xml:space="preserve">by </w:t>
            </w:r>
            <w:r w:rsidRPr="009B4CC8">
              <w:rPr>
                <w:rFonts w:eastAsia="Times"/>
              </w:rPr>
              <w:t>ELR</w:t>
            </w:r>
            <w:r w:rsidR="002713CA">
              <w:rPr>
                <w:rFonts w:eastAsia="Times"/>
              </w:rPr>
              <w:t>.</w:t>
            </w:r>
          </w:p>
        </w:tc>
        <w:tc>
          <w:tcPr>
            <w:tcW w:w="1816" w:type="dxa"/>
            <w:vMerge/>
          </w:tcPr>
          <w:p w14:paraId="3A5561E5" w14:textId="77777777" w:rsidR="009B4CC8" w:rsidRPr="009B4CC8" w:rsidRDefault="009B4CC8" w:rsidP="00AE760D">
            <w:pPr>
              <w:pStyle w:val="Tabletext"/>
              <w:rPr>
                <w:rFonts w:eastAsia="Times"/>
              </w:rPr>
            </w:pPr>
          </w:p>
        </w:tc>
      </w:tr>
      <w:tr w:rsidR="009B4CC8" w:rsidRPr="009B4CC8" w14:paraId="761168F7" w14:textId="77777777" w:rsidTr="00371FB5">
        <w:trPr>
          <w:jc w:val="center"/>
        </w:trPr>
        <w:tc>
          <w:tcPr>
            <w:tcW w:w="1535" w:type="dxa"/>
            <w:vMerge/>
          </w:tcPr>
          <w:p w14:paraId="2F55B6CC" w14:textId="77777777" w:rsidR="009B4CC8" w:rsidRPr="009B4CC8" w:rsidRDefault="009B4CC8" w:rsidP="00AE760D">
            <w:pPr>
              <w:pStyle w:val="Tablecolhead"/>
              <w:rPr>
                <w:rFonts w:eastAsia="Times"/>
              </w:rPr>
            </w:pPr>
          </w:p>
        </w:tc>
        <w:tc>
          <w:tcPr>
            <w:tcW w:w="6712" w:type="dxa"/>
          </w:tcPr>
          <w:p w14:paraId="065275DF" w14:textId="07637DC0" w:rsidR="009B4CC8" w:rsidRPr="009B4CC8" w:rsidRDefault="009B4CC8" w:rsidP="00AE760D">
            <w:pPr>
              <w:pStyle w:val="Tabletext"/>
              <w:rPr>
                <w:rFonts w:eastAsia="Times"/>
              </w:rPr>
            </w:pPr>
            <w:r w:rsidRPr="009B4CC8">
              <w:rPr>
                <w:rFonts w:eastAsia="Times"/>
              </w:rPr>
              <w:t xml:space="preserve">Refer suspected or confirmed CPO isolates to MDU PHL using a completed CPO isolate referral form available on the </w:t>
            </w:r>
            <w:hyperlink r:id="rId58" w:history="1">
              <w:r w:rsidRPr="00B75F1E">
                <w:rPr>
                  <w:rStyle w:val="Hyperlink"/>
                  <w:rFonts w:eastAsia="Times"/>
                </w:rPr>
                <w:t>department’s website</w:t>
              </w:r>
            </w:hyperlink>
            <w:r w:rsidRPr="009B4CC8">
              <w:rPr>
                <w:rFonts w:eastAsia="Times"/>
              </w:rPr>
              <w:t xml:space="preserve"> </w:t>
            </w:r>
            <w:r w:rsidR="007B327F">
              <w:t>&lt;</w:t>
            </w:r>
            <w:r w:rsidR="00FF2880" w:rsidRPr="00FF2880">
              <w:t>www.health.vic.gov.au/infectious-diseases/carbapenemase-producing-enterobacteriaceae-surveillance-and-isolate-referral</w:t>
            </w:r>
            <w:r w:rsidR="007B327F">
              <w:t>&gt;</w:t>
            </w:r>
            <w:r w:rsidR="007E4E09">
              <w:rPr>
                <w:rFonts w:eastAsia="Times"/>
              </w:rPr>
              <w:t xml:space="preserve"> or </w:t>
            </w:r>
            <w:hyperlink r:id="rId59" w:anchor="services" w:history="1">
              <w:r w:rsidR="00402977" w:rsidRPr="002E1868">
                <w:rPr>
                  <w:rStyle w:val="Hyperlink"/>
                  <w:rFonts w:eastAsia="Times"/>
                </w:rPr>
                <w:t>MDU PHL website</w:t>
              </w:r>
            </w:hyperlink>
            <w:r w:rsidR="00402977">
              <w:rPr>
                <w:rFonts w:eastAsia="Times"/>
              </w:rPr>
              <w:t xml:space="preserve"> </w:t>
            </w:r>
            <w:r w:rsidR="00402977">
              <w:t>&lt;http://biomedicalsciences.unimelb.edu.au/departments/microbiology-Immunology/research/services/microbiological-diagnostic-unit-public-health-laboratory#services&gt;</w:t>
            </w:r>
            <w:r w:rsidR="002713CA">
              <w:t>.</w:t>
            </w:r>
          </w:p>
        </w:tc>
        <w:tc>
          <w:tcPr>
            <w:tcW w:w="1816" w:type="dxa"/>
          </w:tcPr>
          <w:p w14:paraId="2480A39C" w14:textId="77777777" w:rsidR="009B4CC8" w:rsidRPr="009B4CC8" w:rsidRDefault="009B4CC8" w:rsidP="00AE760D">
            <w:pPr>
              <w:pStyle w:val="Tabletext"/>
              <w:rPr>
                <w:rFonts w:eastAsia="Times"/>
              </w:rPr>
            </w:pPr>
            <w:r w:rsidRPr="009B4CC8">
              <w:rPr>
                <w:rFonts w:eastAsia="Times"/>
              </w:rPr>
              <w:t>Within two business days of isolation</w:t>
            </w:r>
          </w:p>
        </w:tc>
      </w:tr>
      <w:tr w:rsidR="009B4CC8" w:rsidRPr="009B4CC8" w14:paraId="4F7DC795" w14:textId="77777777" w:rsidTr="00371FB5">
        <w:trPr>
          <w:jc w:val="center"/>
        </w:trPr>
        <w:tc>
          <w:tcPr>
            <w:tcW w:w="1535" w:type="dxa"/>
            <w:vMerge w:val="restart"/>
          </w:tcPr>
          <w:p w14:paraId="14F4CF02" w14:textId="77777777" w:rsidR="009B4CC8" w:rsidRPr="009B4CC8" w:rsidRDefault="009B4CC8" w:rsidP="00AE760D">
            <w:pPr>
              <w:pStyle w:val="Tablecolhead"/>
              <w:rPr>
                <w:rFonts w:eastAsia="Times"/>
              </w:rPr>
            </w:pPr>
            <w:r w:rsidRPr="009B4CC8">
              <w:rPr>
                <w:rFonts w:eastAsia="Times"/>
              </w:rPr>
              <w:t>Healthcare facility</w:t>
            </w:r>
          </w:p>
        </w:tc>
        <w:tc>
          <w:tcPr>
            <w:tcW w:w="6712" w:type="dxa"/>
          </w:tcPr>
          <w:p w14:paraId="0EB63C32" w14:textId="4AD6C3F4" w:rsidR="009B4CC8" w:rsidRPr="009B4CC8" w:rsidRDefault="009B4CC8" w:rsidP="00AE760D">
            <w:pPr>
              <w:pStyle w:val="Tabletext"/>
              <w:rPr>
                <w:rFonts w:eastAsia="Times"/>
              </w:rPr>
            </w:pPr>
            <w:r w:rsidRPr="009B4CC8">
              <w:rPr>
                <w:rFonts w:eastAsia="Times"/>
              </w:rPr>
              <w:t xml:space="preserve">When CPO is confirmed </w:t>
            </w:r>
            <w:r w:rsidR="00D36FFC">
              <w:rPr>
                <w:rFonts w:eastAsia="Times"/>
              </w:rPr>
              <w:t>IPC</w:t>
            </w:r>
            <w:r w:rsidRPr="009B4CC8">
              <w:rPr>
                <w:rFonts w:eastAsia="Times"/>
              </w:rPr>
              <w:t xml:space="preserve"> lead or delegate must complete </w:t>
            </w:r>
            <w:r w:rsidR="00E159E7">
              <w:t xml:space="preserve">the CPO </w:t>
            </w:r>
            <w:r w:rsidR="0096434D">
              <w:t xml:space="preserve">surveillance </w:t>
            </w:r>
            <w:r w:rsidR="00E159E7">
              <w:t>form</w:t>
            </w:r>
            <w:r w:rsidR="004C5B8C">
              <w:t xml:space="preserve"> </w:t>
            </w:r>
            <w:r w:rsidRPr="009B4CC8">
              <w:rPr>
                <w:rFonts w:eastAsia="Times"/>
              </w:rPr>
              <w:t>(</w:t>
            </w:r>
            <w:hyperlink r:id="rId60" w:history="1">
              <w:r w:rsidRPr="00E8069D">
                <w:rPr>
                  <w:rStyle w:val="Hyperlink"/>
                  <w:rFonts w:eastAsia="Times"/>
                </w:rPr>
                <w:t>available</w:t>
              </w:r>
            </w:hyperlink>
            <w:r w:rsidRPr="009B4CC8">
              <w:rPr>
                <w:rFonts w:eastAsia="Times"/>
              </w:rPr>
              <w:t xml:space="preserve"> </w:t>
            </w:r>
            <w:r w:rsidR="004C5B8C">
              <w:t>&lt;</w:t>
            </w:r>
            <w:r w:rsidR="00BC495C" w:rsidRPr="00BC495C">
              <w:t>www.health.vic.gov.au/infectious-diseases/victorian-guideline-on-cpo-for-health-services</w:t>
            </w:r>
            <w:r w:rsidR="004C5B8C">
              <w:t>&gt;</w:t>
            </w:r>
            <w:r w:rsidRPr="009B4CC8">
              <w:rPr>
                <w:rFonts w:eastAsia="Times"/>
              </w:rPr>
              <w:t xml:space="preserve">) and fax </w:t>
            </w:r>
            <w:r w:rsidR="0026234C">
              <w:rPr>
                <w:rFonts w:eastAsia="Times"/>
              </w:rPr>
              <w:t xml:space="preserve">the completed form </w:t>
            </w:r>
            <w:r w:rsidRPr="009B4CC8">
              <w:rPr>
                <w:rFonts w:eastAsia="Times"/>
              </w:rPr>
              <w:t xml:space="preserve">to </w:t>
            </w:r>
            <w:r w:rsidR="004D7BF8">
              <w:rPr>
                <w:rFonts w:eastAsia="Times"/>
              </w:rPr>
              <w:t xml:space="preserve">the department </w:t>
            </w:r>
            <w:r w:rsidR="00590AC6">
              <w:rPr>
                <w:rFonts w:eastAsia="Times"/>
              </w:rPr>
              <w:t>(</w:t>
            </w:r>
            <w:r w:rsidR="00CD115D">
              <w:rPr>
                <w:rFonts w:eastAsia="Times"/>
              </w:rPr>
              <w:t>Fa</w:t>
            </w:r>
            <w:r w:rsidR="00BC495C">
              <w:rPr>
                <w:rFonts w:eastAsia="Times"/>
              </w:rPr>
              <w:t>x no.</w:t>
            </w:r>
            <w:r w:rsidR="00CD115D">
              <w:rPr>
                <w:rFonts w:eastAsia="Times"/>
              </w:rPr>
              <w:t xml:space="preserve">: </w:t>
            </w:r>
            <w:r w:rsidR="00590AC6" w:rsidRPr="00590AC6">
              <w:rPr>
                <w:rFonts w:eastAsia="Times"/>
              </w:rPr>
              <w:t>1300</w:t>
            </w:r>
            <w:r w:rsidR="00BC495C">
              <w:rPr>
                <w:rFonts w:eastAsia="Times"/>
              </w:rPr>
              <w:t> </w:t>
            </w:r>
            <w:r w:rsidR="00590AC6" w:rsidRPr="00590AC6">
              <w:rPr>
                <w:rFonts w:eastAsia="Times"/>
              </w:rPr>
              <w:t>651</w:t>
            </w:r>
            <w:r w:rsidR="00BC495C">
              <w:rPr>
                <w:rFonts w:eastAsia="Times"/>
              </w:rPr>
              <w:t> </w:t>
            </w:r>
            <w:r w:rsidR="00590AC6" w:rsidRPr="00590AC6">
              <w:rPr>
                <w:rFonts w:eastAsia="Times"/>
              </w:rPr>
              <w:t>170</w:t>
            </w:r>
            <w:r w:rsidR="00590AC6">
              <w:rPr>
                <w:rFonts w:eastAsia="Times"/>
              </w:rPr>
              <w:t>).</w:t>
            </w:r>
          </w:p>
        </w:tc>
        <w:tc>
          <w:tcPr>
            <w:tcW w:w="1816" w:type="dxa"/>
          </w:tcPr>
          <w:p w14:paraId="0030140C" w14:textId="77777777" w:rsidR="009B4CC8" w:rsidRPr="009B4CC8" w:rsidRDefault="009B4CC8" w:rsidP="00AE760D">
            <w:pPr>
              <w:pStyle w:val="Tabletext"/>
              <w:rPr>
                <w:rFonts w:eastAsia="Times"/>
              </w:rPr>
            </w:pPr>
            <w:r w:rsidRPr="009B4CC8">
              <w:rPr>
                <w:rFonts w:eastAsia="Times"/>
              </w:rPr>
              <w:t>Within two business day of receiving confirmation of CPO result</w:t>
            </w:r>
          </w:p>
        </w:tc>
      </w:tr>
      <w:tr w:rsidR="009B4CC8" w:rsidRPr="009B4CC8" w14:paraId="27BC2C4C" w14:textId="77777777" w:rsidTr="00371FB5">
        <w:trPr>
          <w:jc w:val="center"/>
        </w:trPr>
        <w:tc>
          <w:tcPr>
            <w:tcW w:w="1535" w:type="dxa"/>
            <w:vMerge/>
          </w:tcPr>
          <w:p w14:paraId="5F4A621D" w14:textId="77777777" w:rsidR="009B4CC8" w:rsidRPr="009B4CC8" w:rsidRDefault="009B4CC8" w:rsidP="00AE760D">
            <w:pPr>
              <w:pStyle w:val="Tablecolhead"/>
              <w:rPr>
                <w:rFonts w:eastAsia="Times"/>
              </w:rPr>
            </w:pPr>
          </w:p>
        </w:tc>
        <w:tc>
          <w:tcPr>
            <w:tcW w:w="6712" w:type="dxa"/>
          </w:tcPr>
          <w:p w14:paraId="43A2EA7F" w14:textId="07756C71" w:rsidR="009B4CC8" w:rsidRPr="009B4CC8" w:rsidRDefault="009B4CC8" w:rsidP="00AE760D">
            <w:pPr>
              <w:pStyle w:val="Tabletext"/>
              <w:rPr>
                <w:rFonts w:eastAsia="Times"/>
              </w:rPr>
            </w:pPr>
            <w:r w:rsidRPr="009B4CC8">
              <w:rPr>
                <w:rFonts w:eastAsia="Times"/>
              </w:rPr>
              <w:t xml:space="preserve">Refer all screening samples to your clinical diagnostic microbiology laboratory for testing. Ensure the </w:t>
            </w:r>
            <w:r w:rsidR="008B6BC8">
              <w:rPr>
                <w:rFonts w:eastAsia="Times"/>
              </w:rPr>
              <w:t>pathology request form</w:t>
            </w:r>
            <w:r w:rsidRPr="009B4CC8">
              <w:rPr>
                <w:rFonts w:eastAsia="Times"/>
              </w:rPr>
              <w:t xml:space="preserve"> is clearly marked </w:t>
            </w:r>
            <w:r w:rsidR="008B6BC8">
              <w:rPr>
                <w:rFonts w:eastAsia="Times"/>
              </w:rPr>
              <w:t>for</w:t>
            </w:r>
            <w:r w:rsidRPr="009B4CC8">
              <w:rPr>
                <w:rFonts w:eastAsia="Times"/>
              </w:rPr>
              <w:t xml:space="preserve"> CPO </w:t>
            </w:r>
            <w:r w:rsidR="00EA6103">
              <w:rPr>
                <w:rFonts w:eastAsia="Times"/>
              </w:rPr>
              <w:t>screening</w:t>
            </w:r>
            <w:r w:rsidR="008B6BC8">
              <w:rPr>
                <w:rFonts w:eastAsia="Times"/>
              </w:rPr>
              <w:t>.</w:t>
            </w:r>
          </w:p>
        </w:tc>
        <w:tc>
          <w:tcPr>
            <w:tcW w:w="1816" w:type="dxa"/>
          </w:tcPr>
          <w:p w14:paraId="5C0ADC8E" w14:textId="77777777" w:rsidR="009B4CC8" w:rsidRPr="009B4CC8" w:rsidRDefault="009B4CC8" w:rsidP="00AE760D">
            <w:pPr>
              <w:pStyle w:val="Tabletext"/>
              <w:rPr>
                <w:rFonts w:eastAsia="Times"/>
              </w:rPr>
            </w:pPr>
            <w:r w:rsidRPr="009B4CC8">
              <w:rPr>
                <w:rFonts w:eastAsia="Times"/>
              </w:rPr>
              <w:t xml:space="preserve">When screening samples collected </w:t>
            </w:r>
          </w:p>
        </w:tc>
      </w:tr>
      <w:tr w:rsidR="009B4CC8" w:rsidRPr="009B4CC8" w14:paraId="013F9BA9" w14:textId="77777777" w:rsidTr="00371FB5">
        <w:trPr>
          <w:jc w:val="center"/>
        </w:trPr>
        <w:tc>
          <w:tcPr>
            <w:tcW w:w="1535" w:type="dxa"/>
            <w:vMerge w:val="restart"/>
          </w:tcPr>
          <w:p w14:paraId="78FC2AFC" w14:textId="77777777" w:rsidR="009B4CC8" w:rsidRPr="009B4CC8" w:rsidRDefault="009B4CC8" w:rsidP="00AE760D">
            <w:pPr>
              <w:pStyle w:val="Tablecolhead"/>
              <w:rPr>
                <w:rFonts w:eastAsia="Times"/>
              </w:rPr>
            </w:pPr>
            <w:r w:rsidRPr="009B4CC8">
              <w:rPr>
                <w:rFonts w:eastAsia="Times"/>
              </w:rPr>
              <w:t>MDU PHL</w:t>
            </w:r>
          </w:p>
        </w:tc>
        <w:tc>
          <w:tcPr>
            <w:tcW w:w="6712" w:type="dxa"/>
          </w:tcPr>
          <w:p w14:paraId="7D09FB68" w14:textId="3402350E" w:rsidR="009B4CC8" w:rsidRPr="009B4CC8" w:rsidRDefault="009B4CC8" w:rsidP="00AE760D">
            <w:pPr>
              <w:pStyle w:val="Tabletext"/>
              <w:rPr>
                <w:rFonts w:eastAsia="Times"/>
              </w:rPr>
            </w:pPr>
            <w:r w:rsidRPr="009B4CC8">
              <w:rPr>
                <w:rFonts w:eastAsia="Times"/>
              </w:rPr>
              <w:t>Confirm phenotypic resistance and perform PCR testing for carbapenem resistance genes on suspected or confirmed CPO isolates submitted by clinical diagnostic laboratories when deemed necessary</w:t>
            </w:r>
            <w:r w:rsidR="002E159C">
              <w:rPr>
                <w:rFonts w:eastAsia="Times"/>
              </w:rPr>
              <w:t>.</w:t>
            </w:r>
          </w:p>
        </w:tc>
        <w:tc>
          <w:tcPr>
            <w:tcW w:w="1816" w:type="dxa"/>
          </w:tcPr>
          <w:p w14:paraId="02FEBA59" w14:textId="77777777" w:rsidR="009B4CC8" w:rsidRPr="009B4CC8" w:rsidRDefault="009B4CC8" w:rsidP="00AE760D">
            <w:pPr>
              <w:pStyle w:val="Tabletext"/>
              <w:rPr>
                <w:rFonts w:eastAsia="Times"/>
              </w:rPr>
            </w:pPr>
            <w:r w:rsidRPr="009B4CC8">
              <w:rPr>
                <w:rFonts w:eastAsia="Times"/>
              </w:rPr>
              <w:t>Within two business days of receiving the isolate</w:t>
            </w:r>
          </w:p>
        </w:tc>
      </w:tr>
      <w:tr w:rsidR="009B4CC8" w:rsidRPr="009B4CC8" w14:paraId="2EE4A77B" w14:textId="77777777" w:rsidTr="00371FB5">
        <w:trPr>
          <w:jc w:val="center"/>
        </w:trPr>
        <w:tc>
          <w:tcPr>
            <w:tcW w:w="1535" w:type="dxa"/>
            <w:vMerge/>
          </w:tcPr>
          <w:p w14:paraId="00436623" w14:textId="77777777" w:rsidR="009B4CC8" w:rsidRPr="009B4CC8" w:rsidRDefault="009B4CC8" w:rsidP="00AE760D">
            <w:pPr>
              <w:pStyle w:val="Tablecolhead"/>
              <w:rPr>
                <w:rFonts w:eastAsia="Times"/>
              </w:rPr>
            </w:pPr>
          </w:p>
        </w:tc>
        <w:tc>
          <w:tcPr>
            <w:tcW w:w="6712" w:type="dxa"/>
          </w:tcPr>
          <w:p w14:paraId="34B1F89E" w14:textId="331B4E08" w:rsidR="009B4CC8" w:rsidRPr="009B4CC8" w:rsidRDefault="009B4CC8" w:rsidP="00AE760D">
            <w:pPr>
              <w:pStyle w:val="Tabletext"/>
              <w:rPr>
                <w:rFonts w:eastAsia="Times"/>
              </w:rPr>
            </w:pPr>
            <w:r w:rsidRPr="009B4CC8">
              <w:rPr>
                <w:rFonts w:eastAsia="Times"/>
              </w:rPr>
              <w:t>Report results to referring laboratory</w:t>
            </w:r>
            <w:r w:rsidR="002E159C">
              <w:rPr>
                <w:rFonts w:eastAsia="Times"/>
              </w:rPr>
              <w:t>.</w:t>
            </w:r>
          </w:p>
        </w:tc>
        <w:tc>
          <w:tcPr>
            <w:tcW w:w="1816" w:type="dxa"/>
          </w:tcPr>
          <w:p w14:paraId="2A9B9D0C" w14:textId="77777777" w:rsidR="009B4CC8" w:rsidRPr="009B4CC8" w:rsidRDefault="009B4CC8" w:rsidP="00AE760D">
            <w:pPr>
              <w:pStyle w:val="Tabletext"/>
              <w:rPr>
                <w:rFonts w:eastAsia="Times"/>
              </w:rPr>
            </w:pPr>
            <w:r w:rsidRPr="009B4CC8">
              <w:rPr>
                <w:rFonts w:eastAsia="Times"/>
              </w:rPr>
              <w:t>Same day that the result is available</w:t>
            </w:r>
          </w:p>
        </w:tc>
      </w:tr>
      <w:tr w:rsidR="009B4CC8" w:rsidRPr="009B4CC8" w14:paraId="08AE3555" w14:textId="77777777" w:rsidTr="00371FB5">
        <w:trPr>
          <w:jc w:val="center"/>
        </w:trPr>
        <w:tc>
          <w:tcPr>
            <w:tcW w:w="1535" w:type="dxa"/>
            <w:vMerge/>
          </w:tcPr>
          <w:p w14:paraId="14F9F686" w14:textId="77777777" w:rsidR="009B4CC8" w:rsidRPr="009B4CC8" w:rsidRDefault="009B4CC8" w:rsidP="00AE760D">
            <w:pPr>
              <w:pStyle w:val="Tablecolhead"/>
              <w:rPr>
                <w:rFonts w:eastAsia="Times"/>
              </w:rPr>
            </w:pPr>
          </w:p>
        </w:tc>
        <w:tc>
          <w:tcPr>
            <w:tcW w:w="6712" w:type="dxa"/>
          </w:tcPr>
          <w:p w14:paraId="5473282D" w14:textId="175A5776" w:rsidR="009B4CC8" w:rsidRPr="009B4CC8" w:rsidRDefault="009B4CC8" w:rsidP="00AE760D">
            <w:pPr>
              <w:pStyle w:val="Tabletext"/>
              <w:rPr>
                <w:rFonts w:eastAsia="Times"/>
              </w:rPr>
            </w:pPr>
            <w:r w:rsidRPr="009B4CC8">
              <w:rPr>
                <w:rFonts w:eastAsia="Times"/>
              </w:rPr>
              <w:t>Perform genetic sequencing on all CPO isolates when deemed necessary</w:t>
            </w:r>
            <w:r w:rsidR="002E159C">
              <w:rPr>
                <w:rFonts w:eastAsia="Times"/>
              </w:rPr>
              <w:t>.</w:t>
            </w:r>
          </w:p>
        </w:tc>
        <w:tc>
          <w:tcPr>
            <w:tcW w:w="1816" w:type="dxa"/>
          </w:tcPr>
          <w:p w14:paraId="60D93AB6" w14:textId="77777777" w:rsidR="009B4CC8" w:rsidRPr="009B4CC8" w:rsidRDefault="009B4CC8" w:rsidP="00AE760D">
            <w:pPr>
              <w:pStyle w:val="Tabletext"/>
              <w:rPr>
                <w:rFonts w:eastAsia="Times"/>
              </w:rPr>
            </w:pPr>
            <w:r w:rsidRPr="009B4CC8">
              <w:rPr>
                <w:rFonts w:eastAsia="Times"/>
              </w:rPr>
              <w:t>Within five to seven business days of confirming CPO</w:t>
            </w:r>
          </w:p>
        </w:tc>
      </w:tr>
      <w:tr w:rsidR="009B4CC8" w:rsidRPr="009B4CC8" w14:paraId="280A8653" w14:textId="77777777" w:rsidTr="00371FB5">
        <w:trPr>
          <w:jc w:val="center"/>
        </w:trPr>
        <w:tc>
          <w:tcPr>
            <w:tcW w:w="1535" w:type="dxa"/>
            <w:vMerge/>
          </w:tcPr>
          <w:p w14:paraId="1E40AFDC" w14:textId="77777777" w:rsidR="009B4CC8" w:rsidRPr="009B4CC8" w:rsidRDefault="009B4CC8" w:rsidP="00AE760D">
            <w:pPr>
              <w:pStyle w:val="Tablecolhead"/>
              <w:rPr>
                <w:rFonts w:eastAsia="Times"/>
              </w:rPr>
            </w:pPr>
          </w:p>
        </w:tc>
        <w:tc>
          <w:tcPr>
            <w:tcW w:w="6712" w:type="dxa"/>
          </w:tcPr>
          <w:p w14:paraId="32A74451" w14:textId="154E371D" w:rsidR="009B4CC8" w:rsidRPr="009B4CC8" w:rsidRDefault="009B4CC8" w:rsidP="00AE760D">
            <w:pPr>
              <w:pStyle w:val="Tabletext"/>
              <w:rPr>
                <w:rFonts w:eastAsia="Times"/>
              </w:rPr>
            </w:pPr>
            <w:r w:rsidRPr="009B4CC8">
              <w:rPr>
                <w:rFonts w:eastAsia="Times"/>
              </w:rPr>
              <w:t xml:space="preserve">Review and collate epidemiology data from all CPO cases and collaborate with </w:t>
            </w:r>
            <w:r w:rsidR="00581FB4">
              <w:rPr>
                <w:rFonts w:eastAsia="Times"/>
              </w:rPr>
              <w:t>the department</w:t>
            </w:r>
            <w:r w:rsidRPr="009B4CC8">
              <w:rPr>
                <w:rFonts w:eastAsia="Times"/>
              </w:rPr>
              <w:t xml:space="preserve"> to determine if a new case is sporadic or suggests local transmission</w:t>
            </w:r>
            <w:r w:rsidR="002E159C">
              <w:rPr>
                <w:rFonts w:eastAsia="Times"/>
              </w:rPr>
              <w:t>.</w:t>
            </w:r>
          </w:p>
        </w:tc>
        <w:tc>
          <w:tcPr>
            <w:tcW w:w="1816" w:type="dxa"/>
          </w:tcPr>
          <w:p w14:paraId="55F4B682" w14:textId="77777777" w:rsidR="009B4CC8" w:rsidRPr="009B4CC8" w:rsidRDefault="009B4CC8" w:rsidP="00AE760D">
            <w:pPr>
              <w:pStyle w:val="Tabletext"/>
              <w:rPr>
                <w:rFonts w:eastAsia="Times"/>
              </w:rPr>
            </w:pPr>
            <w:r w:rsidRPr="009B4CC8">
              <w:rPr>
                <w:rFonts w:eastAsia="Times"/>
              </w:rPr>
              <w:t>Each time a CPO case is reported</w:t>
            </w:r>
          </w:p>
        </w:tc>
      </w:tr>
    </w:tbl>
    <w:p w14:paraId="480CD2C7" w14:textId="77777777" w:rsidR="00F97035" w:rsidRDefault="00F97035">
      <w:r>
        <w:rPr>
          <w:b/>
        </w:rPr>
        <w:br w:type="page"/>
      </w:r>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5"/>
        <w:gridCol w:w="6712"/>
        <w:gridCol w:w="1816"/>
      </w:tblGrid>
      <w:tr w:rsidR="00F97035" w:rsidRPr="009B4CC8" w14:paraId="3C5F3835" w14:textId="77777777" w:rsidTr="003A76DC">
        <w:trPr>
          <w:cantSplit/>
          <w:tblHeader/>
          <w:jc w:val="center"/>
        </w:trPr>
        <w:tc>
          <w:tcPr>
            <w:tcW w:w="1535" w:type="dxa"/>
          </w:tcPr>
          <w:p w14:paraId="366EA499" w14:textId="77777777" w:rsidR="00F97035" w:rsidRPr="009B4CC8" w:rsidRDefault="00F97035" w:rsidP="003A76DC">
            <w:pPr>
              <w:pStyle w:val="Tablecolhead"/>
              <w:rPr>
                <w:rFonts w:eastAsia="Times"/>
              </w:rPr>
            </w:pPr>
            <w:r w:rsidRPr="009B4CC8">
              <w:rPr>
                <w:rFonts w:eastAsia="Times"/>
              </w:rPr>
              <w:lastRenderedPageBreak/>
              <w:t>Agency</w:t>
            </w:r>
          </w:p>
        </w:tc>
        <w:tc>
          <w:tcPr>
            <w:tcW w:w="6712" w:type="dxa"/>
          </w:tcPr>
          <w:p w14:paraId="4DAD63F6" w14:textId="77777777" w:rsidR="00F97035" w:rsidRPr="009B4CC8" w:rsidRDefault="00F97035" w:rsidP="003A76DC">
            <w:pPr>
              <w:pStyle w:val="Tablecolhead"/>
              <w:rPr>
                <w:rFonts w:eastAsia="Times"/>
              </w:rPr>
            </w:pPr>
            <w:r w:rsidRPr="009B4CC8">
              <w:rPr>
                <w:rFonts w:eastAsia="Times"/>
              </w:rPr>
              <w:t>Action</w:t>
            </w:r>
          </w:p>
        </w:tc>
        <w:tc>
          <w:tcPr>
            <w:tcW w:w="1816" w:type="dxa"/>
          </w:tcPr>
          <w:p w14:paraId="0FE0C12B" w14:textId="77777777" w:rsidR="00F97035" w:rsidRPr="009B4CC8" w:rsidRDefault="00F97035" w:rsidP="003A76DC">
            <w:pPr>
              <w:pStyle w:val="Tablecolhead"/>
              <w:rPr>
                <w:rFonts w:eastAsia="Times"/>
              </w:rPr>
            </w:pPr>
            <w:r w:rsidRPr="009B4CC8">
              <w:rPr>
                <w:rFonts w:eastAsia="Times"/>
              </w:rPr>
              <w:t>When to initiate</w:t>
            </w:r>
          </w:p>
        </w:tc>
      </w:tr>
      <w:tr w:rsidR="009B4CC8" w:rsidRPr="009B4CC8" w14:paraId="2F404C69" w14:textId="77777777" w:rsidTr="00371FB5">
        <w:trPr>
          <w:jc w:val="center"/>
        </w:trPr>
        <w:tc>
          <w:tcPr>
            <w:tcW w:w="1535" w:type="dxa"/>
          </w:tcPr>
          <w:p w14:paraId="05767F56" w14:textId="77777777" w:rsidR="009B4CC8" w:rsidRDefault="00F97035" w:rsidP="00AE760D">
            <w:pPr>
              <w:pStyle w:val="Tablecolhead"/>
              <w:rPr>
                <w:rFonts w:eastAsia="Times"/>
              </w:rPr>
            </w:pPr>
            <w:r w:rsidRPr="009B4CC8">
              <w:rPr>
                <w:rFonts w:eastAsia="Times"/>
              </w:rPr>
              <w:t>MDU PHL</w:t>
            </w:r>
          </w:p>
          <w:p w14:paraId="36CFE39D" w14:textId="43278BD0" w:rsidR="00E25C0D" w:rsidRPr="009B4CC8" w:rsidRDefault="00E25C0D" w:rsidP="00AE760D">
            <w:pPr>
              <w:pStyle w:val="Tablecolhead"/>
              <w:rPr>
                <w:rFonts w:eastAsia="Times"/>
              </w:rPr>
            </w:pPr>
            <w:r>
              <w:rPr>
                <w:rFonts w:eastAsia="Times"/>
              </w:rPr>
              <w:t>(</w:t>
            </w:r>
            <w:proofErr w:type="spellStart"/>
            <w:r>
              <w:rPr>
                <w:rFonts w:eastAsia="Times"/>
              </w:rPr>
              <w:t>cont</w:t>
            </w:r>
            <w:proofErr w:type="spellEnd"/>
            <w:r>
              <w:rPr>
                <w:rFonts w:eastAsia="Times"/>
              </w:rPr>
              <w:t>’)</w:t>
            </w:r>
          </w:p>
        </w:tc>
        <w:tc>
          <w:tcPr>
            <w:tcW w:w="6712" w:type="dxa"/>
          </w:tcPr>
          <w:p w14:paraId="605BC01F" w14:textId="6E641CCB" w:rsidR="009B4CC8" w:rsidRPr="009B4CC8" w:rsidRDefault="009B4CC8" w:rsidP="00AE760D">
            <w:pPr>
              <w:pStyle w:val="Tabletext"/>
              <w:rPr>
                <w:rFonts w:eastAsia="Times"/>
              </w:rPr>
            </w:pPr>
            <w:r w:rsidRPr="009B4CC8">
              <w:rPr>
                <w:rFonts w:eastAsia="Times"/>
              </w:rPr>
              <w:t xml:space="preserve">Notify the </w:t>
            </w:r>
            <w:r w:rsidR="00C52CC2">
              <w:rPr>
                <w:rFonts w:eastAsia="Times"/>
              </w:rPr>
              <w:t>VASRU</w:t>
            </w:r>
            <w:r w:rsidRPr="009B4CC8">
              <w:rPr>
                <w:rFonts w:eastAsia="Times"/>
              </w:rPr>
              <w:t xml:space="preserve"> if samples suggest local transmission</w:t>
            </w:r>
            <w:r w:rsidR="002377EF">
              <w:rPr>
                <w:rFonts w:eastAsia="Times"/>
              </w:rPr>
              <w:t>.</w:t>
            </w:r>
          </w:p>
        </w:tc>
        <w:tc>
          <w:tcPr>
            <w:tcW w:w="1816" w:type="dxa"/>
          </w:tcPr>
          <w:p w14:paraId="3AE6470B" w14:textId="4844E3F1" w:rsidR="009B4CC8" w:rsidRPr="009B4CC8" w:rsidRDefault="009B4CC8" w:rsidP="00AE760D">
            <w:pPr>
              <w:pStyle w:val="Tabletext"/>
              <w:rPr>
                <w:rFonts w:eastAsia="Times"/>
              </w:rPr>
            </w:pPr>
            <w:r w:rsidRPr="009B4CC8">
              <w:rPr>
                <w:rFonts w:eastAsia="Times"/>
              </w:rPr>
              <w:t xml:space="preserve">When two or more epidemiologically linked cases of CPO are </w:t>
            </w:r>
            <w:r w:rsidR="00003F90" w:rsidRPr="009B4CC8">
              <w:rPr>
                <w:rFonts w:eastAsia="Times"/>
              </w:rPr>
              <w:t>identified,</w:t>
            </w:r>
            <w:r w:rsidRPr="009B4CC8">
              <w:rPr>
                <w:rFonts w:eastAsia="Times"/>
              </w:rPr>
              <w:t xml:space="preserve"> and genomic analysis is consistent with potential transmission</w:t>
            </w:r>
          </w:p>
        </w:tc>
      </w:tr>
      <w:tr w:rsidR="0048342F" w:rsidRPr="009B4CC8" w14:paraId="58AB12D7" w14:textId="77777777" w:rsidTr="00371FB5">
        <w:trPr>
          <w:jc w:val="center"/>
        </w:trPr>
        <w:tc>
          <w:tcPr>
            <w:tcW w:w="1535" w:type="dxa"/>
            <w:vMerge w:val="restart"/>
          </w:tcPr>
          <w:p w14:paraId="6148DFE3" w14:textId="2910BBD5" w:rsidR="0048342F" w:rsidRPr="009B4CC8" w:rsidRDefault="0048342F" w:rsidP="00AE760D">
            <w:pPr>
              <w:pStyle w:val="Tablecolhead"/>
              <w:rPr>
                <w:rFonts w:eastAsia="Times"/>
              </w:rPr>
            </w:pPr>
            <w:r w:rsidRPr="009B4CC8">
              <w:rPr>
                <w:rFonts w:eastAsia="Times"/>
              </w:rPr>
              <w:t xml:space="preserve">Department of Health </w:t>
            </w:r>
          </w:p>
        </w:tc>
        <w:tc>
          <w:tcPr>
            <w:tcW w:w="6712" w:type="dxa"/>
          </w:tcPr>
          <w:p w14:paraId="43C1E9EC" w14:textId="40AD185F" w:rsidR="0048342F" w:rsidRPr="009B4CC8" w:rsidRDefault="0048342F" w:rsidP="00AE760D">
            <w:pPr>
              <w:pStyle w:val="Tabletext"/>
              <w:rPr>
                <w:rFonts w:eastAsia="Times"/>
              </w:rPr>
            </w:pPr>
            <w:r w:rsidRPr="009B4CC8">
              <w:rPr>
                <w:rFonts w:eastAsia="Times"/>
              </w:rPr>
              <w:t xml:space="preserve">Coordinate AMR-IMT and </w:t>
            </w:r>
            <w:r>
              <w:rPr>
                <w:rFonts w:eastAsia="Times"/>
              </w:rPr>
              <w:t>VASRU.</w:t>
            </w:r>
          </w:p>
        </w:tc>
        <w:tc>
          <w:tcPr>
            <w:tcW w:w="1816" w:type="dxa"/>
          </w:tcPr>
          <w:p w14:paraId="0137E724" w14:textId="7BD17352" w:rsidR="0048342F" w:rsidRPr="009B4CC8" w:rsidRDefault="0048342F" w:rsidP="00AE760D">
            <w:pPr>
              <w:pStyle w:val="Tabletext"/>
              <w:rPr>
                <w:rFonts w:eastAsia="Times"/>
              </w:rPr>
            </w:pPr>
            <w:r w:rsidRPr="009B4CC8">
              <w:rPr>
                <w:rFonts w:eastAsia="Times"/>
              </w:rPr>
              <w:t>As required</w:t>
            </w:r>
          </w:p>
        </w:tc>
      </w:tr>
      <w:tr w:rsidR="0048342F" w:rsidRPr="009B4CC8" w14:paraId="2939A4C3" w14:textId="77777777" w:rsidTr="00371FB5">
        <w:trPr>
          <w:jc w:val="center"/>
        </w:trPr>
        <w:tc>
          <w:tcPr>
            <w:tcW w:w="1535" w:type="dxa"/>
            <w:vMerge/>
          </w:tcPr>
          <w:p w14:paraId="761BFBB4" w14:textId="4C8A0AAD" w:rsidR="0048342F" w:rsidRPr="009B4CC8" w:rsidRDefault="0048342F" w:rsidP="00AE760D">
            <w:pPr>
              <w:pStyle w:val="Tablecolhead"/>
              <w:rPr>
                <w:rFonts w:eastAsia="Times"/>
              </w:rPr>
            </w:pPr>
          </w:p>
        </w:tc>
        <w:tc>
          <w:tcPr>
            <w:tcW w:w="6712" w:type="dxa"/>
          </w:tcPr>
          <w:p w14:paraId="5B75C7E1" w14:textId="77777777" w:rsidR="0048342F" w:rsidRDefault="0048342F" w:rsidP="00AE760D">
            <w:pPr>
              <w:pStyle w:val="Tabletext"/>
              <w:rPr>
                <w:rFonts w:eastAsia="Times"/>
              </w:rPr>
            </w:pPr>
            <w:r>
              <w:rPr>
                <w:rFonts w:eastAsia="Times"/>
              </w:rPr>
              <w:t>Coordinate correspondence re designation of TRA which includes the following:</w:t>
            </w:r>
          </w:p>
          <w:p w14:paraId="5081D768" w14:textId="77777777" w:rsidR="0048342F" w:rsidRDefault="0048342F" w:rsidP="00070500">
            <w:pPr>
              <w:pStyle w:val="Tabletext"/>
              <w:numPr>
                <w:ilvl w:val="0"/>
                <w:numId w:val="12"/>
              </w:numPr>
              <w:rPr>
                <w:rFonts w:eastAsia="Times"/>
              </w:rPr>
            </w:pPr>
            <w:r>
              <w:rPr>
                <w:rFonts w:eastAsia="Times"/>
              </w:rPr>
              <w:t>Draft letter (and screening report template) to relevant health service CEO re designation of TRA.</w:t>
            </w:r>
          </w:p>
          <w:p w14:paraId="2031945D" w14:textId="77777777" w:rsidR="0048342F" w:rsidRDefault="0048342F" w:rsidP="00070500">
            <w:pPr>
              <w:pStyle w:val="Tabletext"/>
              <w:numPr>
                <w:ilvl w:val="0"/>
                <w:numId w:val="12"/>
              </w:numPr>
              <w:rPr>
                <w:rFonts w:eastAsia="Times"/>
              </w:rPr>
            </w:pPr>
            <w:r>
              <w:rPr>
                <w:rFonts w:eastAsia="Times"/>
              </w:rPr>
              <w:t>Notify VICNISS when letter has been sent to health service CEO for TRA to be added to the VICNISS secure portal.</w:t>
            </w:r>
          </w:p>
          <w:p w14:paraId="2A940CB9" w14:textId="2915769F" w:rsidR="0048342F" w:rsidRPr="009B4CC8" w:rsidRDefault="0048342F" w:rsidP="00AE760D">
            <w:pPr>
              <w:pStyle w:val="Tabletext"/>
              <w:rPr>
                <w:rFonts w:eastAsia="Times"/>
              </w:rPr>
            </w:pPr>
            <w:r>
              <w:rPr>
                <w:rFonts w:eastAsia="Times"/>
              </w:rPr>
              <w:t>Receive TRA screening results from TRA health service, enter results into PHESS and report them to the AMR-IMT.</w:t>
            </w:r>
          </w:p>
        </w:tc>
        <w:tc>
          <w:tcPr>
            <w:tcW w:w="1816" w:type="dxa"/>
          </w:tcPr>
          <w:p w14:paraId="0CB8D114" w14:textId="0D3EE312" w:rsidR="0048342F" w:rsidRPr="009B4CC8" w:rsidRDefault="0048342F" w:rsidP="00AE760D">
            <w:pPr>
              <w:pStyle w:val="Tabletext"/>
              <w:rPr>
                <w:rFonts w:eastAsia="Times"/>
              </w:rPr>
            </w:pPr>
            <w:r>
              <w:rPr>
                <w:rFonts w:eastAsia="Times"/>
              </w:rPr>
              <w:t>As required</w:t>
            </w:r>
          </w:p>
        </w:tc>
      </w:tr>
      <w:tr w:rsidR="0068618B" w:rsidRPr="009B4CC8" w14:paraId="7EF12071" w14:textId="77777777" w:rsidTr="00371FB5">
        <w:trPr>
          <w:jc w:val="center"/>
        </w:trPr>
        <w:tc>
          <w:tcPr>
            <w:tcW w:w="1535" w:type="dxa"/>
            <w:vMerge w:val="restart"/>
          </w:tcPr>
          <w:p w14:paraId="0512C9BA" w14:textId="70FBF5C7" w:rsidR="0068618B" w:rsidRPr="009B4CC8" w:rsidRDefault="0068618B" w:rsidP="00DD3371">
            <w:pPr>
              <w:pStyle w:val="Tablecolhead"/>
              <w:rPr>
                <w:rFonts w:eastAsia="Times"/>
              </w:rPr>
            </w:pPr>
            <w:r>
              <w:rPr>
                <w:rFonts w:eastAsia="Times"/>
              </w:rPr>
              <w:t>LPHUs</w:t>
            </w:r>
          </w:p>
        </w:tc>
        <w:tc>
          <w:tcPr>
            <w:tcW w:w="6712" w:type="dxa"/>
          </w:tcPr>
          <w:p w14:paraId="3CD18B9C" w14:textId="762AAB5A" w:rsidR="0068618B" w:rsidRPr="009B4CC8" w:rsidRDefault="0068618B" w:rsidP="00DD3371">
            <w:pPr>
              <w:pStyle w:val="Tabletext"/>
              <w:rPr>
                <w:rFonts w:eastAsia="Times"/>
              </w:rPr>
            </w:pPr>
            <w:r>
              <w:rPr>
                <w:rFonts w:eastAsia="Times"/>
              </w:rPr>
              <w:t xml:space="preserve">Coordinate </w:t>
            </w:r>
            <w:r w:rsidR="00AB6780">
              <w:rPr>
                <w:rFonts w:eastAsia="Times"/>
              </w:rPr>
              <w:t xml:space="preserve">data </w:t>
            </w:r>
            <w:r>
              <w:rPr>
                <w:rFonts w:eastAsia="Times"/>
              </w:rPr>
              <w:t>collection</w:t>
            </w:r>
            <w:r w:rsidR="00106985">
              <w:rPr>
                <w:rFonts w:eastAsia="Times"/>
              </w:rPr>
              <w:t xml:space="preserve">, </w:t>
            </w:r>
            <w:r w:rsidR="002035CF">
              <w:rPr>
                <w:rFonts w:eastAsia="Times"/>
              </w:rPr>
              <w:t>that is</w:t>
            </w:r>
            <w:r w:rsidR="00A87716">
              <w:rPr>
                <w:rFonts w:eastAsia="Times"/>
              </w:rPr>
              <w:t>,</w:t>
            </w:r>
            <w:r w:rsidR="00106985">
              <w:rPr>
                <w:rFonts w:eastAsia="Times"/>
              </w:rPr>
              <w:t xml:space="preserve"> completion of</w:t>
            </w:r>
            <w:r>
              <w:rPr>
                <w:rFonts w:eastAsia="Times"/>
              </w:rPr>
              <w:t xml:space="preserve"> CPO surveillance forms</w:t>
            </w:r>
            <w:r w:rsidR="002035CF">
              <w:rPr>
                <w:rFonts w:eastAsia="Times"/>
              </w:rPr>
              <w:t>.</w:t>
            </w:r>
          </w:p>
        </w:tc>
        <w:tc>
          <w:tcPr>
            <w:tcW w:w="1816" w:type="dxa"/>
          </w:tcPr>
          <w:p w14:paraId="4DE5AB80" w14:textId="0AD7ABCC" w:rsidR="0068618B" w:rsidRPr="009B4CC8" w:rsidRDefault="0068618B" w:rsidP="00DD3371">
            <w:pPr>
              <w:pStyle w:val="Tabletext"/>
              <w:rPr>
                <w:rFonts w:eastAsia="Times"/>
              </w:rPr>
            </w:pPr>
            <w:r>
              <w:rPr>
                <w:rFonts w:eastAsia="Times"/>
              </w:rPr>
              <w:t>As required</w:t>
            </w:r>
          </w:p>
        </w:tc>
      </w:tr>
      <w:tr w:rsidR="0068618B" w:rsidRPr="009B4CC8" w14:paraId="3122795D" w14:textId="77777777" w:rsidTr="00371FB5">
        <w:trPr>
          <w:jc w:val="center"/>
        </w:trPr>
        <w:tc>
          <w:tcPr>
            <w:tcW w:w="1535" w:type="dxa"/>
            <w:vMerge/>
          </w:tcPr>
          <w:p w14:paraId="296C12C5" w14:textId="77777777" w:rsidR="0068618B" w:rsidRDefault="0068618B" w:rsidP="0068618B">
            <w:pPr>
              <w:pStyle w:val="Tablecolhead"/>
              <w:rPr>
                <w:rFonts w:eastAsia="Times"/>
              </w:rPr>
            </w:pPr>
          </w:p>
        </w:tc>
        <w:tc>
          <w:tcPr>
            <w:tcW w:w="6712" w:type="dxa"/>
          </w:tcPr>
          <w:p w14:paraId="3218CF7B" w14:textId="16CCE0FC" w:rsidR="0068618B" w:rsidRDefault="0068618B" w:rsidP="0068618B">
            <w:pPr>
              <w:pStyle w:val="Tabletext"/>
              <w:rPr>
                <w:rFonts w:eastAsia="Times"/>
              </w:rPr>
            </w:pPr>
            <w:r>
              <w:rPr>
                <w:rFonts w:eastAsia="Times"/>
              </w:rPr>
              <w:t>Provide IPC advice to health services re management of CPOs</w:t>
            </w:r>
            <w:r w:rsidR="00047CA4">
              <w:rPr>
                <w:rFonts w:eastAsia="Times"/>
              </w:rPr>
              <w:t xml:space="preserve"> and assist with </w:t>
            </w:r>
            <w:r w:rsidR="00133C95">
              <w:rPr>
                <w:rFonts w:eastAsia="Times"/>
              </w:rPr>
              <w:t>implementation</w:t>
            </w:r>
            <w:r w:rsidR="00047CA4">
              <w:rPr>
                <w:rFonts w:eastAsia="Times"/>
              </w:rPr>
              <w:t xml:space="preserve"> of control measures</w:t>
            </w:r>
            <w:r w:rsidR="006271F3">
              <w:rPr>
                <w:rFonts w:eastAsia="Times"/>
              </w:rPr>
              <w:t>.</w:t>
            </w:r>
          </w:p>
        </w:tc>
        <w:tc>
          <w:tcPr>
            <w:tcW w:w="1816" w:type="dxa"/>
          </w:tcPr>
          <w:p w14:paraId="7CDC7932" w14:textId="7FA5D132" w:rsidR="0068618B" w:rsidRDefault="0068618B" w:rsidP="0068618B">
            <w:pPr>
              <w:pStyle w:val="Tabletext"/>
              <w:rPr>
                <w:rFonts w:eastAsia="Times"/>
              </w:rPr>
            </w:pPr>
            <w:r>
              <w:rPr>
                <w:rFonts w:eastAsia="Times"/>
              </w:rPr>
              <w:t>As required</w:t>
            </w:r>
          </w:p>
        </w:tc>
      </w:tr>
      <w:tr w:rsidR="0068618B" w:rsidRPr="009B4CC8" w14:paraId="551B198B" w14:textId="77777777">
        <w:trPr>
          <w:trHeight w:val="872"/>
          <w:jc w:val="center"/>
        </w:trPr>
        <w:tc>
          <w:tcPr>
            <w:tcW w:w="1535" w:type="dxa"/>
          </w:tcPr>
          <w:p w14:paraId="125A7267" w14:textId="77777777" w:rsidR="0068618B" w:rsidRPr="009B4CC8" w:rsidRDefault="0068618B" w:rsidP="0068618B">
            <w:pPr>
              <w:pStyle w:val="Tablecolhead"/>
              <w:rPr>
                <w:rFonts w:eastAsia="Times"/>
              </w:rPr>
            </w:pPr>
            <w:r w:rsidRPr="009B4CC8">
              <w:rPr>
                <w:rFonts w:eastAsia="Times"/>
              </w:rPr>
              <w:t>VICNISS</w:t>
            </w:r>
          </w:p>
        </w:tc>
        <w:tc>
          <w:tcPr>
            <w:tcW w:w="6712" w:type="dxa"/>
          </w:tcPr>
          <w:p w14:paraId="32E39ECD" w14:textId="1791C7E8" w:rsidR="0068618B" w:rsidRPr="009B4CC8" w:rsidRDefault="0068618B" w:rsidP="0068618B">
            <w:pPr>
              <w:pStyle w:val="Tabletext"/>
              <w:rPr>
                <w:rFonts w:eastAsia="Times"/>
              </w:rPr>
            </w:pPr>
            <w:r>
              <w:rPr>
                <w:rFonts w:eastAsia="Times"/>
              </w:rPr>
              <w:t>Add or remove TRAs from the VICNISS secure portal when advised and email Victorian Infection Control Professionals when these updates are made.</w:t>
            </w:r>
          </w:p>
        </w:tc>
        <w:tc>
          <w:tcPr>
            <w:tcW w:w="1816" w:type="dxa"/>
          </w:tcPr>
          <w:p w14:paraId="614FFFF4" w14:textId="4EAED8C9" w:rsidR="0068618B" w:rsidRPr="009B4CC8" w:rsidRDefault="0068618B" w:rsidP="0068618B">
            <w:pPr>
              <w:pStyle w:val="Tabletext"/>
              <w:rPr>
                <w:rFonts w:eastAsia="Times"/>
              </w:rPr>
            </w:pPr>
            <w:r w:rsidRPr="009B4CC8">
              <w:rPr>
                <w:rFonts w:eastAsia="Times"/>
              </w:rPr>
              <w:t>As directed by AMR-IMT</w:t>
            </w:r>
          </w:p>
        </w:tc>
      </w:tr>
    </w:tbl>
    <w:p w14:paraId="657C75EE" w14:textId="77777777" w:rsidR="00E8440F" w:rsidRPr="00E8440F" w:rsidRDefault="00E8440F" w:rsidP="00E8440F">
      <w:pPr>
        <w:pStyle w:val="Body"/>
      </w:pPr>
    </w:p>
    <w:p w14:paraId="274F716D" w14:textId="19D5C2FD" w:rsidR="00E8440F" w:rsidRDefault="00E8440F" w:rsidP="00E8440F">
      <w:pPr>
        <w:pStyle w:val="Body"/>
        <w:rPr>
          <w:bCs/>
        </w:rPr>
      </w:pPr>
      <w:r w:rsidRPr="00E8440F">
        <w:rPr>
          <w:bCs/>
        </w:rPr>
        <w:br w:type="page"/>
      </w:r>
    </w:p>
    <w:p w14:paraId="33545991" w14:textId="1ADD98F7" w:rsidR="005E0F6D" w:rsidRPr="005E0F6D" w:rsidRDefault="005E0F6D" w:rsidP="005E0F6D">
      <w:pPr>
        <w:pStyle w:val="Heading2"/>
        <w:rPr>
          <w:rFonts w:eastAsia="Times"/>
          <w:lang w:val="en-GB"/>
        </w:rPr>
      </w:pPr>
      <w:bookmarkStart w:id="92" w:name="_Appendix_B:_Hyperlinks"/>
      <w:bookmarkStart w:id="93" w:name="_Toc108539938"/>
      <w:bookmarkStart w:id="94" w:name="_Toc149319568"/>
      <w:bookmarkEnd w:id="92"/>
      <w:r w:rsidRPr="005E0F6D">
        <w:rPr>
          <w:rFonts w:eastAsia="Times"/>
          <w:lang w:val="en-GB"/>
        </w:rPr>
        <w:lastRenderedPageBreak/>
        <w:t xml:space="preserve">Appendix B: </w:t>
      </w:r>
      <w:r w:rsidR="00F55EB0">
        <w:rPr>
          <w:rFonts w:eastAsia="Times"/>
        </w:rPr>
        <w:t>Reference documents</w:t>
      </w:r>
      <w:r w:rsidRPr="005E0F6D">
        <w:rPr>
          <w:rFonts w:eastAsia="Times"/>
          <w:lang w:val="en-GB"/>
        </w:rPr>
        <w:t xml:space="preserve"> and web addresses</w:t>
      </w:r>
      <w:bookmarkEnd w:id="93"/>
      <w:bookmarkEnd w:id="94"/>
    </w:p>
    <w:tbl>
      <w:tblPr>
        <w:tblStyle w:val="TableGrid"/>
        <w:tblW w:w="9297" w:type="dxa"/>
        <w:jc w:val="center"/>
        <w:tblLayout w:type="fixed"/>
        <w:tblLook w:val="04A0" w:firstRow="1" w:lastRow="0" w:firstColumn="1" w:lastColumn="0" w:noHBand="0" w:noVBand="1"/>
      </w:tblPr>
      <w:tblGrid>
        <w:gridCol w:w="3681"/>
        <w:gridCol w:w="5616"/>
      </w:tblGrid>
      <w:tr w:rsidR="005E0F6D" w:rsidRPr="005E0F6D" w14:paraId="16030A00" w14:textId="77777777" w:rsidTr="009848DA">
        <w:trPr>
          <w:tblHeader/>
          <w:jc w:val="center"/>
        </w:trPr>
        <w:tc>
          <w:tcPr>
            <w:tcW w:w="3681" w:type="dxa"/>
          </w:tcPr>
          <w:p w14:paraId="45FCE685" w14:textId="77777777" w:rsidR="005E0F6D" w:rsidRPr="005E0F6D" w:rsidRDefault="005E0F6D" w:rsidP="005E0F6D">
            <w:pPr>
              <w:pStyle w:val="Tablecolhead"/>
              <w:rPr>
                <w:rFonts w:eastAsia="Times"/>
              </w:rPr>
            </w:pPr>
            <w:r w:rsidRPr="005E0F6D">
              <w:rPr>
                <w:rFonts w:eastAsia="Times"/>
              </w:rPr>
              <w:t>Reference document/web page</w:t>
            </w:r>
          </w:p>
        </w:tc>
        <w:tc>
          <w:tcPr>
            <w:tcW w:w="5616" w:type="dxa"/>
          </w:tcPr>
          <w:p w14:paraId="12244F4D" w14:textId="77777777" w:rsidR="005E0F6D" w:rsidRPr="005E0F6D" w:rsidRDefault="005E0F6D" w:rsidP="005E0F6D">
            <w:pPr>
              <w:pStyle w:val="Tablecolhead"/>
              <w:rPr>
                <w:rFonts w:eastAsia="Times"/>
              </w:rPr>
            </w:pPr>
            <w:r w:rsidRPr="005E0F6D">
              <w:rPr>
                <w:rFonts w:eastAsia="Times"/>
              </w:rPr>
              <w:t>Web address</w:t>
            </w:r>
          </w:p>
        </w:tc>
      </w:tr>
      <w:tr w:rsidR="005E0F6D" w:rsidRPr="005E0F6D" w14:paraId="07859AFE" w14:textId="77777777" w:rsidTr="009848DA">
        <w:trPr>
          <w:jc w:val="center"/>
        </w:trPr>
        <w:tc>
          <w:tcPr>
            <w:tcW w:w="3681" w:type="dxa"/>
          </w:tcPr>
          <w:p w14:paraId="0DA3715A" w14:textId="77777777" w:rsidR="005E0F6D" w:rsidRPr="005E0F6D" w:rsidRDefault="005E0F6D" w:rsidP="005E0F6D">
            <w:pPr>
              <w:pStyle w:val="Tabletext"/>
              <w:rPr>
                <w:rFonts w:eastAsia="Times"/>
              </w:rPr>
            </w:pPr>
            <w:r w:rsidRPr="005E0F6D">
              <w:rPr>
                <w:rFonts w:eastAsia="Times"/>
              </w:rPr>
              <w:t>Australian Commission on Safety and Quality in Health Care</w:t>
            </w:r>
          </w:p>
        </w:tc>
        <w:tc>
          <w:tcPr>
            <w:tcW w:w="5616" w:type="dxa"/>
          </w:tcPr>
          <w:p w14:paraId="52404AE2" w14:textId="552195CC" w:rsidR="005E0F6D" w:rsidRPr="005E0F6D" w:rsidRDefault="00000000" w:rsidP="005E0F6D">
            <w:pPr>
              <w:pStyle w:val="Tabletext"/>
              <w:rPr>
                <w:rFonts w:eastAsia="Times"/>
              </w:rPr>
            </w:pPr>
            <w:hyperlink r:id="rId61" w:history="1">
              <w:r w:rsidR="00A50718" w:rsidRPr="00654FB2">
                <w:rPr>
                  <w:rStyle w:val="Hyperlink"/>
                  <w:rFonts w:eastAsia="Times"/>
                </w:rPr>
                <w:t>www.safetyandquality.gov.au</w:t>
              </w:r>
            </w:hyperlink>
          </w:p>
        </w:tc>
      </w:tr>
      <w:tr w:rsidR="005E0F6D" w:rsidRPr="005E0F6D" w14:paraId="37DCE826" w14:textId="77777777" w:rsidTr="009848DA">
        <w:trPr>
          <w:jc w:val="center"/>
        </w:trPr>
        <w:tc>
          <w:tcPr>
            <w:tcW w:w="3681" w:type="dxa"/>
          </w:tcPr>
          <w:p w14:paraId="2B97C26A" w14:textId="77777777" w:rsidR="005E0F6D" w:rsidRPr="005E0F6D" w:rsidRDefault="005E0F6D" w:rsidP="005E0F6D">
            <w:pPr>
              <w:pStyle w:val="Tabletext"/>
              <w:rPr>
                <w:rFonts w:eastAsia="Times"/>
              </w:rPr>
            </w:pPr>
            <w:r w:rsidRPr="005E0F6D">
              <w:rPr>
                <w:rFonts w:eastAsia="Times"/>
              </w:rPr>
              <w:t>Australian Guidelines for the Prevention and Control of Infection in Healthcare</w:t>
            </w:r>
          </w:p>
        </w:tc>
        <w:tc>
          <w:tcPr>
            <w:tcW w:w="5616" w:type="dxa"/>
          </w:tcPr>
          <w:p w14:paraId="780A2290" w14:textId="478DC7A2" w:rsidR="005E0F6D" w:rsidRPr="005E0F6D" w:rsidRDefault="00000000" w:rsidP="005E0F6D">
            <w:pPr>
              <w:pStyle w:val="Tabletext"/>
              <w:rPr>
                <w:rFonts w:eastAsia="Times"/>
              </w:rPr>
            </w:pPr>
            <w:hyperlink r:id="rId62" w:history="1">
              <w:r w:rsidR="009848DA" w:rsidRPr="00B955A8">
                <w:rPr>
                  <w:rStyle w:val="Hyperlink"/>
                  <w:rFonts w:eastAsia="Times"/>
                </w:rPr>
                <w:t>www.nhmrc.gov.au/about-us/publications/australian-guidelines-prevention-and-control-infection-healthcare-2019</w:t>
              </w:r>
            </w:hyperlink>
            <w:r w:rsidR="009848DA">
              <w:rPr>
                <w:rFonts w:eastAsia="Times"/>
              </w:rPr>
              <w:t xml:space="preserve"> </w:t>
            </w:r>
          </w:p>
        </w:tc>
      </w:tr>
      <w:tr w:rsidR="005E0F6D" w:rsidRPr="005E0F6D" w14:paraId="12D736BA" w14:textId="77777777" w:rsidTr="009848DA">
        <w:trPr>
          <w:jc w:val="center"/>
        </w:trPr>
        <w:tc>
          <w:tcPr>
            <w:tcW w:w="3681" w:type="dxa"/>
          </w:tcPr>
          <w:p w14:paraId="30C2BAC5" w14:textId="77777777" w:rsidR="005E0F6D" w:rsidRPr="005E0F6D" w:rsidRDefault="005E0F6D" w:rsidP="005E0F6D">
            <w:pPr>
              <w:pStyle w:val="Tabletext"/>
              <w:rPr>
                <w:rFonts w:eastAsia="Times"/>
              </w:rPr>
            </w:pPr>
            <w:r w:rsidRPr="005E0F6D">
              <w:rPr>
                <w:rFonts w:eastAsia="Times"/>
              </w:rPr>
              <w:t>National Safety and Quality Health Service (NSQHS) Standards</w:t>
            </w:r>
          </w:p>
        </w:tc>
        <w:tc>
          <w:tcPr>
            <w:tcW w:w="5616" w:type="dxa"/>
          </w:tcPr>
          <w:p w14:paraId="3983DD8D" w14:textId="59161882" w:rsidR="005E0F6D" w:rsidRPr="005E0F6D" w:rsidRDefault="00000000" w:rsidP="005E0F6D">
            <w:pPr>
              <w:pStyle w:val="Tabletext"/>
              <w:rPr>
                <w:rFonts w:eastAsia="Times"/>
              </w:rPr>
            </w:pPr>
            <w:hyperlink r:id="rId63" w:history="1">
              <w:r w:rsidR="009848DA" w:rsidRPr="00B955A8">
                <w:rPr>
                  <w:rStyle w:val="Hyperlink"/>
                  <w:rFonts w:eastAsia="Times"/>
                </w:rPr>
                <w:t>www.safetyandquality.gov.au/standards/nsqhs-standards</w:t>
              </w:r>
            </w:hyperlink>
            <w:r w:rsidR="009848DA">
              <w:rPr>
                <w:rFonts w:eastAsia="Times"/>
              </w:rPr>
              <w:t xml:space="preserve"> </w:t>
            </w:r>
          </w:p>
        </w:tc>
      </w:tr>
      <w:tr w:rsidR="005E0F6D" w:rsidRPr="005E0F6D" w14:paraId="6FAE4BD1" w14:textId="77777777" w:rsidTr="009848DA">
        <w:trPr>
          <w:jc w:val="center"/>
        </w:trPr>
        <w:tc>
          <w:tcPr>
            <w:tcW w:w="3681" w:type="dxa"/>
          </w:tcPr>
          <w:p w14:paraId="655B4281" w14:textId="77777777" w:rsidR="005E0F6D" w:rsidRPr="005E0F6D" w:rsidRDefault="005E0F6D" w:rsidP="005E0F6D">
            <w:pPr>
              <w:pStyle w:val="Tabletext"/>
              <w:rPr>
                <w:rFonts w:eastAsia="Times"/>
              </w:rPr>
            </w:pPr>
            <w:r w:rsidRPr="005E0F6D">
              <w:rPr>
                <w:rFonts w:eastAsia="Times"/>
              </w:rPr>
              <w:t>Department of Health website</w:t>
            </w:r>
          </w:p>
        </w:tc>
        <w:tc>
          <w:tcPr>
            <w:tcW w:w="5616" w:type="dxa"/>
          </w:tcPr>
          <w:p w14:paraId="79132CE5" w14:textId="030CE486" w:rsidR="005E0F6D" w:rsidRPr="005E0F6D" w:rsidRDefault="00000000" w:rsidP="005E0F6D">
            <w:pPr>
              <w:pStyle w:val="Tabletext"/>
              <w:rPr>
                <w:rFonts w:eastAsia="Times"/>
              </w:rPr>
            </w:pPr>
            <w:hyperlink r:id="rId64" w:history="1">
              <w:r w:rsidR="00A50718" w:rsidRPr="00654FB2">
                <w:rPr>
                  <w:rStyle w:val="Hyperlink"/>
                  <w:rFonts w:eastAsia="Times"/>
                </w:rPr>
                <w:t>www.health.vic.gov.au</w:t>
              </w:r>
            </w:hyperlink>
          </w:p>
        </w:tc>
      </w:tr>
      <w:tr w:rsidR="005E0F6D" w:rsidRPr="005E0F6D" w14:paraId="4E97C5F7" w14:textId="77777777" w:rsidTr="009848DA">
        <w:trPr>
          <w:jc w:val="center"/>
        </w:trPr>
        <w:tc>
          <w:tcPr>
            <w:tcW w:w="3681" w:type="dxa"/>
          </w:tcPr>
          <w:p w14:paraId="0C9F903B" w14:textId="77777777" w:rsidR="005E0F6D" w:rsidRPr="005E0F6D" w:rsidRDefault="005E0F6D" w:rsidP="005E0F6D">
            <w:pPr>
              <w:pStyle w:val="Tabletext"/>
              <w:rPr>
                <w:rFonts w:eastAsia="Times"/>
              </w:rPr>
            </w:pPr>
            <w:r w:rsidRPr="005E0F6D">
              <w:rPr>
                <w:rFonts w:eastAsia="Times"/>
              </w:rPr>
              <w:t>Infection Control in Endoscopy</w:t>
            </w:r>
          </w:p>
        </w:tc>
        <w:tc>
          <w:tcPr>
            <w:tcW w:w="5616" w:type="dxa"/>
          </w:tcPr>
          <w:p w14:paraId="606CF249" w14:textId="65CA6BEE" w:rsidR="005E0F6D" w:rsidRPr="005E0F6D" w:rsidRDefault="00000000" w:rsidP="005E0F6D">
            <w:pPr>
              <w:pStyle w:val="Tabletext"/>
              <w:rPr>
                <w:rFonts w:eastAsia="Times"/>
              </w:rPr>
            </w:pPr>
            <w:hyperlink r:id="rId65" w:history="1">
              <w:r w:rsidR="009848DA" w:rsidRPr="00B955A8">
                <w:rPr>
                  <w:rStyle w:val="Hyperlink"/>
                  <w:rFonts w:eastAsia="Times"/>
                </w:rPr>
                <w:t>www.gesa.org.au/education/clinical-information/</w:t>
              </w:r>
            </w:hyperlink>
            <w:r w:rsidR="009848DA">
              <w:rPr>
                <w:rFonts w:eastAsia="Times"/>
              </w:rPr>
              <w:t xml:space="preserve"> </w:t>
            </w:r>
          </w:p>
        </w:tc>
      </w:tr>
      <w:tr w:rsidR="005E0F6D" w:rsidRPr="005E0F6D" w14:paraId="62ED410C" w14:textId="77777777" w:rsidTr="009848DA">
        <w:trPr>
          <w:jc w:val="center"/>
        </w:trPr>
        <w:tc>
          <w:tcPr>
            <w:tcW w:w="3681" w:type="dxa"/>
          </w:tcPr>
          <w:p w14:paraId="2F9280B4" w14:textId="77777777" w:rsidR="005E0F6D" w:rsidRPr="005E0F6D" w:rsidRDefault="005E0F6D" w:rsidP="005E0F6D">
            <w:pPr>
              <w:pStyle w:val="Tabletext"/>
              <w:rPr>
                <w:rFonts w:eastAsia="Times"/>
              </w:rPr>
            </w:pPr>
            <w:r w:rsidRPr="005E0F6D">
              <w:rPr>
                <w:rFonts w:eastAsia="Times"/>
              </w:rPr>
              <w:t>MDU PHL website</w:t>
            </w:r>
          </w:p>
        </w:tc>
        <w:tc>
          <w:tcPr>
            <w:tcW w:w="5616" w:type="dxa"/>
          </w:tcPr>
          <w:p w14:paraId="2260496B" w14:textId="7F2488A5" w:rsidR="005E0F6D" w:rsidRPr="005E0F6D" w:rsidRDefault="00000000" w:rsidP="005E0F6D">
            <w:pPr>
              <w:pStyle w:val="Tabletext"/>
              <w:rPr>
                <w:rFonts w:eastAsia="Times"/>
              </w:rPr>
            </w:pPr>
            <w:hyperlink r:id="rId66" w:history="1">
              <w:r w:rsidR="00A50718" w:rsidRPr="00654FB2">
                <w:rPr>
                  <w:rStyle w:val="Hyperlink"/>
                  <w:rFonts w:eastAsia="Times"/>
                </w:rPr>
                <w:t>https://biomedicalsciences.unimelb.edu.au/departments/microbiology-Immunology/research/services/microbiological-diagnostic-unit-public-health-laboratory</w:t>
              </w:r>
            </w:hyperlink>
          </w:p>
        </w:tc>
      </w:tr>
      <w:tr w:rsidR="005E0F6D" w:rsidRPr="005E0F6D" w14:paraId="1B06C988" w14:textId="77777777" w:rsidTr="009848DA">
        <w:trPr>
          <w:jc w:val="center"/>
        </w:trPr>
        <w:tc>
          <w:tcPr>
            <w:tcW w:w="3681" w:type="dxa"/>
          </w:tcPr>
          <w:p w14:paraId="42E54585" w14:textId="6889EDFE" w:rsidR="005E0F6D" w:rsidRPr="005E0F6D" w:rsidRDefault="005E0F6D" w:rsidP="005E0F6D">
            <w:pPr>
              <w:pStyle w:val="Tabletext"/>
              <w:rPr>
                <w:rFonts w:eastAsia="Times"/>
              </w:rPr>
            </w:pPr>
            <w:r w:rsidRPr="005E0F6D">
              <w:rPr>
                <w:rFonts w:eastAsia="Times"/>
              </w:rPr>
              <w:t>Victorian CPO</w:t>
            </w:r>
            <w:r w:rsidR="0096434D">
              <w:rPr>
                <w:rFonts w:eastAsia="Times"/>
              </w:rPr>
              <w:t xml:space="preserve"> surveillance</w:t>
            </w:r>
            <w:r w:rsidRPr="005E0F6D">
              <w:rPr>
                <w:rFonts w:eastAsia="Times"/>
              </w:rPr>
              <w:t xml:space="preserve"> forms, </w:t>
            </w:r>
            <w:r w:rsidR="00003F90" w:rsidRPr="005E0F6D">
              <w:rPr>
                <w:rFonts w:eastAsia="Times"/>
              </w:rPr>
              <w:t>templates,</w:t>
            </w:r>
            <w:r w:rsidRPr="005E0F6D">
              <w:rPr>
                <w:rFonts w:eastAsia="Times"/>
              </w:rPr>
              <w:t xml:space="preserve"> and resources</w:t>
            </w:r>
          </w:p>
        </w:tc>
        <w:tc>
          <w:tcPr>
            <w:tcW w:w="5616" w:type="dxa"/>
          </w:tcPr>
          <w:p w14:paraId="70A8E930" w14:textId="2A24CE01" w:rsidR="005E0F6D" w:rsidRPr="005E0F6D" w:rsidRDefault="00000000" w:rsidP="005E0F6D">
            <w:pPr>
              <w:pStyle w:val="Tabletext"/>
              <w:rPr>
                <w:rFonts w:eastAsia="Times"/>
              </w:rPr>
            </w:pPr>
            <w:hyperlink r:id="rId67" w:history="1">
              <w:r w:rsidR="00A50718" w:rsidRPr="00654FB2">
                <w:rPr>
                  <w:rStyle w:val="Hyperlink"/>
                  <w:rFonts w:eastAsia="Times"/>
                </w:rPr>
                <w:t>www.health.vic.gov.au/infection-control</w:t>
              </w:r>
            </w:hyperlink>
          </w:p>
        </w:tc>
      </w:tr>
      <w:tr w:rsidR="005E0F6D" w:rsidRPr="005E0F6D" w14:paraId="0D00B979" w14:textId="77777777" w:rsidTr="009848DA">
        <w:trPr>
          <w:jc w:val="center"/>
        </w:trPr>
        <w:tc>
          <w:tcPr>
            <w:tcW w:w="3681" w:type="dxa"/>
          </w:tcPr>
          <w:p w14:paraId="6E6E19E1" w14:textId="49A3B499" w:rsidR="005E0F6D" w:rsidRPr="005E0F6D" w:rsidRDefault="005E0F6D" w:rsidP="005E0F6D">
            <w:pPr>
              <w:pStyle w:val="Tabletext"/>
              <w:rPr>
                <w:rFonts w:eastAsia="Times"/>
              </w:rPr>
            </w:pPr>
            <w:r w:rsidRPr="005E0F6D">
              <w:rPr>
                <w:rFonts w:eastAsia="Times"/>
              </w:rPr>
              <w:t xml:space="preserve">Victorian Guideline on carbapenemase-producing </w:t>
            </w:r>
            <w:r w:rsidR="001E3617">
              <w:rPr>
                <w:rFonts w:eastAsia="Times"/>
                <w:iCs/>
              </w:rPr>
              <w:t>organisms</w:t>
            </w:r>
            <w:r w:rsidR="001E3617">
              <w:rPr>
                <w:rFonts w:eastAsia="Times"/>
              </w:rPr>
              <w:t xml:space="preserve"> </w:t>
            </w:r>
            <w:r w:rsidRPr="005E0F6D">
              <w:rPr>
                <w:rFonts w:eastAsia="Times"/>
              </w:rPr>
              <w:t>for residential care facilities</w:t>
            </w:r>
          </w:p>
        </w:tc>
        <w:tc>
          <w:tcPr>
            <w:tcW w:w="5616" w:type="dxa"/>
          </w:tcPr>
          <w:p w14:paraId="10E3C4C7" w14:textId="68DF9503" w:rsidR="005E0F6D" w:rsidRPr="005E0F6D" w:rsidRDefault="00000000" w:rsidP="005E0F6D">
            <w:pPr>
              <w:pStyle w:val="Tabletext"/>
              <w:rPr>
                <w:rFonts w:eastAsia="Times"/>
              </w:rPr>
            </w:pPr>
            <w:hyperlink r:id="rId68" w:history="1">
              <w:r w:rsidR="0088776D" w:rsidRPr="00B955A8">
                <w:rPr>
                  <w:rStyle w:val="Hyperlink"/>
                  <w:rFonts w:eastAsia="Times"/>
                </w:rPr>
                <w:t>https://www.health.vic.gov.au/infectious-diseases/carbapenemase-producing-enterobacteriaceae-management-guidelines</w:t>
              </w:r>
            </w:hyperlink>
            <w:r w:rsidR="0088776D">
              <w:rPr>
                <w:rFonts w:eastAsia="Times"/>
              </w:rPr>
              <w:t xml:space="preserve"> </w:t>
            </w:r>
          </w:p>
        </w:tc>
      </w:tr>
      <w:tr w:rsidR="005E0F6D" w:rsidRPr="005E0F6D" w14:paraId="748083B5" w14:textId="77777777" w:rsidTr="009848DA">
        <w:trPr>
          <w:jc w:val="center"/>
        </w:trPr>
        <w:tc>
          <w:tcPr>
            <w:tcW w:w="3681" w:type="dxa"/>
          </w:tcPr>
          <w:p w14:paraId="6FD80CC1" w14:textId="7CFC20C5" w:rsidR="005E0F6D" w:rsidRPr="005E0F6D" w:rsidRDefault="005E0F6D" w:rsidP="005E0F6D">
            <w:pPr>
              <w:pStyle w:val="Tabletext"/>
              <w:rPr>
                <w:rFonts w:eastAsia="Times"/>
              </w:rPr>
            </w:pPr>
            <w:r w:rsidRPr="005E0F6D">
              <w:rPr>
                <w:rFonts w:eastAsia="Times"/>
              </w:rPr>
              <w:t xml:space="preserve">Victorian guideline on environmental sampling for carbapenemase-producing </w:t>
            </w:r>
            <w:r w:rsidR="00A355A6" w:rsidRPr="007A0388">
              <w:rPr>
                <w:rFonts w:eastAsia="Times"/>
                <w:i/>
              </w:rPr>
              <w:t>Enterobacteriaceae</w:t>
            </w:r>
          </w:p>
        </w:tc>
        <w:tc>
          <w:tcPr>
            <w:tcW w:w="5616" w:type="dxa"/>
          </w:tcPr>
          <w:p w14:paraId="4E6E31FD" w14:textId="5A4913EF" w:rsidR="005E0F6D" w:rsidRPr="005E0F6D" w:rsidRDefault="00000000" w:rsidP="005E0F6D">
            <w:pPr>
              <w:pStyle w:val="Tabletext"/>
              <w:rPr>
                <w:rFonts w:eastAsia="Times"/>
              </w:rPr>
            </w:pPr>
            <w:hyperlink r:id="rId69" w:history="1">
              <w:r w:rsidR="0088776D" w:rsidRPr="00B955A8">
                <w:rPr>
                  <w:rStyle w:val="Hyperlink"/>
                  <w:rFonts w:eastAsia="Times"/>
                </w:rPr>
                <w:t>https://www.health.vic.gov.au/infectious-diseases/carbapenemase-producing-enterobacteriaceae-management-guidelines</w:t>
              </w:r>
            </w:hyperlink>
            <w:r w:rsidR="0088776D">
              <w:rPr>
                <w:rFonts w:eastAsia="Times"/>
              </w:rPr>
              <w:t xml:space="preserve"> </w:t>
            </w:r>
          </w:p>
        </w:tc>
      </w:tr>
      <w:tr w:rsidR="005E0F6D" w:rsidRPr="005E0F6D" w14:paraId="1E278C13" w14:textId="77777777" w:rsidTr="009848DA">
        <w:trPr>
          <w:jc w:val="center"/>
        </w:trPr>
        <w:tc>
          <w:tcPr>
            <w:tcW w:w="3681" w:type="dxa"/>
          </w:tcPr>
          <w:p w14:paraId="0149BDEE" w14:textId="77777777" w:rsidR="005E0F6D" w:rsidRPr="005E0F6D" w:rsidRDefault="005E0F6D" w:rsidP="005E0F6D">
            <w:pPr>
              <w:pStyle w:val="Tabletext"/>
              <w:rPr>
                <w:rFonts w:eastAsia="Times"/>
              </w:rPr>
            </w:pPr>
            <w:r w:rsidRPr="005E0F6D">
              <w:rPr>
                <w:rFonts w:eastAsia="Times"/>
              </w:rPr>
              <w:t>VICNISS website</w:t>
            </w:r>
          </w:p>
        </w:tc>
        <w:tc>
          <w:tcPr>
            <w:tcW w:w="5616" w:type="dxa"/>
          </w:tcPr>
          <w:p w14:paraId="0507FAA7" w14:textId="65524891" w:rsidR="005E0F6D" w:rsidRPr="005E0F6D" w:rsidRDefault="00000000" w:rsidP="005E0F6D">
            <w:pPr>
              <w:pStyle w:val="Tabletext"/>
              <w:rPr>
                <w:rFonts w:eastAsia="Times"/>
              </w:rPr>
            </w:pPr>
            <w:hyperlink r:id="rId70" w:history="1">
              <w:r w:rsidR="00A50718" w:rsidRPr="00654FB2">
                <w:rPr>
                  <w:rStyle w:val="Hyperlink"/>
                  <w:rFonts w:eastAsia="Times"/>
                </w:rPr>
                <w:t>www.vicniss.org.au</w:t>
              </w:r>
            </w:hyperlink>
          </w:p>
        </w:tc>
      </w:tr>
    </w:tbl>
    <w:p w14:paraId="6C41807C" w14:textId="7D9496CD" w:rsidR="00EB4BC7" w:rsidRDefault="00EB4BC7" w:rsidP="00765A19">
      <w:pPr>
        <w:pStyle w:val="Body"/>
      </w:pPr>
    </w:p>
    <w:sectPr w:rsidR="00EB4BC7" w:rsidSect="00394688">
      <w:headerReference w:type="first" r:id="rId71"/>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CAF96" w14:textId="77777777" w:rsidR="005C7B8C" w:rsidRDefault="005C7B8C">
      <w:r>
        <w:separator/>
      </w:r>
    </w:p>
    <w:p w14:paraId="3748B894" w14:textId="77777777" w:rsidR="005C7B8C" w:rsidRDefault="005C7B8C"/>
  </w:endnote>
  <w:endnote w:type="continuationSeparator" w:id="0">
    <w:p w14:paraId="06A4D3D8" w14:textId="77777777" w:rsidR="005C7B8C" w:rsidRDefault="005C7B8C">
      <w:r>
        <w:continuationSeparator/>
      </w:r>
    </w:p>
    <w:p w14:paraId="7C5FA9CE" w14:textId="77777777" w:rsidR="005C7B8C" w:rsidRDefault="005C7B8C"/>
  </w:endnote>
  <w:endnote w:type="continuationNotice" w:id="1">
    <w:p w14:paraId="5B85DEF7" w14:textId="77777777" w:rsidR="005C7B8C" w:rsidRDefault="005C7B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86FA6" w14:textId="77777777" w:rsidR="00761550" w:rsidRDefault="00761550">
    <w:pPr>
      <w:pStyle w:val="Footer"/>
    </w:pPr>
    <w:r>
      <w:rPr>
        <w:noProof/>
      </w:rPr>
      <mc:AlternateContent>
        <mc:Choice Requires="wps">
          <w:drawing>
            <wp:anchor distT="0" distB="0" distL="114300" distR="114300" simplePos="0" relativeHeight="251652608" behindDoc="0" locked="0" layoutInCell="0" allowOverlap="1" wp14:anchorId="61D7ACD6" wp14:editId="2A0E8B2C">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A8967C" w14:textId="77777777" w:rsidR="00761550" w:rsidRPr="00EB4BC7" w:rsidRDefault="00761550"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1D7ACD6"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26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11A8967C" w14:textId="77777777" w:rsidR="00761550" w:rsidRPr="00EB4BC7" w:rsidRDefault="00761550"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93976" w14:textId="62071C1E" w:rsidR="00761550" w:rsidRDefault="00417984">
    <w:pPr>
      <w:pStyle w:val="Footer"/>
    </w:pPr>
    <w:r>
      <w:rPr>
        <w:noProof/>
        <w:lang w:eastAsia="en-AU"/>
      </w:rPr>
      <mc:AlternateContent>
        <mc:Choice Requires="wps">
          <w:drawing>
            <wp:anchor distT="0" distB="0" distL="114300" distR="114300" simplePos="0" relativeHeight="251666942" behindDoc="0" locked="0" layoutInCell="0" allowOverlap="1" wp14:anchorId="45CEA40F" wp14:editId="6032D374">
              <wp:simplePos x="0" y="0"/>
              <wp:positionH relativeFrom="page">
                <wp:align>center</wp:align>
              </wp:positionH>
              <wp:positionV relativeFrom="page">
                <wp:align>bottom</wp:align>
              </wp:positionV>
              <wp:extent cx="7772400" cy="502285"/>
              <wp:effectExtent l="0" t="0" r="0" b="12065"/>
              <wp:wrapNone/>
              <wp:docPr id="1" name="MSIPCM4fa7451f9419fb5d0b7cf144"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4B700D" w14:textId="0FBFB3BA" w:rsidR="00417984" w:rsidRPr="006271F3" w:rsidRDefault="006271F3" w:rsidP="006271F3">
                          <w:pPr>
                            <w:spacing w:after="0"/>
                            <w:jc w:val="center"/>
                            <w:rPr>
                              <w:rFonts w:ascii="Arial Black" w:hAnsi="Arial Black"/>
                              <w:color w:val="000000"/>
                              <w:sz w:val="20"/>
                            </w:rPr>
                          </w:pPr>
                          <w:r w:rsidRPr="006271F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5CEA40F" id="_x0000_t202" coordsize="21600,21600" o:spt="202" path="m,l,21600r21600,l21600,xe">
              <v:stroke joinstyle="miter"/>
              <v:path gradientshapeok="t" o:connecttype="rect"/>
            </v:shapetype>
            <v:shape id="MSIPCM4fa7451f9419fb5d0b7cf144" o:spid="_x0000_s1027"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669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314B700D" w14:textId="0FBFB3BA" w:rsidR="00417984" w:rsidRPr="006271F3" w:rsidRDefault="006271F3" w:rsidP="006271F3">
                    <w:pPr>
                      <w:spacing w:after="0"/>
                      <w:jc w:val="center"/>
                      <w:rPr>
                        <w:rFonts w:ascii="Arial Black" w:hAnsi="Arial Black"/>
                        <w:color w:val="000000"/>
                        <w:sz w:val="20"/>
                      </w:rPr>
                    </w:pPr>
                    <w:r w:rsidRPr="006271F3">
                      <w:rPr>
                        <w:rFonts w:ascii="Arial Black" w:hAnsi="Arial Black"/>
                        <w:color w:val="000000"/>
                        <w:sz w:val="20"/>
                      </w:rPr>
                      <w:t>OFFICIAL</w:t>
                    </w:r>
                  </w:p>
                </w:txbxContent>
              </v:textbox>
              <w10:wrap anchorx="page" anchory="page"/>
            </v:shape>
          </w:pict>
        </mc:Fallback>
      </mc:AlternateContent>
    </w:r>
    <w:r w:rsidR="00560A3D">
      <w:rPr>
        <w:noProof/>
        <w:lang w:eastAsia="en-AU"/>
      </w:rPr>
      <mc:AlternateContent>
        <mc:Choice Requires="wps">
          <w:drawing>
            <wp:anchor distT="0" distB="0" distL="114300" distR="114300" simplePos="0" relativeHeight="251655680" behindDoc="0" locked="0" layoutInCell="0" allowOverlap="1" wp14:anchorId="105B0DDE" wp14:editId="18E6FE42">
              <wp:simplePos x="0" y="0"/>
              <wp:positionH relativeFrom="page">
                <wp:align>center</wp:align>
              </wp:positionH>
              <wp:positionV relativeFrom="page">
                <wp:align>bottom</wp:align>
              </wp:positionV>
              <wp:extent cx="7772400" cy="502285"/>
              <wp:effectExtent l="0" t="0" r="0" b="12065"/>
              <wp:wrapNone/>
              <wp:docPr id="13" name="Text Box 13"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B35E67" w14:textId="055A6C8B" w:rsidR="00560A3D" w:rsidRPr="00D90886" w:rsidRDefault="00D90886" w:rsidP="00D90886">
                          <w:pPr>
                            <w:spacing w:after="0"/>
                            <w:jc w:val="center"/>
                            <w:rPr>
                              <w:rFonts w:ascii="Arial Black" w:hAnsi="Arial Black"/>
                              <w:color w:val="000000"/>
                              <w:sz w:val="20"/>
                            </w:rPr>
                          </w:pPr>
                          <w:r w:rsidRPr="00D9088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05B0DDE" id="Text Box 13" o:spid="_x0000_s1028"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568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11B35E67" w14:textId="055A6C8B" w:rsidR="00560A3D" w:rsidRPr="00D90886" w:rsidRDefault="00D90886" w:rsidP="00D90886">
                    <w:pPr>
                      <w:spacing w:after="0"/>
                      <w:jc w:val="center"/>
                      <w:rPr>
                        <w:rFonts w:ascii="Arial Black" w:hAnsi="Arial Black"/>
                        <w:color w:val="000000"/>
                        <w:sz w:val="20"/>
                      </w:rPr>
                    </w:pPr>
                    <w:r w:rsidRPr="00D90886">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DDF61" w14:textId="0C14E17C" w:rsidR="00761550" w:rsidRDefault="00417984">
    <w:pPr>
      <w:pStyle w:val="Footer"/>
    </w:pPr>
    <w:r>
      <w:rPr>
        <w:noProof/>
      </w:rPr>
      <mc:AlternateContent>
        <mc:Choice Requires="wps">
          <w:drawing>
            <wp:anchor distT="0" distB="0" distL="114300" distR="114300" simplePos="0" relativeHeight="251666944" behindDoc="0" locked="0" layoutInCell="0" allowOverlap="1" wp14:anchorId="181B02C1" wp14:editId="70B4D9C7">
              <wp:simplePos x="0" y="0"/>
              <wp:positionH relativeFrom="page">
                <wp:align>center</wp:align>
              </wp:positionH>
              <wp:positionV relativeFrom="page">
                <wp:align>bottom</wp:align>
              </wp:positionV>
              <wp:extent cx="7772400" cy="502285"/>
              <wp:effectExtent l="0" t="0" r="0" b="12065"/>
              <wp:wrapNone/>
              <wp:docPr id="2" name="MSIPCM5213467b98ba1326b2264d6a"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6F6FB7" w14:textId="563F34C5" w:rsidR="00417984" w:rsidRPr="006271F3" w:rsidRDefault="006271F3" w:rsidP="006271F3">
                          <w:pPr>
                            <w:spacing w:after="0"/>
                            <w:jc w:val="center"/>
                            <w:rPr>
                              <w:rFonts w:ascii="Arial Black" w:hAnsi="Arial Black"/>
                              <w:color w:val="000000"/>
                              <w:sz w:val="20"/>
                            </w:rPr>
                          </w:pPr>
                          <w:r w:rsidRPr="006271F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81B02C1" id="_x0000_t202" coordsize="21600,21600" o:spt="202" path="m,l,21600r21600,l21600,xe">
              <v:stroke joinstyle="miter"/>
              <v:path gradientshapeok="t" o:connecttype="rect"/>
            </v:shapetype>
            <v:shape id="MSIPCM5213467b98ba1326b2264d6a" o:spid="_x0000_s1029"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669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466F6FB7" w14:textId="563F34C5" w:rsidR="00417984" w:rsidRPr="006271F3" w:rsidRDefault="006271F3" w:rsidP="006271F3">
                    <w:pPr>
                      <w:spacing w:after="0"/>
                      <w:jc w:val="center"/>
                      <w:rPr>
                        <w:rFonts w:ascii="Arial Black" w:hAnsi="Arial Black"/>
                        <w:color w:val="000000"/>
                        <w:sz w:val="20"/>
                      </w:rPr>
                    </w:pPr>
                    <w:r w:rsidRPr="006271F3">
                      <w:rPr>
                        <w:rFonts w:ascii="Arial Black" w:hAnsi="Arial Black"/>
                        <w:color w:val="000000"/>
                        <w:sz w:val="20"/>
                      </w:rPr>
                      <w:t>OFFICIAL</w:t>
                    </w:r>
                  </w:p>
                </w:txbxContent>
              </v:textbox>
              <w10:wrap anchorx="page" anchory="page"/>
            </v:shape>
          </w:pict>
        </mc:Fallback>
      </mc:AlternateContent>
    </w:r>
    <w:r w:rsidR="00560A3D">
      <w:rPr>
        <w:noProof/>
      </w:rPr>
      <mc:AlternateContent>
        <mc:Choice Requires="wps">
          <w:drawing>
            <wp:anchor distT="0" distB="0" distL="114300" distR="114300" simplePos="0" relativeHeight="251658752" behindDoc="0" locked="0" layoutInCell="0" allowOverlap="1" wp14:anchorId="0A237F5C" wp14:editId="6513A326">
              <wp:simplePos x="0" y="0"/>
              <wp:positionH relativeFrom="page">
                <wp:align>center</wp:align>
              </wp:positionH>
              <wp:positionV relativeFrom="page">
                <wp:align>bottom</wp:align>
              </wp:positionV>
              <wp:extent cx="7772400" cy="502285"/>
              <wp:effectExtent l="0" t="0" r="0" b="12065"/>
              <wp:wrapNone/>
              <wp:docPr id="14" name="Text Box 14"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283196" w14:textId="2DAEEC09" w:rsidR="00560A3D" w:rsidRPr="00D90886" w:rsidRDefault="00D90886" w:rsidP="00D90886">
                          <w:pPr>
                            <w:spacing w:after="0"/>
                            <w:jc w:val="center"/>
                            <w:rPr>
                              <w:rFonts w:ascii="Arial Black" w:hAnsi="Arial Black"/>
                              <w:color w:val="000000"/>
                              <w:sz w:val="20"/>
                            </w:rPr>
                          </w:pPr>
                          <w:r w:rsidRPr="00D9088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A237F5C" id="Text Box 14" o:spid="_x0000_s1030"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587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50283196" w14:textId="2DAEEC09" w:rsidR="00560A3D" w:rsidRPr="00D90886" w:rsidRDefault="00D90886" w:rsidP="00D90886">
                    <w:pPr>
                      <w:spacing w:after="0"/>
                      <w:jc w:val="center"/>
                      <w:rPr>
                        <w:rFonts w:ascii="Arial Black" w:hAnsi="Arial Black"/>
                        <w:color w:val="000000"/>
                        <w:sz w:val="20"/>
                      </w:rPr>
                    </w:pPr>
                    <w:r w:rsidRPr="00D90886">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5B2B3" w14:textId="77777777" w:rsidR="00761550" w:rsidRDefault="00761550">
    <w:pPr>
      <w:pStyle w:val="Footer"/>
    </w:pPr>
    <w:r>
      <w:rPr>
        <w:noProof/>
        <w:lang w:eastAsia="en-AU"/>
      </w:rPr>
      <mc:AlternateContent>
        <mc:Choice Requires="wps">
          <w:drawing>
            <wp:anchor distT="0" distB="0" distL="114300" distR="114300" simplePos="0" relativeHeight="251658241" behindDoc="0" locked="0" layoutInCell="0" allowOverlap="1" wp14:anchorId="72C76A81" wp14:editId="3D66CC63">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6992EC" w14:textId="77777777" w:rsidR="00761550" w:rsidRPr="002C5B7C" w:rsidRDefault="00761550"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C76A81" id="_x0000_t202" coordsize="21600,21600" o:spt="202" path="m,l,21600r21600,l21600,xe">
              <v:stroke joinstyle="miter"/>
              <v:path gradientshapeok="t" o:connecttype="rect"/>
            </v:shapetype>
            <v:shape id="Text Box 4" o:spid="_x0000_s1031"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316992EC" w14:textId="77777777" w:rsidR="00761550" w:rsidRPr="002C5B7C" w:rsidRDefault="00761550"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1C763" w14:textId="35518F92" w:rsidR="00761550" w:rsidRDefault="00417984">
    <w:pPr>
      <w:pStyle w:val="Footer"/>
    </w:pPr>
    <w:r>
      <w:rPr>
        <w:noProof/>
        <w:lang w:eastAsia="en-AU"/>
      </w:rPr>
      <mc:AlternateContent>
        <mc:Choice Requires="wps">
          <w:drawing>
            <wp:anchor distT="0" distB="0" distL="114300" distR="114300" simplePos="0" relativeHeight="251666943" behindDoc="0" locked="0" layoutInCell="0" allowOverlap="1" wp14:anchorId="14FDB5C0" wp14:editId="2BBBB4CD">
              <wp:simplePos x="0" y="0"/>
              <wp:positionH relativeFrom="page">
                <wp:align>center</wp:align>
              </wp:positionH>
              <wp:positionV relativeFrom="page">
                <wp:align>bottom</wp:align>
              </wp:positionV>
              <wp:extent cx="7772400" cy="502285"/>
              <wp:effectExtent l="0" t="0" r="0" b="12065"/>
              <wp:wrapNone/>
              <wp:docPr id="5" name="MSIPCMc1fd4851aa4dd843e09265bc"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B94E49" w14:textId="70E09D5F" w:rsidR="00417984" w:rsidRPr="006271F3" w:rsidRDefault="006271F3" w:rsidP="006271F3">
                          <w:pPr>
                            <w:spacing w:after="0"/>
                            <w:jc w:val="center"/>
                            <w:rPr>
                              <w:rFonts w:ascii="Arial Black" w:hAnsi="Arial Black"/>
                              <w:color w:val="000000"/>
                              <w:sz w:val="20"/>
                            </w:rPr>
                          </w:pPr>
                          <w:r w:rsidRPr="006271F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4FDB5C0" id="_x0000_t202" coordsize="21600,21600" o:spt="202" path="m,l,21600r21600,l21600,xe">
              <v:stroke joinstyle="miter"/>
              <v:path gradientshapeok="t" o:connecttype="rect"/>
            </v:shapetype>
            <v:shape id="MSIPCMc1fd4851aa4dd843e09265bc" o:spid="_x0000_s1032" type="#_x0000_t202" alt="{&quot;HashCode&quot;:904758361,&quot;Height&quot;:9999999.0,&quot;Width&quot;:9999999.0,&quot;Placement&quot;:&quot;Footer&quot;,&quot;Index&quot;:&quot;Primary&quot;,&quot;Section&quot;:2,&quot;Top&quot;:0.0,&quot;Left&quot;:0.0}" style="position:absolute;left:0;text-align:left;margin-left:0;margin-top:0;width:612pt;height:39.55pt;z-index:2516669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25B94E49" w14:textId="70E09D5F" w:rsidR="00417984" w:rsidRPr="006271F3" w:rsidRDefault="006271F3" w:rsidP="006271F3">
                    <w:pPr>
                      <w:spacing w:after="0"/>
                      <w:jc w:val="center"/>
                      <w:rPr>
                        <w:rFonts w:ascii="Arial Black" w:hAnsi="Arial Black"/>
                        <w:color w:val="000000"/>
                        <w:sz w:val="20"/>
                      </w:rPr>
                    </w:pPr>
                    <w:r w:rsidRPr="006271F3">
                      <w:rPr>
                        <w:rFonts w:ascii="Arial Black" w:hAnsi="Arial Black"/>
                        <w:color w:val="000000"/>
                        <w:sz w:val="20"/>
                      </w:rPr>
                      <w:t>OFFICIAL</w:t>
                    </w:r>
                  </w:p>
                </w:txbxContent>
              </v:textbox>
              <w10:wrap anchorx="page" anchory="page"/>
            </v:shape>
          </w:pict>
        </mc:Fallback>
      </mc:AlternateContent>
    </w:r>
    <w:r w:rsidR="0002463E">
      <w:rPr>
        <w:noProof/>
        <w:lang w:eastAsia="en-AU"/>
      </w:rPr>
      <mc:AlternateContent>
        <mc:Choice Requires="wps">
          <w:drawing>
            <wp:anchor distT="0" distB="0" distL="114300" distR="114300" simplePos="0" relativeHeight="251658244" behindDoc="0" locked="0" layoutInCell="0" allowOverlap="1" wp14:anchorId="63962E58" wp14:editId="5B13F736">
              <wp:simplePos x="0" y="0"/>
              <wp:positionH relativeFrom="page">
                <wp:align>center</wp:align>
              </wp:positionH>
              <wp:positionV relativeFrom="page">
                <wp:align>bottom</wp:align>
              </wp:positionV>
              <wp:extent cx="7772400" cy="502285"/>
              <wp:effectExtent l="0" t="0" r="0" b="12065"/>
              <wp:wrapNone/>
              <wp:docPr id="16" name="Text Box 16"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80A6BB" w14:textId="2FCDCCAD" w:rsidR="00C132E9" w:rsidRPr="00D90886" w:rsidRDefault="00D90886" w:rsidP="00D90886">
                          <w:pPr>
                            <w:spacing w:after="0"/>
                            <w:jc w:val="center"/>
                            <w:rPr>
                              <w:rFonts w:ascii="Arial Black" w:hAnsi="Arial Black"/>
                              <w:color w:val="000000"/>
                              <w:sz w:val="20"/>
                            </w:rPr>
                          </w:pPr>
                          <w:r w:rsidRPr="00D9088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3962E58" id="Text Box 16" o:spid="_x0000_s1033" type="#_x0000_t202" alt="{&quot;HashCode&quot;:904758361,&quot;Height&quot;:9999999.0,&quot;Width&quot;:9999999.0,&quot;Placement&quot;:&quot;Footer&quot;,&quot;Index&quot;:&quot;Primary&quot;,&quot;Section&quot;:2,&quot;Top&quot;:0.0,&quot;Left&quot;:0.0}" style="position:absolute;left:0;text-align:left;margin-left:0;margin-top:0;width:612pt;height:39.5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9r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Rxr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ARZL2sYAgAALQQAAA4AAAAAAAAAAAAAAAAALgIAAGRycy9lMm9Eb2MueG1sUEsBAi0AFAAGAAgA&#10;AAAhANg//TfbAAAABQEAAA8AAAAAAAAAAAAAAAAAcgQAAGRycy9kb3ducmV2LnhtbFBLBQYAAAAA&#10;BAAEAPMAAAB6BQAAAAA=&#10;" o:allowincell="f" filled="f" stroked="f" strokeweight=".5pt">
              <v:textbox inset=",0,,0">
                <w:txbxContent>
                  <w:p w14:paraId="3580A6BB" w14:textId="2FCDCCAD" w:rsidR="00C132E9" w:rsidRPr="00D90886" w:rsidRDefault="00D90886" w:rsidP="00D90886">
                    <w:pPr>
                      <w:spacing w:after="0"/>
                      <w:jc w:val="center"/>
                      <w:rPr>
                        <w:rFonts w:ascii="Arial Black" w:hAnsi="Arial Black"/>
                        <w:color w:val="000000"/>
                        <w:sz w:val="20"/>
                      </w:rPr>
                    </w:pPr>
                    <w:r w:rsidRPr="00D90886">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E6158" w14:textId="77777777" w:rsidR="005C7B8C" w:rsidRDefault="005C7B8C" w:rsidP="00207717">
      <w:pPr>
        <w:spacing w:before="120"/>
      </w:pPr>
      <w:r>
        <w:separator/>
      </w:r>
    </w:p>
  </w:footnote>
  <w:footnote w:type="continuationSeparator" w:id="0">
    <w:p w14:paraId="1B1206DF" w14:textId="77777777" w:rsidR="005C7B8C" w:rsidRDefault="005C7B8C">
      <w:r>
        <w:continuationSeparator/>
      </w:r>
    </w:p>
    <w:p w14:paraId="1D9E63CB" w14:textId="77777777" w:rsidR="005C7B8C" w:rsidRDefault="005C7B8C"/>
  </w:footnote>
  <w:footnote w:type="continuationNotice" w:id="1">
    <w:p w14:paraId="6F648803" w14:textId="77777777" w:rsidR="005C7B8C" w:rsidRDefault="005C7B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6F861" w14:textId="77777777" w:rsidR="006271F3" w:rsidRDefault="006271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1D9CE" w14:textId="3F9596FC" w:rsidR="00761550" w:rsidRDefault="00761550">
    <w:pPr>
      <w:pStyle w:val="Header"/>
    </w:pPr>
    <w:r w:rsidRPr="004B6009">
      <w:t>Victorian guideline on CPO for health services</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iii</w:t>
    </w:r>
    <w:r w:rsidRPr="00DE6C85">
      <w:rPr>
        <w:b w:val="0"/>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4AE70" w14:textId="77777777" w:rsidR="006271F3" w:rsidRDefault="006271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77960" w14:textId="77777777" w:rsidR="00761550" w:rsidRPr="00454A7D" w:rsidRDefault="00761550" w:rsidP="00454A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74FB6" w14:textId="38509F0E" w:rsidR="00761550" w:rsidRDefault="00761550">
    <w:pPr>
      <w:pStyle w:val="Header"/>
    </w:pPr>
    <w:r w:rsidRPr="004B6009">
      <w:t>Victorian guideline on CPO for health services</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iii</w:t>
    </w:r>
    <w:r w:rsidRPr="00DE6C85">
      <w:rPr>
        <w:b w:val="0"/>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403A8" w14:textId="133D4155" w:rsidR="00761550" w:rsidRPr="0046527E" w:rsidRDefault="00761550" w:rsidP="0046527E">
    <w:pPr>
      <w:pStyle w:val="Header"/>
    </w:pPr>
    <w:r w:rsidRPr="004B6009">
      <w:t>Victorian guideline on CPO for health services</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6</w:t>
    </w:r>
    <w:r w:rsidRPr="00DE6C85">
      <w:rPr>
        <w:b w:val="0"/>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4DB1D" w14:textId="77777777" w:rsidR="00761550" w:rsidRDefault="00761550">
    <w:pPr>
      <w:pStyle w:val="Header"/>
    </w:pPr>
    <w:r w:rsidRPr="004B6009">
      <w:t>Victorian guideline on CPO for health services</w:t>
    </w:r>
    <w:r>
      <w:ptab w:relativeTo="margin" w:alignment="right" w:leader="none"/>
    </w:r>
    <w:r w:rsidRPr="00DE6C85">
      <w:rPr>
        <w:b w:val="0"/>
        <w:bCs/>
      </w:rPr>
      <w:fldChar w:fldCharType="begin"/>
    </w:r>
    <w:r w:rsidRPr="00726E11">
      <w:rPr>
        <w:b w:val="0"/>
        <w:bCs/>
      </w:rPr>
      <w:instrText xml:space="preserve"> PAGE </w:instrText>
    </w:r>
    <w:r w:rsidRPr="00DE6C85">
      <w:rPr>
        <w:b w:val="0"/>
        <w:bCs/>
      </w:rPr>
      <w:fldChar w:fldCharType="separate"/>
    </w:r>
    <w:r>
      <w:rPr>
        <w:b w:val="0"/>
        <w:bCs/>
      </w:rPr>
      <w:t>iii</w:t>
    </w:r>
    <w:r w:rsidRPr="00DE6C85">
      <w:rPr>
        <w:b w:val="0"/>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D4102" w14:textId="77777777" w:rsidR="00761550" w:rsidRPr="0046527E" w:rsidRDefault="00761550" w:rsidP="0046527E">
    <w:pPr>
      <w:pStyle w:val="Header"/>
    </w:pPr>
    <w:r w:rsidRPr="004B6009">
      <w:t>Victorian guideline on CPO for health services</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6</w:t>
    </w:r>
    <w:r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F3D5C"/>
    <w:multiLevelType w:val="multilevel"/>
    <w:tmpl w:val="7404253E"/>
    <w:lvl w:ilvl="0">
      <w:start w:val="1"/>
      <w:numFmt w:val="decimal"/>
      <w:lvlText w:val="%1."/>
      <w:lvlJc w:val="left"/>
      <w:pPr>
        <w:ind w:left="227" w:hanging="227"/>
      </w:pPr>
      <w:rPr>
        <w:rFonts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8D20D50"/>
    <w:multiLevelType w:val="hybridMultilevel"/>
    <w:tmpl w:val="CB2AB462"/>
    <w:lvl w:ilvl="0" w:tplc="9948DD76">
      <w:start w:val="1"/>
      <w:numFmt w:val="bullet"/>
      <w:lvlText w:val=""/>
      <w:lvlJc w:val="left"/>
      <w:pPr>
        <w:ind w:left="880" w:hanging="360"/>
      </w:pPr>
      <w:rPr>
        <w:rFonts w:ascii="Symbol" w:hAnsi="Symbol"/>
      </w:rPr>
    </w:lvl>
    <w:lvl w:ilvl="1" w:tplc="7AB4C3B0">
      <w:start w:val="1"/>
      <w:numFmt w:val="bullet"/>
      <w:lvlText w:val=""/>
      <w:lvlJc w:val="left"/>
      <w:pPr>
        <w:ind w:left="880" w:hanging="360"/>
      </w:pPr>
      <w:rPr>
        <w:rFonts w:ascii="Symbol" w:hAnsi="Symbol"/>
      </w:rPr>
    </w:lvl>
    <w:lvl w:ilvl="2" w:tplc="C51A216C">
      <w:start w:val="1"/>
      <w:numFmt w:val="bullet"/>
      <w:lvlText w:val=""/>
      <w:lvlJc w:val="left"/>
      <w:pPr>
        <w:ind w:left="880" w:hanging="360"/>
      </w:pPr>
      <w:rPr>
        <w:rFonts w:ascii="Symbol" w:hAnsi="Symbol"/>
      </w:rPr>
    </w:lvl>
    <w:lvl w:ilvl="3" w:tplc="840C4074">
      <w:start w:val="1"/>
      <w:numFmt w:val="bullet"/>
      <w:lvlText w:val=""/>
      <w:lvlJc w:val="left"/>
      <w:pPr>
        <w:ind w:left="880" w:hanging="360"/>
      </w:pPr>
      <w:rPr>
        <w:rFonts w:ascii="Symbol" w:hAnsi="Symbol"/>
      </w:rPr>
    </w:lvl>
    <w:lvl w:ilvl="4" w:tplc="1D8E4BE2">
      <w:start w:val="1"/>
      <w:numFmt w:val="bullet"/>
      <w:lvlText w:val=""/>
      <w:lvlJc w:val="left"/>
      <w:pPr>
        <w:ind w:left="880" w:hanging="360"/>
      </w:pPr>
      <w:rPr>
        <w:rFonts w:ascii="Symbol" w:hAnsi="Symbol"/>
      </w:rPr>
    </w:lvl>
    <w:lvl w:ilvl="5" w:tplc="71F2E942">
      <w:start w:val="1"/>
      <w:numFmt w:val="bullet"/>
      <w:lvlText w:val=""/>
      <w:lvlJc w:val="left"/>
      <w:pPr>
        <w:ind w:left="880" w:hanging="360"/>
      </w:pPr>
      <w:rPr>
        <w:rFonts w:ascii="Symbol" w:hAnsi="Symbol"/>
      </w:rPr>
    </w:lvl>
    <w:lvl w:ilvl="6" w:tplc="44468C00">
      <w:start w:val="1"/>
      <w:numFmt w:val="bullet"/>
      <w:lvlText w:val=""/>
      <w:lvlJc w:val="left"/>
      <w:pPr>
        <w:ind w:left="880" w:hanging="360"/>
      </w:pPr>
      <w:rPr>
        <w:rFonts w:ascii="Symbol" w:hAnsi="Symbol"/>
      </w:rPr>
    </w:lvl>
    <w:lvl w:ilvl="7" w:tplc="6C1CD584">
      <w:start w:val="1"/>
      <w:numFmt w:val="bullet"/>
      <w:lvlText w:val=""/>
      <w:lvlJc w:val="left"/>
      <w:pPr>
        <w:ind w:left="880" w:hanging="360"/>
      </w:pPr>
      <w:rPr>
        <w:rFonts w:ascii="Symbol" w:hAnsi="Symbol"/>
      </w:rPr>
    </w:lvl>
    <w:lvl w:ilvl="8" w:tplc="A704B794">
      <w:start w:val="1"/>
      <w:numFmt w:val="bullet"/>
      <w:lvlText w:val=""/>
      <w:lvlJc w:val="left"/>
      <w:pPr>
        <w:ind w:left="880" w:hanging="360"/>
      </w:pPr>
      <w:rPr>
        <w:rFonts w:ascii="Symbol" w:hAnsi="Symbol"/>
      </w:rPr>
    </w:lvl>
  </w:abstractNum>
  <w:abstractNum w:abstractNumId="2" w15:restartNumberingAfterBreak="0">
    <w:nsid w:val="0A076BBA"/>
    <w:multiLevelType w:val="hybridMultilevel"/>
    <w:tmpl w:val="0D28F212"/>
    <w:lvl w:ilvl="0" w:tplc="4978F5EE">
      <w:start w:val="1"/>
      <w:numFmt w:val="bullet"/>
      <w:lvlText w:val=""/>
      <w:lvlJc w:val="left"/>
      <w:pPr>
        <w:ind w:left="720" w:hanging="360"/>
      </w:pPr>
      <w:rPr>
        <w:rFonts w:ascii="Symbol" w:hAnsi="Symbol"/>
      </w:rPr>
    </w:lvl>
    <w:lvl w:ilvl="1" w:tplc="622EDC32">
      <w:start w:val="1"/>
      <w:numFmt w:val="bullet"/>
      <w:lvlText w:val=""/>
      <w:lvlJc w:val="left"/>
      <w:pPr>
        <w:ind w:left="720" w:hanging="360"/>
      </w:pPr>
      <w:rPr>
        <w:rFonts w:ascii="Symbol" w:hAnsi="Symbol"/>
      </w:rPr>
    </w:lvl>
    <w:lvl w:ilvl="2" w:tplc="035AD4A4">
      <w:start w:val="1"/>
      <w:numFmt w:val="bullet"/>
      <w:lvlText w:val=""/>
      <w:lvlJc w:val="left"/>
      <w:pPr>
        <w:ind w:left="720" w:hanging="360"/>
      </w:pPr>
      <w:rPr>
        <w:rFonts w:ascii="Symbol" w:hAnsi="Symbol"/>
      </w:rPr>
    </w:lvl>
    <w:lvl w:ilvl="3" w:tplc="4FC6E21C">
      <w:start w:val="1"/>
      <w:numFmt w:val="bullet"/>
      <w:lvlText w:val=""/>
      <w:lvlJc w:val="left"/>
      <w:pPr>
        <w:ind w:left="720" w:hanging="360"/>
      </w:pPr>
      <w:rPr>
        <w:rFonts w:ascii="Symbol" w:hAnsi="Symbol"/>
      </w:rPr>
    </w:lvl>
    <w:lvl w:ilvl="4" w:tplc="E78438E0">
      <w:start w:val="1"/>
      <w:numFmt w:val="bullet"/>
      <w:lvlText w:val=""/>
      <w:lvlJc w:val="left"/>
      <w:pPr>
        <w:ind w:left="720" w:hanging="360"/>
      </w:pPr>
      <w:rPr>
        <w:rFonts w:ascii="Symbol" w:hAnsi="Symbol"/>
      </w:rPr>
    </w:lvl>
    <w:lvl w:ilvl="5" w:tplc="77406026">
      <w:start w:val="1"/>
      <w:numFmt w:val="bullet"/>
      <w:lvlText w:val=""/>
      <w:lvlJc w:val="left"/>
      <w:pPr>
        <w:ind w:left="720" w:hanging="360"/>
      </w:pPr>
      <w:rPr>
        <w:rFonts w:ascii="Symbol" w:hAnsi="Symbol"/>
      </w:rPr>
    </w:lvl>
    <w:lvl w:ilvl="6" w:tplc="F46EA2D8">
      <w:start w:val="1"/>
      <w:numFmt w:val="bullet"/>
      <w:lvlText w:val=""/>
      <w:lvlJc w:val="left"/>
      <w:pPr>
        <w:ind w:left="720" w:hanging="360"/>
      </w:pPr>
      <w:rPr>
        <w:rFonts w:ascii="Symbol" w:hAnsi="Symbol"/>
      </w:rPr>
    </w:lvl>
    <w:lvl w:ilvl="7" w:tplc="A35EE0B2">
      <w:start w:val="1"/>
      <w:numFmt w:val="bullet"/>
      <w:lvlText w:val=""/>
      <w:lvlJc w:val="left"/>
      <w:pPr>
        <w:ind w:left="720" w:hanging="360"/>
      </w:pPr>
      <w:rPr>
        <w:rFonts w:ascii="Symbol" w:hAnsi="Symbol"/>
      </w:rPr>
    </w:lvl>
    <w:lvl w:ilvl="8" w:tplc="A174869C">
      <w:start w:val="1"/>
      <w:numFmt w:val="bullet"/>
      <w:lvlText w:val=""/>
      <w:lvlJc w:val="left"/>
      <w:pPr>
        <w:ind w:left="720" w:hanging="360"/>
      </w:pPr>
      <w:rPr>
        <w:rFonts w:ascii="Symbol" w:hAnsi="Symbol"/>
      </w:rPr>
    </w:lvl>
  </w:abstractNum>
  <w:abstractNum w:abstractNumId="3"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1C3E2DEB"/>
    <w:multiLevelType w:val="multilevel"/>
    <w:tmpl w:val="DFA42A0E"/>
    <w:lvl w:ilvl="0">
      <w:start w:val="1"/>
      <w:numFmt w:val="lowerLetter"/>
      <w:lvlText w:val="(%1)"/>
      <w:lvlJc w:val="left"/>
      <w:pPr>
        <w:tabs>
          <w:tab w:val="num" w:pos="397"/>
        </w:tabs>
        <w:ind w:left="397" w:hanging="397"/>
      </w:pPr>
      <w:rPr>
        <w:rFonts w:hint="default"/>
      </w:rPr>
    </w:lvl>
    <w:lvl w:ilvl="1">
      <w:start w:val="1"/>
      <w:numFmt w:val="bullet"/>
      <w:lvlText w:val=""/>
      <w:lvlJc w:val="left"/>
      <w:pPr>
        <w:ind w:left="757" w:hanging="360"/>
      </w:pPr>
      <w:rPr>
        <w:rFonts w:ascii="Symbol" w:hAnsi="Symbol" w:hint="default"/>
      </w:rPr>
    </w:lvl>
    <w:lvl w:ilvl="2">
      <w:start w:val="1"/>
      <w:numFmt w:val="none"/>
      <w:lvlRestart w:val="0"/>
      <w:lvlText w:val=""/>
      <w:lvlJc w:val="left"/>
      <w:pPr>
        <w:ind w:left="0" w:firstLine="0"/>
      </w:pPr>
      <w:rPr>
        <w:rFonts w:hint="default"/>
      </w:rPr>
    </w:lvl>
    <w:lvl w:ilvl="3">
      <w:numFmt w:val="bullet"/>
      <w:lvlText w:val="-"/>
      <w:lvlJc w:val="left"/>
      <w:pPr>
        <w:ind w:left="0" w:firstLine="0"/>
      </w:pPr>
      <w:rPr>
        <w:rFonts w:ascii="Calibri" w:eastAsiaTheme="minorHAnsi" w:hAnsi="Calibri" w:cs="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24DE1891"/>
    <w:multiLevelType w:val="hybridMultilevel"/>
    <w:tmpl w:val="75D4AC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0B0CE0"/>
    <w:multiLevelType w:val="hybridMultilevel"/>
    <w:tmpl w:val="288CE4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8D51B47"/>
    <w:multiLevelType w:val="multilevel"/>
    <w:tmpl w:val="58AC4C86"/>
    <w:numStyleLink w:val="ZZNumbers"/>
  </w:abstractNum>
  <w:abstractNum w:abstractNumId="8" w15:restartNumberingAfterBreak="0">
    <w:nsid w:val="2C00352A"/>
    <w:multiLevelType w:val="hybridMultilevel"/>
    <w:tmpl w:val="B00C31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9D56364"/>
    <w:multiLevelType w:val="hybridMultilevel"/>
    <w:tmpl w:val="79B464E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A9C39C0"/>
    <w:multiLevelType w:val="multilevel"/>
    <w:tmpl w:val="F05C78C0"/>
    <w:numStyleLink w:val="ZZBullets"/>
  </w:abstractNum>
  <w:abstractNum w:abstractNumId="11" w15:restartNumberingAfterBreak="0">
    <w:nsid w:val="3C4303A5"/>
    <w:multiLevelType w:val="multilevel"/>
    <w:tmpl w:val="58AC4C86"/>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 w15:restartNumberingAfterBreak="0">
    <w:nsid w:val="3E6C68D4"/>
    <w:multiLevelType w:val="multilevel"/>
    <w:tmpl w:val="0AACE37C"/>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3EF5011C"/>
    <w:multiLevelType w:val="multilevel"/>
    <w:tmpl w:val="874E2B96"/>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8C201E3"/>
    <w:multiLevelType w:val="hybridMultilevel"/>
    <w:tmpl w:val="B8CCEDBA"/>
    <w:lvl w:ilvl="0" w:tplc="727448B8">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53C286E3"/>
    <w:multiLevelType w:val="hybridMultilevel"/>
    <w:tmpl w:val="FFFFFFFF"/>
    <w:lvl w:ilvl="0" w:tplc="4782B244">
      <w:start w:val="1"/>
      <w:numFmt w:val="bullet"/>
      <w:lvlText w:val=""/>
      <w:lvlJc w:val="left"/>
      <w:pPr>
        <w:ind w:left="720" w:hanging="360"/>
      </w:pPr>
      <w:rPr>
        <w:rFonts w:ascii="Symbol" w:hAnsi="Symbol" w:hint="default"/>
      </w:rPr>
    </w:lvl>
    <w:lvl w:ilvl="1" w:tplc="4D845510">
      <w:start w:val="1"/>
      <w:numFmt w:val="bullet"/>
      <w:lvlText w:val="o"/>
      <w:lvlJc w:val="left"/>
      <w:pPr>
        <w:ind w:left="1440" w:hanging="360"/>
      </w:pPr>
      <w:rPr>
        <w:rFonts w:ascii="Courier New" w:hAnsi="Courier New" w:hint="default"/>
      </w:rPr>
    </w:lvl>
    <w:lvl w:ilvl="2" w:tplc="AFCE201A">
      <w:start w:val="1"/>
      <w:numFmt w:val="bullet"/>
      <w:lvlText w:val=""/>
      <w:lvlJc w:val="left"/>
      <w:pPr>
        <w:ind w:left="2160" w:hanging="360"/>
      </w:pPr>
      <w:rPr>
        <w:rFonts w:ascii="Wingdings" w:hAnsi="Wingdings" w:hint="default"/>
      </w:rPr>
    </w:lvl>
    <w:lvl w:ilvl="3" w:tplc="DA520916">
      <w:start w:val="1"/>
      <w:numFmt w:val="bullet"/>
      <w:lvlText w:val=""/>
      <w:lvlJc w:val="left"/>
      <w:pPr>
        <w:ind w:left="2880" w:hanging="360"/>
      </w:pPr>
      <w:rPr>
        <w:rFonts w:ascii="Symbol" w:hAnsi="Symbol" w:hint="default"/>
      </w:rPr>
    </w:lvl>
    <w:lvl w:ilvl="4" w:tplc="E076C80C">
      <w:start w:val="1"/>
      <w:numFmt w:val="bullet"/>
      <w:lvlText w:val="o"/>
      <w:lvlJc w:val="left"/>
      <w:pPr>
        <w:ind w:left="3600" w:hanging="360"/>
      </w:pPr>
      <w:rPr>
        <w:rFonts w:ascii="Courier New" w:hAnsi="Courier New" w:hint="default"/>
      </w:rPr>
    </w:lvl>
    <w:lvl w:ilvl="5" w:tplc="1298928E">
      <w:start w:val="1"/>
      <w:numFmt w:val="bullet"/>
      <w:lvlText w:val=""/>
      <w:lvlJc w:val="left"/>
      <w:pPr>
        <w:ind w:left="4320" w:hanging="360"/>
      </w:pPr>
      <w:rPr>
        <w:rFonts w:ascii="Wingdings" w:hAnsi="Wingdings" w:hint="default"/>
      </w:rPr>
    </w:lvl>
    <w:lvl w:ilvl="6" w:tplc="D9A87E24">
      <w:start w:val="1"/>
      <w:numFmt w:val="bullet"/>
      <w:lvlText w:val=""/>
      <w:lvlJc w:val="left"/>
      <w:pPr>
        <w:ind w:left="5040" w:hanging="360"/>
      </w:pPr>
      <w:rPr>
        <w:rFonts w:ascii="Symbol" w:hAnsi="Symbol" w:hint="default"/>
      </w:rPr>
    </w:lvl>
    <w:lvl w:ilvl="7" w:tplc="B90693D8">
      <w:start w:val="1"/>
      <w:numFmt w:val="bullet"/>
      <w:lvlText w:val="o"/>
      <w:lvlJc w:val="left"/>
      <w:pPr>
        <w:ind w:left="5760" w:hanging="360"/>
      </w:pPr>
      <w:rPr>
        <w:rFonts w:ascii="Courier New" w:hAnsi="Courier New" w:hint="default"/>
      </w:rPr>
    </w:lvl>
    <w:lvl w:ilvl="8" w:tplc="4A227C6E">
      <w:start w:val="1"/>
      <w:numFmt w:val="bullet"/>
      <w:lvlText w:val=""/>
      <w:lvlJc w:val="left"/>
      <w:pPr>
        <w:ind w:left="6480" w:hanging="360"/>
      </w:pPr>
      <w:rPr>
        <w:rFonts w:ascii="Wingdings" w:hAnsi="Wingdings" w:hint="default"/>
      </w:rPr>
    </w:lvl>
  </w:abstractNum>
  <w:abstractNum w:abstractNumId="17" w15:restartNumberingAfterBreak="0">
    <w:nsid w:val="540E64D5"/>
    <w:multiLevelType w:val="multilevel"/>
    <w:tmpl w:val="7404253E"/>
    <w:lvl w:ilvl="0">
      <w:start w:val="1"/>
      <w:numFmt w:val="decimal"/>
      <w:lvlText w:val="%1."/>
      <w:lvlJc w:val="left"/>
      <w:pPr>
        <w:ind w:left="227" w:hanging="227"/>
      </w:pPr>
      <w:rPr>
        <w:rFonts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5F0344EF"/>
    <w:multiLevelType w:val="multilevel"/>
    <w:tmpl w:val="3CF4D7DC"/>
    <w:lvl w:ilvl="0">
      <w:start w:val="1"/>
      <w:numFmt w:val="lowerLetter"/>
      <w:lvlText w:val="(%1)"/>
      <w:lvlJc w:val="left"/>
      <w:pPr>
        <w:tabs>
          <w:tab w:val="num" w:pos="397"/>
        </w:tabs>
        <w:ind w:left="397" w:hanging="397"/>
      </w:pPr>
      <w:rPr>
        <w:rFonts w:hint="default"/>
      </w:rPr>
    </w:lvl>
    <w:lvl w:ilvl="1">
      <w:start w:val="1"/>
      <w:numFmt w:val="lowerLetter"/>
      <w:pStyle w:val="Numberloweralphaindent"/>
      <w:lvlText w:val="%2."/>
      <w:lvlJc w:val="left"/>
      <w:pPr>
        <w:ind w:left="757" w:hanging="360"/>
      </w:pPr>
    </w:lvl>
    <w:lvl w:ilvl="2">
      <w:start w:val="1"/>
      <w:numFmt w:val="none"/>
      <w:lvlRestart w:val="0"/>
      <w:lvlText w:val=""/>
      <w:lvlJc w:val="left"/>
      <w:pPr>
        <w:ind w:left="0" w:firstLine="0"/>
      </w:pPr>
      <w:rPr>
        <w:rFonts w:hint="default"/>
      </w:rPr>
    </w:lvl>
    <w:lvl w:ilvl="3">
      <w:numFmt w:val="bullet"/>
      <w:lvlText w:val="-"/>
      <w:lvlJc w:val="left"/>
      <w:pPr>
        <w:ind w:left="0" w:firstLine="0"/>
      </w:pPr>
      <w:rPr>
        <w:rFonts w:ascii="Calibri" w:eastAsiaTheme="minorHAnsi" w:hAnsi="Calibri" w:cs="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62B50611"/>
    <w:multiLevelType w:val="hybridMultilevel"/>
    <w:tmpl w:val="879E569E"/>
    <w:lvl w:ilvl="0" w:tplc="80D844C8">
      <w:start w:val="1"/>
      <w:numFmt w:val="lowerLetter"/>
      <w:pStyle w:val="DHHSnumberloweralphainden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99F5056"/>
    <w:multiLevelType w:val="hybridMultilevel"/>
    <w:tmpl w:val="7C3EDA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F2B01F9"/>
    <w:multiLevelType w:val="hybridMultilevel"/>
    <w:tmpl w:val="C3B4754A"/>
    <w:lvl w:ilvl="0" w:tplc="D03C21B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1C552A5"/>
    <w:multiLevelType w:val="hybridMultilevel"/>
    <w:tmpl w:val="8E6A15BA"/>
    <w:lvl w:ilvl="0" w:tplc="FD58E768">
      <w:start w:val="1"/>
      <w:numFmt w:val="bullet"/>
      <w:lvlText w:val=""/>
      <w:lvlJc w:val="left"/>
      <w:pPr>
        <w:ind w:left="720" w:hanging="360"/>
      </w:pPr>
      <w:rPr>
        <w:rFonts w:ascii="Symbol" w:hAnsi="Symbol"/>
      </w:rPr>
    </w:lvl>
    <w:lvl w:ilvl="1" w:tplc="1D186B7E">
      <w:start w:val="1"/>
      <w:numFmt w:val="bullet"/>
      <w:lvlText w:val=""/>
      <w:lvlJc w:val="left"/>
      <w:pPr>
        <w:ind w:left="720" w:hanging="360"/>
      </w:pPr>
      <w:rPr>
        <w:rFonts w:ascii="Symbol" w:hAnsi="Symbol"/>
      </w:rPr>
    </w:lvl>
    <w:lvl w:ilvl="2" w:tplc="41966A6E">
      <w:start w:val="1"/>
      <w:numFmt w:val="bullet"/>
      <w:lvlText w:val=""/>
      <w:lvlJc w:val="left"/>
      <w:pPr>
        <w:ind w:left="720" w:hanging="360"/>
      </w:pPr>
      <w:rPr>
        <w:rFonts w:ascii="Symbol" w:hAnsi="Symbol"/>
      </w:rPr>
    </w:lvl>
    <w:lvl w:ilvl="3" w:tplc="9F26E8AA">
      <w:start w:val="1"/>
      <w:numFmt w:val="bullet"/>
      <w:lvlText w:val=""/>
      <w:lvlJc w:val="left"/>
      <w:pPr>
        <w:ind w:left="720" w:hanging="360"/>
      </w:pPr>
      <w:rPr>
        <w:rFonts w:ascii="Symbol" w:hAnsi="Symbol"/>
      </w:rPr>
    </w:lvl>
    <w:lvl w:ilvl="4" w:tplc="88221FE2">
      <w:start w:val="1"/>
      <w:numFmt w:val="bullet"/>
      <w:lvlText w:val=""/>
      <w:lvlJc w:val="left"/>
      <w:pPr>
        <w:ind w:left="720" w:hanging="360"/>
      </w:pPr>
      <w:rPr>
        <w:rFonts w:ascii="Symbol" w:hAnsi="Symbol"/>
      </w:rPr>
    </w:lvl>
    <w:lvl w:ilvl="5" w:tplc="9D1A832E">
      <w:start w:val="1"/>
      <w:numFmt w:val="bullet"/>
      <w:lvlText w:val=""/>
      <w:lvlJc w:val="left"/>
      <w:pPr>
        <w:ind w:left="720" w:hanging="360"/>
      </w:pPr>
      <w:rPr>
        <w:rFonts w:ascii="Symbol" w:hAnsi="Symbol"/>
      </w:rPr>
    </w:lvl>
    <w:lvl w:ilvl="6" w:tplc="086A4836">
      <w:start w:val="1"/>
      <w:numFmt w:val="bullet"/>
      <w:lvlText w:val=""/>
      <w:lvlJc w:val="left"/>
      <w:pPr>
        <w:ind w:left="720" w:hanging="360"/>
      </w:pPr>
      <w:rPr>
        <w:rFonts w:ascii="Symbol" w:hAnsi="Symbol"/>
      </w:rPr>
    </w:lvl>
    <w:lvl w:ilvl="7" w:tplc="D33A155C">
      <w:start w:val="1"/>
      <w:numFmt w:val="bullet"/>
      <w:lvlText w:val=""/>
      <w:lvlJc w:val="left"/>
      <w:pPr>
        <w:ind w:left="720" w:hanging="360"/>
      </w:pPr>
      <w:rPr>
        <w:rFonts w:ascii="Symbol" w:hAnsi="Symbol"/>
      </w:rPr>
    </w:lvl>
    <w:lvl w:ilvl="8" w:tplc="DABAB56A">
      <w:start w:val="1"/>
      <w:numFmt w:val="bullet"/>
      <w:lvlText w:val=""/>
      <w:lvlJc w:val="left"/>
      <w:pPr>
        <w:ind w:left="720" w:hanging="360"/>
      </w:pPr>
      <w:rPr>
        <w:rFonts w:ascii="Symbol" w:hAnsi="Symbol"/>
      </w:rPr>
    </w:lvl>
  </w:abstractNum>
  <w:abstractNum w:abstractNumId="26" w15:restartNumberingAfterBreak="0">
    <w:nsid w:val="73D46E5C"/>
    <w:multiLevelType w:val="hybridMultilevel"/>
    <w:tmpl w:val="C3F04C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A7C2770"/>
    <w:multiLevelType w:val="multilevel"/>
    <w:tmpl w:val="A8BA822C"/>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num w:numId="1" w16cid:durableId="1330517572">
    <w:abstractNumId w:val="12"/>
  </w:num>
  <w:num w:numId="2" w16cid:durableId="1885367659">
    <w:abstractNumId w:val="19"/>
  </w:num>
  <w:num w:numId="3" w16cid:durableId="294801450">
    <w:abstractNumId w:val="18"/>
  </w:num>
  <w:num w:numId="4" w16cid:durableId="1930042646">
    <w:abstractNumId w:val="22"/>
  </w:num>
  <w:num w:numId="5" w16cid:durableId="2047899845">
    <w:abstractNumId w:val="13"/>
  </w:num>
  <w:num w:numId="6" w16cid:durableId="1806966275">
    <w:abstractNumId w:val="3"/>
  </w:num>
  <w:num w:numId="7" w16cid:durableId="590627912">
    <w:abstractNumId w:val="11"/>
  </w:num>
  <w:num w:numId="8" w16cid:durableId="1615937085">
    <w:abstractNumId w:val="7"/>
  </w:num>
  <w:num w:numId="9" w16cid:durableId="393895824">
    <w:abstractNumId w:val="21"/>
  </w:num>
  <w:num w:numId="10" w16cid:durableId="4279717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03106111">
    <w:abstractNumId w:val="10"/>
  </w:num>
  <w:num w:numId="12" w16cid:durableId="1004286922">
    <w:abstractNumId w:val="23"/>
  </w:num>
  <w:num w:numId="13" w16cid:durableId="1248686466">
    <w:abstractNumId w:val="6"/>
  </w:num>
  <w:num w:numId="14" w16cid:durableId="992104395">
    <w:abstractNumId w:val="26"/>
  </w:num>
  <w:num w:numId="15" w16cid:durableId="1016348510">
    <w:abstractNumId w:val="27"/>
  </w:num>
  <w:num w:numId="16" w16cid:durableId="187060740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4498825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2516006">
    <w:abstractNumId w:val="20"/>
  </w:num>
  <w:num w:numId="19" w16cid:durableId="190113428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448866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205421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199788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87428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9350980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90087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5934610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1720466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622148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808354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987627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66018719">
    <w:abstractNumId w:val="1"/>
  </w:num>
  <w:num w:numId="32" w16cid:durableId="1803694832">
    <w:abstractNumId w:val="25"/>
  </w:num>
  <w:num w:numId="33" w16cid:durableId="224528552">
    <w:abstractNumId w:val="2"/>
  </w:num>
  <w:num w:numId="34" w16cid:durableId="1900941160">
    <w:abstractNumId w:val="15"/>
  </w:num>
  <w:num w:numId="35" w16cid:durableId="1912039593">
    <w:abstractNumId w:val="8"/>
  </w:num>
  <w:num w:numId="36" w16cid:durableId="2137261703">
    <w:abstractNumId w:val="24"/>
  </w:num>
  <w:num w:numId="37" w16cid:durableId="944650970">
    <w:abstractNumId w:val="4"/>
  </w:num>
  <w:num w:numId="38" w16cid:durableId="1920284000">
    <w:abstractNumId w:val="16"/>
  </w:num>
  <w:num w:numId="39" w16cid:durableId="2018460826">
    <w:abstractNumId w:val="5"/>
  </w:num>
  <w:num w:numId="40" w16cid:durableId="503084182">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66991758">
    <w:abstractNumId w:val="18"/>
  </w:num>
  <w:num w:numId="42" w16cid:durableId="540824163">
    <w:abstractNumId w:val="9"/>
  </w:num>
  <w:num w:numId="43" w16cid:durableId="2142189672">
    <w:abstractNumId w:val="0"/>
  </w:num>
  <w:num w:numId="44" w16cid:durableId="1765953084">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B2A"/>
    <w:rsid w:val="00000719"/>
    <w:rsid w:val="00000C32"/>
    <w:rsid w:val="00001242"/>
    <w:rsid w:val="00001C2E"/>
    <w:rsid w:val="00002D68"/>
    <w:rsid w:val="000031D1"/>
    <w:rsid w:val="000033F7"/>
    <w:rsid w:val="00003403"/>
    <w:rsid w:val="00003F90"/>
    <w:rsid w:val="00004949"/>
    <w:rsid w:val="00005347"/>
    <w:rsid w:val="000072B6"/>
    <w:rsid w:val="0001021B"/>
    <w:rsid w:val="00010963"/>
    <w:rsid w:val="000113E2"/>
    <w:rsid w:val="00011426"/>
    <w:rsid w:val="00011D89"/>
    <w:rsid w:val="00012B18"/>
    <w:rsid w:val="0001344D"/>
    <w:rsid w:val="000154FD"/>
    <w:rsid w:val="00016A0F"/>
    <w:rsid w:val="00016F0C"/>
    <w:rsid w:val="00017578"/>
    <w:rsid w:val="00021093"/>
    <w:rsid w:val="00021DB4"/>
    <w:rsid w:val="00022271"/>
    <w:rsid w:val="000235E8"/>
    <w:rsid w:val="0002463E"/>
    <w:rsid w:val="00024866"/>
    <w:rsid w:val="00024D89"/>
    <w:rsid w:val="000250B6"/>
    <w:rsid w:val="000259EA"/>
    <w:rsid w:val="00025FDE"/>
    <w:rsid w:val="00026983"/>
    <w:rsid w:val="000271B0"/>
    <w:rsid w:val="0003005C"/>
    <w:rsid w:val="00030CDD"/>
    <w:rsid w:val="00032851"/>
    <w:rsid w:val="00032BAC"/>
    <w:rsid w:val="00033D81"/>
    <w:rsid w:val="00033DC9"/>
    <w:rsid w:val="00036E83"/>
    <w:rsid w:val="0003718E"/>
    <w:rsid w:val="00037366"/>
    <w:rsid w:val="00040480"/>
    <w:rsid w:val="00040F29"/>
    <w:rsid w:val="00041BF0"/>
    <w:rsid w:val="0004228D"/>
    <w:rsid w:val="00042C8A"/>
    <w:rsid w:val="0004521F"/>
    <w:rsid w:val="0004536B"/>
    <w:rsid w:val="00046B68"/>
    <w:rsid w:val="00047CA4"/>
    <w:rsid w:val="00051AC9"/>
    <w:rsid w:val="000527DD"/>
    <w:rsid w:val="00052FE0"/>
    <w:rsid w:val="000536B5"/>
    <w:rsid w:val="000560B1"/>
    <w:rsid w:val="00056EC4"/>
    <w:rsid w:val="000574BA"/>
    <w:rsid w:val="0005785D"/>
    <w:rsid w:val="000578B2"/>
    <w:rsid w:val="00060959"/>
    <w:rsid w:val="00060C8F"/>
    <w:rsid w:val="00061996"/>
    <w:rsid w:val="0006298A"/>
    <w:rsid w:val="00062A79"/>
    <w:rsid w:val="00063227"/>
    <w:rsid w:val="00064F30"/>
    <w:rsid w:val="0006631A"/>
    <w:rsid w:val="000663CD"/>
    <w:rsid w:val="00070500"/>
    <w:rsid w:val="0007144C"/>
    <w:rsid w:val="00071F83"/>
    <w:rsid w:val="000732C0"/>
    <w:rsid w:val="000733CE"/>
    <w:rsid w:val="000733FE"/>
    <w:rsid w:val="00074219"/>
    <w:rsid w:val="00074ED5"/>
    <w:rsid w:val="000760FB"/>
    <w:rsid w:val="000777C0"/>
    <w:rsid w:val="00081540"/>
    <w:rsid w:val="0008204A"/>
    <w:rsid w:val="0008281A"/>
    <w:rsid w:val="0008378B"/>
    <w:rsid w:val="0008508E"/>
    <w:rsid w:val="00087951"/>
    <w:rsid w:val="0009113B"/>
    <w:rsid w:val="0009188D"/>
    <w:rsid w:val="00093402"/>
    <w:rsid w:val="00093613"/>
    <w:rsid w:val="00094DA3"/>
    <w:rsid w:val="00095953"/>
    <w:rsid w:val="00096513"/>
    <w:rsid w:val="0009662A"/>
    <w:rsid w:val="00096CD1"/>
    <w:rsid w:val="00097268"/>
    <w:rsid w:val="000974C8"/>
    <w:rsid w:val="00097E3E"/>
    <w:rsid w:val="000A00BB"/>
    <w:rsid w:val="000A012C"/>
    <w:rsid w:val="000A0EB9"/>
    <w:rsid w:val="000A186C"/>
    <w:rsid w:val="000A1EA4"/>
    <w:rsid w:val="000A2476"/>
    <w:rsid w:val="000A2C0C"/>
    <w:rsid w:val="000A4427"/>
    <w:rsid w:val="000A641A"/>
    <w:rsid w:val="000A6541"/>
    <w:rsid w:val="000B0BE3"/>
    <w:rsid w:val="000B17B7"/>
    <w:rsid w:val="000B3009"/>
    <w:rsid w:val="000B3688"/>
    <w:rsid w:val="000B3EDB"/>
    <w:rsid w:val="000B3FEA"/>
    <w:rsid w:val="000B48D6"/>
    <w:rsid w:val="000B4F61"/>
    <w:rsid w:val="000B5284"/>
    <w:rsid w:val="000B543D"/>
    <w:rsid w:val="000B55F9"/>
    <w:rsid w:val="000B5AA0"/>
    <w:rsid w:val="000B5BF7"/>
    <w:rsid w:val="000B6BC8"/>
    <w:rsid w:val="000B744C"/>
    <w:rsid w:val="000B7BE6"/>
    <w:rsid w:val="000C0303"/>
    <w:rsid w:val="000C06BF"/>
    <w:rsid w:val="000C0CB4"/>
    <w:rsid w:val="000C2045"/>
    <w:rsid w:val="000C23C1"/>
    <w:rsid w:val="000C36AD"/>
    <w:rsid w:val="000C3831"/>
    <w:rsid w:val="000C3E46"/>
    <w:rsid w:val="000C42EA"/>
    <w:rsid w:val="000C435F"/>
    <w:rsid w:val="000C44D2"/>
    <w:rsid w:val="000C4546"/>
    <w:rsid w:val="000C6A9D"/>
    <w:rsid w:val="000C7A79"/>
    <w:rsid w:val="000D1242"/>
    <w:rsid w:val="000D2ABA"/>
    <w:rsid w:val="000D3AC2"/>
    <w:rsid w:val="000D40DA"/>
    <w:rsid w:val="000D5CE7"/>
    <w:rsid w:val="000D60E8"/>
    <w:rsid w:val="000D7137"/>
    <w:rsid w:val="000D7D9F"/>
    <w:rsid w:val="000E0970"/>
    <w:rsid w:val="000E0F79"/>
    <w:rsid w:val="000E1078"/>
    <w:rsid w:val="000E23BA"/>
    <w:rsid w:val="000E2CA7"/>
    <w:rsid w:val="000E3ABE"/>
    <w:rsid w:val="000E3CC7"/>
    <w:rsid w:val="000E6BD4"/>
    <w:rsid w:val="000E6D6D"/>
    <w:rsid w:val="000F128B"/>
    <w:rsid w:val="000F1F1E"/>
    <w:rsid w:val="000F2259"/>
    <w:rsid w:val="000F2DDA"/>
    <w:rsid w:val="000F2EA0"/>
    <w:rsid w:val="000F3670"/>
    <w:rsid w:val="000F406A"/>
    <w:rsid w:val="000F5213"/>
    <w:rsid w:val="000F55A4"/>
    <w:rsid w:val="000F5CE1"/>
    <w:rsid w:val="00101001"/>
    <w:rsid w:val="001029D3"/>
    <w:rsid w:val="00102A5E"/>
    <w:rsid w:val="00102B1D"/>
    <w:rsid w:val="00103276"/>
    <w:rsid w:val="001035B4"/>
    <w:rsid w:val="0010392D"/>
    <w:rsid w:val="00103DEE"/>
    <w:rsid w:val="0010447F"/>
    <w:rsid w:val="001045D1"/>
    <w:rsid w:val="00104C6F"/>
    <w:rsid w:val="00104FE3"/>
    <w:rsid w:val="00105CA6"/>
    <w:rsid w:val="001063BC"/>
    <w:rsid w:val="00106471"/>
    <w:rsid w:val="00106985"/>
    <w:rsid w:val="0010714F"/>
    <w:rsid w:val="00111479"/>
    <w:rsid w:val="001120C5"/>
    <w:rsid w:val="0011228A"/>
    <w:rsid w:val="00112809"/>
    <w:rsid w:val="0011361A"/>
    <w:rsid w:val="001151DC"/>
    <w:rsid w:val="00116167"/>
    <w:rsid w:val="0011658A"/>
    <w:rsid w:val="00116EB1"/>
    <w:rsid w:val="0011758B"/>
    <w:rsid w:val="00120BD3"/>
    <w:rsid w:val="00121152"/>
    <w:rsid w:val="00121163"/>
    <w:rsid w:val="00122FEA"/>
    <w:rsid w:val="001232BD"/>
    <w:rsid w:val="001236DC"/>
    <w:rsid w:val="00123B49"/>
    <w:rsid w:val="001240CA"/>
    <w:rsid w:val="00124ED5"/>
    <w:rsid w:val="00126FB6"/>
    <w:rsid w:val="00127107"/>
    <w:rsid w:val="001276E5"/>
    <w:rsid w:val="001276FA"/>
    <w:rsid w:val="00130AB5"/>
    <w:rsid w:val="001312E5"/>
    <w:rsid w:val="001333B6"/>
    <w:rsid w:val="001334A0"/>
    <w:rsid w:val="00133C95"/>
    <w:rsid w:val="001345D6"/>
    <w:rsid w:val="00136A2C"/>
    <w:rsid w:val="00137241"/>
    <w:rsid w:val="00137D16"/>
    <w:rsid w:val="00140D3E"/>
    <w:rsid w:val="00142FE3"/>
    <w:rsid w:val="001438A5"/>
    <w:rsid w:val="001447B3"/>
    <w:rsid w:val="00146EE6"/>
    <w:rsid w:val="00151729"/>
    <w:rsid w:val="00151AC9"/>
    <w:rsid w:val="00152073"/>
    <w:rsid w:val="00152329"/>
    <w:rsid w:val="001533B5"/>
    <w:rsid w:val="00155C89"/>
    <w:rsid w:val="00156598"/>
    <w:rsid w:val="001570F1"/>
    <w:rsid w:val="00160374"/>
    <w:rsid w:val="00160442"/>
    <w:rsid w:val="0016087F"/>
    <w:rsid w:val="00161061"/>
    <w:rsid w:val="00161402"/>
    <w:rsid w:val="00161889"/>
    <w:rsid w:val="00161939"/>
    <w:rsid w:val="00161AA0"/>
    <w:rsid w:val="00161D2E"/>
    <w:rsid w:val="00161F3E"/>
    <w:rsid w:val="00162093"/>
    <w:rsid w:val="00162C30"/>
    <w:rsid w:val="00162CA9"/>
    <w:rsid w:val="0016440C"/>
    <w:rsid w:val="00165459"/>
    <w:rsid w:val="00165A57"/>
    <w:rsid w:val="00166E8D"/>
    <w:rsid w:val="0016710E"/>
    <w:rsid w:val="001701F0"/>
    <w:rsid w:val="0017085A"/>
    <w:rsid w:val="001712C2"/>
    <w:rsid w:val="00171419"/>
    <w:rsid w:val="00171FF5"/>
    <w:rsid w:val="001722CA"/>
    <w:rsid w:val="0017235E"/>
    <w:rsid w:val="00172922"/>
    <w:rsid w:val="00172BAF"/>
    <w:rsid w:val="0017456A"/>
    <w:rsid w:val="00174754"/>
    <w:rsid w:val="001756F9"/>
    <w:rsid w:val="0017674D"/>
    <w:rsid w:val="001771DD"/>
    <w:rsid w:val="00177995"/>
    <w:rsid w:val="00177A8C"/>
    <w:rsid w:val="00177C28"/>
    <w:rsid w:val="00181969"/>
    <w:rsid w:val="00181FDE"/>
    <w:rsid w:val="0018244E"/>
    <w:rsid w:val="00183C2C"/>
    <w:rsid w:val="00183FA4"/>
    <w:rsid w:val="00184F8D"/>
    <w:rsid w:val="001850F8"/>
    <w:rsid w:val="001854D3"/>
    <w:rsid w:val="0018560A"/>
    <w:rsid w:val="00186B33"/>
    <w:rsid w:val="00186BB9"/>
    <w:rsid w:val="00187080"/>
    <w:rsid w:val="00191DC2"/>
    <w:rsid w:val="001924A9"/>
    <w:rsid w:val="00192E9B"/>
    <w:rsid w:val="00192F9D"/>
    <w:rsid w:val="001931EA"/>
    <w:rsid w:val="00193C43"/>
    <w:rsid w:val="0019457B"/>
    <w:rsid w:val="00195BB5"/>
    <w:rsid w:val="00195ED6"/>
    <w:rsid w:val="00196792"/>
    <w:rsid w:val="00196EB8"/>
    <w:rsid w:val="00196EBF"/>
    <w:rsid w:val="00196EFB"/>
    <w:rsid w:val="001979FF"/>
    <w:rsid w:val="00197B17"/>
    <w:rsid w:val="001A1950"/>
    <w:rsid w:val="001A1C54"/>
    <w:rsid w:val="001A224B"/>
    <w:rsid w:val="001A3ACE"/>
    <w:rsid w:val="001A6272"/>
    <w:rsid w:val="001A7533"/>
    <w:rsid w:val="001A79B8"/>
    <w:rsid w:val="001A7FAB"/>
    <w:rsid w:val="001B058F"/>
    <w:rsid w:val="001B2941"/>
    <w:rsid w:val="001B3EFB"/>
    <w:rsid w:val="001B6B96"/>
    <w:rsid w:val="001B738B"/>
    <w:rsid w:val="001C09DB"/>
    <w:rsid w:val="001C0BF8"/>
    <w:rsid w:val="001C277E"/>
    <w:rsid w:val="001C2A72"/>
    <w:rsid w:val="001C2C11"/>
    <w:rsid w:val="001C31B7"/>
    <w:rsid w:val="001C59B2"/>
    <w:rsid w:val="001C5CBD"/>
    <w:rsid w:val="001C6349"/>
    <w:rsid w:val="001C77A3"/>
    <w:rsid w:val="001D0B75"/>
    <w:rsid w:val="001D2046"/>
    <w:rsid w:val="001D34D7"/>
    <w:rsid w:val="001D39A5"/>
    <w:rsid w:val="001D3C09"/>
    <w:rsid w:val="001D44DB"/>
    <w:rsid w:val="001D44E8"/>
    <w:rsid w:val="001D47FD"/>
    <w:rsid w:val="001D58EA"/>
    <w:rsid w:val="001D60EC"/>
    <w:rsid w:val="001D6F59"/>
    <w:rsid w:val="001D7A0B"/>
    <w:rsid w:val="001E06AF"/>
    <w:rsid w:val="001E3617"/>
    <w:rsid w:val="001E44DF"/>
    <w:rsid w:val="001E45C3"/>
    <w:rsid w:val="001E5E2F"/>
    <w:rsid w:val="001E68A5"/>
    <w:rsid w:val="001E6BB0"/>
    <w:rsid w:val="001E7282"/>
    <w:rsid w:val="001E79C2"/>
    <w:rsid w:val="001F1C31"/>
    <w:rsid w:val="001F25F1"/>
    <w:rsid w:val="001F3029"/>
    <w:rsid w:val="001F3826"/>
    <w:rsid w:val="001F4D1D"/>
    <w:rsid w:val="001F6E46"/>
    <w:rsid w:val="001F7C91"/>
    <w:rsid w:val="00201B9C"/>
    <w:rsid w:val="00201EA3"/>
    <w:rsid w:val="002033B7"/>
    <w:rsid w:val="002035CF"/>
    <w:rsid w:val="00203DD6"/>
    <w:rsid w:val="00205E4A"/>
    <w:rsid w:val="002060CA"/>
    <w:rsid w:val="00206463"/>
    <w:rsid w:val="00206F2F"/>
    <w:rsid w:val="00207717"/>
    <w:rsid w:val="00210325"/>
    <w:rsid w:val="0021053D"/>
    <w:rsid w:val="00210A92"/>
    <w:rsid w:val="002112B8"/>
    <w:rsid w:val="00211DCC"/>
    <w:rsid w:val="00212B95"/>
    <w:rsid w:val="00215CC8"/>
    <w:rsid w:val="00216C03"/>
    <w:rsid w:val="002179F5"/>
    <w:rsid w:val="0022023A"/>
    <w:rsid w:val="00220A1A"/>
    <w:rsid w:val="00220C04"/>
    <w:rsid w:val="002224A4"/>
    <w:rsid w:val="0022278D"/>
    <w:rsid w:val="00222A35"/>
    <w:rsid w:val="0022432F"/>
    <w:rsid w:val="00225724"/>
    <w:rsid w:val="00226A32"/>
    <w:rsid w:val="0022701F"/>
    <w:rsid w:val="00227C68"/>
    <w:rsid w:val="002311B4"/>
    <w:rsid w:val="002333F5"/>
    <w:rsid w:val="00233724"/>
    <w:rsid w:val="00234466"/>
    <w:rsid w:val="002348C8"/>
    <w:rsid w:val="002365B4"/>
    <w:rsid w:val="0023759E"/>
    <w:rsid w:val="002377EF"/>
    <w:rsid w:val="00237B66"/>
    <w:rsid w:val="00240619"/>
    <w:rsid w:val="00241CE1"/>
    <w:rsid w:val="002432E1"/>
    <w:rsid w:val="00244121"/>
    <w:rsid w:val="00245F78"/>
    <w:rsid w:val="00246207"/>
    <w:rsid w:val="00246C5E"/>
    <w:rsid w:val="002477F1"/>
    <w:rsid w:val="00250960"/>
    <w:rsid w:val="00250D21"/>
    <w:rsid w:val="00251343"/>
    <w:rsid w:val="00252223"/>
    <w:rsid w:val="002527EA"/>
    <w:rsid w:val="002534BB"/>
    <w:rsid w:val="002536A4"/>
    <w:rsid w:val="002543B9"/>
    <w:rsid w:val="00254F58"/>
    <w:rsid w:val="002554E2"/>
    <w:rsid w:val="002555E4"/>
    <w:rsid w:val="00255730"/>
    <w:rsid w:val="0025656B"/>
    <w:rsid w:val="002611FD"/>
    <w:rsid w:val="002620BC"/>
    <w:rsid w:val="0026234C"/>
    <w:rsid w:val="00262802"/>
    <w:rsid w:val="002628D4"/>
    <w:rsid w:val="00263A90"/>
    <w:rsid w:val="00263DE4"/>
    <w:rsid w:val="0026408B"/>
    <w:rsid w:val="00265C77"/>
    <w:rsid w:val="00266887"/>
    <w:rsid w:val="00267C3E"/>
    <w:rsid w:val="002709BB"/>
    <w:rsid w:val="0027131C"/>
    <w:rsid w:val="002713CA"/>
    <w:rsid w:val="00271DD6"/>
    <w:rsid w:val="00273BAC"/>
    <w:rsid w:val="00274549"/>
    <w:rsid w:val="002763B3"/>
    <w:rsid w:val="0027748F"/>
    <w:rsid w:val="002802E3"/>
    <w:rsid w:val="0028106C"/>
    <w:rsid w:val="0028200C"/>
    <w:rsid w:val="0028213D"/>
    <w:rsid w:val="00283049"/>
    <w:rsid w:val="00285C7B"/>
    <w:rsid w:val="002862F1"/>
    <w:rsid w:val="002867C0"/>
    <w:rsid w:val="00287AF7"/>
    <w:rsid w:val="00290FFE"/>
    <w:rsid w:val="00291373"/>
    <w:rsid w:val="00291856"/>
    <w:rsid w:val="002936D4"/>
    <w:rsid w:val="00293A52"/>
    <w:rsid w:val="002947BA"/>
    <w:rsid w:val="00295394"/>
    <w:rsid w:val="0029597D"/>
    <w:rsid w:val="002962C3"/>
    <w:rsid w:val="0029751D"/>
    <w:rsid w:val="0029752B"/>
    <w:rsid w:val="0029791F"/>
    <w:rsid w:val="002A0A9C"/>
    <w:rsid w:val="002A2A27"/>
    <w:rsid w:val="002A31EB"/>
    <w:rsid w:val="002A38CA"/>
    <w:rsid w:val="002A483C"/>
    <w:rsid w:val="002A5288"/>
    <w:rsid w:val="002A72CB"/>
    <w:rsid w:val="002B0994"/>
    <w:rsid w:val="002B0C7C"/>
    <w:rsid w:val="002B1729"/>
    <w:rsid w:val="002B184F"/>
    <w:rsid w:val="002B35A4"/>
    <w:rsid w:val="002B36C7"/>
    <w:rsid w:val="002B47E3"/>
    <w:rsid w:val="002B4DD4"/>
    <w:rsid w:val="002B5277"/>
    <w:rsid w:val="002B5375"/>
    <w:rsid w:val="002B77C1"/>
    <w:rsid w:val="002C0ED7"/>
    <w:rsid w:val="002C1F81"/>
    <w:rsid w:val="002C2061"/>
    <w:rsid w:val="002C2728"/>
    <w:rsid w:val="002C308C"/>
    <w:rsid w:val="002C33FD"/>
    <w:rsid w:val="002C4443"/>
    <w:rsid w:val="002C5B7C"/>
    <w:rsid w:val="002D0330"/>
    <w:rsid w:val="002D1E0D"/>
    <w:rsid w:val="002D4170"/>
    <w:rsid w:val="002D5006"/>
    <w:rsid w:val="002D52CB"/>
    <w:rsid w:val="002D554E"/>
    <w:rsid w:val="002D6781"/>
    <w:rsid w:val="002D71CC"/>
    <w:rsid w:val="002D7772"/>
    <w:rsid w:val="002D7894"/>
    <w:rsid w:val="002D7C61"/>
    <w:rsid w:val="002E01D0"/>
    <w:rsid w:val="002E029F"/>
    <w:rsid w:val="002E063E"/>
    <w:rsid w:val="002E159C"/>
    <w:rsid w:val="002E161D"/>
    <w:rsid w:val="002E1868"/>
    <w:rsid w:val="002E28A2"/>
    <w:rsid w:val="002E3100"/>
    <w:rsid w:val="002E5C4A"/>
    <w:rsid w:val="002E5CE2"/>
    <w:rsid w:val="002E6C95"/>
    <w:rsid w:val="002E70F6"/>
    <w:rsid w:val="002E7C36"/>
    <w:rsid w:val="002F00EE"/>
    <w:rsid w:val="002F0505"/>
    <w:rsid w:val="002F0F98"/>
    <w:rsid w:val="002F154C"/>
    <w:rsid w:val="002F23A9"/>
    <w:rsid w:val="002F3D32"/>
    <w:rsid w:val="002F5F31"/>
    <w:rsid w:val="002F5F46"/>
    <w:rsid w:val="002F60AE"/>
    <w:rsid w:val="002F6EE5"/>
    <w:rsid w:val="002F7B48"/>
    <w:rsid w:val="00300D5A"/>
    <w:rsid w:val="00302216"/>
    <w:rsid w:val="00302A17"/>
    <w:rsid w:val="00302E4C"/>
    <w:rsid w:val="00303226"/>
    <w:rsid w:val="00303C4B"/>
    <w:rsid w:val="00303E53"/>
    <w:rsid w:val="00304069"/>
    <w:rsid w:val="00305CC1"/>
    <w:rsid w:val="003063DF"/>
    <w:rsid w:val="00306E5F"/>
    <w:rsid w:val="00307AA2"/>
    <w:rsid w:val="00307B55"/>
    <w:rsid w:val="00307CAB"/>
    <w:rsid w:val="00307E14"/>
    <w:rsid w:val="00311911"/>
    <w:rsid w:val="00311EF1"/>
    <w:rsid w:val="003129B6"/>
    <w:rsid w:val="003132DC"/>
    <w:rsid w:val="00314054"/>
    <w:rsid w:val="00316434"/>
    <w:rsid w:val="00316694"/>
    <w:rsid w:val="0031675E"/>
    <w:rsid w:val="00316F27"/>
    <w:rsid w:val="00320B2C"/>
    <w:rsid w:val="003214F1"/>
    <w:rsid w:val="00321839"/>
    <w:rsid w:val="00321A7E"/>
    <w:rsid w:val="00322546"/>
    <w:rsid w:val="00322E4B"/>
    <w:rsid w:val="00324ABE"/>
    <w:rsid w:val="00325F7B"/>
    <w:rsid w:val="00327870"/>
    <w:rsid w:val="0033069A"/>
    <w:rsid w:val="00330F33"/>
    <w:rsid w:val="003313C3"/>
    <w:rsid w:val="003322D0"/>
    <w:rsid w:val="0033259D"/>
    <w:rsid w:val="00332962"/>
    <w:rsid w:val="003329F8"/>
    <w:rsid w:val="003333D2"/>
    <w:rsid w:val="0033368E"/>
    <w:rsid w:val="003337CE"/>
    <w:rsid w:val="00333E4D"/>
    <w:rsid w:val="00334686"/>
    <w:rsid w:val="003346D6"/>
    <w:rsid w:val="00335BAD"/>
    <w:rsid w:val="00336139"/>
    <w:rsid w:val="00337339"/>
    <w:rsid w:val="00337884"/>
    <w:rsid w:val="003402CC"/>
    <w:rsid w:val="00340345"/>
    <w:rsid w:val="003406C6"/>
    <w:rsid w:val="003418CC"/>
    <w:rsid w:val="00342525"/>
    <w:rsid w:val="003434EE"/>
    <w:rsid w:val="003459BD"/>
    <w:rsid w:val="00345E65"/>
    <w:rsid w:val="00346528"/>
    <w:rsid w:val="00346733"/>
    <w:rsid w:val="003467E8"/>
    <w:rsid w:val="0034731C"/>
    <w:rsid w:val="00350B63"/>
    <w:rsid w:val="00350D38"/>
    <w:rsid w:val="00351B36"/>
    <w:rsid w:val="003526F3"/>
    <w:rsid w:val="00353D1D"/>
    <w:rsid w:val="00357ACB"/>
    <w:rsid w:val="00357B4E"/>
    <w:rsid w:val="003600AA"/>
    <w:rsid w:val="003603D6"/>
    <w:rsid w:val="0036139B"/>
    <w:rsid w:val="0036280F"/>
    <w:rsid w:val="003649D6"/>
    <w:rsid w:val="003678B3"/>
    <w:rsid w:val="0037087E"/>
    <w:rsid w:val="003716FD"/>
    <w:rsid w:val="00371DCD"/>
    <w:rsid w:val="00371FB5"/>
    <w:rsid w:val="0037204B"/>
    <w:rsid w:val="00372568"/>
    <w:rsid w:val="003725D6"/>
    <w:rsid w:val="003744CF"/>
    <w:rsid w:val="00374717"/>
    <w:rsid w:val="00374B6F"/>
    <w:rsid w:val="00374CE2"/>
    <w:rsid w:val="00375EB6"/>
    <w:rsid w:val="0037676C"/>
    <w:rsid w:val="00380C93"/>
    <w:rsid w:val="00380E2E"/>
    <w:rsid w:val="00381043"/>
    <w:rsid w:val="00381B2A"/>
    <w:rsid w:val="003829E5"/>
    <w:rsid w:val="00385385"/>
    <w:rsid w:val="0038579D"/>
    <w:rsid w:val="00386109"/>
    <w:rsid w:val="00386944"/>
    <w:rsid w:val="00386D1A"/>
    <w:rsid w:val="003912B6"/>
    <w:rsid w:val="00392E37"/>
    <w:rsid w:val="00394264"/>
    <w:rsid w:val="00394688"/>
    <w:rsid w:val="003956CC"/>
    <w:rsid w:val="00395C9A"/>
    <w:rsid w:val="0039667B"/>
    <w:rsid w:val="0039697C"/>
    <w:rsid w:val="00396E62"/>
    <w:rsid w:val="00397FE9"/>
    <w:rsid w:val="003A0853"/>
    <w:rsid w:val="003A0DCA"/>
    <w:rsid w:val="003A1831"/>
    <w:rsid w:val="003A3FA6"/>
    <w:rsid w:val="003A49E3"/>
    <w:rsid w:val="003A53AC"/>
    <w:rsid w:val="003A55C3"/>
    <w:rsid w:val="003A6B67"/>
    <w:rsid w:val="003A76DC"/>
    <w:rsid w:val="003B13B6"/>
    <w:rsid w:val="003B14C3"/>
    <w:rsid w:val="003B15E6"/>
    <w:rsid w:val="003B22EF"/>
    <w:rsid w:val="003B2EA1"/>
    <w:rsid w:val="003B3799"/>
    <w:rsid w:val="003B37C4"/>
    <w:rsid w:val="003B408A"/>
    <w:rsid w:val="003B4216"/>
    <w:rsid w:val="003B42C9"/>
    <w:rsid w:val="003B69CE"/>
    <w:rsid w:val="003B7B97"/>
    <w:rsid w:val="003B7D8D"/>
    <w:rsid w:val="003C08A2"/>
    <w:rsid w:val="003C09FB"/>
    <w:rsid w:val="003C112C"/>
    <w:rsid w:val="003C1E21"/>
    <w:rsid w:val="003C2045"/>
    <w:rsid w:val="003C4344"/>
    <w:rsid w:val="003C43A1"/>
    <w:rsid w:val="003C4FC0"/>
    <w:rsid w:val="003C55F4"/>
    <w:rsid w:val="003C6901"/>
    <w:rsid w:val="003C715D"/>
    <w:rsid w:val="003C7897"/>
    <w:rsid w:val="003C7A3F"/>
    <w:rsid w:val="003D04FC"/>
    <w:rsid w:val="003D118D"/>
    <w:rsid w:val="003D143B"/>
    <w:rsid w:val="003D1CF3"/>
    <w:rsid w:val="003D2545"/>
    <w:rsid w:val="003D2766"/>
    <w:rsid w:val="003D2A39"/>
    <w:rsid w:val="003D2A74"/>
    <w:rsid w:val="003D3D88"/>
    <w:rsid w:val="003D3E8F"/>
    <w:rsid w:val="003D55B0"/>
    <w:rsid w:val="003D59DB"/>
    <w:rsid w:val="003D6475"/>
    <w:rsid w:val="003D64B3"/>
    <w:rsid w:val="003D6EE6"/>
    <w:rsid w:val="003D7CCF"/>
    <w:rsid w:val="003E08C8"/>
    <w:rsid w:val="003E0CF2"/>
    <w:rsid w:val="003E1311"/>
    <w:rsid w:val="003E2474"/>
    <w:rsid w:val="003E26B7"/>
    <w:rsid w:val="003E306B"/>
    <w:rsid w:val="003E375C"/>
    <w:rsid w:val="003E4086"/>
    <w:rsid w:val="003E41A7"/>
    <w:rsid w:val="003E551A"/>
    <w:rsid w:val="003E5898"/>
    <w:rsid w:val="003E639E"/>
    <w:rsid w:val="003E71E5"/>
    <w:rsid w:val="003F0445"/>
    <w:rsid w:val="003F0CF0"/>
    <w:rsid w:val="003F14B1"/>
    <w:rsid w:val="003F2478"/>
    <w:rsid w:val="003F2B20"/>
    <w:rsid w:val="003F323E"/>
    <w:rsid w:val="003F3289"/>
    <w:rsid w:val="003F3C62"/>
    <w:rsid w:val="003F4239"/>
    <w:rsid w:val="003F47CE"/>
    <w:rsid w:val="003F5658"/>
    <w:rsid w:val="003F5CB9"/>
    <w:rsid w:val="003F7038"/>
    <w:rsid w:val="003F794A"/>
    <w:rsid w:val="004013C7"/>
    <w:rsid w:val="00401FCF"/>
    <w:rsid w:val="00402977"/>
    <w:rsid w:val="0040330A"/>
    <w:rsid w:val="00403BDC"/>
    <w:rsid w:val="00406285"/>
    <w:rsid w:val="00410583"/>
    <w:rsid w:val="004115A2"/>
    <w:rsid w:val="004138C6"/>
    <w:rsid w:val="004139B4"/>
    <w:rsid w:val="004148F9"/>
    <w:rsid w:val="00414C3D"/>
    <w:rsid w:val="004153F8"/>
    <w:rsid w:val="00416078"/>
    <w:rsid w:val="00417956"/>
    <w:rsid w:val="00417984"/>
    <w:rsid w:val="0042084E"/>
    <w:rsid w:val="00420859"/>
    <w:rsid w:val="0042094D"/>
    <w:rsid w:val="00420D21"/>
    <w:rsid w:val="004210A8"/>
    <w:rsid w:val="00421EEF"/>
    <w:rsid w:val="00423069"/>
    <w:rsid w:val="00424782"/>
    <w:rsid w:val="00424D65"/>
    <w:rsid w:val="0042682A"/>
    <w:rsid w:val="004268F8"/>
    <w:rsid w:val="00430329"/>
    <w:rsid w:val="00430393"/>
    <w:rsid w:val="00431806"/>
    <w:rsid w:val="00431A70"/>
    <w:rsid w:val="00431F42"/>
    <w:rsid w:val="00433137"/>
    <w:rsid w:val="00434316"/>
    <w:rsid w:val="00434AAC"/>
    <w:rsid w:val="0043597F"/>
    <w:rsid w:val="00435C76"/>
    <w:rsid w:val="00436BAD"/>
    <w:rsid w:val="00442C6C"/>
    <w:rsid w:val="00443CBE"/>
    <w:rsid w:val="00443E8A"/>
    <w:rsid w:val="004441BC"/>
    <w:rsid w:val="00444D13"/>
    <w:rsid w:val="004468B4"/>
    <w:rsid w:val="00446D86"/>
    <w:rsid w:val="00447315"/>
    <w:rsid w:val="004507DA"/>
    <w:rsid w:val="00450E04"/>
    <w:rsid w:val="0045230A"/>
    <w:rsid w:val="00452B89"/>
    <w:rsid w:val="00454A7D"/>
    <w:rsid w:val="00454AD0"/>
    <w:rsid w:val="00455EC0"/>
    <w:rsid w:val="00457337"/>
    <w:rsid w:val="0045757F"/>
    <w:rsid w:val="004607E9"/>
    <w:rsid w:val="00462E3D"/>
    <w:rsid w:val="00463CD6"/>
    <w:rsid w:val="0046527E"/>
    <w:rsid w:val="004654C3"/>
    <w:rsid w:val="00465BCF"/>
    <w:rsid w:val="004660AE"/>
    <w:rsid w:val="00466E79"/>
    <w:rsid w:val="00466FE3"/>
    <w:rsid w:val="00470D7D"/>
    <w:rsid w:val="0047372D"/>
    <w:rsid w:val="00473978"/>
    <w:rsid w:val="00473BA3"/>
    <w:rsid w:val="004743DD"/>
    <w:rsid w:val="00474CEA"/>
    <w:rsid w:val="0047528E"/>
    <w:rsid w:val="00476F05"/>
    <w:rsid w:val="00477F9C"/>
    <w:rsid w:val="00481201"/>
    <w:rsid w:val="0048342F"/>
    <w:rsid w:val="00483968"/>
    <w:rsid w:val="004841BE"/>
    <w:rsid w:val="00484F86"/>
    <w:rsid w:val="00490746"/>
    <w:rsid w:val="00490852"/>
    <w:rsid w:val="00491C9C"/>
    <w:rsid w:val="00492088"/>
    <w:rsid w:val="00492F30"/>
    <w:rsid w:val="004946F4"/>
    <w:rsid w:val="0049487E"/>
    <w:rsid w:val="004952C7"/>
    <w:rsid w:val="00495708"/>
    <w:rsid w:val="0049642A"/>
    <w:rsid w:val="00496B66"/>
    <w:rsid w:val="004979F5"/>
    <w:rsid w:val="004A14BB"/>
    <w:rsid w:val="004A160D"/>
    <w:rsid w:val="004A3E81"/>
    <w:rsid w:val="004A4195"/>
    <w:rsid w:val="004A482C"/>
    <w:rsid w:val="004A4A7B"/>
    <w:rsid w:val="004A5C62"/>
    <w:rsid w:val="004A5CE5"/>
    <w:rsid w:val="004A6B42"/>
    <w:rsid w:val="004A707D"/>
    <w:rsid w:val="004B078C"/>
    <w:rsid w:val="004B0974"/>
    <w:rsid w:val="004B2E56"/>
    <w:rsid w:val="004B2F66"/>
    <w:rsid w:val="004B4185"/>
    <w:rsid w:val="004B65FA"/>
    <w:rsid w:val="004B6DA5"/>
    <w:rsid w:val="004B74D3"/>
    <w:rsid w:val="004C039A"/>
    <w:rsid w:val="004C135A"/>
    <w:rsid w:val="004C2562"/>
    <w:rsid w:val="004C29E0"/>
    <w:rsid w:val="004C5541"/>
    <w:rsid w:val="004C580D"/>
    <w:rsid w:val="004C5AB0"/>
    <w:rsid w:val="004C5B8C"/>
    <w:rsid w:val="004C6AE4"/>
    <w:rsid w:val="004C6EEE"/>
    <w:rsid w:val="004C702B"/>
    <w:rsid w:val="004D0033"/>
    <w:rsid w:val="004D0158"/>
    <w:rsid w:val="004D016B"/>
    <w:rsid w:val="004D0455"/>
    <w:rsid w:val="004D0AA8"/>
    <w:rsid w:val="004D1B22"/>
    <w:rsid w:val="004D23CC"/>
    <w:rsid w:val="004D29A8"/>
    <w:rsid w:val="004D36F2"/>
    <w:rsid w:val="004D4390"/>
    <w:rsid w:val="004D4A8A"/>
    <w:rsid w:val="004D5AE7"/>
    <w:rsid w:val="004D6D2C"/>
    <w:rsid w:val="004D7B30"/>
    <w:rsid w:val="004D7BF8"/>
    <w:rsid w:val="004E1106"/>
    <w:rsid w:val="004E1127"/>
    <w:rsid w:val="004E138F"/>
    <w:rsid w:val="004E34B5"/>
    <w:rsid w:val="004E4649"/>
    <w:rsid w:val="004E48B8"/>
    <w:rsid w:val="004E5590"/>
    <w:rsid w:val="004E5AE5"/>
    <w:rsid w:val="004E5C2B"/>
    <w:rsid w:val="004E7FB2"/>
    <w:rsid w:val="004F00DD"/>
    <w:rsid w:val="004F0737"/>
    <w:rsid w:val="004F07D1"/>
    <w:rsid w:val="004F18DB"/>
    <w:rsid w:val="004F2133"/>
    <w:rsid w:val="004F393F"/>
    <w:rsid w:val="004F5398"/>
    <w:rsid w:val="004F55F1"/>
    <w:rsid w:val="004F6936"/>
    <w:rsid w:val="004F73CC"/>
    <w:rsid w:val="004F7888"/>
    <w:rsid w:val="005011AE"/>
    <w:rsid w:val="005022E2"/>
    <w:rsid w:val="00503DC6"/>
    <w:rsid w:val="00504D6C"/>
    <w:rsid w:val="00505BA7"/>
    <w:rsid w:val="00506F5D"/>
    <w:rsid w:val="005076C4"/>
    <w:rsid w:val="005101BB"/>
    <w:rsid w:val="00510C37"/>
    <w:rsid w:val="005115BF"/>
    <w:rsid w:val="005126D0"/>
    <w:rsid w:val="00512C25"/>
    <w:rsid w:val="00513402"/>
    <w:rsid w:val="005138FB"/>
    <w:rsid w:val="00514641"/>
    <w:rsid w:val="00514667"/>
    <w:rsid w:val="00515140"/>
    <w:rsid w:val="0051568D"/>
    <w:rsid w:val="00516D8A"/>
    <w:rsid w:val="005203DA"/>
    <w:rsid w:val="005209BD"/>
    <w:rsid w:val="00521DF8"/>
    <w:rsid w:val="005220A3"/>
    <w:rsid w:val="005234CA"/>
    <w:rsid w:val="0052484F"/>
    <w:rsid w:val="0052582B"/>
    <w:rsid w:val="00526047"/>
    <w:rsid w:val="00526AC7"/>
    <w:rsid w:val="00526C15"/>
    <w:rsid w:val="00527653"/>
    <w:rsid w:val="0053054C"/>
    <w:rsid w:val="00530E14"/>
    <w:rsid w:val="00534761"/>
    <w:rsid w:val="0053590C"/>
    <w:rsid w:val="00536499"/>
    <w:rsid w:val="0054097B"/>
    <w:rsid w:val="00541921"/>
    <w:rsid w:val="0054299F"/>
    <w:rsid w:val="00542A03"/>
    <w:rsid w:val="00543903"/>
    <w:rsid w:val="00543BCC"/>
    <w:rsid w:val="00543F11"/>
    <w:rsid w:val="00544135"/>
    <w:rsid w:val="00546305"/>
    <w:rsid w:val="00547A95"/>
    <w:rsid w:val="00547AFF"/>
    <w:rsid w:val="0055119B"/>
    <w:rsid w:val="00551F39"/>
    <w:rsid w:val="00552475"/>
    <w:rsid w:val="0055320D"/>
    <w:rsid w:val="00553A99"/>
    <w:rsid w:val="005542A4"/>
    <w:rsid w:val="0055724F"/>
    <w:rsid w:val="005607A6"/>
    <w:rsid w:val="00560A3D"/>
    <w:rsid w:val="00561202"/>
    <w:rsid w:val="00562507"/>
    <w:rsid w:val="00562811"/>
    <w:rsid w:val="00564B86"/>
    <w:rsid w:val="005664B5"/>
    <w:rsid w:val="0056716C"/>
    <w:rsid w:val="00572031"/>
    <w:rsid w:val="00572282"/>
    <w:rsid w:val="00572343"/>
    <w:rsid w:val="005729D9"/>
    <w:rsid w:val="00573CE3"/>
    <w:rsid w:val="00575597"/>
    <w:rsid w:val="005755E2"/>
    <w:rsid w:val="00575C93"/>
    <w:rsid w:val="00576E11"/>
    <w:rsid w:val="00576E84"/>
    <w:rsid w:val="00580394"/>
    <w:rsid w:val="005809CD"/>
    <w:rsid w:val="00581790"/>
    <w:rsid w:val="00581956"/>
    <w:rsid w:val="00581FB4"/>
    <w:rsid w:val="00582187"/>
    <w:rsid w:val="00582B8C"/>
    <w:rsid w:val="00583782"/>
    <w:rsid w:val="005841C8"/>
    <w:rsid w:val="0058757E"/>
    <w:rsid w:val="0058776C"/>
    <w:rsid w:val="00587770"/>
    <w:rsid w:val="00587837"/>
    <w:rsid w:val="005903DA"/>
    <w:rsid w:val="00590AC6"/>
    <w:rsid w:val="00591BCB"/>
    <w:rsid w:val="0059234F"/>
    <w:rsid w:val="00594843"/>
    <w:rsid w:val="00596A4B"/>
    <w:rsid w:val="00597507"/>
    <w:rsid w:val="00597F74"/>
    <w:rsid w:val="005A0A1C"/>
    <w:rsid w:val="005A1588"/>
    <w:rsid w:val="005A2321"/>
    <w:rsid w:val="005A2DFD"/>
    <w:rsid w:val="005A38E3"/>
    <w:rsid w:val="005A3DBF"/>
    <w:rsid w:val="005A4641"/>
    <w:rsid w:val="005A479D"/>
    <w:rsid w:val="005A52D4"/>
    <w:rsid w:val="005B14DE"/>
    <w:rsid w:val="005B1C6D"/>
    <w:rsid w:val="005B21B6"/>
    <w:rsid w:val="005B3A08"/>
    <w:rsid w:val="005B3BA9"/>
    <w:rsid w:val="005B4CE1"/>
    <w:rsid w:val="005B6090"/>
    <w:rsid w:val="005B6943"/>
    <w:rsid w:val="005B7A63"/>
    <w:rsid w:val="005C0955"/>
    <w:rsid w:val="005C0D35"/>
    <w:rsid w:val="005C4980"/>
    <w:rsid w:val="005C49DA"/>
    <w:rsid w:val="005C50F3"/>
    <w:rsid w:val="005C54B5"/>
    <w:rsid w:val="005C5827"/>
    <w:rsid w:val="005C5D80"/>
    <w:rsid w:val="005C5D91"/>
    <w:rsid w:val="005C699B"/>
    <w:rsid w:val="005C7B8C"/>
    <w:rsid w:val="005D07B8"/>
    <w:rsid w:val="005D18B3"/>
    <w:rsid w:val="005D3DEA"/>
    <w:rsid w:val="005D5155"/>
    <w:rsid w:val="005D6597"/>
    <w:rsid w:val="005D6784"/>
    <w:rsid w:val="005D77AA"/>
    <w:rsid w:val="005D7F48"/>
    <w:rsid w:val="005E0D6E"/>
    <w:rsid w:val="005E0F6D"/>
    <w:rsid w:val="005E0FAA"/>
    <w:rsid w:val="005E14E7"/>
    <w:rsid w:val="005E26A3"/>
    <w:rsid w:val="005E2990"/>
    <w:rsid w:val="005E2CE7"/>
    <w:rsid w:val="005E2ECB"/>
    <w:rsid w:val="005E447E"/>
    <w:rsid w:val="005E4FD1"/>
    <w:rsid w:val="005E5B43"/>
    <w:rsid w:val="005E6C08"/>
    <w:rsid w:val="005E6E9C"/>
    <w:rsid w:val="005F0775"/>
    <w:rsid w:val="005F0813"/>
    <w:rsid w:val="005F0CF5"/>
    <w:rsid w:val="005F21EB"/>
    <w:rsid w:val="005F2D23"/>
    <w:rsid w:val="005F3BA7"/>
    <w:rsid w:val="005F424B"/>
    <w:rsid w:val="005F5057"/>
    <w:rsid w:val="005F5058"/>
    <w:rsid w:val="005F648D"/>
    <w:rsid w:val="005F64CF"/>
    <w:rsid w:val="00601A29"/>
    <w:rsid w:val="006041AD"/>
    <w:rsid w:val="00605908"/>
    <w:rsid w:val="00605DD1"/>
    <w:rsid w:val="00607850"/>
    <w:rsid w:val="00607CCE"/>
    <w:rsid w:val="00607EF7"/>
    <w:rsid w:val="00610D7C"/>
    <w:rsid w:val="00611228"/>
    <w:rsid w:val="006126C3"/>
    <w:rsid w:val="00613414"/>
    <w:rsid w:val="006142DE"/>
    <w:rsid w:val="00615489"/>
    <w:rsid w:val="00620154"/>
    <w:rsid w:val="0062044C"/>
    <w:rsid w:val="00621D71"/>
    <w:rsid w:val="00622546"/>
    <w:rsid w:val="0062408D"/>
    <w:rsid w:val="006240CC"/>
    <w:rsid w:val="00624940"/>
    <w:rsid w:val="006254F8"/>
    <w:rsid w:val="006260FB"/>
    <w:rsid w:val="00626C87"/>
    <w:rsid w:val="006271F3"/>
    <w:rsid w:val="00627DA7"/>
    <w:rsid w:val="00630DA4"/>
    <w:rsid w:val="00631CD4"/>
    <w:rsid w:val="00631DF0"/>
    <w:rsid w:val="00632597"/>
    <w:rsid w:val="00632EC9"/>
    <w:rsid w:val="00633F01"/>
    <w:rsid w:val="00634D13"/>
    <w:rsid w:val="006358B4"/>
    <w:rsid w:val="00635964"/>
    <w:rsid w:val="00635DD5"/>
    <w:rsid w:val="0063619E"/>
    <w:rsid w:val="0063632A"/>
    <w:rsid w:val="00640ABD"/>
    <w:rsid w:val="0064119E"/>
    <w:rsid w:val="00641382"/>
    <w:rsid w:val="00641724"/>
    <w:rsid w:val="006419AA"/>
    <w:rsid w:val="00641B6D"/>
    <w:rsid w:val="00642722"/>
    <w:rsid w:val="006431E2"/>
    <w:rsid w:val="006448E4"/>
    <w:rsid w:val="00644B1F"/>
    <w:rsid w:val="00644B7E"/>
    <w:rsid w:val="00644BF8"/>
    <w:rsid w:val="006454E6"/>
    <w:rsid w:val="00646235"/>
    <w:rsid w:val="00646A68"/>
    <w:rsid w:val="00647054"/>
    <w:rsid w:val="0065005D"/>
    <w:rsid w:val="00650329"/>
    <w:rsid w:val="006505BD"/>
    <w:rsid w:val="006508EA"/>
    <w:rsid w:val="0065092E"/>
    <w:rsid w:val="00650E8B"/>
    <w:rsid w:val="00651B6D"/>
    <w:rsid w:val="0065475E"/>
    <w:rsid w:val="00655475"/>
    <w:rsid w:val="006557A7"/>
    <w:rsid w:val="00655A02"/>
    <w:rsid w:val="00656290"/>
    <w:rsid w:val="006575A3"/>
    <w:rsid w:val="006601C9"/>
    <w:rsid w:val="0066023F"/>
    <w:rsid w:val="006608D8"/>
    <w:rsid w:val="00660E02"/>
    <w:rsid w:val="006621D7"/>
    <w:rsid w:val="0066302A"/>
    <w:rsid w:val="00665384"/>
    <w:rsid w:val="006673C7"/>
    <w:rsid w:val="00667770"/>
    <w:rsid w:val="00670597"/>
    <w:rsid w:val="006706D0"/>
    <w:rsid w:val="00673871"/>
    <w:rsid w:val="00673D6A"/>
    <w:rsid w:val="00675EDA"/>
    <w:rsid w:val="00676BE0"/>
    <w:rsid w:val="00677550"/>
    <w:rsid w:val="00677574"/>
    <w:rsid w:val="00677F6C"/>
    <w:rsid w:val="006812ED"/>
    <w:rsid w:val="00683776"/>
    <w:rsid w:val="00683878"/>
    <w:rsid w:val="00683AC2"/>
    <w:rsid w:val="00683FB7"/>
    <w:rsid w:val="00684380"/>
    <w:rsid w:val="0068454C"/>
    <w:rsid w:val="0068618B"/>
    <w:rsid w:val="006874B8"/>
    <w:rsid w:val="00687A4C"/>
    <w:rsid w:val="00690932"/>
    <w:rsid w:val="00691931"/>
    <w:rsid w:val="00691B62"/>
    <w:rsid w:val="006928E5"/>
    <w:rsid w:val="006933B5"/>
    <w:rsid w:val="00693D14"/>
    <w:rsid w:val="006941A7"/>
    <w:rsid w:val="006951CC"/>
    <w:rsid w:val="00696927"/>
    <w:rsid w:val="00696F27"/>
    <w:rsid w:val="0069785C"/>
    <w:rsid w:val="006A18C2"/>
    <w:rsid w:val="006A2558"/>
    <w:rsid w:val="006A3383"/>
    <w:rsid w:val="006A3AA7"/>
    <w:rsid w:val="006A4673"/>
    <w:rsid w:val="006A6737"/>
    <w:rsid w:val="006A6D9D"/>
    <w:rsid w:val="006A7CED"/>
    <w:rsid w:val="006B077C"/>
    <w:rsid w:val="006B1907"/>
    <w:rsid w:val="006B5204"/>
    <w:rsid w:val="006B6803"/>
    <w:rsid w:val="006B6FB8"/>
    <w:rsid w:val="006C01D2"/>
    <w:rsid w:val="006C1A89"/>
    <w:rsid w:val="006C1BFE"/>
    <w:rsid w:val="006C3C85"/>
    <w:rsid w:val="006C4F5B"/>
    <w:rsid w:val="006C54C2"/>
    <w:rsid w:val="006C5B32"/>
    <w:rsid w:val="006C63F6"/>
    <w:rsid w:val="006C6B4B"/>
    <w:rsid w:val="006C71B5"/>
    <w:rsid w:val="006C7AE2"/>
    <w:rsid w:val="006D0982"/>
    <w:rsid w:val="006D0F16"/>
    <w:rsid w:val="006D1054"/>
    <w:rsid w:val="006D1B7B"/>
    <w:rsid w:val="006D2737"/>
    <w:rsid w:val="006D2A3F"/>
    <w:rsid w:val="006D2FBC"/>
    <w:rsid w:val="006D4B89"/>
    <w:rsid w:val="006D6082"/>
    <w:rsid w:val="006D628D"/>
    <w:rsid w:val="006D67C2"/>
    <w:rsid w:val="006D6E34"/>
    <w:rsid w:val="006E0445"/>
    <w:rsid w:val="006E138B"/>
    <w:rsid w:val="006E1867"/>
    <w:rsid w:val="006E19B6"/>
    <w:rsid w:val="006E2AE7"/>
    <w:rsid w:val="006E3593"/>
    <w:rsid w:val="006E3C33"/>
    <w:rsid w:val="006E68FD"/>
    <w:rsid w:val="006E6D52"/>
    <w:rsid w:val="006E7021"/>
    <w:rsid w:val="006F014B"/>
    <w:rsid w:val="006F0330"/>
    <w:rsid w:val="006F068B"/>
    <w:rsid w:val="006F09B0"/>
    <w:rsid w:val="006F0A15"/>
    <w:rsid w:val="006F0DCD"/>
    <w:rsid w:val="006F1866"/>
    <w:rsid w:val="006F1FDC"/>
    <w:rsid w:val="006F4775"/>
    <w:rsid w:val="006F5404"/>
    <w:rsid w:val="006F579A"/>
    <w:rsid w:val="006F6106"/>
    <w:rsid w:val="006F6281"/>
    <w:rsid w:val="006F6B8C"/>
    <w:rsid w:val="00700234"/>
    <w:rsid w:val="00700274"/>
    <w:rsid w:val="007009C3"/>
    <w:rsid w:val="00700B44"/>
    <w:rsid w:val="007013EF"/>
    <w:rsid w:val="007055BD"/>
    <w:rsid w:val="0070644D"/>
    <w:rsid w:val="00706FF3"/>
    <w:rsid w:val="007105BE"/>
    <w:rsid w:val="00710E8B"/>
    <w:rsid w:val="00711184"/>
    <w:rsid w:val="007147B7"/>
    <w:rsid w:val="00716324"/>
    <w:rsid w:val="0071692D"/>
    <w:rsid w:val="007173CA"/>
    <w:rsid w:val="007212E4"/>
    <w:rsid w:val="007216AA"/>
    <w:rsid w:val="00721AB5"/>
    <w:rsid w:val="00721CFB"/>
    <w:rsid w:val="00721DEF"/>
    <w:rsid w:val="00723017"/>
    <w:rsid w:val="0072320E"/>
    <w:rsid w:val="00724787"/>
    <w:rsid w:val="00724A43"/>
    <w:rsid w:val="0072524B"/>
    <w:rsid w:val="007254AA"/>
    <w:rsid w:val="00726E11"/>
    <w:rsid w:val="007273AC"/>
    <w:rsid w:val="00727F92"/>
    <w:rsid w:val="0073165D"/>
    <w:rsid w:val="00731AD4"/>
    <w:rsid w:val="007346E4"/>
    <w:rsid w:val="00735564"/>
    <w:rsid w:val="00737F5F"/>
    <w:rsid w:val="00740344"/>
    <w:rsid w:val="007405C0"/>
    <w:rsid w:val="00740F22"/>
    <w:rsid w:val="00741BD6"/>
    <w:rsid w:val="00741CF0"/>
    <w:rsid w:val="00741F1A"/>
    <w:rsid w:val="007426D9"/>
    <w:rsid w:val="007432EB"/>
    <w:rsid w:val="00743CF2"/>
    <w:rsid w:val="007447D2"/>
    <w:rsid w:val="007447DA"/>
    <w:rsid w:val="007450F8"/>
    <w:rsid w:val="0074696E"/>
    <w:rsid w:val="00750135"/>
    <w:rsid w:val="00750EC2"/>
    <w:rsid w:val="0075151E"/>
    <w:rsid w:val="00751AFF"/>
    <w:rsid w:val="00751CF4"/>
    <w:rsid w:val="00752B28"/>
    <w:rsid w:val="007536BC"/>
    <w:rsid w:val="00753E1D"/>
    <w:rsid w:val="007541A9"/>
    <w:rsid w:val="00754E36"/>
    <w:rsid w:val="007564D9"/>
    <w:rsid w:val="007576B9"/>
    <w:rsid w:val="007614F2"/>
    <w:rsid w:val="00761550"/>
    <w:rsid w:val="0076211C"/>
    <w:rsid w:val="00763139"/>
    <w:rsid w:val="00763AC9"/>
    <w:rsid w:val="00765A19"/>
    <w:rsid w:val="00765FEA"/>
    <w:rsid w:val="007702C8"/>
    <w:rsid w:val="0077030B"/>
    <w:rsid w:val="00770F37"/>
    <w:rsid w:val="007711A0"/>
    <w:rsid w:val="00772B3A"/>
    <w:rsid w:val="00772D5E"/>
    <w:rsid w:val="00772F74"/>
    <w:rsid w:val="0077307C"/>
    <w:rsid w:val="007739BD"/>
    <w:rsid w:val="0077463E"/>
    <w:rsid w:val="00774F8F"/>
    <w:rsid w:val="00775934"/>
    <w:rsid w:val="00776928"/>
    <w:rsid w:val="00776D56"/>
    <w:rsid w:val="00776D9C"/>
    <w:rsid w:val="00776E0F"/>
    <w:rsid w:val="007774B1"/>
    <w:rsid w:val="00777BE1"/>
    <w:rsid w:val="00777C59"/>
    <w:rsid w:val="00780246"/>
    <w:rsid w:val="0078062F"/>
    <w:rsid w:val="00781299"/>
    <w:rsid w:val="0078148F"/>
    <w:rsid w:val="00782222"/>
    <w:rsid w:val="007826B6"/>
    <w:rsid w:val="007833D8"/>
    <w:rsid w:val="00784A01"/>
    <w:rsid w:val="007852AF"/>
    <w:rsid w:val="00785677"/>
    <w:rsid w:val="007857FD"/>
    <w:rsid w:val="00786649"/>
    <w:rsid w:val="00786F16"/>
    <w:rsid w:val="00787083"/>
    <w:rsid w:val="00787790"/>
    <w:rsid w:val="00791344"/>
    <w:rsid w:val="00791BD7"/>
    <w:rsid w:val="0079232D"/>
    <w:rsid w:val="007933F7"/>
    <w:rsid w:val="00793E3F"/>
    <w:rsid w:val="00794BF3"/>
    <w:rsid w:val="00796C43"/>
    <w:rsid w:val="00796CAC"/>
    <w:rsid w:val="00796E20"/>
    <w:rsid w:val="00797C32"/>
    <w:rsid w:val="007A00F7"/>
    <w:rsid w:val="007A01E7"/>
    <w:rsid w:val="007A0388"/>
    <w:rsid w:val="007A0412"/>
    <w:rsid w:val="007A11E8"/>
    <w:rsid w:val="007A132E"/>
    <w:rsid w:val="007A1467"/>
    <w:rsid w:val="007A5316"/>
    <w:rsid w:val="007A707D"/>
    <w:rsid w:val="007B0914"/>
    <w:rsid w:val="007B0E24"/>
    <w:rsid w:val="007B1374"/>
    <w:rsid w:val="007B1CF2"/>
    <w:rsid w:val="007B327F"/>
    <w:rsid w:val="007B32E5"/>
    <w:rsid w:val="007B3DB9"/>
    <w:rsid w:val="007B589F"/>
    <w:rsid w:val="007B6186"/>
    <w:rsid w:val="007B683A"/>
    <w:rsid w:val="007B73BC"/>
    <w:rsid w:val="007B74A5"/>
    <w:rsid w:val="007C1838"/>
    <w:rsid w:val="007C20B9"/>
    <w:rsid w:val="007C445E"/>
    <w:rsid w:val="007C4AB2"/>
    <w:rsid w:val="007C523C"/>
    <w:rsid w:val="007C5448"/>
    <w:rsid w:val="007C6525"/>
    <w:rsid w:val="007C7301"/>
    <w:rsid w:val="007C7859"/>
    <w:rsid w:val="007C7D30"/>
    <w:rsid w:val="007C7F28"/>
    <w:rsid w:val="007D0B3C"/>
    <w:rsid w:val="007D1466"/>
    <w:rsid w:val="007D2A85"/>
    <w:rsid w:val="007D2BDE"/>
    <w:rsid w:val="007D2FB6"/>
    <w:rsid w:val="007D3B25"/>
    <w:rsid w:val="007D49EB"/>
    <w:rsid w:val="007D5AC8"/>
    <w:rsid w:val="007D5E1C"/>
    <w:rsid w:val="007E0DE2"/>
    <w:rsid w:val="007E16BB"/>
    <w:rsid w:val="007E1CDD"/>
    <w:rsid w:val="007E20C7"/>
    <w:rsid w:val="007E3667"/>
    <w:rsid w:val="007E3B98"/>
    <w:rsid w:val="007E417A"/>
    <w:rsid w:val="007E47B0"/>
    <w:rsid w:val="007E4E09"/>
    <w:rsid w:val="007E51D8"/>
    <w:rsid w:val="007E548D"/>
    <w:rsid w:val="007E6D4C"/>
    <w:rsid w:val="007F0DE1"/>
    <w:rsid w:val="007F31B6"/>
    <w:rsid w:val="007F373C"/>
    <w:rsid w:val="007F546C"/>
    <w:rsid w:val="007F625F"/>
    <w:rsid w:val="007F665E"/>
    <w:rsid w:val="00800412"/>
    <w:rsid w:val="0080090B"/>
    <w:rsid w:val="00800B84"/>
    <w:rsid w:val="008050E5"/>
    <w:rsid w:val="0080587B"/>
    <w:rsid w:val="00805B9A"/>
    <w:rsid w:val="00805C32"/>
    <w:rsid w:val="00806468"/>
    <w:rsid w:val="008119CA"/>
    <w:rsid w:val="00812BC0"/>
    <w:rsid w:val="008130C4"/>
    <w:rsid w:val="008133BB"/>
    <w:rsid w:val="0081367F"/>
    <w:rsid w:val="00814634"/>
    <w:rsid w:val="008149DA"/>
    <w:rsid w:val="00814C70"/>
    <w:rsid w:val="008155F0"/>
    <w:rsid w:val="00815F22"/>
    <w:rsid w:val="00816735"/>
    <w:rsid w:val="008173E4"/>
    <w:rsid w:val="00817B89"/>
    <w:rsid w:val="00820141"/>
    <w:rsid w:val="00820E0C"/>
    <w:rsid w:val="0082266C"/>
    <w:rsid w:val="00823275"/>
    <w:rsid w:val="0082366F"/>
    <w:rsid w:val="0082396A"/>
    <w:rsid w:val="008240F0"/>
    <w:rsid w:val="00824E19"/>
    <w:rsid w:val="0082572D"/>
    <w:rsid w:val="00825F53"/>
    <w:rsid w:val="00827D34"/>
    <w:rsid w:val="008300F7"/>
    <w:rsid w:val="00831C43"/>
    <w:rsid w:val="00831EB3"/>
    <w:rsid w:val="00831F75"/>
    <w:rsid w:val="008338A2"/>
    <w:rsid w:val="00833E84"/>
    <w:rsid w:val="0083424F"/>
    <w:rsid w:val="00835E68"/>
    <w:rsid w:val="00836315"/>
    <w:rsid w:val="00840123"/>
    <w:rsid w:val="00841AA9"/>
    <w:rsid w:val="0084344E"/>
    <w:rsid w:val="00845263"/>
    <w:rsid w:val="0084712C"/>
    <w:rsid w:val="00847168"/>
    <w:rsid w:val="008474FE"/>
    <w:rsid w:val="008478EA"/>
    <w:rsid w:val="008503D8"/>
    <w:rsid w:val="00850E8B"/>
    <w:rsid w:val="008516C2"/>
    <w:rsid w:val="00852437"/>
    <w:rsid w:val="00853EE4"/>
    <w:rsid w:val="00854CC0"/>
    <w:rsid w:val="008552DA"/>
    <w:rsid w:val="00855535"/>
    <w:rsid w:val="00855DEA"/>
    <w:rsid w:val="00857C5A"/>
    <w:rsid w:val="00860308"/>
    <w:rsid w:val="00861B7B"/>
    <w:rsid w:val="0086255E"/>
    <w:rsid w:val="00862722"/>
    <w:rsid w:val="008629AC"/>
    <w:rsid w:val="00862DAF"/>
    <w:rsid w:val="008633F0"/>
    <w:rsid w:val="00863606"/>
    <w:rsid w:val="00864525"/>
    <w:rsid w:val="00865988"/>
    <w:rsid w:val="008663DD"/>
    <w:rsid w:val="00867836"/>
    <w:rsid w:val="00867D9D"/>
    <w:rsid w:val="00872E0A"/>
    <w:rsid w:val="00873594"/>
    <w:rsid w:val="00875285"/>
    <w:rsid w:val="00876CAF"/>
    <w:rsid w:val="00877DF2"/>
    <w:rsid w:val="00880776"/>
    <w:rsid w:val="008811C3"/>
    <w:rsid w:val="00881DFD"/>
    <w:rsid w:val="008843BA"/>
    <w:rsid w:val="00884B62"/>
    <w:rsid w:val="0088529C"/>
    <w:rsid w:val="00886851"/>
    <w:rsid w:val="00886960"/>
    <w:rsid w:val="0088776D"/>
    <w:rsid w:val="00887903"/>
    <w:rsid w:val="00890423"/>
    <w:rsid w:val="0089270A"/>
    <w:rsid w:val="00893AF6"/>
    <w:rsid w:val="00894BC4"/>
    <w:rsid w:val="00895194"/>
    <w:rsid w:val="00896890"/>
    <w:rsid w:val="00896CC6"/>
    <w:rsid w:val="008974EB"/>
    <w:rsid w:val="008977D1"/>
    <w:rsid w:val="008A0908"/>
    <w:rsid w:val="008A0943"/>
    <w:rsid w:val="008A11AA"/>
    <w:rsid w:val="008A28A8"/>
    <w:rsid w:val="008A2D25"/>
    <w:rsid w:val="008A381A"/>
    <w:rsid w:val="008A40F6"/>
    <w:rsid w:val="008A54AC"/>
    <w:rsid w:val="008A5B32"/>
    <w:rsid w:val="008B1B56"/>
    <w:rsid w:val="008B2029"/>
    <w:rsid w:val="008B2BEE"/>
    <w:rsid w:val="008B2EE4"/>
    <w:rsid w:val="008B340C"/>
    <w:rsid w:val="008B3821"/>
    <w:rsid w:val="008B4D3D"/>
    <w:rsid w:val="008B57C7"/>
    <w:rsid w:val="008B5906"/>
    <w:rsid w:val="008B5F82"/>
    <w:rsid w:val="008B680B"/>
    <w:rsid w:val="008B6BC8"/>
    <w:rsid w:val="008C0286"/>
    <w:rsid w:val="008C2B60"/>
    <w:rsid w:val="008C2F92"/>
    <w:rsid w:val="008C3414"/>
    <w:rsid w:val="008C3546"/>
    <w:rsid w:val="008C589D"/>
    <w:rsid w:val="008C5A57"/>
    <w:rsid w:val="008C6D51"/>
    <w:rsid w:val="008C7638"/>
    <w:rsid w:val="008D1759"/>
    <w:rsid w:val="008D1C23"/>
    <w:rsid w:val="008D1D2B"/>
    <w:rsid w:val="008D2844"/>
    <w:rsid w:val="008D2846"/>
    <w:rsid w:val="008D2CA6"/>
    <w:rsid w:val="008D3531"/>
    <w:rsid w:val="008D3622"/>
    <w:rsid w:val="008D3B23"/>
    <w:rsid w:val="008D4236"/>
    <w:rsid w:val="008D462F"/>
    <w:rsid w:val="008D4D8C"/>
    <w:rsid w:val="008D4F5C"/>
    <w:rsid w:val="008D51B9"/>
    <w:rsid w:val="008D59CE"/>
    <w:rsid w:val="008D5A6A"/>
    <w:rsid w:val="008D6AEB"/>
    <w:rsid w:val="008D6DCF"/>
    <w:rsid w:val="008E1646"/>
    <w:rsid w:val="008E1BB0"/>
    <w:rsid w:val="008E2E1D"/>
    <w:rsid w:val="008E312D"/>
    <w:rsid w:val="008E4376"/>
    <w:rsid w:val="008E67AD"/>
    <w:rsid w:val="008E6ACD"/>
    <w:rsid w:val="008E7A0A"/>
    <w:rsid w:val="008E7B49"/>
    <w:rsid w:val="008F03F8"/>
    <w:rsid w:val="008F394A"/>
    <w:rsid w:val="008F59F6"/>
    <w:rsid w:val="008F5FC0"/>
    <w:rsid w:val="008F7241"/>
    <w:rsid w:val="008F7C46"/>
    <w:rsid w:val="00900719"/>
    <w:rsid w:val="009016F1"/>
    <w:rsid w:val="009017AC"/>
    <w:rsid w:val="00902A9A"/>
    <w:rsid w:val="00904A1C"/>
    <w:rsid w:val="00904E5B"/>
    <w:rsid w:val="00904F14"/>
    <w:rsid w:val="00905030"/>
    <w:rsid w:val="0090566F"/>
    <w:rsid w:val="00906490"/>
    <w:rsid w:val="009101B9"/>
    <w:rsid w:val="00910548"/>
    <w:rsid w:val="00910AAE"/>
    <w:rsid w:val="00910C57"/>
    <w:rsid w:val="009111B2"/>
    <w:rsid w:val="00913822"/>
    <w:rsid w:val="00913901"/>
    <w:rsid w:val="00913D7B"/>
    <w:rsid w:val="00913F86"/>
    <w:rsid w:val="009145A6"/>
    <w:rsid w:val="009151F5"/>
    <w:rsid w:val="00915535"/>
    <w:rsid w:val="009208EE"/>
    <w:rsid w:val="00920CF1"/>
    <w:rsid w:val="00921DFB"/>
    <w:rsid w:val="009222FD"/>
    <w:rsid w:val="00923649"/>
    <w:rsid w:val="00923765"/>
    <w:rsid w:val="00923858"/>
    <w:rsid w:val="00924385"/>
    <w:rsid w:val="00924AE1"/>
    <w:rsid w:val="00925F79"/>
    <w:rsid w:val="009264EF"/>
    <w:rsid w:val="009269B1"/>
    <w:rsid w:val="00926BA7"/>
    <w:rsid w:val="0092724D"/>
    <w:rsid w:val="009272B3"/>
    <w:rsid w:val="00927564"/>
    <w:rsid w:val="00927B38"/>
    <w:rsid w:val="009315BE"/>
    <w:rsid w:val="00932226"/>
    <w:rsid w:val="009326DD"/>
    <w:rsid w:val="0093338F"/>
    <w:rsid w:val="00937BD9"/>
    <w:rsid w:val="00940D6F"/>
    <w:rsid w:val="009415ED"/>
    <w:rsid w:val="00943047"/>
    <w:rsid w:val="00943574"/>
    <w:rsid w:val="009447BC"/>
    <w:rsid w:val="00945515"/>
    <w:rsid w:val="00946759"/>
    <w:rsid w:val="00950700"/>
    <w:rsid w:val="00950E2C"/>
    <w:rsid w:val="0095140A"/>
    <w:rsid w:val="009516C3"/>
    <w:rsid w:val="00951D50"/>
    <w:rsid w:val="009525EB"/>
    <w:rsid w:val="009528F1"/>
    <w:rsid w:val="009529FC"/>
    <w:rsid w:val="00953B96"/>
    <w:rsid w:val="0095470B"/>
    <w:rsid w:val="00954874"/>
    <w:rsid w:val="0095615A"/>
    <w:rsid w:val="00956817"/>
    <w:rsid w:val="00957E46"/>
    <w:rsid w:val="00960CC8"/>
    <w:rsid w:val="00961400"/>
    <w:rsid w:val="009624AC"/>
    <w:rsid w:val="00963646"/>
    <w:rsid w:val="0096434D"/>
    <w:rsid w:val="0096632D"/>
    <w:rsid w:val="0096632F"/>
    <w:rsid w:val="00967124"/>
    <w:rsid w:val="0097166C"/>
    <w:rsid w:val="009718C7"/>
    <w:rsid w:val="0097244E"/>
    <w:rsid w:val="009727BC"/>
    <w:rsid w:val="0097559F"/>
    <w:rsid w:val="00975F34"/>
    <w:rsid w:val="009761EA"/>
    <w:rsid w:val="0097634A"/>
    <w:rsid w:val="009772A3"/>
    <w:rsid w:val="0097761E"/>
    <w:rsid w:val="00977D59"/>
    <w:rsid w:val="00980378"/>
    <w:rsid w:val="00980514"/>
    <w:rsid w:val="00981060"/>
    <w:rsid w:val="00981B09"/>
    <w:rsid w:val="00981C75"/>
    <w:rsid w:val="00982454"/>
    <w:rsid w:val="00982CF0"/>
    <w:rsid w:val="0098357C"/>
    <w:rsid w:val="00983D02"/>
    <w:rsid w:val="00984735"/>
    <w:rsid w:val="009848DA"/>
    <w:rsid w:val="009853E1"/>
    <w:rsid w:val="00986E6B"/>
    <w:rsid w:val="00987E51"/>
    <w:rsid w:val="00990032"/>
    <w:rsid w:val="00990B19"/>
    <w:rsid w:val="00990C9C"/>
    <w:rsid w:val="0099153B"/>
    <w:rsid w:val="00991769"/>
    <w:rsid w:val="009921FD"/>
    <w:rsid w:val="0099232C"/>
    <w:rsid w:val="00994386"/>
    <w:rsid w:val="00994B37"/>
    <w:rsid w:val="00995AE7"/>
    <w:rsid w:val="00996008"/>
    <w:rsid w:val="0099655B"/>
    <w:rsid w:val="00997570"/>
    <w:rsid w:val="009A1034"/>
    <w:rsid w:val="009A13D8"/>
    <w:rsid w:val="009A1EF7"/>
    <w:rsid w:val="009A279E"/>
    <w:rsid w:val="009A2C19"/>
    <w:rsid w:val="009A3015"/>
    <w:rsid w:val="009A3490"/>
    <w:rsid w:val="009A4A0A"/>
    <w:rsid w:val="009A4A68"/>
    <w:rsid w:val="009B0A6F"/>
    <w:rsid w:val="009B0A94"/>
    <w:rsid w:val="009B0C62"/>
    <w:rsid w:val="009B2AE8"/>
    <w:rsid w:val="009B3FB6"/>
    <w:rsid w:val="009B4CC8"/>
    <w:rsid w:val="009B5622"/>
    <w:rsid w:val="009B59E9"/>
    <w:rsid w:val="009B70AA"/>
    <w:rsid w:val="009C245E"/>
    <w:rsid w:val="009C3917"/>
    <w:rsid w:val="009C5E77"/>
    <w:rsid w:val="009C610C"/>
    <w:rsid w:val="009C6C80"/>
    <w:rsid w:val="009C74A0"/>
    <w:rsid w:val="009C786E"/>
    <w:rsid w:val="009C79C4"/>
    <w:rsid w:val="009C7A7E"/>
    <w:rsid w:val="009D02E8"/>
    <w:rsid w:val="009D19E1"/>
    <w:rsid w:val="009D2263"/>
    <w:rsid w:val="009D274C"/>
    <w:rsid w:val="009D4AA7"/>
    <w:rsid w:val="009D51D0"/>
    <w:rsid w:val="009D70A4"/>
    <w:rsid w:val="009D7B14"/>
    <w:rsid w:val="009E02DD"/>
    <w:rsid w:val="009E08D1"/>
    <w:rsid w:val="009E0D96"/>
    <w:rsid w:val="009E125A"/>
    <w:rsid w:val="009E1828"/>
    <w:rsid w:val="009E1B95"/>
    <w:rsid w:val="009E349D"/>
    <w:rsid w:val="009E496F"/>
    <w:rsid w:val="009E4B0D"/>
    <w:rsid w:val="009E5250"/>
    <w:rsid w:val="009E6B2A"/>
    <w:rsid w:val="009E7A69"/>
    <w:rsid w:val="009E7F92"/>
    <w:rsid w:val="009F02A3"/>
    <w:rsid w:val="009F1F4E"/>
    <w:rsid w:val="009F2182"/>
    <w:rsid w:val="009F2788"/>
    <w:rsid w:val="009F2F27"/>
    <w:rsid w:val="009F34AA"/>
    <w:rsid w:val="009F55DC"/>
    <w:rsid w:val="009F6384"/>
    <w:rsid w:val="009F6BCB"/>
    <w:rsid w:val="009F7416"/>
    <w:rsid w:val="009F7B78"/>
    <w:rsid w:val="00A000E5"/>
    <w:rsid w:val="00A0057A"/>
    <w:rsid w:val="00A02D87"/>
    <w:rsid w:val="00A02FA1"/>
    <w:rsid w:val="00A04CCE"/>
    <w:rsid w:val="00A0630D"/>
    <w:rsid w:val="00A0632D"/>
    <w:rsid w:val="00A07421"/>
    <w:rsid w:val="00A0776B"/>
    <w:rsid w:val="00A0778D"/>
    <w:rsid w:val="00A07837"/>
    <w:rsid w:val="00A07993"/>
    <w:rsid w:val="00A07A18"/>
    <w:rsid w:val="00A10FB9"/>
    <w:rsid w:val="00A11421"/>
    <w:rsid w:val="00A1198B"/>
    <w:rsid w:val="00A1307A"/>
    <w:rsid w:val="00A1389F"/>
    <w:rsid w:val="00A13B7A"/>
    <w:rsid w:val="00A154EB"/>
    <w:rsid w:val="00A157B1"/>
    <w:rsid w:val="00A161D8"/>
    <w:rsid w:val="00A16411"/>
    <w:rsid w:val="00A2017D"/>
    <w:rsid w:val="00A22229"/>
    <w:rsid w:val="00A240ED"/>
    <w:rsid w:val="00A24442"/>
    <w:rsid w:val="00A24ADA"/>
    <w:rsid w:val="00A26B5C"/>
    <w:rsid w:val="00A27211"/>
    <w:rsid w:val="00A279DA"/>
    <w:rsid w:val="00A3069A"/>
    <w:rsid w:val="00A312EC"/>
    <w:rsid w:val="00A32577"/>
    <w:rsid w:val="00A330BB"/>
    <w:rsid w:val="00A34F80"/>
    <w:rsid w:val="00A355A6"/>
    <w:rsid w:val="00A358EC"/>
    <w:rsid w:val="00A35F02"/>
    <w:rsid w:val="00A3640A"/>
    <w:rsid w:val="00A37646"/>
    <w:rsid w:val="00A40B16"/>
    <w:rsid w:val="00A446F5"/>
    <w:rsid w:val="00A44882"/>
    <w:rsid w:val="00A45125"/>
    <w:rsid w:val="00A46E2A"/>
    <w:rsid w:val="00A47932"/>
    <w:rsid w:val="00A47B5D"/>
    <w:rsid w:val="00A47D7E"/>
    <w:rsid w:val="00A50718"/>
    <w:rsid w:val="00A535E5"/>
    <w:rsid w:val="00A53BD8"/>
    <w:rsid w:val="00A54715"/>
    <w:rsid w:val="00A549B0"/>
    <w:rsid w:val="00A54C34"/>
    <w:rsid w:val="00A56C59"/>
    <w:rsid w:val="00A56FBA"/>
    <w:rsid w:val="00A6061C"/>
    <w:rsid w:val="00A62178"/>
    <w:rsid w:val="00A62D44"/>
    <w:rsid w:val="00A6447D"/>
    <w:rsid w:val="00A64C9C"/>
    <w:rsid w:val="00A65871"/>
    <w:rsid w:val="00A65E16"/>
    <w:rsid w:val="00A6672A"/>
    <w:rsid w:val="00A67263"/>
    <w:rsid w:val="00A713A8"/>
    <w:rsid w:val="00A7161C"/>
    <w:rsid w:val="00A71CE4"/>
    <w:rsid w:val="00A71D54"/>
    <w:rsid w:val="00A71DE1"/>
    <w:rsid w:val="00A72D59"/>
    <w:rsid w:val="00A7410F"/>
    <w:rsid w:val="00A75958"/>
    <w:rsid w:val="00A75B8C"/>
    <w:rsid w:val="00A76519"/>
    <w:rsid w:val="00A77AA3"/>
    <w:rsid w:val="00A811AB"/>
    <w:rsid w:val="00A8236D"/>
    <w:rsid w:val="00A82E25"/>
    <w:rsid w:val="00A854EB"/>
    <w:rsid w:val="00A872E5"/>
    <w:rsid w:val="00A87716"/>
    <w:rsid w:val="00A91406"/>
    <w:rsid w:val="00A960E0"/>
    <w:rsid w:val="00A96E65"/>
    <w:rsid w:val="00A96ECE"/>
    <w:rsid w:val="00A97C72"/>
    <w:rsid w:val="00AA0606"/>
    <w:rsid w:val="00AA1D16"/>
    <w:rsid w:val="00AA2147"/>
    <w:rsid w:val="00AA310B"/>
    <w:rsid w:val="00AA3900"/>
    <w:rsid w:val="00AA4790"/>
    <w:rsid w:val="00AA5197"/>
    <w:rsid w:val="00AA63D4"/>
    <w:rsid w:val="00AA732D"/>
    <w:rsid w:val="00AB06E8"/>
    <w:rsid w:val="00AB1CD3"/>
    <w:rsid w:val="00AB2349"/>
    <w:rsid w:val="00AB2577"/>
    <w:rsid w:val="00AB352F"/>
    <w:rsid w:val="00AB3DFD"/>
    <w:rsid w:val="00AB3EA4"/>
    <w:rsid w:val="00AB5D3F"/>
    <w:rsid w:val="00AB64EB"/>
    <w:rsid w:val="00AB6780"/>
    <w:rsid w:val="00AC04DB"/>
    <w:rsid w:val="00AC05F4"/>
    <w:rsid w:val="00AC274B"/>
    <w:rsid w:val="00AC37E9"/>
    <w:rsid w:val="00AC4764"/>
    <w:rsid w:val="00AC6D36"/>
    <w:rsid w:val="00AC7AAB"/>
    <w:rsid w:val="00AD0AD7"/>
    <w:rsid w:val="00AD0CBA"/>
    <w:rsid w:val="00AD26E2"/>
    <w:rsid w:val="00AD2832"/>
    <w:rsid w:val="00AD45BC"/>
    <w:rsid w:val="00AD68B6"/>
    <w:rsid w:val="00AD71E0"/>
    <w:rsid w:val="00AD784C"/>
    <w:rsid w:val="00AE0125"/>
    <w:rsid w:val="00AE126A"/>
    <w:rsid w:val="00AE1BAE"/>
    <w:rsid w:val="00AE2E95"/>
    <w:rsid w:val="00AE3005"/>
    <w:rsid w:val="00AE3BD5"/>
    <w:rsid w:val="00AE47F1"/>
    <w:rsid w:val="00AE59A0"/>
    <w:rsid w:val="00AE6458"/>
    <w:rsid w:val="00AE760D"/>
    <w:rsid w:val="00AF0C57"/>
    <w:rsid w:val="00AF0DF9"/>
    <w:rsid w:val="00AF130C"/>
    <w:rsid w:val="00AF1C32"/>
    <w:rsid w:val="00AF2145"/>
    <w:rsid w:val="00AF26F3"/>
    <w:rsid w:val="00AF2A33"/>
    <w:rsid w:val="00AF543F"/>
    <w:rsid w:val="00AF5F04"/>
    <w:rsid w:val="00B00672"/>
    <w:rsid w:val="00B00A05"/>
    <w:rsid w:val="00B01184"/>
    <w:rsid w:val="00B015A8"/>
    <w:rsid w:val="00B0176E"/>
    <w:rsid w:val="00B01B4D"/>
    <w:rsid w:val="00B01DED"/>
    <w:rsid w:val="00B04489"/>
    <w:rsid w:val="00B04768"/>
    <w:rsid w:val="00B050B3"/>
    <w:rsid w:val="00B052B4"/>
    <w:rsid w:val="00B06571"/>
    <w:rsid w:val="00B068BA"/>
    <w:rsid w:val="00B071C5"/>
    <w:rsid w:val="00B07217"/>
    <w:rsid w:val="00B10A32"/>
    <w:rsid w:val="00B11F27"/>
    <w:rsid w:val="00B135B8"/>
    <w:rsid w:val="00B13851"/>
    <w:rsid w:val="00B13B1C"/>
    <w:rsid w:val="00B14B5F"/>
    <w:rsid w:val="00B179E2"/>
    <w:rsid w:val="00B20B2B"/>
    <w:rsid w:val="00B212AC"/>
    <w:rsid w:val="00B213CE"/>
    <w:rsid w:val="00B21F2A"/>
    <w:rsid w:val="00B21F90"/>
    <w:rsid w:val="00B22291"/>
    <w:rsid w:val="00B23F9A"/>
    <w:rsid w:val="00B2417B"/>
    <w:rsid w:val="00B24E6F"/>
    <w:rsid w:val="00B26524"/>
    <w:rsid w:val="00B26CB5"/>
    <w:rsid w:val="00B2752E"/>
    <w:rsid w:val="00B307CC"/>
    <w:rsid w:val="00B326B7"/>
    <w:rsid w:val="00B3529D"/>
    <w:rsid w:val="00B3588E"/>
    <w:rsid w:val="00B40088"/>
    <w:rsid w:val="00B4198F"/>
    <w:rsid w:val="00B41D8E"/>
    <w:rsid w:val="00B41F3D"/>
    <w:rsid w:val="00B42352"/>
    <w:rsid w:val="00B431E8"/>
    <w:rsid w:val="00B45141"/>
    <w:rsid w:val="00B45D5F"/>
    <w:rsid w:val="00B46DD8"/>
    <w:rsid w:val="00B46E0A"/>
    <w:rsid w:val="00B519CD"/>
    <w:rsid w:val="00B525DE"/>
    <w:rsid w:val="00B5273A"/>
    <w:rsid w:val="00B57329"/>
    <w:rsid w:val="00B60E61"/>
    <w:rsid w:val="00B61174"/>
    <w:rsid w:val="00B62B50"/>
    <w:rsid w:val="00B62DEB"/>
    <w:rsid w:val="00B635B7"/>
    <w:rsid w:val="00B637EA"/>
    <w:rsid w:val="00B639D7"/>
    <w:rsid w:val="00B63AE8"/>
    <w:rsid w:val="00B63BF8"/>
    <w:rsid w:val="00B65950"/>
    <w:rsid w:val="00B6680B"/>
    <w:rsid w:val="00B66D83"/>
    <w:rsid w:val="00B672C0"/>
    <w:rsid w:val="00B676FD"/>
    <w:rsid w:val="00B678B6"/>
    <w:rsid w:val="00B72691"/>
    <w:rsid w:val="00B75134"/>
    <w:rsid w:val="00B75646"/>
    <w:rsid w:val="00B75F1E"/>
    <w:rsid w:val="00B7629E"/>
    <w:rsid w:val="00B7780B"/>
    <w:rsid w:val="00B77858"/>
    <w:rsid w:val="00B779A2"/>
    <w:rsid w:val="00B80C9D"/>
    <w:rsid w:val="00B83E20"/>
    <w:rsid w:val="00B83FB8"/>
    <w:rsid w:val="00B87479"/>
    <w:rsid w:val="00B90729"/>
    <w:rsid w:val="00B907DA"/>
    <w:rsid w:val="00B90B09"/>
    <w:rsid w:val="00B90E17"/>
    <w:rsid w:val="00B92B60"/>
    <w:rsid w:val="00B92C1E"/>
    <w:rsid w:val="00B94526"/>
    <w:rsid w:val="00B946E3"/>
    <w:rsid w:val="00B94C5E"/>
    <w:rsid w:val="00B950BC"/>
    <w:rsid w:val="00B9616D"/>
    <w:rsid w:val="00B9714C"/>
    <w:rsid w:val="00B97639"/>
    <w:rsid w:val="00BA02E1"/>
    <w:rsid w:val="00BA0C0F"/>
    <w:rsid w:val="00BA26F6"/>
    <w:rsid w:val="00BA29AD"/>
    <w:rsid w:val="00BA2F1D"/>
    <w:rsid w:val="00BA33CF"/>
    <w:rsid w:val="00BA39E3"/>
    <w:rsid w:val="00BA3A3D"/>
    <w:rsid w:val="00BA3F8D"/>
    <w:rsid w:val="00BA59F0"/>
    <w:rsid w:val="00BA6184"/>
    <w:rsid w:val="00BB0A34"/>
    <w:rsid w:val="00BB17A6"/>
    <w:rsid w:val="00BB21FF"/>
    <w:rsid w:val="00BB49E5"/>
    <w:rsid w:val="00BB5F7E"/>
    <w:rsid w:val="00BB74AC"/>
    <w:rsid w:val="00BB7A10"/>
    <w:rsid w:val="00BB7CA5"/>
    <w:rsid w:val="00BB7DF1"/>
    <w:rsid w:val="00BC0D17"/>
    <w:rsid w:val="00BC0FD6"/>
    <w:rsid w:val="00BC138F"/>
    <w:rsid w:val="00BC26D3"/>
    <w:rsid w:val="00BC418D"/>
    <w:rsid w:val="00BC495C"/>
    <w:rsid w:val="00BC5CBA"/>
    <w:rsid w:val="00BC5CE9"/>
    <w:rsid w:val="00BC6046"/>
    <w:rsid w:val="00BC60BE"/>
    <w:rsid w:val="00BC6790"/>
    <w:rsid w:val="00BC7468"/>
    <w:rsid w:val="00BC75C0"/>
    <w:rsid w:val="00BC7D4F"/>
    <w:rsid w:val="00BC7ED7"/>
    <w:rsid w:val="00BD0B64"/>
    <w:rsid w:val="00BD2850"/>
    <w:rsid w:val="00BD2F39"/>
    <w:rsid w:val="00BD36ED"/>
    <w:rsid w:val="00BD4367"/>
    <w:rsid w:val="00BD6330"/>
    <w:rsid w:val="00BD6951"/>
    <w:rsid w:val="00BE0DA7"/>
    <w:rsid w:val="00BE2284"/>
    <w:rsid w:val="00BE28D2"/>
    <w:rsid w:val="00BE2B3D"/>
    <w:rsid w:val="00BE34F7"/>
    <w:rsid w:val="00BE4A64"/>
    <w:rsid w:val="00BE5E43"/>
    <w:rsid w:val="00BF19B5"/>
    <w:rsid w:val="00BF2015"/>
    <w:rsid w:val="00BF2D5D"/>
    <w:rsid w:val="00BF3488"/>
    <w:rsid w:val="00BF351B"/>
    <w:rsid w:val="00BF557D"/>
    <w:rsid w:val="00BF5F9A"/>
    <w:rsid w:val="00BF658D"/>
    <w:rsid w:val="00BF662C"/>
    <w:rsid w:val="00BF7F58"/>
    <w:rsid w:val="00C008F1"/>
    <w:rsid w:val="00C01381"/>
    <w:rsid w:val="00C01AB1"/>
    <w:rsid w:val="00C0263E"/>
    <w:rsid w:val="00C026A0"/>
    <w:rsid w:val="00C0281A"/>
    <w:rsid w:val="00C031F2"/>
    <w:rsid w:val="00C06137"/>
    <w:rsid w:val="00C062C6"/>
    <w:rsid w:val="00C06929"/>
    <w:rsid w:val="00C07855"/>
    <w:rsid w:val="00C079B8"/>
    <w:rsid w:val="00C10037"/>
    <w:rsid w:val="00C115E1"/>
    <w:rsid w:val="00C123EA"/>
    <w:rsid w:val="00C12A49"/>
    <w:rsid w:val="00C132E9"/>
    <w:rsid w:val="00C133EE"/>
    <w:rsid w:val="00C13C91"/>
    <w:rsid w:val="00C149D0"/>
    <w:rsid w:val="00C15AA0"/>
    <w:rsid w:val="00C1619E"/>
    <w:rsid w:val="00C179CD"/>
    <w:rsid w:val="00C209DD"/>
    <w:rsid w:val="00C21189"/>
    <w:rsid w:val="00C219C5"/>
    <w:rsid w:val="00C2283E"/>
    <w:rsid w:val="00C228C4"/>
    <w:rsid w:val="00C23115"/>
    <w:rsid w:val="00C23B91"/>
    <w:rsid w:val="00C26588"/>
    <w:rsid w:val="00C270D2"/>
    <w:rsid w:val="00C27DE9"/>
    <w:rsid w:val="00C30CEE"/>
    <w:rsid w:val="00C32896"/>
    <w:rsid w:val="00C32989"/>
    <w:rsid w:val="00C32DB9"/>
    <w:rsid w:val="00C33388"/>
    <w:rsid w:val="00C33DFB"/>
    <w:rsid w:val="00C340D8"/>
    <w:rsid w:val="00C3419D"/>
    <w:rsid w:val="00C341BA"/>
    <w:rsid w:val="00C35484"/>
    <w:rsid w:val="00C35B1C"/>
    <w:rsid w:val="00C37578"/>
    <w:rsid w:val="00C3783C"/>
    <w:rsid w:val="00C41243"/>
    <w:rsid w:val="00C4173A"/>
    <w:rsid w:val="00C42846"/>
    <w:rsid w:val="00C433B6"/>
    <w:rsid w:val="00C50887"/>
    <w:rsid w:val="00C50DED"/>
    <w:rsid w:val="00C52217"/>
    <w:rsid w:val="00C52CC2"/>
    <w:rsid w:val="00C602FF"/>
    <w:rsid w:val="00C60411"/>
    <w:rsid w:val="00C60B77"/>
    <w:rsid w:val="00C61174"/>
    <w:rsid w:val="00C6148F"/>
    <w:rsid w:val="00C61E56"/>
    <w:rsid w:val="00C621B1"/>
    <w:rsid w:val="00C62CD5"/>
    <w:rsid w:val="00C62F7A"/>
    <w:rsid w:val="00C63B9C"/>
    <w:rsid w:val="00C66030"/>
    <w:rsid w:val="00C66292"/>
    <w:rsid w:val="00C6682F"/>
    <w:rsid w:val="00C67BF4"/>
    <w:rsid w:val="00C7275E"/>
    <w:rsid w:val="00C731AF"/>
    <w:rsid w:val="00C73781"/>
    <w:rsid w:val="00C7460E"/>
    <w:rsid w:val="00C74C5D"/>
    <w:rsid w:val="00C7580F"/>
    <w:rsid w:val="00C76B29"/>
    <w:rsid w:val="00C80A68"/>
    <w:rsid w:val="00C80C41"/>
    <w:rsid w:val="00C815B5"/>
    <w:rsid w:val="00C81B12"/>
    <w:rsid w:val="00C826DD"/>
    <w:rsid w:val="00C82C22"/>
    <w:rsid w:val="00C82F47"/>
    <w:rsid w:val="00C84883"/>
    <w:rsid w:val="00C8529A"/>
    <w:rsid w:val="00C85D4D"/>
    <w:rsid w:val="00C85ED3"/>
    <w:rsid w:val="00C863C4"/>
    <w:rsid w:val="00C8649E"/>
    <w:rsid w:val="00C87469"/>
    <w:rsid w:val="00C90DAB"/>
    <w:rsid w:val="00C920EA"/>
    <w:rsid w:val="00C92D08"/>
    <w:rsid w:val="00C92D40"/>
    <w:rsid w:val="00C93009"/>
    <w:rsid w:val="00C93C3E"/>
    <w:rsid w:val="00C94678"/>
    <w:rsid w:val="00C94D78"/>
    <w:rsid w:val="00C96F4A"/>
    <w:rsid w:val="00CA0C86"/>
    <w:rsid w:val="00CA12E3"/>
    <w:rsid w:val="00CA1476"/>
    <w:rsid w:val="00CA1511"/>
    <w:rsid w:val="00CA3447"/>
    <w:rsid w:val="00CA4A56"/>
    <w:rsid w:val="00CA6611"/>
    <w:rsid w:val="00CA6AE6"/>
    <w:rsid w:val="00CA782F"/>
    <w:rsid w:val="00CB0217"/>
    <w:rsid w:val="00CB03F9"/>
    <w:rsid w:val="00CB136E"/>
    <w:rsid w:val="00CB187B"/>
    <w:rsid w:val="00CB2835"/>
    <w:rsid w:val="00CB2916"/>
    <w:rsid w:val="00CB294F"/>
    <w:rsid w:val="00CB3285"/>
    <w:rsid w:val="00CB4500"/>
    <w:rsid w:val="00CB4ADE"/>
    <w:rsid w:val="00CB517E"/>
    <w:rsid w:val="00CB57A4"/>
    <w:rsid w:val="00CB735E"/>
    <w:rsid w:val="00CB7F19"/>
    <w:rsid w:val="00CC0736"/>
    <w:rsid w:val="00CC0C72"/>
    <w:rsid w:val="00CC14EB"/>
    <w:rsid w:val="00CC1C29"/>
    <w:rsid w:val="00CC2691"/>
    <w:rsid w:val="00CC2BFD"/>
    <w:rsid w:val="00CC3F9A"/>
    <w:rsid w:val="00CC4EB9"/>
    <w:rsid w:val="00CC5979"/>
    <w:rsid w:val="00CC6F39"/>
    <w:rsid w:val="00CC6F40"/>
    <w:rsid w:val="00CC78BD"/>
    <w:rsid w:val="00CD115D"/>
    <w:rsid w:val="00CD2995"/>
    <w:rsid w:val="00CD326F"/>
    <w:rsid w:val="00CD3476"/>
    <w:rsid w:val="00CD3735"/>
    <w:rsid w:val="00CD474E"/>
    <w:rsid w:val="00CD4962"/>
    <w:rsid w:val="00CD4A89"/>
    <w:rsid w:val="00CD5CAE"/>
    <w:rsid w:val="00CD64DF"/>
    <w:rsid w:val="00CE225F"/>
    <w:rsid w:val="00CE2903"/>
    <w:rsid w:val="00CE2D33"/>
    <w:rsid w:val="00CE3027"/>
    <w:rsid w:val="00CE372C"/>
    <w:rsid w:val="00CE3A03"/>
    <w:rsid w:val="00CE5A7A"/>
    <w:rsid w:val="00CF080A"/>
    <w:rsid w:val="00CF1A43"/>
    <w:rsid w:val="00CF1ABF"/>
    <w:rsid w:val="00CF2D7F"/>
    <w:rsid w:val="00CF2F50"/>
    <w:rsid w:val="00CF6198"/>
    <w:rsid w:val="00CF63FA"/>
    <w:rsid w:val="00CF7AE6"/>
    <w:rsid w:val="00CF7E4F"/>
    <w:rsid w:val="00D01857"/>
    <w:rsid w:val="00D01A03"/>
    <w:rsid w:val="00D01EB7"/>
    <w:rsid w:val="00D01F62"/>
    <w:rsid w:val="00D02919"/>
    <w:rsid w:val="00D03142"/>
    <w:rsid w:val="00D03550"/>
    <w:rsid w:val="00D03D58"/>
    <w:rsid w:val="00D04A5A"/>
    <w:rsid w:val="00D04C61"/>
    <w:rsid w:val="00D05B8D"/>
    <w:rsid w:val="00D05B9B"/>
    <w:rsid w:val="00D065A2"/>
    <w:rsid w:val="00D06F69"/>
    <w:rsid w:val="00D07055"/>
    <w:rsid w:val="00D079AA"/>
    <w:rsid w:val="00D07F00"/>
    <w:rsid w:val="00D10484"/>
    <w:rsid w:val="00D10A50"/>
    <w:rsid w:val="00D10F9C"/>
    <w:rsid w:val="00D11307"/>
    <w:rsid w:val="00D1130F"/>
    <w:rsid w:val="00D11E6A"/>
    <w:rsid w:val="00D12A7A"/>
    <w:rsid w:val="00D1591E"/>
    <w:rsid w:val="00D17B72"/>
    <w:rsid w:val="00D2456B"/>
    <w:rsid w:val="00D26718"/>
    <w:rsid w:val="00D27A5E"/>
    <w:rsid w:val="00D3185C"/>
    <w:rsid w:val="00D3205F"/>
    <w:rsid w:val="00D3318E"/>
    <w:rsid w:val="00D33E72"/>
    <w:rsid w:val="00D355AA"/>
    <w:rsid w:val="00D35BD6"/>
    <w:rsid w:val="00D361B5"/>
    <w:rsid w:val="00D3632C"/>
    <w:rsid w:val="00D3646C"/>
    <w:rsid w:val="00D36FFC"/>
    <w:rsid w:val="00D378C8"/>
    <w:rsid w:val="00D411A2"/>
    <w:rsid w:val="00D41984"/>
    <w:rsid w:val="00D41C93"/>
    <w:rsid w:val="00D41C9D"/>
    <w:rsid w:val="00D44083"/>
    <w:rsid w:val="00D446A2"/>
    <w:rsid w:val="00D44CCF"/>
    <w:rsid w:val="00D4606D"/>
    <w:rsid w:val="00D46555"/>
    <w:rsid w:val="00D47014"/>
    <w:rsid w:val="00D470EB"/>
    <w:rsid w:val="00D4723B"/>
    <w:rsid w:val="00D47493"/>
    <w:rsid w:val="00D50079"/>
    <w:rsid w:val="00D50638"/>
    <w:rsid w:val="00D50B9C"/>
    <w:rsid w:val="00D50E4F"/>
    <w:rsid w:val="00D513AF"/>
    <w:rsid w:val="00D52D73"/>
    <w:rsid w:val="00D52E58"/>
    <w:rsid w:val="00D5523A"/>
    <w:rsid w:val="00D55C86"/>
    <w:rsid w:val="00D561AA"/>
    <w:rsid w:val="00D56B20"/>
    <w:rsid w:val="00D578B3"/>
    <w:rsid w:val="00D5798D"/>
    <w:rsid w:val="00D60D87"/>
    <w:rsid w:val="00D618F4"/>
    <w:rsid w:val="00D61BF9"/>
    <w:rsid w:val="00D61E45"/>
    <w:rsid w:val="00D62145"/>
    <w:rsid w:val="00D627F2"/>
    <w:rsid w:val="00D62D0E"/>
    <w:rsid w:val="00D63636"/>
    <w:rsid w:val="00D6380A"/>
    <w:rsid w:val="00D649B5"/>
    <w:rsid w:val="00D714CC"/>
    <w:rsid w:val="00D71E36"/>
    <w:rsid w:val="00D73674"/>
    <w:rsid w:val="00D7570C"/>
    <w:rsid w:val="00D75EA7"/>
    <w:rsid w:val="00D76ECC"/>
    <w:rsid w:val="00D81ADF"/>
    <w:rsid w:val="00D81EEB"/>
    <w:rsid w:val="00D81F21"/>
    <w:rsid w:val="00D837E5"/>
    <w:rsid w:val="00D83990"/>
    <w:rsid w:val="00D83BA5"/>
    <w:rsid w:val="00D83EAF"/>
    <w:rsid w:val="00D84091"/>
    <w:rsid w:val="00D84CF9"/>
    <w:rsid w:val="00D85D26"/>
    <w:rsid w:val="00D864F2"/>
    <w:rsid w:val="00D8722E"/>
    <w:rsid w:val="00D87D51"/>
    <w:rsid w:val="00D90886"/>
    <w:rsid w:val="00D90FBE"/>
    <w:rsid w:val="00D91A49"/>
    <w:rsid w:val="00D925BF"/>
    <w:rsid w:val="00D92EEA"/>
    <w:rsid w:val="00D92F00"/>
    <w:rsid w:val="00D943F8"/>
    <w:rsid w:val="00D94A39"/>
    <w:rsid w:val="00D95470"/>
    <w:rsid w:val="00D95800"/>
    <w:rsid w:val="00D96B55"/>
    <w:rsid w:val="00DA0CDA"/>
    <w:rsid w:val="00DA2619"/>
    <w:rsid w:val="00DA4239"/>
    <w:rsid w:val="00DA588C"/>
    <w:rsid w:val="00DA65DE"/>
    <w:rsid w:val="00DA6801"/>
    <w:rsid w:val="00DA6BD1"/>
    <w:rsid w:val="00DB04FA"/>
    <w:rsid w:val="00DB0B61"/>
    <w:rsid w:val="00DB1474"/>
    <w:rsid w:val="00DB1E10"/>
    <w:rsid w:val="00DB2272"/>
    <w:rsid w:val="00DB2962"/>
    <w:rsid w:val="00DB2A00"/>
    <w:rsid w:val="00DB2C95"/>
    <w:rsid w:val="00DB473D"/>
    <w:rsid w:val="00DB52FB"/>
    <w:rsid w:val="00DB7E83"/>
    <w:rsid w:val="00DC013B"/>
    <w:rsid w:val="00DC090B"/>
    <w:rsid w:val="00DC121D"/>
    <w:rsid w:val="00DC1679"/>
    <w:rsid w:val="00DC1FCC"/>
    <w:rsid w:val="00DC219B"/>
    <w:rsid w:val="00DC2800"/>
    <w:rsid w:val="00DC2CF1"/>
    <w:rsid w:val="00DC2DC7"/>
    <w:rsid w:val="00DC2EA0"/>
    <w:rsid w:val="00DC3A7C"/>
    <w:rsid w:val="00DC3C04"/>
    <w:rsid w:val="00DC4FCF"/>
    <w:rsid w:val="00DC50E0"/>
    <w:rsid w:val="00DC6290"/>
    <w:rsid w:val="00DC6386"/>
    <w:rsid w:val="00DC724B"/>
    <w:rsid w:val="00DC7C3B"/>
    <w:rsid w:val="00DD1130"/>
    <w:rsid w:val="00DD1951"/>
    <w:rsid w:val="00DD2336"/>
    <w:rsid w:val="00DD2AF7"/>
    <w:rsid w:val="00DD3371"/>
    <w:rsid w:val="00DD487D"/>
    <w:rsid w:val="00DD4A95"/>
    <w:rsid w:val="00DD4B37"/>
    <w:rsid w:val="00DD4E83"/>
    <w:rsid w:val="00DD6628"/>
    <w:rsid w:val="00DD6945"/>
    <w:rsid w:val="00DD7924"/>
    <w:rsid w:val="00DE01CD"/>
    <w:rsid w:val="00DE1234"/>
    <w:rsid w:val="00DE2269"/>
    <w:rsid w:val="00DE2C8A"/>
    <w:rsid w:val="00DE2D04"/>
    <w:rsid w:val="00DE3250"/>
    <w:rsid w:val="00DE3FDB"/>
    <w:rsid w:val="00DE6028"/>
    <w:rsid w:val="00DE672F"/>
    <w:rsid w:val="00DE6C85"/>
    <w:rsid w:val="00DE78A3"/>
    <w:rsid w:val="00DF0572"/>
    <w:rsid w:val="00DF0A6E"/>
    <w:rsid w:val="00DF0F60"/>
    <w:rsid w:val="00DF11BF"/>
    <w:rsid w:val="00DF1A71"/>
    <w:rsid w:val="00DF1CD3"/>
    <w:rsid w:val="00DF372B"/>
    <w:rsid w:val="00DF3FF0"/>
    <w:rsid w:val="00DF50FC"/>
    <w:rsid w:val="00DF5B63"/>
    <w:rsid w:val="00DF633B"/>
    <w:rsid w:val="00DF68C7"/>
    <w:rsid w:val="00DF731A"/>
    <w:rsid w:val="00E01740"/>
    <w:rsid w:val="00E01D4E"/>
    <w:rsid w:val="00E01F1B"/>
    <w:rsid w:val="00E04F1E"/>
    <w:rsid w:val="00E06848"/>
    <w:rsid w:val="00E0684A"/>
    <w:rsid w:val="00E06B75"/>
    <w:rsid w:val="00E10392"/>
    <w:rsid w:val="00E11332"/>
    <w:rsid w:val="00E11352"/>
    <w:rsid w:val="00E113E6"/>
    <w:rsid w:val="00E1217F"/>
    <w:rsid w:val="00E1511C"/>
    <w:rsid w:val="00E15891"/>
    <w:rsid w:val="00E159E7"/>
    <w:rsid w:val="00E170DC"/>
    <w:rsid w:val="00E17546"/>
    <w:rsid w:val="00E20E57"/>
    <w:rsid w:val="00E210B5"/>
    <w:rsid w:val="00E21CA7"/>
    <w:rsid w:val="00E2535F"/>
    <w:rsid w:val="00E25C0D"/>
    <w:rsid w:val="00E261B3"/>
    <w:rsid w:val="00E267CE"/>
    <w:rsid w:val="00E26818"/>
    <w:rsid w:val="00E26F57"/>
    <w:rsid w:val="00E27591"/>
    <w:rsid w:val="00E27FFC"/>
    <w:rsid w:val="00E30353"/>
    <w:rsid w:val="00E30B15"/>
    <w:rsid w:val="00E30C7C"/>
    <w:rsid w:val="00E31064"/>
    <w:rsid w:val="00E33237"/>
    <w:rsid w:val="00E35B45"/>
    <w:rsid w:val="00E36C96"/>
    <w:rsid w:val="00E40181"/>
    <w:rsid w:val="00E4329B"/>
    <w:rsid w:val="00E432CD"/>
    <w:rsid w:val="00E44451"/>
    <w:rsid w:val="00E44C16"/>
    <w:rsid w:val="00E458B2"/>
    <w:rsid w:val="00E478C2"/>
    <w:rsid w:val="00E50540"/>
    <w:rsid w:val="00E50F9F"/>
    <w:rsid w:val="00E51A48"/>
    <w:rsid w:val="00E52A57"/>
    <w:rsid w:val="00E54950"/>
    <w:rsid w:val="00E55470"/>
    <w:rsid w:val="00E55FB3"/>
    <w:rsid w:val="00E56A01"/>
    <w:rsid w:val="00E620A3"/>
    <w:rsid w:val="00E629A1"/>
    <w:rsid w:val="00E63CF3"/>
    <w:rsid w:val="00E64CB8"/>
    <w:rsid w:val="00E64DE3"/>
    <w:rsid w:val="00E656A6"/>
    <w:rsid w:val="00E6674F"/>
    <w:rsid w:val="00E6794C"/>
    <w:rsid w:val="00E714FF"/>
    <w:rsid w:val="00E71591"/>
    <w:rsid w:val="00E71CEB"/>
    <w:rsid w:val="00E71E8B"/>
    <w:rsid w:val="00E7397D"/>
    <w:rsid w:val="00E7468F"/>
    <w:rsid w:val="00E7474F"/>
    <w:rsid w:val="00E749BA"/>
    <w:rsid w:val="00E751CD"/>
    <w:rsid w:val="00E75C11"/>
    <w:rsid w:val="00E767B5"/>
    <w:rsid w:val="00E8069D"/>
    <w:rsid w:val="00E80DE3"/>
    <w:rsid w:val="00E814CC"/>
    <w:rsid w:val="00E8297E"/>
    <w:rsid w:val="00E82C55"/>
    <w:rsid w:val="00E83E6A"/>
    <w:rsid w:val="00E8440F"/>
    <w:rsid w:val="00E85343"/>
    <w:rsid w:val="00E86B40"/>
    <w:rsid w:val="00E86E50"/>
    <w:rsid w:val="00E8787E"/>
    <w:rsid w:val="00E87C0F"/>
    <w:rsid w:val="00E87C28"/>
    <w:rsid w:val="00E9042A"/>
    <w:rsid w:val="00E92AC3"/>
    <w:rsid w:val="00E93115"/>
    <w:rsid w:val="00E93F92"/>
    <w:rsid w:val="00E97C04"/>
    <w:rsid w:val="00E97DD3"/>
    <w:rsid w:val="00EA0074"/>
    <w:rsid w:val="00EA1C8D"/>
    <w:rsid w:val="00EA20AE"/>
    <w:rsid w:val="00EA25FA"/>
    <w:rsid w:val="00EA2F6A"/>
    <w:rsid w:val="00EA361A"/>
    <w:rsid w:val="00EA58E1"/>
    <w:rsid w:val="00EA5E48"/>
    <w:rsid w:val="00EA6103"/>
    <w:rsid w:val="00EA6703"/>
    <w:rsid w:val="00EA70B5"/>
    <w:rsid w:val="00EA7F73"/>
    <w:rsid w:val="00EB00E0"/>
    <w:rsid w:val="00EB05D5"/>
    <w:rsid w:val="00EB0988"/>
    <w:rsid w:val="00EB0BED"/>
    <w:rsid w:val="00EB1A0B"/>
    <w:rsid w:val="00EB1A26"/>
    <w:rsid w:val="00EB4BC7"/>
    <w:rsid w:val="00EB56B9"/>
    <w:rsid w:val="00EB5DAA"/>
    <w:rsid w:val="00EB753F"/>
    <w:rsid w:val="00EC052F"/>
    <w:rsid w:val="00EC059F"/>
    <w:rsid w:val="00EC146C"/>
    <w:rsid w:val="00EC1F24"/>
    <w:rsid w:val="00EC22F6"/>
    <w:rsid w:val="00EC3DB9"/>
    <w:rsid w:val="00EC6E09"/>
    <w:rsid w:val="00ED1DCC"/>
    <w:rsid w:val="00ED1F86"/>
    <w:rsid w:val="00ED46F8"/>
    <w:rsid w:val="00ED4F97"/>
    <w:rsid w:val="00ED5B9B"/>
    <w:rsid w:val="00ED656A"/>
    <w:rsid w:val="00ED68EE"/>
    <w:rsid w:val="00ED6BAD"/>
    <w:rsid w:val="00ED7447"/>
    <w:rsid w:val="00ED7762"/>
    <w:rsid w:val="00EE00D6"/>
    <w:rsid w:val="00EE11E7"/>
    <w:rsid w:val="00EE1488"/>
    <w:rsid w:val="00EE29AD"/>
    <w:rsid w:val="00EE3E24"/>
    <w:rsid w:val="00EE415B"/>
    <w:rsid w:val="00EE43D6"/>
    <w:rsid w:val="00EE4D5D"/>
    <w:rsid w:val="00EE4FA2"/>
    <w:rsid w:val="00EE5131"/>
    <w:rsid w:val="00EE5965"/>
    <w:rsid w:val="00EF0A09"/>
    <w:rsid w:val="00EF109B"/>
    <w:rsid w:val="00EF201C"/>
    <w:rsid w:val="00EF21D3"/>
    <w:rsid w:val="00EF2C72"/>
    <w:rsid w:val="00EF36AF"/>
    <w:rsid w:val="00EF3B1F"/>
    <w:rsid w:val="00EF449C"/>
    <w:rsid w:val="00EF5356"/>
    <w:rsid w:val="00EF543B"/>
    <w:rsid w:val="00EF57C0"/>
    <w:rsid w:val="00EF59A3"/>
    <w:rsid w:val="00EF6675"/>
    <w:rsid w:val="00F0063D"/>
    <w:rsid w:val="00F00708"/>
    <w:rsid w:val="00F00D92"/>
    <w:rsid w:val="00F00F9C"/>
    <w:rsid w:val="00F013C5"/>
    <w:rsid w:val="00F01644"/>
    <w:rsid w:val="00F0174A"/>
    <w:rsid w:val="00F01E5F"/>
    <w:rsid w:val="00F024F3"/>
    <w:rsid w:val="00F02ABA"/>
    <w:rsid w:val="00F0437A"/>
    <w:rsid w:val="00F05FEC"/>
    <w:rsid w:val="00F07065"/>
    <w:rsid w:val="00F07621"/>
    <w:rsid w:val="00F101B8"/>
    <w:rsid w:val="00F11012"/>
    <w:rsid w:val="00F11037"/>
    <w:rsid w:val="00F121E5"/>
    <w:rsid w:val="00F14792"/>
    <w:rsid w:val="00F153FF"/>
    <w:rsid w:val="00F16F1B"/>
    <w:rsid w:val="00F21C7F"/>
    <w:rsid w:val="00F21D5D"/>
    <w:rsid w:val="00F24420"/>
    <w:rsid w:val="00F250A9"/>
    <w:rsid w:val="00F267AF"/>
    <w:rsid w:val="00F276E7"/>
    <w:rsid w:val="00F30B54"/>
    <w:rsid w:val="00F30FF4"/>
    <w:rsid w:val="00F3122E"/>
    <w:rsid w:val="00F31650"/>
    <w:rsid w:val="00F32368"/>
    <w:rsid w:val="00F32CE0"/>
    <w:rsid w:val="00F331AD"/>
    <w:rsid w:val="00F33578"/>
    <w:rsid w:val="00F34667"/>
    <w:rsid w:val="00F34814"/>
    <w:rsid w:val="00F35287"/>
    <w:rsid w:val="00F35583"/>
    <w:rsid w:val="00F355A2"/>
    <w:rsid w:val="00F37DF5"/>
    <w:rsid w:val="00F40A70"/>
    <w:rsid w:val="00F40F4E"/>
    <w:rsid w:val="00F42DA8"/>
    <w:rsid w:val="00F4390A"/>
    <w:rsid w:val="00F43A37"/>
    <w:rsid w:val="00F44073"/>
    <w:rsid w:val="00F45BB6"/>
    <w:rsid w:val="00F4641B"/>
    <w:rsid w:val="00F46EB8"/>
    <w:rsid w:val="00F50CD1"/>
    <w:rsid w:val="00F511E4"/>
    <w:rsid w:val="00F52D09"/>
    <w:rsid w:val="00F52E08"/>
    <w:rsid w:val="00F53A66"/>
    <w:rsid w:val="00F53C6A"/>
    <w:rsid w:val="00F5462D"/>
    <w:rsid w:val="00F555C9"/>
    <w:rsid w:val="00F55B21"/>
    <w:rsid w:val="00F55EB0"/>
    <w:rsid w:val="00F560A0"/>
    <w:rsid w:val="00F563C6"/>
    <w:rsid w:val="00F56EF6"/>
    <w:rsid w:val="00F60082"/>
    <w:rsid w:val="00F6013D"/>
    <w:rsid w:val="00F61A9F"/>
    <w:rsid w:val="00F61B5F"/>
    <w:rsid w:val="00F61DBB"/>
    <w:rsid w:val="00F61F7B"/>
    <w:rsid w:val="00F62148"/>
    <w:rsid w:val="00F62EEF"/>
    <w:rsid w:val="00F6423C"/>
    <w:rsid w:val="00F64696"/>
    <w:rsid w:val="00F65AA9"/>
    <w:rsid w:val="00F65F0C"/>
    <w:rsid w:val="00F671CD"/>
    <w:rsid w:val="00F6768F"/>
    <w:rsid w:val="00F71F34"/>
    <w:rsid w:val="00F72C2C"/>
    <w:rsid w:val="00F741F2"/>
    <w:rsid w:val="00F74299"/>
    <w:rsid w:val="00F748A5"/>
    <w:rsid w:val="00F75749"/>
    <w:rsid w:val="00F76CAB"/>
    <w:rsid w:val="00F772C6"/>
    <w:rsid w:val="00F77A2D"/>
    <w:rsid w:val="00F8041F"/>
    <w:rsid w:val="00F80CFB"/>
    <w:rsid w:val="00F815B5"/>
    <w:rsid w:val="00F81B9F"/>
    <w:rsid w:val="00F81FF5"/>
    <w:rsid w:val="00F83CC4"/>
    <w:rsid w:val="00F849E4"/>
    <w:rsid w:val="00F85195"/>
    <w:rsid w:val="00F86462"/>
    <w:rsid w:val="00F868E3"/>
    <w:rsid w:val="00F86F14"/>
    <w:rsid w:val="00F874E2"/>
    <w:rsid w:val="00F87C89"/>
    <w:rsid w:val="00F90EE9"/>
    <w:rsid w:val="00F936C8"/>
    <w:rsid w:val="00F938BA"/>
    <w:rsid w:val="00F944F5"/>
    <w:rsid w:val="00F958CA"/>
    <w:rsid w:val="00F97035"/>
    <w:rsid w:val="00F97425"/>
    <w:rsid w:val="00F97919"/>
    <w:rsid w:val="00FA1714"/>
    <w:rsid w:val="00FA2821"/>
    <w:rsid w:val="00FA2C46"/>
    <w:rsid w:val="00FA3525"/>
    <w:rsid w:val="00FA4A77"/>
    <w:rsid w:val="00FA5A53"/>
    <w:rsid w:val="00FA5ADE"/>
    <w:rsid w:val="00FA5B1E"/>
    <w:rsid w:val="00FA5C31"/>
    <w:rsid w:val="00FA63D3"/>
    <w:rsid w:val="00FB11D7"/>
    <w:rsid w:val="00FB1F6E"/>
    <w:rsid w:val="00FB27B8"/>
    <w:rsid w:val="00FB4769"/>
    <w:rsid w:val="00FB4CDA"/>
    <w:rsid w:val="00FB4E69"/>
    <w:rsid w:val="00FB6071"/>
    <w:rsid w:val="00FB60F6"/>
    <w:rsid w:val="00FB6481"/>
    <w:rsid w:val="00FB6587"/>
    <w:rsid w:val="00FB69B0"/>
    <w:rsid w:val="00FB6D36"/>
    <w:rsid w:val="00FB7CB5"/>
    <w:rsid w:val="00FC0965"/>
    <w:rsid w:val="00FC0F81"/>
    <w:rsid w:val="00FC252F"/>
    <w:rsid w:val="00FC255E"/>
    <w:rsid w:val="00FC2871"/>
    <w:rsid w:val="00FC31F1"/>
    <w:rsid w:val="00FC35D2"/>
    <w:rsid w:val="00FC395C"/>
    <w:rsid w:val="00FC4E04"/>
    <w:rsid w:val="00FC5E8E"/>
    <w:rsid w:val="00FC68C5"/>
    <w:rsid w:val="00FC7045"/>
    <w:rsid w:val="00FC7651"/>
    <w:rsid w:val="00FD3766"/>
    <w:rsid w:val="00FD3D05"/>
    <w:rsid w:val="00FD47C4"/>
    <w:rsid w:val="00FD6B34"/>
    <w:rsid w:val="00FE11E7"/>
    <w:rsid w:val="00FE2DCF"/>
    <w:rsid w:val="00FE3527"/>
    <w:rsid w:val="00FE3FA7"/>
    <w:rsid w:val="00FE4081"/>
    <w:rsid w:val="00FE4655"/>
    <w:rsid w:val="00FE46F2"/>
    <w:rsid w:val="00FE498C"/>
    <w:rsid w:val="00FF0117"/>
    <w:rsid w:val="00FF0823"/>
    <w:rsid w:val="00FF19EB"/>
    <w:rsid w:val="00FF2880"/>
    <w:rsid w:val="00FF2A4E"/>
    <w:rsid w:val="00FF2BB8"/>
    <w:rsid w:val="00FF2EFC"/>
    <w:rsid w:val="00FF2FCE"/>
    <w:rsid w:val="00FF3925"/>
    <w:rsid w:val="00FF3B92"/>
    <w:rsid w:val="00FF45B9"/>
    <w:rsid w:val="00FF48C2"/>
    <w:rsid w:val="00FF4F7D"/>
    <w:rsid w:val="00FF6D3A"/>
    <w:rsid w:val="00FF6D9D"/>
    <w:rsid w:val="00FF7620"/>
    <w:rsid w:val="00FF7DD5"/>
    <w:rsid w:val="0AA3925A"/>
    <w:rsid w:val="11B2B8E2"/>
    <w:rsid w:val="12247A82"/>
    <w:rsid w:val="12D38265"/>
    <w:rsid w:val="3DBAFBDD"/>
    <w:rsid w:val="43C252D9"/>
    <w:rsid w:val="580342E0"/>
    <w:rsid w:val="5E6998B1"/>
    <w:rsid w:val="5EA77A04"/>
    <w:rsid w:val="653540B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3D0D42"/>
  <w15:docId w15:val="{0C112837-7EAD-42B7-8A0B-866024CA5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11"/>
    <w:lsdException w:name="heading 1" w:uiPriority="1" w:qFormat="1"/>
    <w:lsdException w:name="heading 2" w:uiPriority="1" w:qFormat="1"/>
    <w:lsdException w:name="heading 3" w:uiPriority="1" w:qFormat="1"/>
    <w:lsdException w:name="heading 4" w:uiPriority="1" w:qFormat="1"/>
    <w:lsdException w:name="heading 5" w:uiPriority="98"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5664B5"/>
    <w:pPr>
      <w:keepNext/>
      <w:keepLines/>
      <w:spacing w:before="520" w:after="240" w:line="480" w:lineRule="atLeast"/>
      <w:outlineLvl w:val="0"/>
    </w:pPr>
    <w:rPr>
      <w:rFonts w:ascii="Arial" w:eastAsia="MS Gothic" w:hAnsi="Arial" w:cs="Arial"/>
      <w:bCs/>
      <w:color w:val="C63663"/>
      <w:kern w:val="32"/>
      <w:sz w:val="44"/>
      <w:szCs w:val="44"/>
      <w:lang w:eastAsia="en-US"/>
    </w:rPr>
  </w:style>
  <w:style w:type="paragraph" w:styleId="Heading2">
    <w:name w:val="heading 2"/>
    <w:next w:val="Body"/>
    <w:link w:val="Heading2Char"/>
    <w:uiPriority w:val="1"/>
    <w:qFormat/>
    <w:rsid w:val="004A14BB"/>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4A14BB"/>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4A14BB"/>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5664B5"/>
    <w:rPr>
      <w:rFonts w:ascii="Arial" w:eastAsia="MS Gothic" w:hAnsi="Arial" w:cs="Arial"/>
      <w:bCs/>
      <w:color w:val="C63663"/>
      <w:kern w:val="32"/>
      <w:sz w:val="44"/>
      <w:szCs w:val="44"/>
      <w:lang w:eastAsia="en-US"/>
    </w:rPr>
  </w:style>
  <w:style w:type="character" w:customStyle="1" w:styleId="Heading2Char">
    <w:name w:val="Heading 2 Char"/>
    <w:link w:val="Heading2"/>
    <w:uiPriority w:val="1"/>
    <w:rsid w:val="004A14BB"/>
    <w:rPr>
      <w:rFonts w:ascii="Arial" w:hAnsi="Arial"/>
      <w:b/>
      <w:color w:val="53565A"/>
      <w:sz w:val="32"/>
      <w:szCs w:val="28"/>
      <w:lang w:eastAsia="en-US"/>
    </w:rPr>
  </w:style>
  <w:style w:type="character" w:customStyle="1" w:styleId="Heading3Char">
    <w:name w:val="Heading 3 Char"/>
    <w:link w:val="Heading3"/>
    <w:uiPriority w:val="1"/>
    <w:rsid w:val="004A14BB"/>
    <w:rPr>
      <w:rFonts w:ascii="Arial" w:eastAsia="MS Gothic" w:hAnsi="Arial"/>
      <w:bCs/>
      <w:color w:val="53565A"/>
      <w:sz w:val="30"/>
      <w:szCs w:val="26"/>
      <w:lang w:eastAsia="en-US"/>
    </w:rPr>
  </w:style>
  <w:style w:type="character" w:customStyle="1" w:styleId="Heading4Char">
    <w:name w:val="Heading 4 Char"/>
    <w:link w:val="Heading4"/>
    <w:uiPriority w:val="1"/>
    <w:rsid w:val="004A14BB"/>
    <w:rPr>
      <w:rFonts w:ascii="Arial" w:eastAsia="MS Mincho" w:hAnsi="Arial"/>
      <w:b/>
      <w:bCs/>
      <w:color w:val="53565A"/>
      <w:sz w:val="24"/>
      <w:szCs w:val="22"/>
      <w:lang w:eastAsia="en-US"/>
    </w:rPr>
  </w:style>
  <w:style w:type="paragraph" w:styleId="Header">
    <w:name w:val="header"/>
    <w:link w:val="HeaderChar"/>
    <w:uiPriority w:val="99"/>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5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11"/>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A65871"/>
    <w:pPr>
      <w:keepNext/>
      <w:keepLines/>
      <w:tabs>
        <w:tab w:val="right" w:leader="dot" w:pos="9299"/>
      </w:tabs>
      <w:spacing w:before="160" w:after="60"/>
    </w:pPr>
    <w:rPr>
      <w:b/>
      <w:noProof/>
      <w:color w:val="C63663"/>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5664B5"/>
    <w:pPr>
      <w:spacing w:after="240" w:line="560" w:lineRule="atLeast"/>
    </w:pPr>
    <w:rPr>
      <w:rFonts w:ascii="Arial" w:hAnsi="Arial"/>
      <w:b/>
      <w:color w:val="C63663"/>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11"/>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5"/>
      </w:numPr>
    </w:pPr>
  </w:style>
  <w:style w:type="character" w:styleId="Hyperlink">
    <w:name w:val="Hyperlink"/>
    <w:uiPriority w:val="99"/>
    <w:qFormat/>
    <w:rsid w:val="00192E9B"/>
    <w:rPr>
      <w:color w:val="auto"/>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5"/>
      </w:numPr>
    </w:pPr>
  </w:style>
  <w:style w:type="paragraph" w:customStyle="1" w:styleId="Numberloweralphaindent">
    <w:name w:val="Number lower alpha indent"/>
    <w:basedOn w:val="Body"/>
    <w:uiPriority w:val="3"/>
    <w:rsid w:val="00070500"/>
    <w:pPr>
      <w:numPr>
        <w:ilvl w:val="1"/>
        <w:numId w:val="18"/>
      </w:numPr>
      <w:ind w:left="782" w:hanging="357"/>
    </w:pPr>
  </w:style>
  <w:style w:type="paragraph" w:customStyle="1" w:styleId="Numberdigitindent">
    <w:name w:val="Number digit indent"/>
    <w:basedOn w:val="Numberloweralphaindent"/>
    <w:uiPriority w:val="3"/>
    <w:rsid w:val="00C60411"/>
    <w:pPr>
      <w:numPr>
        <w:numId w:val="15"/>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5"/>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4A14BB"/>
    <w:pPr>
      <w:spacing w:line="320" w:lineRule="atLeast"/>
    </w:pPr>
    <w:rPr>
      <w:color w:val="C63663"/>
      <w:sz w:val="24"/>
    </w:rPr>
  </w:style>
  <w:style w:type="paragraph" w:customStyle="1" w:styleId="DHHSnumberloweralpha">
    <w:name w:val="DHHS number lower alpha"/>
    <w:basedOn w:val="Normal"/>
    <w:uiPriority w:val="3"/>
    <w:rsid w:val="00765A19"/>
    <w:pPr>
      <w:numPr>
        <w:ilvl w:val="2"/>
        <w:numId w:val="8"/>
      </w:numPr>
      <w:spacing w:line="270" w:lineRule="atLeast"/>
    </w:pPr>
    <w:rPr>
      <w:rFonts w:eastAsia="Times"/>
      <w:sz w:val="20"/>
    </w:rPr>
  </w:style>
  <w:style w:type="paragraph" w:customStyle="1" w:styleId="DHHSnumberdigit">
    <w:name w:val="DHHS number digit"/>
    <w:basedOn w:val="Normal"/>
    <w:uiPriority w:val="2"/>
    <w:rsid w:val="00765A19"/>
    <w:pPr>
      <w:numPr>
        <w:numId w:val="8"/>
      </w:numPr>
      <w:spacing w:line="270" w:lineRule="atLeast"/>
    </w:pPr>
    <w:rPr>
      <w:rFonts w:eastAsia="Times"/>
      <w:sz w:val="20"/>
    </w:rPr>
  </w:style>
  <w:style w:type="numbering" w:customStyle="1" w:styleId="ZZNumbers">
    <w:name w:val="ZZ Numbers"/>
    <w:rsid w:val="00765A19"/>
    <w:pPr>
      <w:numPr>
        <w:numId w:val="7"/>
      </w:numPr>
    </w:pPr>
  </w:style>
  <w:style w:type="paragraph" w:customStyle="1" w:styleId="DHHSnumberlowerroman">
    <w:name w:val="DHHS number lower roman"/>
    <w:basedOn w:val="Normal"/>
    <w:uiPriority w:val="3"/>
    <w:rsid w:val="00765A19"/>
    <w:pPr>
      <w:numPr>
        <w:ilvl w:val="4"/>
        <w:numId w:val="8"/>
      </w:numPr>
      <w:spacing w:line="270" w:lineRule="atLeast"/>
    </w:pPr>
    <w:rPr>
      <w:rFonts w:eastAsia="Times"/>
      <w:sz w:val="20"/>
    </w:rPr>
  </w:style>
  <w:style w:type="paragraph" w:customStyle="1" w:styleId="DHHSnumberlowerromanindent">
    <w:name w:val="DHHS number lower roman indent"/>
    <w:basedOn w:val="Normal"/>
    <w:uiPriority w:val="3"/>
    <w:rsid w:val="00765A19"/>
    <w:pPr>
      <w:numPr>
        <w:ilvl w:val="5"/>
        <w:numId w:val="8"/>
      </w:numPr>
      <w:spacing w:line="270" w:lineRule="atLeast"/>
    </w:pPr>
    <w:rPr>
      <w:rFonts w:eastAsia="Times"/>
      <w:sz w:val="20"/>
    </w:rPr>
  </w:style>
  <w:style w:type="paragraph" w:customStyle="1" w:styleId="DHHSnumberdigitindent">
    <w:name w:val="DHHS number digit indent"/>
    <w:basedOn w:val="Normal"/>
    <w:uiPriority w:val="3"/>
    <w:rsid w:val="00765A19"/>
    <w:pPr>
      <w:numPr>
        <w:ilvl w:val="1"/>
        <w:numId w:val="8"/>
      </w:numPr>
      <w:spacing w:line="270" w:lineRule="atLeast"/>
    </w:pPr>
    <w:rPr>
      <w:rFonts w:eastAsia="Times"/>
      <w:sz w:val="20"/>
    </w:rPr>
  </w:style>
  <w:style w:type="paragraph" w:customStyle="1" w:styleId="DHHSnumberloweralphaindent">
    <w:name w:val="DHHS number lower alpha indent"/>
    <w:basedOn w:val="DHHSnumberdigit"/>
    <w:uiPriority w:val="3"/>
    <w:rsid w:val="00E8440F"/>
    <w:pPr>
      <w:numPr>
        <w:numId w:val="9"/>
      </w:numPr>
    </w:pPr>
  </w:style>
  <w:style w:type="paragraph" w:styleId="ListParagraph">
    <w:name w:val="List Paragraph"/>
    <w:basedOn w:val="Normal"/>
    <w:uiPriority w:val="34"/>
    <w:qFormat/>
    <w:rsid w:val="007B0E24"/>
    <w:pPr>
      <w:ind w:left="720"/>
      <w:contextualSpacing/>
    </w:pPr>
  </w:style>
  <w:style w:type="table" w:styleId="ListTable7Colorful-Accent2">
    <w:name w:val="List Table 7 Colorful Accent 2"/>
    <w:basedOn w:val="TableNormal"/>
    <w:uiPriority w:val="52"/>
    <w:rsid w:val="004C6AE4"/>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2">
    <w:name w:val="Grid Table 2 Accent 2"/>
    <w:basedOn w:val="TableNormal"/>
    <w:uiPriority w:val="47"/>
    <w:rsid w:val="00BF662C"/>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Mention">
    <w:name w:val="Mention"/>
    <w:basedOn w:val="DefaultParagraphFont"/>
    <w:uiPriority w:val="99"/>
    <w:unhideWhenUsed/>
    <w:rsid w:val="00886851"/>
    <w:rPr>
      <w:color w:val="2B579A"/>
      <w:shd w:val="clear" w:color="auto" w:fill="E1DFDD"/>
    </w:rPr>
  </w:style>
  <w:style w:type="character" w:customStyle="1" w:styleId="HeaderChar">
    <w:name w:val="Header Char"/>
    <w:basedOn w:val="DefaultParagraphFont"/>
    <w:link w:val="Header"/>
    <w:uiPriority w:val="99"/>
    <w:rsid w:val="00726E11"/>
    <w:rPr>
      <w:rFonts w:ascii="Arial" w:hAnsi="Arial" w:cs="Arial"/>
      <w:b/>
      <w:color w:val="53565A"/>
      <w:sz w:val="18"/>
      <w:szCs w:val="18"/>
      <w:lang w:eastAsia="en-US"/>
    </w:rPr>
  </w:style>
  <w:style w:type="paragraph" w:customStyle="1" w:styleId="xmsonormal">
    <w:name w:val="x_msonormal"/>
    <w:basedOn w:val="Normal"/>
    <w:rsid w:val="00380C93"/>
    <w:pPr>
      <w:spacing w:before="100" w:beforeAutospacing="1" w:after="100" w:afterAutospacing="1" w:line="240" w:lineRule="auto"/>
    </w:pPr>
    <w:rPr>
      <w:rFonts w:ascii="Times New Roman" w:hAnsi="Times New Roman"/>
      <w:sz w:val="24"/>
      <w:szCs w:val="24"/>
      <w:lang w:eastAsia="en-AU"/>
    </w:rPr>
  </w:style>
  <w:style w:type="table" w:styleId="GridTable5Dark-Accent3">
    <w:name w:val="Grid Table 5 Dark Accent 3"/>
    <w:basedOn w:val="TableNormal"/>
    <w:uiPriority w:val="50"/>
    <w:rsid w:val="00F40F4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6Colorful-Accent2">
    <w:name w:val="Grid Table 6 Colorful Accent 2"/>
    <w:basedOn w:val="TableNormal"/>
    <w:uiPriority w:val="51"/>
    <w:rsid w:val="004607E9"/>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5Dark-Accent2">
    <w:name w:val="Grid Table 5 Dark Accent 2"/>
    <w:basedOn w:val="TableNormal"/>
    <w:uiPriority w:val="50"/>
    <w:rsid w:val="00452B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DHHSbody">
    <w:name w:val="DHHS body"/>
    <w:qFormat/>
    <w:rsid w:val="00300D5A"/>
    <w:pPr>
      <w:spacing w:after="120" w:line="270" w:lineRule="atLeast"/>
    </w:pPr>
    <w:rPr>
      <w:rFonts w:ascii="Arial" w:eastAsia="Times" w:hAnsi="Arial"/>
      <w:lang w:eastAsia="en-US"/>
    </w:rPr>
  </w:style>
  <w:style w:type="character" w:customStyle="1" w:styleId="normaltextrun">
    <w:name w:val="normaltextrun"/>
    <w:basedOn w:val="DefaultParagraphFont"/>
    <w:rsid w:val="004752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87266261">
      <w:bodyDiv w:val="1"/>
      <w:marLeft w:val="0"/>
      <w:marRight w:val="0"/>
      <w:marTop w:val="0"/>
      <w:marBottom w:val="0"/>
      <w:divBdr>
        <w:top w:val="none" w:sz="0" w:space="0" w:color="auto"/>
        <w:left w:val="none" w:sz="0" w:space="0" w:color="auto"/>
        <w:bottom w:val="none" w:sz="0" w:space="0" w:color="auto"/>
        <w:right w:val="none" w:sz="0" w:space="0" w:color="auto"/>
      </w:divBdr>
    </w:div>
    <w:div w:id="800655074">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82162689">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health.vic.gov.au/infection-control" TargetMode="External"/><Relationship Id="rId26" Type="http://schemas.openxmlformats.org/officeDocument/2006/relationships/hyperlink" Target="http://www.health.vic.gov.au/infectious-diseases/patient-centred-risk-management-strategy-for-multi-resistant-organisms" TargetMode="External"/><Relationship Id="rId39" Type="http://schemas.openxmlformats.org/officeDocument/2006/relationships/hyperlink" Target="https://www.health.vic.gov.au/infectious-diseases/victorian-guideline-on-cpo-for-health-services" TargetMode="External"/><Relationship Id="rId21" Type="http://schemas.openxmlformats.org/officeDocument/2006/relationships/footer" Target="footer4.xml"/><Relationship Id="rId34" Type="http://schemas.openxmlformats.org/officeDocument/2006/relationships/image" Target="media/image3.png"/><Relationship Id="rId42" Type="http://schemas.openxmlformats.org/officeDocument/2006/relationships/hyperlink" Target="https://www.health.vic.gov.au/infectious-diseases/carbapenemase-producing-enterobacteriaceae-management-guidelines" TargetMode="External"/><Relationship Id="rId47" Type="http://schemas.openxmlformats.org/officeDocument/2006/relationships/header" Target="header6.xml"/><Relationship Id="rId50" Type="http://schemas.openxmlformats.org/officeDocument/2006/relationships/hyperlink" Target="http://biomedicalsciences.unimelb.edu.au/departments/microbiology-Immunology/research/services/microbiological-diagnostic-unit-public-health-laboratory" TargetMode="External"/><Relationship Id="rId55" Type="http://schemas.openxmlformats.org/officeDocument/2006/relationships/hyperlink" Target="https://www.nhmrc.gov.au/about-us/publications/australian-guidelines-prevention-and-control-infection-healthcare-2019" TargetMode="External"/><Relationship Id="rId63" Type="http://schemas.openxmlformats.org/officeDocument/2006/relationships/hyperlink" Target="http://www.safetyandquality.gov.au/standards/nsqhs-standards" TargetMode="External"/><Relationship Id="rId68" Type="http://schemas.openxmlformats.org/officeDocument/2006/relationships/hyperlink" Target="https://www.health.vic.gov.au/infectious-diseases/carbapenemase-producing-enterobacteriaceae-management-guidelines" TargetMode="External"/><Relationship Id="rId7" Type="http://schemas.openxmlformats.org/officeDocument/2006/relationships/settings" Target="settings.xml"/><Relationship Id="rId71"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2.png"/><Relationship Id="rId11" Type="http://schemas.openxmlformats.org/officeDocument/2006/relationships/image" Target="media/image1.jpg"/><Relationship Id="rId24" Type="http://schemas.openxmlformats.org/officeDocument/2006/relationships/hyperlink" Target="https://www.safetyandquality.gov.au/our-work/infection-prevention-and-control/carbapenemase-producing-enterobacterales" TargetMode="External"/><Relationship Id="rId32" Type="http://schemas.openxmlformats.org/officeDocument/2006/relationships/hyperlink" Target="https://www.nhmrc.gov.au/about-us/publications/australian-guidelines-prevention-and-control-infection-healthcare-2019" TargetMode="External"/><Relationship Id="rId37" Type="http://schemas.openxmlformats.org/officeDocument/2006/relationships/hyperlink" Target="mailto:amr.secretariat@health.vic.gov.au" TargetMode="External"/><Relationship Id="rId40" Type="http://schemas.openxmlformats.org/officeDocument/2006/relationships/hyperlink" Target="mailto:amr.secretariat@health.vic.gov.au" TargetMode="External"/><Relationship Id="rId45" Type="http://schemas.openxmlformats.org/officeDocument/2006/relationships/hyperlink" Target="https://www.gesa.org.au/education/clinical-information/" TargetMode="External"/><Relationship Id="rId53" Type="http://schemas.openxmlformats.org/officeDocument/2006/relationships/hyperlink" Target="https://www.health.vic.gov.au/infectious-diseases/victorian-guideline-on-environmental-sampling-for-cpe" TargetMode="External"/><Relationship Id="rId58" Type="http://schemas.openxmlformats.org/officeDocument/2006/relationships/hyperlink" Target="https://www.health.vic.gov.au/infectious-diseases/carbapenemase-producing-enterobacteriaceae-surveillance-and-isolate-referral" TargetMode="External"/><Relationship Id="rId66" Type="http://schemas.openxmlformats.org/officeDocument/2006/relationships/hyperlink" Target="https://biomedicalsciences.unimelb.edu.au/departments/microbiology-Immunology/research/services/microbiological-diagnostic-unit-public-health-laboratory" TargetMode="External"/><Relationship Id="rId7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health.vic.gov.au/infectious-diseases/carbapenemase-producing-enterobacteriaceae-management-guidelines" TargetMode="External"/><Relationship Id="rId28" Type="http://schemas.openxmlformats.org/officeDocument/2006/relationships/hyperlink" Target="https://www.safetyandquality.gov.au/our-work/assessment-to-the-nsqhs-standards/" TargetMode="External"/><Relationship Id="rId36" Type="http://schemas.openxmlformats.org/officeDocument/2006/relationships/hyperlink" Target="http://www.health.vic.gov.au/infectious-diseases/victorian-guideline-on-cpo-for-health-services" TargetMode="External"/><Relationship Id="rId49" Type="http://schemas.openxmlformats.org/officeDocument/2006/relationships/hyperlink" Target="https://www.health.vic.gov.au/infectious-diseases/carbapenemase-producing-enterobacteriaceae-surveillance-and-isolate-referral" TargetMode="External"/><Relationship Id="rId57" Type="http://schemas.openxmlformats.org/officeDocument/2006/relationships/hyperlink" Target="https://australian.physio/sites/default/files/tools/Aquatic_Physiotherapy_Guidelines.pdf" TargetMode="External"/><Relationship Id="rId61" Type="http://schemas.openxmlformats.org/officeDocument/2006/relationships/hyperlink" Target="http://www.safetyandquality.gov.au"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biomedicalsciences.unimelb.edu.au/departments/microbiology-Immunology/research/services/microbiological-diagnostic-unit-public-health-laboratory" TargetMode="External"/><Relationship Id="rId44" Type="http://schemas.openxmlformats.org/officeDocument/2006/relationships/hyperlink" Target="https://www.health.vic.gov.au/infectious-diseases/victorian-guideline-on-environmental-sampling-for-cpe" TargetMode="External"/><Relationship Id="rId52" Type="http://schemas.openxmlformats.org/officeDocument/2006/relationships/hyperlink" Target="mailto:mdu-general@unimelb.edu.au" TargetMode="External"/><Relationship Id="rId60" Type="http://schemas.openxmlformats.org/officeDocument/2006/relationships/hyperlink" Target="https://www.health.vic.gov.au/infectious-diseases/victorian-guideline-on-cpo-for-health-services" TargetMode="External"/><Relationship Id="rId65" Type="http://schemas.openxmlformats.org/officeDocument/2006/relationships/hyperlink" Target="http://www.gesa.org.au/education/clinical-information/"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yperlink" Target="mailto:vicniss@mh.org.au" TargetMode="External"/><Relationship Id="rId30" Type="http://schemas.openxmlformats.org/officeDocument/2006/relationships/hyperlink" Target="http://www.health.vic.gov.au/infectious-diseases/carbapenemase-producing-enterobacteriaceae-management-guidelines" TargetMode="External"/><Relationship Id="rId35" Type="http://schemas.openxmlformats.org/officeDocument/2006/relationships/hyperlink" Target="https://www.health.vic.gov.au/infectious-diseases/victorian-guideline-on-cpo-for-health-services" TargetMode="External"/><Relationship Id="rId43" Type="http://schemas.openxmlformats.org/officeDocument/2006/relationships/image" Target="media/image5.jpeg"/><Relationship Id="rId48" Type="http://schemas.openxmlformats.org/officeDocument/2006/relationships/header" Target="header7.xml"/><Relationship Id="rId56" Type="http://schemas.openxmlformats.org/officeDocument/2006/relationships/hyperlink" Target="https://www.health.vic.gov.au/water/aquatic-facilities" TargetMode="External"/><Relationship Id="rId64" Type="http://schemas.openxmlformats.org/officeDocument/2006/relationships/hyperlink" Target="http://www.health.vic.gov.au" TargetMode="External"/><Relationship Id="rId69" Type="http://schemas.openxmlformats.org/officeDocument/2006/relationships/hyperlink" Target="https://www.health.vic.gov.au/infectious-diseases/carbapenemase-producing-enterobacteriaceae-management-guidelines" TargetMode="External"/><Relationship Id="rId8" Type="http://schemas.openxmlformats.org/officeDocument/2006/relationships/webSettings" Target="webSettings.xml"/><Relationship Id="rId51" Type="http://schemas.openxmlformats.org/officeDocument/2006/relationships/hyperlink" Target="https://biomedicalsciences.unimelb.edu.au/departments/microbiology-Immunology/research/services/microbiological-diagnostic-unit-public-health-laboratory"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nhmrc.gov.au/about-us/publications/australian-guidelines-prevention-and-control-infection-healthcare-2019" TargetMode="External"/><Relationship Id="rId33" Type="http://schemas.openxmlformats.org/officeDocument/2006/relationships/hyperlink" Target="http://www.health.vic.gov.au/infectious-diseases/patient-centred-risk-management-strategy-for-multi-resistant-organisms" TargetMode="External"/><Relationship Id="rId38" Type="http://schemas.openxmlformats.org/officeDocument/2006/relationships/hyperlink" Target="http://www.health.vic.gov.au/infectious-diseases/victorian-guideline-on-cpo-for-health-services" TargetMode="External"/><Relationship Id="rId46" Type="http://schemas.openxmlformats.org/officeDocument/2006/relationships/hyperlink" Target="https://www.safetyandquality.gov.au/publications-and-resources/resource-library/caralert-laboratory-handbook-0" TargetMode="External"/><Relationship Id="rId59" Type="http://schemas.openxmlformats.org/officeDocument/2006/relationships/hyperlink" Target="http://biomedicalsciences.unimelb.edu.au/departments/microbiology-Immunology/research/services/microbiological-diagnostic-unit-public-health-laboratory" TargetMode="External"/><Relationship Id="rId67" Type="http://schemas.openxmlformats.org/officeDocument/2006/relationships/hyperlink" Target="http://www.health.vic.gov.au/infection-control" TargetMode="External"/><Relationship Id="rId20" Type="http://schemas.openxmlformats.org/officeDocument/2006/relationships/header" Target="header5.xml"/><Relationship Id="rId41" Type="http://schemas.openxmlformats.org/officeDocument/2006/relationships/image" Target="media/image4.png"/><Relationship Id="rId54" Type="http://schemas.openxmlformats.org/officeDocument/2006/relationships/hyperlink" Target="https://www.amr.gov.au/resources/australias-national-antimicrobial-resistance-strategy-2020-and-beyond" TargetMode="External"/><Relationship Id="rId62" Type="http://schemas.openxmlformats.org/officeDocument/2006/relationships/hyperlink" Target="http://www.nhmrc.gov.au/about-us/publications/australian-guidelines-prevention-and-control-infection-healthcare-2019" TargetMode="External"/><Relationship Id="rId70" Type="http://schemas.openxmlformats.org/officeDocument/2006/relationships/hyperlink" Target="http://www.vicniss.org.au" TargetMode="External"/><Relationship Id="rId1" Type="http://schemas.openxmlformats.org/officeDocument/2006/relationships/customXml" Target="../customXml/item1.xml"/><Relationship Id="rId6" Type="http://schemas.openxmlformats.org/officeDocument/2006/relationships/styles" Target="styles.xml"/></Relationships>
</file>

<file path=word/documenttasks/documenttasks1.xml><?xml version="1.0" encoding="utf-8"?>
<t:Tasks xmlns:t="http://schemas.microsoft.com/office/tasks/2019/documenttasks" xmlns:oel="http://schemas.microsoft.com/office/2019/extlst">
  <t:Task id="{CC46AACB-81D9-4944-8E89-8CD91CF1C4C3}">
    <t:Anchor>
      <t:Comment id="664673392"/>
    </t:Anchor>
    <t:History>
      <t:Event id="{56029FF4-E619-403D-B6A3-04AC1C36ED09}" time="2023-03-06T02:50:12.685Z">
        <t:Attribution userId="S::Donna.Cameron@health.vic.gov.au::86dd0a39-216d-4d88-8cde-49d8b2857f21" userProvider="AD" userName="Donna Cameron"/>
        <t:Anchor>
          <t:Comment id="665873940"/>
        </t:Anchor>
        <t:Create/>
      </t:Event>
      <t:Event id="{AB83586D-9B01-45AE-9940-D43CC244EB25}" time="2023-03-06T02:50:12.685Z">
        <t:Attribution userId="S::Donna.Cameron@health.vic.gov.au::86dd0a39-216d-4d88-8cde-49d8b2857f21" userProvider="AD" userName="Donna Cameron"/>
        <t:Anchor>
          <t:Comment id="665873940"/>
        </t:Anchor>
        <t:Assign userId="S::Donna.Cameron@health.vic.gov.au::86dd0a39-216d-4d88-8cde-49d8b2857f21" userProvider="AD" userName="Donna Cameron (Health)"/>
      </t:Event>
      <t:Event id="{94C85BC2-6C11-4E12-B357-A9A3A80DBA12}" time="2023-03-06T02:50:12.685Z">
        <t:Attribution userId="S::Donna.Cameron@health.vic.gov.au::86dd0a39-216d-4d88-8cde-49d8b2857f21" userProvider="AD" userName="Donna Cameron"/>
        <t:Anchor>
          <t:Comment id="665873940"/>
        </t:Anchor>
        <t:SetTitle title="@Donna Cameron (Health) to update flowchart in Lucid then replac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6b3b165f-a48b-42be-87f3-7cf7bd9d2ccc">
      <UserInfo>
        <DisplayName>AMR Strategy-EXT-HPB Members</DisplayName>
        <AccountId>7</AccountId>
        <AccountType/>
      </UserInfo>
    </SharedWithUsers>
    <_Flow_SignoffStatus xmlns="ff738664-5437-40af-b348-f3248d64dc25" xsi:nil="true"/>
    <lcf76f155ced4ddcb4097134ff3c332f xmlns="ff738664-5437-40af-b348-f3248d64dc25">
      <Terms xmlns="http://schemas.microsoft.com/office/infopath/2007/PartnerControls"/>
    </lcf76f155ced4ddcb4097134ff3c332f>
    <TaxCatchAll xmlns="5ce0f2b5-5be5-4508-bce9-d7011ece065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78E6EE4F8568E4696D6286852B22206" ma:contentTypeVersion="17" ma:contentTypeDescription="Create a new document." ma:contentTypeScope="" ma:versionID="b428e10988ec75c89811a4ef1bff4ae5">
  <xsd:schema xmlns:xsd="http://www.w3.org/2001/XMLSchema" xmlns:xs="http://www.w3.org/2001/XMLSchema" xmlns:p="http://schemas.microsoft.com/office/2006/metadata/properties" xmlns:ns2="ff738664-5437-40af-b348-f3248d64dc25" xmlns:ns3="6b3b165f-a48b-42be-87f3-7cf7bd9d2ccc" xmlns:ns4="5ce0f2b5-5be5-4508-bce9-d7011ece0659" targetNamespace="http://schemas.microsoft.com/office/2006/metadata/properties" ma:root="true" ma:fieldsID="58325f6036f50fe85b8b980d228f7984" ns2:_="" ns3:_="" ns4:_="">
    <xsd:import namespace="ff738664-5437-40af-b348-f3248d64dc25"/>
    <xsd:import namespace="6b3b165f-a48b-42be-87f3-7cf7bd9d2ccc"/>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_Flow_SignoffStatu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738664-5437-40af-b348-f3248d64dc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_Flow_SignoffStatus" ma:index="16" nillable="true" ma:displayName="Sign-off status" ma:internalName="Sign_x002d_off_x0020_status">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3b165f-a48b-42be-87f3-7cf7bd9d2cc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b814b8e-1c92-4505-ba00-dc53886a3509}" ma:internalName="TaxCatchAll" ma:showField="CatchAllData" ma:web="6b3b165f-a48b-42be-87f3-7cf7bd9d2c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6b3b165f-a48b-42be-87f3-7cf7bd9d2ccc"/>
    <ds:schemaRef ds:uri="ff738664-5437-40af-b348-f3248d64dc25"/>
    <ds:schemaRef ds:uri="5ce0f2b5-5be5-4508-bce9-d7011ece0659"/>
  </ds:schemaRefs>
</ds:datastoreItem>
</file>

<file path=customXml/itemProps3.xml><?xml version="1.0" encoding="utf-8"?>
<ds:datastoreItem xmlns:ds="http://schemas.openxmlformats.org/officeDocument/2006/customXml" ds:itemID="{8C2EE7EB-F4F1-4FCB-86A3-F9870FB09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738664-5437-40af-b348-f3248d64dc25"/>
    <ds:schemaRef ds:uri="6b3b165f-a48b-42be-87f3-7cf7bd9d2ccc"/>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0E38DD-3D06-4889-BF07-8E036BA7B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12776</Words>
  <Characters>76194</Characters>
  <Application>Microsoft Office Word</Application>
  <DocSecurity>0</DocSecurity>
  <Lines>1565</Lines>
  <Paragraphs>733</Paragraphs>
  <ScaleCrop>false</ScaleCrop>
  <HeadingPairs>
    <vt:vector size="2" baseType="variant">
      <vt:variant>
        <vt:lpstr>Title</vt:lpstr>
      </vt:variant>
      <vt:variant>
        <vt:i4>1</vt:i4>
      </vt:variant>
    </vt:vector>
  </HeadingPairs>
  <TitlesOfParts>
    <vt:vector size="1" baseType="lpstr">
      <vt:lpstr>DH pink report</vt:lpstr>
    </vt:vector>
  </TitlesOfParts>
  <Manager/>
  <Company>Victoria State Government, Department of Health</Company>
  <LinksUpToDate>false</LinksUpToDate>
  <CharactersWithSpaces>88417</CharactersWithSpaces>
  <SharedDoc>false</SharedDoc>
  <HyperlinkBase/>
  <HLinks>
    <vt:vector size="486" baseType="variant">
      <vt:variant>
        <vt:i4>5767229</vt:i4>
      </vt:variant>
      <vt:variant>
        <vt:i4>345</vt:i4>
      </vt:variant>
      <vt:variant>
        <vt:i4>0</vt:i4>
      </vt:variant>
      <vt:variant>
        <vt:i4>5</vt:i4>
      </vt:variant>
      <vt:variant>
        <vt:lpwstr>mailto:amr.secretariat@health.vic.gov.au</vt:lpwstr>
      </vt:variant>
      <vt:variant>
        <vt:lpwstr/>
      </vt:variant>
      <vt:variant>
        <vt:i4>7536690</vt:i4>
      </vt:variant>
      <vt:variant>
        <vt:i4>342</vt:i4>
      </vt:variant>
      <vt:variant>
        <vt:i4>0</vt:i4>
      </vt:variant>
      <vt:variant>
        <vt:i4>5</vt:i4>
      </vt:variant>
      <vt:variant>
        <vt:lpwstr>http://www.health.vic.gov.au/infection-control</vt:lpwstr>
      </vt:variant>
      <vt:variant>
        <vt:lpwstr/>
      </vt:variant>
      <vt:variant>
        <vt:i4>7864369</vt:i4>
      </vt:variant>
      <vt:variant>
        <vt:i4>339</vt:i4>
      </vt:variant>
      <vt:variant>
        <vt:i4>0</vt:i4>
      </vt:variant>
      <vt:variant>
        <vt:i4>5</vt:i4>
      </vt:variant>
      <vt:variant>
        <vt:lpwstr>http://biomedicalsciences.unimelb.edu.au/departments/microbiology-Immunology/research/services/microbiological-diagnostic-unit-public-health-laboratory</vt:lpwstr>
      </vt:variant>
      <vt:variant>
        <vt:lpwstr>services</vt:lpwstr>
      </vt:variant>
      <vt:variant>
        <vt:i4>7536690</vt:i4>
      </vt:variant>
      <vt:variant>
        <vt:i4>336</vt:i4>
      </vt:variant>
      <vt:variant>
        <vt:i4>0</vt:i4>
      </vt:variant>
      <vt:variant>
        <vt:i4>5</vt:i4>
      </vt:variant>
      <vt:variant>
        <vt:lpwstr>http://www.health.vic.gov.au/infection-control</vt:lpwstr>
      </vt:variant>
      <vt:variant>
        <vt:lpwstr/>
      </vt:variant>
      <vt:variant>
        <vt:i4>327742</vt:i4>
      </vt:variant>
      <vt:variant>
        <vt:i4>333</vt:i4>
      </vt:variant>
      <vt:variant>
        <vt:i4>0</vt:i4>
      </vt:variant>
      <vt:variant>
        <vt:i4>5</vt:i4>
      </vt:variant>
      <vt:variant>
        <vt:lpwstr/>
      </vt:variant>
      <vt:variant>
        <vt:lpwstr>_Section_4:_Laboratory</vt:lpwstr>
      </vt:variant>
      <vt:variant>
        <vt:i4>4390998</vt:i4>
      </vt:variant>
      <vt:variant>
        <vt:i4>330</vt:i4>
      </vt:variant>
      <vt:variant>
        <vt:i4>0</vt:i4>
      </vt:variant>
      <vt:variant>
        <vt:i4>5</vt:i4>
      </vt:variant>
      <vt:variant>
        <vt:lpwstr>https://australian.physio/sites/default/files/tools/Aquatic_Physiotherapy_Guidelines.pdf</vt:lpwstr>
      </vt:variant>
      <vt:variant>
        <vt:lpwstr/>
      </vt:variant>
      <vt:variant>
        <vt:i4>4784154</vt:i4>
      </vt:variant>
      <vt:variant>
        <vt:i4>327</vt:i4>
      </vt:variant>
      <vt:variant>
        <vt:i4>0</vt:i4>
      </vt:variant>
      <vt:variant>
        <vt:i4>5</vt:i4>
      </vt:variant>
      <vt:variant>
        <vt:lpwstr>https://www2.health.vic.gov.au/public-health/water/aquatic-facilities</vt:lpwstr>
      </vt:variant>
      <vt:variant>
        <vt:lpwstr/>
      </vt:variant>
      <vt:variant>
        <vt:i4>6094920</vt:i4>
      </vt:variant>
      <vt:variant>
        <vt:i4>324</vt:i4>
      </vt:variant>
      <vt:variant>
        <vt:i4>0</vt:i4>
      </vt:variant>
      <vt:variant>
        <vt:i4>5</vt:i4>
      </vt:variant>
      <vt:variant>
        <vt:lpwstr>https://www.nhmrc.gov.au/about-us/publications/australian-guidelines-prevention-and-control-infection-healthcare-2019</vt:lpwstr>
      </vt:variant>
      <vt:variant>
        <vt:lpwstr/>
      </vt:variant>
      <vt:variant>
        <vt:i4>3407987</vt:i4>
      </vt:variant>
      <vt:variant>
        <vt:i4>321</vt:i4>
      </vt:variant>
      <vt:variant>
        <vt:i4>0</vt:i4>
      </vt:variant>
      <vt:variant>
        <vt:i4>5</vt:i4>
      </vt:variant>
      <vt:variant>
        <vt:lpwstr>https://www.amr.gov.au/resources/australias-national-antimicrobial-resistance-strategy-2020-and-beyond</vt:lpwstr>
      </vt:variant>
      <vt:variant>
        <vt:lpwstr/>
      </vt:variant>
      <vt:variant>
        <vt:i4>7536690</vt:i4>
      </vt:variant>
      <vt:variant>
        <vt:i4>318</vt:i4>
      </vt:variant>
      <vt:variant>
        <vt:i4>0</vt:i4>
      </vt:variant>
      <vt:variant>
        <vt:i4>5</vt:i4>
      </vt:variant>
      <vt:variant>
        <vt:lpwstr>http://www.health.vic.gov.au/infection-control</vt:lpwstr>
      </vt:variant>
      <vt:variant>
        <vt:lpwstr/>
      </vt:variant>
      <vt:variant>
        <vt:i4>458793</vt:i4>
      </vt:variant>
      <vt:variant>
        <vt:i4>315</vt:i4>
      </vt:variant>
      <vt:variant>
        <vt:i4>0</vt:i4>
      </vt:variant>
      <vt:variant>
        <vt:i4>5</vt:i4>
      </vt:variant>
      <vt:variant>
        <vt:lpwstr>mailto:mdu-general@unimelb.edu.au</vt:lpwstr>
      </vt:variant>
      <vt:variant>
        <vt:lpwstr/>
      </vt:variant>
      <vt:variant>
        <vt:i4>6094864</vt:i4>
      </vt:variant>
      <vt:variant>
        <vt:i4>312</vt:i4>
      </vt:variant>
      <vt:variant>
        <vt:i4>0</vt:i4>
      </vt:variant>
      <vt:variant>
        <vt:i4>5</vt:i4>
      </vt:variant>
      <vt:variant>
        <vt:lpwstr>https://biomedicalsciences.unimelb.edu.au/departments/microbiology-Immunology/research/services/microbiological-diagnostic-unit-public-health-laboratory</vt:lpwstr>
      </vt:variant>
      <vt:variant>
        <vt:lpwstr/>
      </vt:variant>
      <vt:variant>
        <vt:i4>7864369</vt:i4>
      </vt:variant>
      <vt:variant>
        <vt:i4>309</vt:i4>
      </vt:variant>
      <vt:variant>
        <vt:i4>0</vt:i4>
      </vt:variant>
      <vt:variant>
        <vt:i4>5</vt:i4>
      </vt:variant>
      <vt:variant>
        <vt:lpwstr>http://biomedicalsciences.unimelb.edu.au/departments/microbiology-Immunology/research/services/microbiological-diagnostic-unit-public-health-laboratory</vt:lpwstr>
      </vt:variant>
      <vt:variant>
        <vt:lpwstr>services</vt:lpwstr>
      </vt:variant>
      <vt:variant>
        <vt:i4>7536690</vt:i4>
      </vt:variant>
      <vt:variant>
        <vt:i4>306</vt:i4>
      </vt:variant>
      <vt:variant>
        <vt:i4>0</vt:i4>
      </vt:variant>
      <vt:variant>
        <vt:i4>5</vt:i4>
      </vt:variant>
      <vt:variant>
        <vt:lpwstr>http://www.health.vic.gov.au/infection-control</vt:lpwstr>
      </vt:variant>
      <vt:variant>
        <vt:lpwstr/>
      </vt:variant>
      <vt:variant>
        <vt:i4>8126564</vt:i4>
      </vt:variant>
      <vt:variant>
        <vt:i4>303</vt:i4>
      </vt:variant>
      <vt:variant>
        <vt:i4>0</vt:i4>
      </vt:variant>
      <vt:variant>
        <vt:i4>5</vt:i4>
      </vt:variant>
      <vt:variant>
        <vt:lpwstr>https://www.safetyandquality.gov.au/publications-and-resources/resource-library/caralert-laboratory-handbook-0</vt:lpwstr>
      </vt:variant>
      <vt:variant>
        <vt:lpwstr/>
      </vt:variant>
      <vt:variant>
        <vt:i4>3080317</vt:i4>
      </vt:variant>
      <vt:variant>
        <vt:i4>300</vt:i4>
      </vt:variant>
      <vt:variant>
        <vt:i4>0</vt:i4>
      </vt:variant>
      <vt:variant>
        <vt:i4>5</vt:i4>
      </vt:variant>
      <vt:variant>
        <vt:lpwstr>https://www.gesa.org.au/education/clinical-information/</vt:lpwstr>
      </vt:variant>
      <vt:variant>
        <vt:lpwstr/>
      </vt:variant>
      <vt:variant>
        <vt:i4>7536690</vt:i4>
      </vt:variant>
      <vt:variant>
        <vt:i4>297</vt:i4>
      </vt:variant>
      <vt:variant>
        <vt:i4>0</vt:i4>
      </vt:variant>
      <vt:variant>
        <vt:i4>5</vt:i4>
      </vt:variant>
      <vt:variant>
        <vt:lpwstr>http://www.health.vic.gov.au/infection-control</vt:lpwstr>
      </vt:variant>
      <vt:variant>
        <vt:lpwstr/>
      </vt:variant>
      <vt:variant>
        <vt:i4>4784197</vt:i4>
      </vt:variant>
      <vt:variant>
        <vt:i4>294</vt:i4>
      </vt:variant>
      <vt:variant>
        <vt:i4>0</vt:i4>
      </vt:variant>
      <vt:variant>
        <vt:i4>5</vt:i4>
      </vt:variant>
      <vt:variant>
        <vt:lpwstr/>
      </vt:variant>
      <vt:variant>
        <vt:lpwstr>_Room_contacts</vt:lpwstr>
      </vt:variant>
      <vt:variant>
        <vt:i4>5767229</vt:i4>
      </vt:variant>
      <vt:variant>
        <vt:i4>291</vt:i4>
      </vt:variant>
      <vt:variant>
        <vt:i4>0</vt:i4>
      </vt:variant>
      <vt:variant>
        <vt:i4>5</vt:i4>
      </vt:variant>
      <vt:variant>
        <vt:lpwstr>mailto:amr.secretariat@health.vic.gov.au</vt:lpwstr>
      </vt:variant>
      <vt:variant>
        <vt:lpwstr/>
      </vt:variant>
      <vt:variant>
        <vt:i4>4849773</vt:i4>
      </vt:variant>
      <vt:variant>
        <vt:i4>288</vt:i4>
      </vt:variant>
      <vt:variant>
        <vt:i4>0</vt:i4>
      </vt:variant>
      <vt:variant>
        <vt:i4>5</vt:i4>
      </vt:variant>
      <vt:variant>
        <vt:lpwstr/>
      </vt:variant>
      <vt:variant>
        <vt:lpwstr>_Actions_when_local</vt:lpwstr>
      </vt:variant>
      <vt:variant>
        <vt:i4>7536690</vt:i4>
      </vt:variant>
      <vt:variant>
        <vt:i4>285</vt:i4>
      </vt:variant>
      <vt:variant>
        <vt:i4>0</vt:i4>
      </vt:variant>
      <vt:variant>
        <vt:i4>5</vt:i4>
      </vt:variant>
      <vt:variant>
        <vt:lpwstr>http://www.health.vic.gov.au/infection-control</vt:lpwstr>
      </vt:variant>
      <vt:variant>
        <vt:lpwstr/>
      </vt:variant>
      <vt:variant>
        <vt:i4>7536690</vt:i4>
      </vt:variant>
      <vt:variant>
        <vt:i4>282</vt:i4>
      </vt:variant>
      <vt:variant>
        <vt:i4>0</vt:i4>
      </vt:variant>
      <vt:variant>
        <vt:i4>5</vt:i4>
      </vt:variant>
      <vt:variant>
        <vt:lpwstr>http://www.health.vic.gov.au/infection-control</vt:lpwstr>
      </vt:variant>
      <vt:variant>
        <vt:lpwstr/>
      </vt:variant>
      <vt:variant>
        <vt:i4>5767229</vt:i4>
      </vt:variant>
      <vt:variant>
        <vt:i4>279</vt:i4>
      </vt:variant>
      <vt:variant>
        <vt:i4>0</vt:i4>
      </vt:variant>
      <vt:variant>
        <vt:i4>5</vt:i4>
      </vt:variant>
      <vt:variant>
        <vt:lpwstr>mailto:amr.secretariat@health.vic.gov.au</vt:lpwstr>
      </vt:variant>
      <vt:variant>
        <vt:lpwstr/>
      </vt:variant>
      <vt:variant>
        <vt:i4>7536690</vt:i4>
      </vt:variant>
      <vt:variant>
        <vt:i4>276</vt:i4>
      </vt:variant>
      <vt:variant>
        <vt:i4>0</vt:i4>
      </vt:variant>
      <vt:variant>
        <vt:i4>5</vt:i4>
      </vt:variant>
      <vt:variant>
        <vt:lpwstr>http://www.health.vic.gov.au/infection-control</vt:lpwstr>
      </vt:variant>
      <vt:variant>
        <vt:lpwstr/>
      </vt:variant>
      <vt:variant>
        <vt:i4>589859</vt:i4>
      </vt:variant>
      <vt:variant>
        <vt:i4>273</vt:i4>
      </vt:variant>
      <vt:variant>
        <vt:i4>0</vt:i4>
      </vt:variant>
      <vt:variant>
        <vt:i4>5</vt:i4>
      </vt:variant>
      <vt:variant>
        <vt:lpwstr/>
      </vt:variant>
      <vt:variant>
        <vt:lpwstr>_Section_5:_Management</vt:lpwstr>
      </vt:variant>
      <vt:variant>
        <vt:i4>7536690</vt:i4>
      </vt:variant>
      <vt:variant>
        <vt:i4>270</vt:i4>
      </vt:variant>
      <vt:variant>
        <vt:i4>0</vt:i4>
      </vt:variant>
      <vt:variant>
        <vt:i4>5</vt:i4>
      </vt:variant>
      <vt:variant>
        <vt:lpwstr>http://www.health.vic.gov.au/infection-control</vt:lpwstr>
      </vt:variant>
      <vt:variant>
        <vt:lpwstr/>
      </vt:variant>
      <vt:variant>
        <vt:i4>7405689</vt:i4>
      </vt:variant>
      <vt:variant>
        <vt:i4>267</vt:i4>
      </vt:variant>
      <vt:variant>
        <vt:i4>0</vt:i4>
      </vt:variant>
      <vt:variant>
        <vt:i4>5</vt:i4>
      </vt:variant>
      <vt:variant>
        <vt:lpwstr>http://www.health.vic.gov.au/infectious-diseases/patient-centred-risk-management-strategy-for-multi-resistant-organisms</vt:lpwstr>
      </vt:variant>
      <vt:variant>
        <vt:lpwstr/>
      </vt:variant>
      <vt:variant>
        <vt:i4>6094920</vt:i4>
      </vt:variant>
      <vt:variant>
        <vt:i4>264</vt:i4>
      </vt:variant>
      <vt:variant>
        <vt:i4>0</vt:i4>
      </vt:variant>
      <vt:variant>
        <vt:i4>5</vt:i4>
      </vt:variant>
      <vt:variant>
        <vt:lpwstr>https://www.nhmrc.gov.au/about-us/publications/australian-guidelines-prevention-and-control-infection-healthcare-2019</vt:lpwstr>
      </vt:variant>
      <vt:variant>
        <vt:lpwstr/>
      </vt:variant>
      <vt:variant>
        <vt:i4>7864369</vt:i4>
      </vt:variant>
      <vt:variant>
        <vt:i4>261</vt:i4>
      </vt:variant>
      <vt:variant>
        <vt:i4>0</vt:i4>
      </vt:variant>
      <vt:variant>
        <vt:i4>5</vt:i4>
      </vt:variant>
      <vt:variant>
        <vt:lpwstr>http://biomedicalsciences.unimelb.edu.au/departments/microbiology-Immunology/research/services/microbiological-diagnostic-unit-public-health-laboratory</vt:lpwstr>
      </vt:variant>
      <vt:variant>
        <vt:lpwstr>services</vt:lpwstr>
      </vt:variant>
      <vt:variant>
        <vt:i4>7536690</vt:i4>
      </vt:variant>
      <vt:variant>
        <vt:i4>258</vt:i4>
      </vt:variant>
      <vt:variant>
        <vt:i4>0</vt:i4>
      </vt:variant>
      <vt:variant>
        <vt:i4>5</vt:i4>
      </vt:variant>
      <vt:variant>
        <vt:lpwstr>http://www.health.vic.gov.au/infection-control</vt:lpwstr>
      </vt:variant>
      <vt:variant>
        <vt:lpwstr/>
      </vt:variant>
      <vt:variant>
        <vt:i4>589859</vt:i4>
      </vt:variant>
      <vt:variant>
        <vt:i4>255</vt:i4>
      </vt:variant>
      <vt:variant>
        <vt:i4>0</vt:i4>
      </vt:variant>
      <vt:variant>
        <vt:i4>5</vt:i4>
      </vt:variant>
      <vt:variant>
        <vt:lpwstr/>
      </vt:variant>
      <vt:variant>
        <vt:lpwstr>_Section_5:_Management</vt:lpwstr>
      </vt:variant>
      <vt:variant>
        <vt:i4>4784252</vt:i4>
      </vt:variant>
      <vt:variant>
        <vt:i4>252</vt:i4>
      </vt:variant>
      <vt:variant>
        <vt:i4>0</vt:i4>
      </vt:variant>
      <vt:variant>
        <vt:i4>5</vt:i4>
      </vt:variant>
      <vt:variant>
        <vt:lpwstr/>
      </vt:variant>
      <vt:variant>
        <vt:lpwstr>_Clearance_criteria_for</vt:lpwstr>
      </vt:variant>
      <vt:variant>
        <vt:i4>1441806</vt:i4>
      </vt:variant>
      <vt:variant>
        <vt:i4>249</vt:i4>
      </vt:variant>
      <vt:variant>
        <vt:i4>0</vt:i4>
      </vt:variant>
      <vt:variant>
        <vt:i4>5</vt:i4>
      </vt:variant>
      <vt:variant>
        <vt:lpwstr/>
      </vt:variant>
      <vt:variant>
        <vt:lpwstr>_Clearance_criteria_for_1</vt:lpwstr>
      </vt:variant>
      <vt:variant>
        <vt:i4>7340138</vt:i4>
      </vt:variant>
      <vt:variant>
        <vt:i4>246</vt:i4>
      </vt:variant>
      <vt:variant>
        <vt:i4>0</vt:i4>
      </vt:variant>
      <vt:variant>
        <vt:i4>5</vt:i4>
      </vt:variant>
      <vt:variant>
        <vt:lpwstr/>
      </vt:variant>
      <vt:variant>
        <vt:lpwstr>_Patient_placement</vt:lpwstr>
      </vt:variant>
      <vt:variant>
        <vt:i4>4784252</vt:i4>
      </vt:variant>
      <vt:variant>
        <vt:i4>243</vt:i4>
      </vt:variant>
      <vt:variant>
        <vt:i4>0</vt:i4>
      </vt:variant>
      <vt:variant>
        <vt:i4>5</vt:i4>
      </vt:variant>
      <vt:variant>
        <vt:lpwstr/>
      </vt:variant>
      <vt:variant>
        <vt:lpwstr>_Clearance_criteria_for</vt:lpwstr>
      </vt:variant>
      <vt:variant>
        <vt:i4>1441806</vt:i4>
      </vt:variant>
      <vt:variant>
        <vt:i4>240</vt:i4>
      </vt:variant>
      <vt:variant>
        <vt:i4>0</vt:i4>
      </vt:variant>
      <vt:variant>
        <vt:i4>5</vt:i4>
      </vt:variant>
      <vt:variant>
        <vt:lpwstr/>
      </vt:variant>
      <vt:variant>
        <vt:lpwstr>_Clearance_criteria_for_1</vt:lpwstr>
      </vt:variant>
      <vt:variant>
        <vt:i4>1572985</vt:i4>
      </vt:variant>
      <vt:variant>
        <vt:i4>237</vt:i4>
      </vt:variant>
      <vt:variant>
        <vt:i4>0</vt:i4>
      </vt:variant>
      <vt:variant>
        <vt:i4>5</vt:i4>
      </vt:variant>
      <vt:variant>
        <vt:lpwstr/>
      </vt:variant>
      <vt:variant>
        <vt:lpwstr>_Appendix_A:_Guide</vt:lpwstr>
      </vt:variant>
      <vt:variant>
        <vt:i4>7471141</vt:i4>
      </vt:variant>
      <vt:variant>
        <vt:i4>234</vt:i4>
      </vt:variant>
      <vt:variant>
        <vt:i4>0</vt:i4>
      </vt:variant>
      <vt:variant>
        <vt:i4>5</vt:i4>
      </vt:variant>
      <vt:variant>
        <vt:lpwstr>https://www.safetyandquality.gov.au/our-work/assessment-to-the-nsqhs-standards/</vt:lpwstr>
      </vt:variant>
      <vt:variant>
        <vt:lpwstr/>
      </vt:variant>
      <vt:variant>
        <vt:i4>458879</vt:i4>
      </vt:variant>
      <vt:variant>
        <vt:i4>231</vt:i4>
      </vt:variant>
      <vt:variant>
        <vt:i4>0</vt:i4>
      </vt:variant>
      <vt:variant>
        <vt:i4>5</vt:i4>
      </vt:variant>
      <vt:variant>
        <vt:lpwstr>mailto:vicniss@mh.org.au</vt:lpwstr>
      </vt:variant>
      <vt:variant>
        <vt:lpwstr/>
      </vt:variant>
      <vt:variant>
        <vt:i4>7405689</vt:i4>
      </vt:variant>
      <vt:variant>
        <vt:i4>228</vt:i4>
      </vt:variant>
      <vt:variant>
        <vt:i4>0</vt:i4>
      </vt:variant>
      <vt:variant>
        <vt:i4>5</vt:i4>
      </vt:variant>
      <vt:variant>
        <vt:lpwstr>http://www.health.vic.gov.au/infectious-diseases/patient-centred-risk-management-strategy-for-multi-resistant-organisms</vt:lpwstr>
      </vt:variant>
      <vt:variant>
        <vt:lpwstr/>
      </vt:variant>
      <vt:variant>
        <vt:i4>6094920</vt:i4>
      </vt:variant>
      <vt:variant>
        <vt:i4>225</vt:i4>
      </vt:variant>
      <vt:variant>
        <vt:i4>0</vt:i4>
      </vt:variant>
      <vt:variant>
        <vt:i4>5</vt:i4>
      </vt:variant>
      <vt:variant>
        <vt:lpwstr>https://www.nhmrc.gov.au/about-us/publications/australian-guidelines-prevention-and-control-infection-healthcare-2019</vt:lpwstr>
      </vt:variant>
      <vt:variant>
        <vt:lpwstr/>
      </vt:variant>
      <vt:variant>
        <vt:i4>327742</vt:i4>
      </vt:variant>
      <vt:variant>
        <vt:i4>222</vt:i4>
      </vt:variant>
      <vt:variant>
        <vt:i4>0</vt:i4>
      </vt:variant>
      <vt:variant>
        <vt:i4>5</vt:i4>
      </vt:variant>
      <vt:variant>
        <vt:lpwstr/>
      </vt:variant>
      <vt:variant>
        <vt:lpwstr>_Section_4:_Laboratory</vt:lpwstr>
      </vt:variant>
      <vt:variant>
        <vt:i4>6881329</vt:i4>
      </vt:variant>
      <vt:variant>
        <vt:i4>219</vt:i4>
      </vt:variant>
      <vt:variant>
        <vt:i4>0</vt:i4>
      </vt:variant>
      <vt:variant>
        <vt:i4>5</vt:i4>
      </vt:variant>
      <vt:variant>
        <vt:lpwstr>https://www.safetyandquality.gov.au/our-work/infection-prevention-and-control/carbapenemase-producing-enterobacterales</vt:lpwstr>
      </vt:variant>
      <vt:variant>
        <vt:lpwstr/>
      </vt:variant>
      <vt:variant>
        <vt:i4>2752628</vt:i4>
      </vt:variant>
      <vt:variant>
        <vt:i4>216</vt:i4>
      </vt:variant>
      <vt:variant>
        <vt:i4>0</vt:i4>
      </vt:variant>
      <vt:variant>
        <vt:i4>5</vt:i4>
      </vt:variant>
      <vt:variant>
        <vt:lpwstr>https://www.health.vic.gov.au/infection-control</vt:lpwstr>
      </vt:variant>
      <vt:variant>
        <vt:lpwstr/>
      </vt:variant>
      <vt:variant>
        <vt:i4>6291569</vt:i4>
      </vt:variant>
      <vt:variant>
        <vt:i4>213</vt:i4>
      </vt:variant>
      <vt:variant>
        <vt:i4>0</vt:i4>
      </vt:variant>
      <vt:variant>
        <vt:i4>5</vt:i4>
      </vt:variant>
      <vt:variant>
        <vt:lpwstr/>
      </vt:variant>
      <vt:variant>
        <vt:lpwstr>_Section_3:_Screening,_1</vt:lpwstr>
      </vt:variant>
      <vt:variant>
        <vt:i4>6291569</vt:i4>
      </vt:variant>
      <vt:variant>
        <vt:i4>210</vt:i4>
      </vt:variant>
      <vt:variant>
        <vt:i4>0</vt:i4>
      </vt:variant>
      <vt:variant>
        <vt:i4>5</vt:i4>
      </vt:variant>
      <vt:variant>
        <vt:lpwstr/>
      </vt:variant>
      <vt:variant>
        <vt:lpwstr>_Section_3:_Screening,_1</vt:lpwstr>
      </vt:variant>
      <vt:variant>
        <vt:i4>6291569</vt:i4>
      </vt:variant>
      <vt:variant>
        <vt:i4>207</vt:i4>
      </vt:variant>
      <vt:variant>
        <vt:i4>0</vt:i4>
      </vt:variant>
      <vt:variant>
        <vt:i4>5</vt:i4>
      </vt:variant>
      <vt:variant>
        <vt:lpwstr/>
      </vt:variant>
      <vt:variant>
        <vt:lpwstr>_Section_3:_Screening,_1</vt:lpwstr>
      </vt:variant>
      <vt:variant>
        <vt:i4>1441847</vt:i4>
      </vt:variant>
      <vt:variant>
        <vt:i4>200</vt:i4>
      </vt:variant>
      <vt:variant>
        <vt:i4>0</vt:i4>
      </vt:variant>
      <vt:variant>
        <vt:i4>5</vt:i4>
      </vt:variant>
      <vt:variant>
        <vt:lpwstr/>
      </vt:variant>
      <vt:variant>
        <vt:lpwstr>_Toc140656358</vt:lpwstr>
      </vt:variant>
      <vt:variant>
        <vt:i4>1441847</vt:i4>
      </vt:variant>
      <vt:variant>
        <vt:i4>194</vt:i4>
      </vt:variant>
      <vt:variant>
        <vt:i4>0</vt:i4>
      </vt:variant>
      <vt:variant>
        <vt:i4>5</vt:i4>
      </vt:variant>
      <vt:variant>
        <vt:lpwstr/>
      </vt:variant>
      <vt:variant>
        <vt:lpwstr>_Toc140656357</vt:lpwstr>
      </vt:variant>
      <vt:variant>
        <vt:i4>1441847</vt:i4>
      </vt:variant>
      <vt:variant>
        <vt:i4>188</vt:i4>
      </vt:variant>
      <vt:variant>
        <vt:i4>0</vt:i4>
      </vt:variant>
      <vt:variant>
        <vt:i4>5</vt:i4>
      </vt:variant>
      <vt:variant>
        <vt:lpwstr/>
      </vt:variant>
      <vt:variant>
        <vt:lpwstr>_Toc140656356</vt:lpwstr>
      </vt:variant>
      <vt:variant>
        <vt:i4>1441847</vt:i4>
      </vt:variant>
      <vt:variant>
        <vt:i4>182</vt:i4>
      </vt:variant>
      <vt:variant>
        <vt:i4>0</vt:i4>
      </vt:variant>
      <vt:variant>
        <vt:i4>5</vt:i4>
      </vt:variant>
      <vt:variant>
        <vt:lpwstr/>
      </vt:variant>
      <vt:variant>
        <vt:lpwstr>_Toc140656355</vt:lpwstr>
      </vt:variant>
      <vt:variant>
        <vt:i4>1441847</vt:i4>
      </vt:variant>
      <vt:variant>
        <vt:i4>176</vt:i4>
      </vt:variant>
      <vt:variant>
        <vt:i4>0</vt:i4>
      </vt:variant>
      <vt:variant>
        <vt:i4>5</vt:i4>
      </vt:variant>
      <vt:variant>
        <vt:lpwstr/>
      </vt:variant>
      <vt:variant>
        <vt:lpwstr>_Toc140656354</vt:lpwstr>
      </vt:variant>
      <vt:variant>
        <vt:i4>1441847</vt:i4>
      </vt:variant>
      <vt:variant>
        <vt:i4>170</vt:i4>
      </vt:variant>
      <vt:variant>
        <vt:i4>0</vt:i4>
      </vt:variant>
      <vt:variant>
        <vt:i4>5</vt:i4>
      </vt:variant>
      <vt:variant>
        <vt:lpwstr/>
      </vt:variant>
      <vt:variant>
        <vt:lpwstr>_Toc140656353</vt:lpwstr>
      </vt:variant>
      <vt:variant>
        <vt:i4>1441847</vt:i4>
      </vt:variant>
      <vt:variant>
        <vt:i4>164</vt:i4>
      </vt:variant>
      <vt:variant>
        <vt:i4>0</vt:i4>
      </vt:variant>
      <vt:variant>
        <vt:i4>5</vt:i4>
      </vt:variant>
      <vt:variant>
        <vt:lpwstr/>
      </vt:variant>
      <vt:variant>
        <vt:lpwstr>_Toc140656352</vt:lpwstr>
      </vt:variant>
      <vt:variant>
        <vt:i4>1441847</vt:i4>
      </vt:variant>
      <vt:variant>
        <vt:i4>158</vt:i4>
      </vt:variant>
      <vt:variant>
        <vt:i4>0</vt:i4>
      </vt:variant>
      <vt:variant>
        <vt:i4>5</vt:i4>
      </vt:variant>
      <vt:variant>
        <vt:lpwstr/>
      </vt:variant>
      <vt:variant>
        <vt:lpwstr>_Toc140656351</vt:lpwstr>
      </vt:variant>
      <vt:variant>
        <vt:i4>1441847</vt:i4>
      </vt:variant>
      <vt:variant>
        <vt:i4>152</vt:i4>
      </vt:variant>
      <vt:variant>
        <vt:i4>0</vt:i4>
      </vt:variant>
      <vt:variant>
        <vt:i4>5</vt:i4>
      </vt:variant>
      <vt:variant>
        <vt:lpwstr/>
      </vt:variant>
      <vt:variant>
        <vt:lpwstr>_Toc140656350</vt:lpwstr>
      </vt:variant>
      <vt:variant>
        <vt:i4>1507383</vt:i4>
      </vt:variant>
      <vt:variant>
        <vt:i4>146</vt:i4>
      </vt:variant>
      <vt:variant>
        <vt:i4>0</vt:i4>
      </vt:variant>
      <vt:variant>
        <vt:i4>5</vt:i4>
      </vt:variant>
      <vt:variant>
        <vt:lpwstr/>
      </vt:variant>
      <vt:variant>
        <vt:lpwstr>_Toc140656349</vt:lpwstr>
      </vt:variant>
      <vt:variant>
        <vt:i4>1507383</vt:i4>
      </vt:variant>
      <vt:variant>
        <vt:i4>140</vt:i4>
      </vt:variant>
      <vt:variant>
        <vt:i4>0</vt:i4>
      </vt:variant>
      <vt:variant>
        <vt:i4>5</vt:i4>
      </vt:variant>
      <vt:variant>
        <vt:lpwstr/>
      </vt:variant>
      <vt:variant>
        <vt:lpwstr>_Toc140656348</vt:lpwstr>
      </vt:variant>
      <vt:variant>
        <vt:i4>1507383</vt:i4>
      </vt:variant>
      <vt:variant>
        <vt:i4>134</vt:i4>
      </vt:variant>
      <vt:variant>
        <vt:i4>0</vt:i4>
      </vt:variant>
      <vt:variant>
        <vt:i4>5</vt:i4>
      </vt:variant>
      <vt:variant>
        <vt:lpwstr/>
      </vt:variant>
      <vt:variant>
        <vt:lpwstr>_Toc140656347</vt:lpwstr>
      </vt:variant>
      <vt:variant>
        <vt:i4>1507383</vt:i4>
      </vt:variant>
      <vt:variant>
        <vt:i4>128</vt:i4>
      </vt:variant>
      <vt:variant>
        <vt:i4>0</vt:i4>
      </vt:variant>
      <vt:variant>
        <vt:i4>5</vt:i4>
      </vt:variant>
      <vt:variant>
        <vt:lpwstr/>
      </vt:variant>
      <vt:variant>
        <vt:lpwstr>_Toc140656346</vt:lpwstr>
      </vt:variant>
      <vt:variant>
        <vt:i4>1507383</vt:i4>
      </vt:variant>
      <vt:variant>
        <vt:i4>122</vt:i4>
      </vt:variant>
      <vt:variant>
        <vt:i4>0</vt:i4>
      </vt:variant>
      <vt:variant>
        <vt:i4>5</vt:i4>
      </vt:variant>
      <vt:variant>
        <vt:lpwstr/>
      </vt:variant>
      <vt:variant>
        <vt:lpwstr>_Toc140656345</vt:lpwstr>
      </vt:variant>
      <vt:variant>
        <vt:i4>1507383</vt:i4>
      </vt:variant>
      <vt:variant>
        <vt:i4>116</vt:i4>
      </vt:variant>
      <vt:variant>
        <vt:i4>0</vt:i4>
      </vt:variant>
      <vt:variant>
        <vt:i4>5</vt:i4>
      </vt:variant>
      <vt:variant>
        <vt:lpwstr/>
      </vt:variant>
      <vt:variant>
        <vt:lpwstr>_Toc140656344</vt:lpwstr>
      </vt:variant>
      <vt:variant>
        <vt:i4>1507383</vt:i4>
      </vt:variant>
      <vt:variant>
        <vt:i4>110</vt:i4>
      </vt:variant>
      <vt:variant>
        <vt:i4>0</vt:i4>
      </vt:variant>
      <vt:variant>
        <vt:i4>5</vt:i4>
      </vt:variant>
      <vt:variant>
        <vt:lpwstr/>
      </vt:variant>
      <vt:variant>
        <vt:lpwstr>_Toc140656343</vt:lpwstr>
      </vt:variant>
      <vt:variant>
        <vt:i4>1507383</vt:i4>
      </vt:variant>
      <vt:variant>
        <vt:i4>104</vt:i4>
      </vt:variant>
      <vt:variant>
        <vt:i4>0</vt:i4>
      </vt:variant>
      <vt:variant>
        <vt:i4>5</vt:i4>
      </vt:variant>
      <vt:variant>
        <vt:lpwstr/>
      </vt:variant>
      <vt:variant>
        <vt:lpwstr>_Toc140656342</vt:lpwstr>
      </vt:variant>
      <vt:variant>
        <vt:i4>1507383</vt:i4>
      </vt:variant>
      <vt:variant>
        <vt:i4>98</vt:i4>
      </vt:variant>
      <vt:variant>
        <vt:i4>0</vt:i4>
      </vt:variant>
      <vt:variant>
        <vt:i4>5</vt:i4>
      </vt:variant>
      <vt:variant>
        <vt:lpwstr/>
      </vt:variant>
      <vt:variant>
        <vt:lpwstr>_Toc140656341</vt:lpwstr>
      </vt:variant>
      <vt:variant>
        <vt:i4>1507383</vt:i4>
      </vt:variant>
      <vt:variant>
        <vt:i4>92</vt:i4>
      </vt:variant>
      <vt:variant>
        <vt:i4>0</vt:i4>
      </vt:variant>
      <vt:variant>
        <vt:i4>5</vt:i4>
      </vt:variant>
      <vt:variant>
        <vt:lpwstr/>
      </vt:variant>
      <vt:variant>
        <vt:lpwstr>_Toc140656340</vt:lpwstr>
      </vt:variant>
      <vt:variant>
        <vt:i4>1048631</vt:i4>
      </vt:variant>
      <vt:variant>
        <vt:i4>86</vt:i4>
      </vt:variant>
      <vt:variant>
        <vt:i4>0</vt:i4>
      </vt:variant>
      <vt:variant>
        <vt:i4>5</vt:i4>
      </vt:variant>
      <vt:variant>
        <vt:lpwstr/>
      </vt:variant>
      <vt:variant>
        <vt:lpwstr>_Toc140656339</vt:lpwstr>
      </vt:variant>
      <vt:variant>
        <vt:i4>1048631</vt:i4>
      </vt:variant>
      <vt:variant>
        <vt:i4>80</vt:i4>
      </vt:variant>
      <vt:variant>
        <vt:i4>0</vt:i4>
      </vt:variant>
      <vt:variant>
        <vt:i4>5</vt:i4>
      </vt:variant>
      <vt:variant>
        <vt:lpwstr/>
      </vt:variant>
      <vt:variant>
        <vt:lpwstr>_Toc140656338</vt:lpwstr>
      </vt:variant>
      <vt:variant>
        <vt:i4>1048631</vt:i4>
      </vt:variant>
      <vt:variant>
        <vt:i4>74</vt:i4>
      </vt:variant>
      <vt:variant>
        <vt:i4>0</vt:i4>
      </vt:variant>
      <vt:variant>
        <vt:i4>5</vt:i4>
      </vt:variant>
      <vt:variant>
        <vt:lpwstr/>
      </vt:variant>
      <vt:variant>
        <vt:lpwstr>_Toc140656337</vt:lpwstr>
      </vt:variant>
      <vt:variant>
        <vt:i4>1048631</vt:i4>
      </vt:variant>
      <vt:variant>
        <vt:i4>68</vt:i4>
      </vt:variant>
      <vt:variant>
        <vt:i4>0</vt:i4>
      </vt:variant>
      <vt:variant>
        <vt:i4>5</vt:i4>
      </vt:variant>
      <vt:variant>
        <vt:lpwstr/>
      </vt:variant>
      <vt:variant>
        <vt:lpwstr>_Toc140656336</vt:lpwstr>
      </vt:variant>
      <vt:variant>
        <vt:i4>1048631</vt:i4>
      </vt:variant>
      <vt:variant>
        <vt:i4>62</vt:i4>
      </vt:variant>
      <vt:variant>
        <vt:i4>0</vt:i4>
      </vt:variant>
      <vt:variant>
        <vt:i4>5</vt:i4>
      </vt:variant>
      <vt:variant>
        <vt:lpwstr/>
      </vt:variant>
      <vt:variant>
        <vt:lpwstr>_Toc140656335</vt:lpwstr>
      </vt:variant>
      <vt:variant>
        <vt:i4>1048631</vt:i4>
      </vt:variant>
      <vt:variant>
        <vt:i4>56</vt:i4>
      </vt:variant>
      <vt:variant>
        <vt:i4>0</vt:i4>
      </vt:variant>
      <vt:variant>
        <vt:i4>5</vt:i4>
      </vt:variant>
      <vt:variant>
        <vt:lpwstr/>
      </vt:variant>
      <vt:variant>
        <vt:lpwstr>_Toc140656334</vt:lpwstr>
      </vt:variant>
      <vt:variant>
        <vt:i4>1048631</vt:i4>
      </vt:variant>
      <vt:variant>
        <vt:i4>50</vt:i4>
      </vt:variant>
      <vt:variant>
        <vt:i4>0</vt:i4>
      </vt:variant>
      <vt:variant>
        <vt:i4>5</vt:i4>
      </vt:variant>
      <vt:variant>
        <vt:lpwstr/>
      </vt:variant>
      <vt:variant>
        <vt:lpwstr>_Toc140656333</vt:lpwstr>
      </vt:variant>
      <vt:variant>
        <vt:i4>1048631</vt:i4>
      </vt:variant>
      <vt:variant>
        <vt:i4>44</vt:i4>
      </vt:variant>
      <vt:variant>
        <vt:i4>0</vt:i4>
      </vt:variant>
      <vt:variant>
        <vt:i4>5</vt:i4>
      </vt:variant>
      <vt:variant>
        <vt:lpwstr/>
      </vt:variant>
      <vt:variant>
        <vt:lpwstr>_Toc140656332</vt:lpwstr>
      </vt:variant>
      <vt:variant>
        <vt:i4>1048631</vt:i4>
      </vt:variant>
      <vt:variant>
        <vt:i4>38</vt:i4>
      </vt:variant>
      <vt:variant>
        <vt:i4>0</vt:i4>
      </vt:variant>
      <vt:variant>
        <vt:i4>5</vt:i4>
      </vt:variant>
      <vt:variant>
        <vt:lpwstr/>
      </vt:variant>
      <vt:variant>
        <vt:lpwstr>_Toc140656331</vt:lpwstr>
      </vt:variant>
      <vt:variant>
        <vt:i4>1048631</vt:i4>
      </vt:variant>
      <vt:variant>
        <vt:i4>32</vt:i4>
      </vt:variant>
      <vt:variant>
        <vt:i4>0</vt:i4>
      </vt:variant>
      <vt:variant>
        <vt:i4>5</vt:i4>
      </vt:variant>
      <vt:variant>
        <vt:lpwstr/>
      </vt:variant>
      <vt:variant>
        <vt:lpwstr>_Toc140656330</vt:lpwstr>
      </vt:variant>
      <vt:variant>
        <vt:i4>1114167</vt:i4>
      </vt:variant>
      <vt:variant>
        <vt:i4>26</vt:i4>
      </vt:variant>
      <vt:variant>
        <vt:i4>0</vt:i4>
      </vt:variant>
      <vt:variant>
        <vt:i4>5</vt:i4>
      </vt:variant>
      <vt:variant>
        <vt:lpwstr/>
      </vt:variant>
      <vt:variant>
        <vt:lpwstr>_Toc140656329</vt:lpwstr>
      </vt:variant>
      <vt:variant>
        <vt:i4>1114167</vt:i4>
      </vt:variant>
      <vt:variant>
        <vt:i4>20</vt:i4>
      </vt:variant>
      <vt:variant>
        <vt:i4>0</vt:i4>
      </vt:variant>
      <vt:variant>
        <vt:i4>5</vt:i4>
      </vt:variant>
      <vt:variant>
        <vt:lpwstr/>
      </vt:variant>
      <vt:variant>
        <vt:lpwstr>_Toc140656328</vt:lpwstr>
      </vt:variant>
      <vt:variant>
        <vt:i4>1114167</vt:i4>
      </vt:variant>
      <vt:variant>
        <vt:i4>14</vt:i4>
      </vt:variant>
      <vt:variant>
        <vt:i4>0</vt:i4>
      </vt:variant>
      <vt:variant>
        <vt:i4>5</vt:i4>
      </vt:variant>
      <vt:variant>
        <vt:lpwstr/>
      </vt:variant>
      <vt:variant>
        <vt:lpwstr>_Toc140656327</vt:lpwstr>
      </vt:variant>
      <vt:variant>
        <vt:i4>1114167</vt:i4>
      </vt:variant>
      <vt:variant>
        <vt:i4>8</vt:i4>
      </vt:variant>
      <vt:variant>
        <vt:i4>0</vt:i4>
      </vt:variant>
      <vt:variant>
        <vt:i4>5</vt:i4>
      </vt:variant>
      <vt:variant>
        <vt:lpwstr/>
      </vt:variant>
      <vt:variant>
        <vt:lpwstr>_Toc140656326</vt:lpwstr>
      </vt:variant>
      <vt:variant>
        <vt:i4>2752628</vt:i4>
      </vt:variant>
      <vt:variant>
        <vt:i4>3</vt:i4>
      </vt:variant>
      <vt:variant>
        <vt:i4>0</vt:i4>
      </vt:variant>
      <vt:variant>
        <vt:i4>5</vt:i4>
      </vt:variant>
      <vt:variant>
        <vt:lpwstr>https://www.health.vic.gov.au/infection-control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 pink report</dc:title>
  <dc:subject/>
  <dc:creator>Donna Cameron (Health)</dc:creator>
  <cp:keywords/>
  <dc:description/>
  <cp:lastModifiedBy>Tyler McPherson (Health)</cp:lastModifiedBy>
  <cp:revision>2</cp:revision>
  <cp:lastPrinted>2023-06-02T19:42:00Z</cp:lastPrinted>
  <dcterms:created xsi:type="dcterms:W3CDTF">2023-10-30T02:10:00Z</dcterms:created>
  <dcterms:modified xsi:type="dcterms:W3CDTF">2023-10-30T02:10:00Z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0x010100E78E6EE4F8568E4696D6286852B22206</vt:lpwstr>
  </property>
  <property fmtid="{D5CDD505-2E9C-101B-9397-08002B2CF9AE}" pid="4" name="version">
    <vt:lpwstr>v5 15032021</vt:lpwstr>
  </property>
  <property fmtid="{D5CDD505-2E9C-101B-9397-08002B2CF9AE}" pid="5" name="MediaServiceImageTags">
    <vt:lpwstr/>
  </property>
  <property fmtid="{D5CDD505-2E9C-101B-9397-08002B2CF9AE}" pid="6" name="MSIP_Label_43e64453-338c-4f93-8a4d-0039a0a41f2a_Enabled">
    <vt:lpwstr>true</vt:lpwstr>
  </property>
  <property fmtid="{D5CDD505-2E9C-101B-9397-08002B2CF9AE}" pid="7" name="MSIP_Label_43e64453-338c-4f93-8a4d-0039a0a41f2a_SetDate">
    <vt:lpwstr>2023-10-22T23:18:35Z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095ceabe-52b9-49f7-9bb8-4d313d32d730</vt:lpwstr>
  </property>
  <property fmtid="{D5CDD505-2E9C-101B-9397-08002B2CF9AE}" pid="12" name="MSIP_Label_43e64453-338c-4f93-8a4d-0039a0a41f2a_ContentBits">
    <vt:lpwstr>2</vt:lpwstr>
  </property>
  <property fmtid="{D5CDD505-2E9C-101B-9397-08002B2CF9AE}" pid="13" name="GrammarlyDocumentId">
    <vt:lpwstr>c9ad3398942862b9d94e1cf7817ce454db6a9981bc62b16fd820a6082f07bf74</vt:lpwstr>
  </property>
</Properties>
</file>