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9D4952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2" name="Picture 3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footerReference w:type="firs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6"/>
      </w:tblGrid>
      <w:tr w:rsidR="00AD784C" w:rsidTr="007333AC">
        <w:trPr>
          <w:trHeight w:val="980"/>
        </w:trPr>
        <w:tc>
          <w:tcPr>
            <w:tcW w:w="7936" w:type="dxa"/>
            <w:shd w:val="clear" w:color="auto" w:fill="auto"/>
          </w:tcPr>
          <w:p w:rsidR="00AD784C" w:rsidRPr="00161AA0" w:rsidRDefault="007333AC" w:rsidP="007333AC">
            <w:pPr>
              <w:pStyle w:val="DHHSmainheading"/>
              <w:spacing w:line="240" w:lineRule="auto"/>
            </w:pPr>
            <w:r w:rsidRPr="007333AC">
              <w:lastRenderedPageBreak/>
              <w:t xml:space="preserve">Residential rehabilitation </w:t>
            </w:r>
            <w:r>
              <w:t xml:space="preserve">alcohol and other drug </w:t>
            </w:r>
            <w:r w:rsidRPr="007333AC">
              <w:t>treatment</w:t>
            </w:r>
          </w:p>
        </w:tc>
      </w:tr>
      <w:tr w:rsidR="007333AC" w:rsidTr="007333AC">
        <w:trPr>
          <w:trHeight w:hRule="exact" w:val="913"/>
        </w:trPr>
        <w:tc>
          <w:tcPr>
            <w:tcW w:w="7936" w:type="dxa"/>
            <w:shd w:val="clear" w:color="auto" w:fill="auto"/>
            <w:tcMar>
              <w:top w:w="170" w:type="dxa"/>
              <w:bottom w:w="510" w:type="dxa"/>
            </w:tcMar>
          </w:tcPr>
          <w:p w:rsidR="007333AC" w:rsidRPr="00AD784C" w:rsidRDefault="007333AC" w:rsidP="00052F44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 xml:space="preserve">Information </w:t>
            </w:r>
            <w:r w:rsidR="009D4952">
              <w:rPr>
                <w:szCs w:val="28"/>
              </w:rPr>
              <w:t>about</w:t>
            </w:r>
            <w:r>
              <w:rPr>
                <w:szCs w:val="28"/>
              </w:rPr>
              <w:t xml:space="preserve"> residential rehabilitation </w:t>
            </w:r>
            <w:r w:rsidR="009D4952">
              <w:rPr>
                <w:szCs w:val="28"/>
              </w:rPr>
              <w:t>and how to access this treatment</w:t>
            </w:r>
          </w:p>
        </w:tc>
      </w:tr>
    </w:tbl>
    <w:p w:rsidR="007173CA" w:rsidRDefault="006D6603" w:rsidP="007173CA">
      <w:pPr>
        <w:pStyle w:val="DHHSbody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2570F2" wp14:editId="3C6ACF8D">
                <wp:simplePos x="0" y="0"/>
                <wp:positionH relativeFrom="column">
                  <wp:posOffset>3402965</wp:posOffset>
                </wp:positionH>
                <wp:positionV relativeFrom="paragraph">
                  <wp:posOffset>109220</wp:posOffset>
                </wp:positionV>
                <wp:extent cx="3143250" cy="1962150"/>
                <wp:effectExtent l="0" t="0" r="19050" b="19050"/>
                <wp:wrapSquare wrapText="bothSides"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962150"/>
                        </a:xfrm>
                        <a:prstGeom prst="roundRect">
                          <a:avLst/>
                        </a:prstGeom>
                        <a:solidFill>
                          <a:srgbClr val="E0EFE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343" w:rsidRDefault="001C3FF2" w:rsidP="001C3FF2">
                            <w:pPr>
                              <w:pStyle w:val="DHHSbullet1lastline"/>
                              <w:numPr>
                                <w:ilvl w:val="0"/>
                                <w:numId w:val="0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C3FF2">
                              <w:rPr>
                                <w:color w:val="000000" w:themeColor="text1"/>
                              </w:rPr>
                              <w:t xml:space="preserve">The Victorian Government is </w:t>
                            </w:r>
                            <w:r>
                              <w:rPr>
                                <w:color w:val="000000" w:themeColor="text1"/>
                              </w:rPr>
                              <w:t>rapidly expanding access to</w:t>
                            </w:r>
                            <w:r w:rsidRPr="001C3FF2">
                              <w:rPr>
                                <w:color w:val="000000" w:themeColor="text1"/>
                              </w:rPr>
                              <w:t xml:space="preserve"> res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idential rehabilitation </w:t>
                            </w:r>
                            <w:r w:rsidR="00A20C8F">
                              <w:rPr>
                                <w:color w:val="000000" w:themeColor="text1"/>
                              </w:rPr>
                              <w:t>services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across the state</w:t>
                            </w:r>
                            <w:r w:rsidR="006D35FD">
                              <w:rPr>
                                <w:color w:val="000000" w:themeColor="text1"/>
                              </w:rPr>
                              <w:t xml:space="preserve"> to create more </w:t>
                            </w:r>
                            <w:r w:rsidR="00FF5343" w:rsidRPr="00FF5343">
                              <w:rPr>
                                <w:color w:val="000000" w:themeColor="text1"/>
                              </w:rPr>
                              <w:t xml:space="preserve">treatment spots, reduce pressure on the system, and improve access to treatment for people who may struggle to attend community-based services. </w:t>
                            </w:r>
                          </w:p>
                          <w:p w:rsidR="001C3FF2" w:rsidRPr="001C3FF2" w:rsidRDefault="001C3FF2" w:rsidP="001C3FF2">
                            <w:pPr>
                              <w:pStyle w:val="DHHSbullet1lastline"/>
                              <w:numPr>
                                <w:ilvl w:val="0"/>
                                <w:numId w:val="0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C3FF2">
                              <w:rPr>
                                <w:color w:val="000000" w:themeColor="text1"/>
                              </w:rPr>
                              <w:t xml:space="preserve">Read on to find out </w:t>
                            </w:r>
                            <w:r w:rsidR="00FF5343">
                              <w:rPr>
                                <w:color w:val="000000" w:themeColor="text1"/>
                              </w:rPr>
                              <w:t xml:space="preserve">more </w:t>
                            </w:r>
                            <w:r w:rsidRPr="001C3FF2">
                              <w:rPr>
                                <w:color w:val="000000" w:themeColor="text1"/>
                              </w:rPr>
                              <w:t xml:space="preserve">about </w:t>
                            </w:r>
                            <w:r w:rsidR="00A20C8F">
                              <w:rPr>
                                <w:color w:val="000000" w:themeColor="text1"/>
                              </w:rPr>
                              <w:t>this treatment type, who it is most suitable for,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r w:rsidRPr="001C3FF2">
                              <w:rPr>
                                <w:color w:val="000000" w:themeColor="text1"/>
                              </w:rPr>
                              <w:t xml:space="preserve">where you can go for </w:t>
                            </w:r>
                            <w:r w:rsidR="00FF5343">
                              <w:rPr>
                                <w:color w:val="000000" w:themeColor="text1"/>
                              </w:rPr>
                              <w:t>further</w:t>
                            </w:r>
                            <w:r w:rsidRPr="001C3FF2">
                              <w:rPr>
                                <w:color w:val="000000" w:themeColor="text1"/>
                              </w:rPr>
                              <w:t xml:space="preserve">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267.95pt;margin-top:8.6pt;width:247.5pt;height:15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" fillcolor="#e0efe9" strokecolor="black [3213]" strokeweight="1.5pt">
                <v:textbox>
                  <w:txbxContent>
                    <w:p w:rsidR="00FF5343" w:rsidRDefault="001C3FF2" w:rsidP="001C3FF2">
                      <w:pPr>
                        <w:pStyle w:val="DHHSbullet1lastline"/>
                        <w:numPr>
                          <w:ilvl w:val="0"/>
                          <w:numId w:val="0"/>
                        </w:numPr>
                        <w:rPr>
                          <w:color w:val="000000" w:themeColor="text1"/>
                        </w:rPr>
                      </w:pPr>
                      <w:r w:rsidRPr="001C3FF2">
                        <w:rPr>
                          <w:color w:val="000000" w:themeColor="text1"/>
                        </w:rPr>
                        <w:t xml:space="preserve">The Victorian Government is </w:t>
                      </w:r>
                      <w:r>
                        <w:rPr>
                          <w:color w:val="000000" w:themeColor="text1"/>
                        </w:rPr>
                        <w:t>rapidly expanding access to</w:t>
                      </w:r>
                      <w:r w:rsidRPr="001C3FF2">
                        <w:rPr>
                          <w:color w:val="000000" w:themeColor="text1"/>
                        </w:rPr>
                        <w:t xml:space="preserve"> res</w:t>
                      </w:r>
                      <w:r>
                        <w:rPr>
                          <w:color w:val="000000" w:themeColor="text1"/>
                        </w:rPr>
                        <w:t xml:space="preserve">idential rehabilitation </w:t>
                      </w:r>
                      <w:r w:rsidR="00A20C8F">
                        <w:rPr>
                          <w:color w:val="000000" w:themeColor="text1"/>
                        </w:rPr>
                        <w:t>services</w:t>
                      </w:r>
                      <w:r>
                        <w:rPr>
                          <w:color w:val="000000" w:themeColor="text1"/>
                        </w:rPr>
                        <w:t xml:space="preserve"> across the state</w:t>
                      </w:r>
                      <w:r w:rsidR="006D35FD">
                        <w:rPr>
                          <w:color w:val="000000" w:themeColor="text1"/>
                        </w:rPr>
                        <w:t xml:space="preserve"> to create more </w:t>
                      </w:r>
                      <w:r w:rsidR="00FF5343" w:rsidRPr="00FF5343">
                        <w:rPr>
                          <w:color w:val="000000" w:themeColor="text1"/>
                        </w:rPr>
                        <w:t xml:space="preserve">treatment spots, reduce pressure on the system, and improve access to treatment for people who may struggle to attend community-based services. </w:t>
                      </w:r>
                    </w:p>
                    <w:p w:rsidR="001C3FF2" w:rsidRPr="001C3FF2" w:rsidRDefault="001C3FF2" w:rsidP="001C3FF2">
                      <w:pPr>
                        <w:pStyle w:val="DHHSbullet1lastline"/>
                        <w:numPr>
                          <w:ilvl w:val="0"/>
                          <w:numId w:val="0"/>
                        </w:numPr>
                        <w:rPr>
                          <w:color w:val="000000" w:themeColor="text1"/>
                        </w:rPr>
                      </w:pPr>
                      <w:r w:rsidRPr="001C3FF2">
                        <w:rPr>
                          <w:color w:val="000000" w:themeColor="text1"/>
                        </w:rPr>
                        <w:t xml:space="preserve">Read on to find out </w:t>
                      </w:r>
                      <w:r w:rsidR="00FF5343">
                        <w:rPr>
                          <w:color w:val="000000" w:themeColor="text1"/>
                        </w:rPr>
                        <w:t xml:space="preserve">more </w:t>
                      </w:r>
                      <w:r w:rsidRPr="001C3FF2">
                        <w:rPr>
                          <w:color w:val="000000" w:themeColor="text1"/>
                        </w:rPr>
                        <w:t xml:space="preserve">about </w:t>
                      </w:r>
                      <w:r w:rsidR="00A20C8F">
                        <w:rPr>
                          <w:color w:val="000000" w:themeColor="text1"/>
                        </w:rPr>
                        <w:t>this treatment type, who it is most suitable for,</w:t>
                      </w:r>
                      <w:r>
                        <w:rPr>
                          <w:color w:val="000000" w:themeColor="text1"/>
                        </w:rPr>
                        <w:t xml:space="preserve"> and </w:t>
                      </w:r>
                      <w:r w:rsidRPr="001C3FF2">
                        <w:rPr>
                          <w:color w:val="000000" w:themeColor="text1"/>
                        </w:rPr>
                        <w:t xml:space="preserve">where you can go for </w:t>
                      </w:r>
                      <w:r w:rsidR="00FF5343">
                        <w:rPr>
                          <w:color w:val="000000" w:themeColor="text1"/>
                        </w:rPr>
                        <w:t>further</w:t>
                      </w:r>
                      <w:r w:rsidRPr="001C3FF2">
                        <w:rPr>
                          <w:color w:val="000000" w:themeColor="text1"/>
                        </w:rPr>
                        <w:t xml:space="preserve"> information.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173CA" w:rsidRDefault="007173CA" w:rsidP="007173CA">
      <w:pPr>
        <w:pStyle w:val="DHHSbody"/>
        <w:sectPr w:rsidR="007173CA" w:rsidSect="00F01E5F">
          <w:headerReference w:type="default" r:id="rId11"/>
          <w:footerReference w:type="default" r:id="rId12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:rsidR="00663395" w:rsidRDefault="00663395" w:rsidP="007333AC">
      <w:pPr>
        <w:pStyle w:val="Heading2"/>
        <w:spacing w:before="0"/>
      </w:pPr>
      <w:r>
        <w:lastRenderedPageBreak/>
        <w:t>The Victorian treatment system</w:t>
      </w:r>
    </w:p>
    <w:p w:rsidR="00C10A99" w:rsidRPr="00C10A99" w:rsidRDefault="00C10A99" w:rsidP="00663395">
      <w:pPr>
        <w:pStyle w:val="DHHSbody"/>
      </w:pPr>
      <w:r>
        <w:t xml:space="preserve">Alcohol and other drug problems are complex, affecting not just individuals but their families, their friends and their communities.  </w:t>
      </w:r>
    </w:p>
    <w:p w:rsidR="00663395" w:rsidRPr="007A3160" w:rsidRDefault="00663395" w:rsidP="00663395">
      <w:pPr>
        <w:pStyle w:val="DHHSbody"/>
        <w:rPr>
          <w:color w:val="000000" w:themeColor="text1"/>
        </w:rPr>
      </w:pPr>
      <w:r w:rsidRPr="007A3160">
        <w:rPr>
          <w:color w:val="000000" w:themeColor="text1"/>
        </w:rPr>
        <w:t xml:space="preserve">People accessing </w:t>
      </w:r>
      <w:r w:rsidR="00555838">
        <w:rPr>
          <w:color w:val="000000" w:themeColor="text1"/>
        </w:rPr>
        <w:t xml:space="preserve">drug treatment in Victoria </w:t>
      </w:r>
      <w:r w:rsidRPr="007A3160">
        <w:rPr>
          <w:color w:val="000000" w:themeColor="text1"/>
        </w:rPr>
        <w:t xml:space="preserve">go through intake, </w:t>
      </w:r>
      <w:r w:rsidR="0035252D">
        <w:rPr>
          <w:color w:val="000000" w:themeColor="text1"/>
        </w:rPr>
        <w:t xml:space="preserve">comprehensive </w:t>
      </w:r>
      <w:r w:rsidRPr="007A3160">
        <w:rPr>
          <w:color w:val="000000" w:themeColor="text1"/>
        </w:rPr>
        <w:t xml:space="preserve">assessment and treatment as part of their recovery journey. </w:t>
      </w:r>
    </w:p>
    <w:p w:rsidR="00663395" w:rsidRPr="00663395" w:rsidRDefault="00663395" w:rsidP="00663395">
      <w:pPr>
        <w:pStyle w:val="DHHSbody"/>
        <w:rPr>
          <w:color w:val="000000" w:themeColor="text1"/>
        </w:rPr>
      </w:pPr>
      <w:r>
        <w:rPr>
          <w:color w:val="000000" w:themeColor="text1"/>
        </w:rPr>
        <w:t>A</w:t>
      </w:r>
      <w:r w:rsidRPr="007A3160">
        <w:rPr>
          <w:color w:val="000000" w:themeColor="text1"/>
        </w:rPr>
        <w:t xml:space="preserve"> range of </w:t>
      </w:r>
      <w:r w:rsidR="00333062">
        <w:rPr>
          <w:color w:val="000000" w:themeColor="text1"/>
        </w:rPr>
        <w:t xml:space="preserve">state-funded </w:t>
      </w:r>
      <w:r w:rsidRPr="007A3160">
        <w:rPr>
          <w:color w:val="000000" w:themeColor="text1"/>
        </w:rPr>
        <w:t>community-based and residential treatment options</w:t>
      </w:r>
      <w:r>
        <w:rPr>
          <w:color w:val="000000" w:themeColor="text1"/>
        </w:rPr>
        <w:t xml:space="preserve"> are available, including</w:t>
      </w:r>
      <w:r w:rsidRPr="007A3160">
        <w:rPr>
          <w:color w:val="000000" w:themeColor="text1"/>
        </w:rPr>
        <w:t xml:space="preserve"> counselling, withdrawal, rehabilitation, care and recovery coordination and pharmacotherapy.</w:t>
      </w:r>
    </w:p>
    <w:p w:rsidR="007333AC" w:rsidRDefault="007333AC" w:rsidP="007333AC">
      <w:pPr>
        <w:pStyle w:val="Heading2"/>
        <w:spacing w:before="0"/>
      </w:pPr>
      <w:r>
        <w:t>What is residential rehabilitation?</w:t>
      </w:r>
    </w:p>
    <w:p w:rsidR="00146B0A" w:rsidRDefault="00146B0A" w:rsidP="00146B0A">
      <w:pPr>
        <w:pStyle w:val="DHHSbody"/>
      </w:pPr>
      <w:r>
        <w:t>Residential rehabilitation is a treatment option for people who have already started their journey to recover from drug issues.</w:t>
      </w:r>
    </w:p>
    <w:p w:rsidR="00146B0A" w:rsidRDefault="00146B0A" w:rsidP="00146B0A">
      <w:pPr>
        <w:pStyle w:val="DHHSbody"/>
      </w:pPr>
      <w:r>
        <w:t>S</w:t>
      </w:r>
      <w:r w:rsidRPr="008E63BB">
        <w:t>ervices provide 24-hour supervision by suitably qualified staff in a</w:t>
      </w:r>
      <w:r>
        <w:t xml:space="preserve"> live-in program</w:t>
      </w:r>
      <w:r w:rsidRPr="008E63BB">
        <w:t xml:space="preserve"> </w:t>
      </w:r>
      <w:r>
        <w:t xml:space="preserve">that typically emphasises </w:t>
      </w:r>
      <w:r w:rsidRPr="00107D2D">
        <w:t xml:space="preserve">self-help and </w:t>
      </w:r>
      <w:r>
        <w:t>peer</w:t>
      </w:r>
      <w:r w:rsidRPr="00107D2D">
        <w:t xml:space="preserve"> </w:t>
      </w:r>
      <w:r>
        <w:t>work</w:t>
      </w:r>
      <w:r w:rsidRPr="00107D2D">
        <w:t xml:space="preserve"> to </w:t>
      </w:r>
      <w:r>
        <w:t xml:space="preserve">support </w:t>
      </w:r>
      <w:r w:rsidRPr="00107D2D">
        <w:t>reintegrat</w:t>
      </w:r>
      <w:r>
        <w:t>ion</w:t>
      </w:r>
      <w:r w:rsidRPr="00107D2D">
        <w:t xml:space="preserve"> into community living.  </w:t>
      </w:r>
    </w:p>
    <w:p w:rsidR="00146B0A" w:rsidRDefault="00146B0A" w:rsidP="00105EC8">
      <w:pPr>
        <w:pStyle w:val="DHHSbody"/>
      </w:pPr>
      <w:r>
        <w:t xml:space="preserve">People stay on average for three months, engaging in activities that </w:t>
      </w:r>
      <w:r w:rsidRPr="008E63BB">
        <w:t xml:space="preserve">support </w:t>
      </w:r>
      <w:r>
        <w:t xml:space="preserve">lasting </w:t>
      </w:r>
      <w:r w:rsidRPr="008E63BB">
        <w:t>behavioural change, social and life skills development and relapse prevention</w:t>
      </w:r>
      <w:r>
        <w:t>,</w:t>
      </w:r>
      <w:r w:rsidRPr="008E63BB">
        <w:t xml:space="preserve"> including counselling and group work.</w:t>
      </w:r>
      <w:r>
        <w:t xml:space="preserve"> </w:t>
      </w:r>
    </w:p>
    <w:p w:rsidR="00333062" w:rsidRPr="00333062" w:rsidRDefault="00333062" w:rsidP="00105EC8">
      <w:pPr>
        <w:pStyle w:val="DHHSbody"/>
        <w:rPr>
          <w:rFonts w:eastAsia="Times New Roman"/>
          <w:b/>
          <w:color w:val="007B4B"/>
          <w:sz w:val="28"/>
          <w:szCs w:val="28"/>
        </w:rPr>
      </w:pPr>
      <w:r w:rsidRPr="00333062">
        <w:rPr>
          <w:rFonts w:eastAsia="Times New Roman"/>
          <w:b/>
          <w:color w:val="007B4B"/>
          <w:sz w:val="28"/>
          <w:szCs w:val="28"/>
        </w:rPr>
        <w:t>Who is residential rehabilitation for?</w:t>
      </w:r>
    </w:p>
    <w:p w:rsidR="00C10A99" w:rsidRPr="00C10A99" w:rsidRDefault="00C10A99" w:rsidP="00C10A99">
      <w:pPr>
        <w:pStyle w:val="DHHSbody"/>
        <w:rPr>
          <w:rFonts w:cs="Arial"/>
        </w:rPr>
      </w:pPr>
      <w:r>
        <w:rPr>
          <w:rFonts w:cs="Arial"/>
        </w:rPr>
        <w:t>This treatment option</w:t>
      </w:r>
      <w:r w:rsidRPr="00C10A99">
        <w:rPr>
          <w:rFonts w:cs="Arial"/>
        </w:rPr>
        <w:t xml:space="preserve"> may be suitable for</w:t>
      </w:r>
      <w:r>
        <w:rPr>
          <w:rFonts w:cs="Arial"/>
        </w:rPr>
        <w:t xml:space="preserve"> people who</w:t>
      </w:r>
      <w:r w:rsidRPr="00C10A99">
        <w:rPr>
          <w:rFonts w:cs="Arial"/>
        </w:rPr>
        <w:t>:</w:t>
      </w:r>
    </w:p>
    <w:p w:rsidR="00C10A99" w:rsidRPr="00C10A99" w:rsidRDefault="00C10A99" w:rsidP="00C10A99">
      <w:pPr>
        <w:pStyle w:val="DHHSbullet10"/>
      </w:pPr>
      <w:r w:rsidRPr="00C10A99">
        <w:t xml:space="preserve">have experienced </w:t>
      </w:r>
      <w:r>
        <w:t>drug</w:t>
      </w:r>
      <w:r w:rsidRPr="00C10A99">
        <w:t xml:space="preserve"> dependence </w:t>
      </w:r>
      <w:r>
        <w:t>or</w:t>
      </w:r>
      <w:r w:rsidRPr="00C10A99">
        <w:t xml:space="preserve"> harm</w:t>
      </w:r>
    </w:p>
    <w:p w:rsidR="00C10A99" w:rsidRPr="00C10A99" w:rsidRDefault="00C10A99" w:rsidP="00C10A99">
      <w:pPr>
        <w:pStyle w:val="DHHSbullet10"/>
      </w:pPr>
      <w:r>
        <w:t>are motivated</w:t>
      </w:r>
      <w:r w:rsidRPr="00C10A99">
        <w:t xml:space="preserve"> to address the issues related to </w:t>
      </w:r>
      <w:r>
        <w:t xml:space="preserve">problematic drug </w:t>
      </w:r>
      <w:r w:rsidRPr="00C10A99">
        <w:t>use</w:t>
      </w:r>
    </w:p>
    <w:p w:rsidR="00C10A99" w:rsidRPr="00C10A99" w:rsidRDefault="00C10A99" w:rsidP="00C10A99">
      <w:pPr>
        <w:pStyle w:val="DHHSbullet10"/>
      </w:pPr>
      <w:r>
        <w:t xml:space="preserve">are </w:t>
      </w:r>
      <w:r w:rsidRPr="00C10A99">
        <w:t xml:space="preserve">at high risk of </w:t>
      </w:r>
      <w:r>
        <w:t xml:space="preserve">drug-related harm </w:t>
      </w:r>
      <w:r w:rsidRPr="00C10A99">
        <w:t>impacted by multiple life complexities, such as mental illness, homelessness,</w:t>
      </w:r>
      <w:r>
        <w:t xml:space="preserve"> and/or</w:t>
      </w:r>
      <w:r w:rsidRPr="00C10A99">
        <w:t xml:space="preserve"> family violence</w:t>
      </w:r>
    </w:p>
    <w:p w:rsidR="00C10A99" w:rsidRPr="00C10A99" w:rsidRDefault="00C10A99" w:rsidP="00C10A99">
      <w:pPr>
        <w:pStyle w:val="DHHSbullet10"/>
      </w:pPr>
      <w:r>
        <w:t>would benefit from</w:t>
      </w:r>
      <w:r w:rsidRPr="00C10A99">
        <w:t xml:space="preserve"> a sustained period of structured intervention in a therapeutic environment</w:t>
      </w:r>
    </w:p>
    <w:p w:rsidR="00C10A99" w:rsidRPr="00C10A99" w:rsidRDefault="00C10A99" w:rsidP="00C10A99">
      <w:pPr>
        <w:pStyle w:val="DHHSbullet10"/>
      </w:pPr>
      <w:r>
        <w:t xml:space="preserve">have </w:t>
      </w:r>
      <w:r w:rsidRPr="00C10A99">
        <w:t xml:space="preserve">social circumstances </w:t>
      </w:r>
      <w:r>
        <w:t xml:space="preserve">that </w:t>
      </w:r>
      <w:r w:rsidRPr="00C10A99">
        <w:t>are not supportive of non-residential rehabilitation options</w:t>
      </w:r>
    </w:p>
    <w:p w:rsidR="00C10A99" w:rsidRPr="00C10A99" w:rsidRDefault="00C10A99" w:rsidP="00C10A99">
      <w:pPr>
        <w:pStyle w:val="DHHSbullet1lastline"/>
      </w:pPr>
      <w:r w:rsidRPr="00C10A99">
        <w:t xml:space="preserve">are </w:t>
      </w:r>
      <w:r w:rsidR="001767C9">
        <w:t xml:space="preserve">treatment-ready at admission </w:t>
      </w:r>
      <w:r w:rsidRPr="00C10A99">
        <w:t xml:space="preserve">(i.e. </w:t>
      </w:r>
      <w:r>
        <w:t>drug</w:t>
      </w:r>
      <w:r w:rsidR="001767C9">
        <w:t xml:space="preserve">-free or </w:t>
      </w:r>
      <w:r w:rsidRPr="00C10A99">
        <w:t>stabilised on pharmacotherapy treatment).</w:t>
      </w:r>
    </w:p>
    <w:p w:rsidR="007333AC" w:rsidRDefault="007333AC" w:rsidP="00DF5528">
      <w:pPr>
        <w:pStyle w:val="Heading2"/>
      </w:pPr>
      <w:r>
        <w:t xml:space="preserve">How do </w:t>
      </w:r>
      <w:r w:rsidR="009D4952">
        <w:t>people access</w:t>
      </w:r>
      <w:r>
        <w:t xml:space="preserve"> residential rehabilitation treatment services? </w:t>
      </w:r>
      <w:r w:rsidRPr="00BC6C9F">
        <w:t xml:space="preserve"> </w:t>
      </w:r>
    </w:p>
    <w:p w:rsidR="006D6603" w:rsidRPr="006D6603" w:rsidRDefault="006D6603" w:rsidP="006D6603">
      <w:pPr>
        <w:pStyle w:val="DHHSBody0"/>
        <w:rPr>
          <w:rFonts w:eastAsia="MS Mincho" w:cs="Arial"/>
        </w:rPr>
      </w:pPr>
      <w:r>
        <w:rPr>
          <w:rFonts w:eastAsia="MS Mincho" w:cs="Arial"/>
        </w:rPr>
        <w:t>Pathways</w:t>
      </w:r>
      <w:r w:rsidRPr="008E63BB">
        <w:rPr>
          <w:rFonts w:eastAsia="MS Mincho" w:cs="Arial"/>
        </w:rPr>
        <w:t xml:space="preserve"> into </w:t>
      </w:r>
      <w:r w:rsidR="006D35FD">
        <w:rPr>
          <w:rFonts w:eastAsia="MS Mincho" w:cs="Arial"/>
        </w:rPr>
        <w:t>residential rehabilitation</w:t>
      </w:r>
      <w:r w:rsidRPr="008E63BB">
        <w:rPr>
          <w:rFonts w:eastAsia="MS Mincho" w:cs="Arial"/>
        </w:rPr>
        <w:t xml:space="preserve"> </w:t>
      </w:r>
      <w:r>
        <w:rPr>
          <w:rFonts w:eastAsia="MS Mincho" w:cs="Arial"/>
        </w:rPr>
        <w:t xml:space="preserve">include </w:t>
      </w:r>
      <w:r w:rsidRPr="008E63BB">
        <w:rPr>
          <w:rFonts w:eastAsia="MS Mincho" w:cs="Arial"/>
        </w:rPr>
        <w:t xml:space="preserve">catchment-based intake </w:t>
      </w:r>
      <w:r>
        <w:rPr>
          <w:rFonts w:eastAsia="MS Mincho" w:cs="Arial"/>
        </w:rPr>
        <w:t>or referral from a</w:t>
      </w:r>
      <w:r w:rsidR="006D35FD">
        <w:rPr>
          <w:rFonts w:eastAsia="MS Mincho" w:cs="Arial"/>
        </w:rPr>
        <w:t>nother</w:t>
      </w:r>
      <w:r>
        <w:rPr>
          <w:rFonts w:eastAsia="MS Mincho" w:cs="Arial"/>
        </w:rPr>
        <w:t xml:space="preserve"> treatment provider </w:t>
      </w:r>
      <w:r>
        <w:t xml:space="preserve">(see </w:t>
      </w:r>
      <w:r w:rsidRPr="00F44638">
        <w:rPr>
          <w:i/>
        </w:rPr>
        <w:t>Client pathways</w:t>
      </w:r>
      <w:r>
        <w:t xml:space="preserve"> overleaf)</w:t>
      </w:r>
      <w:r>
        <w:rPr>
          <w:rFonts w:eastAsia="MS Mincho" w:cs="Arial"/>
        </w:rPr>
        <w:t xml:space="preserve">. </w:t>
      </w:r>
      <w:r w:rsidR="00DF5528" w:rsidRPr="008E63BB">
        <w:rPr>
          <w:rFonts w:eastAsia="MS Mincho" w:cs="Arial"/>
        </w:rPr>
        <w:t>Comprehensive assessment information should accompany clients to their treatment provider.</w:t>
      </w:r>
    </w:p>
    <w:p w:rsidR="00F44638" w:rsidRDefault="00F44638" w:rsidP="00F44638">
      <w:pPr>
        <w:pStyle w:val="Heading4"/>
      </w:pPr>
      <w:r>
        <w:t>Specialist services</w:t>
      </w:r>
    </w:p>
    <w:p w:rsidR="00F44638" w:rsidRDefault="006D35FD" w:rsidP="00F44638">
      <w:pPr>
        <w:pStyle w:val="DHHSbody"/>
        <w:rPr>
          <w:rFonts w:cs="Arial"/>
        </w:rPr>
      </w:pPr>
      <w:r w:rsidRPr="006D35FD">
        <w:rPr>
          <w:u w:val="single"/>
        </w:rPr>
        <w:t xml:space="preserve">Population-specific </w:t>
      </w:r>
      <w:r w:rsidR="00EA1ABB">
        <w:rPr>
          <w:u w:val="single"/>
        </w:rPr>
        <w:t>residential rehabilitation</w:t>
      </w:r>
      <w:r w:rsidR="00F44638">
        <w:t xml:space="preserve"> </w:t>
      </w:r>
      <w:r w:rsidR="00EA1ABB">
        <w:t>is</w:t>
      </w:r>
      <w:r w:rsidR="00EA1ABB" w:rsidRPr="00EA1ABB">
        <w:t xml:space="preserve"> available </w:t>
      </w:r>
      <w:r w:rsidR="00EA1ABB">
        <w:t xml:space="preserve">for cohorts with specific needs including </w:t>
      </w:r>
      <w:r w:rsidR="00EA1ABB" w:rsidRPr="00EA1ABB">
        <w:t xml:space="preserve">Aboriginal </w:t>
      </w:r>
      <w:r w:rsidR="00EA1ABB">
        <w:t>clients and women</w:t>
      </w:r>
      <w:r w:rsidR="00EA1ABB" w:rsidRPr="00EA1ABB">
        <w:t>.</w:t>
      </w:r>
    </w:p>
    <w:p w:rsidR="00F44638" w:rsidRDefault="00F44638" w:rsidP="00F44638">
      <w:pPr>
        <w:pStyle w:val="DHHSbody"/>
        <w:rPr>
          <w:rFonts w:cs="Arial"/>
        </w:rPr>
      </w:pPr>
      <w:r w:rsidRPr="006D35FD">
        <w:rPr>
          <w:rFonts w:cs="Arial"/>
          <w:u w:val="single"/>
        </w:rPr>
        <w:t>Youth residential rehabilitation</w:t>
      </w:r>
      <w:r>
        <w:rPr>
          <w:rFonts w:cs="Arial"/>
        </w:rPr>
        <w:t xml:space="preserve"> </w:t>
      </w:r>
      <w:r w:rsidR="00811AA2">
        <w:rPr>
          <w:rFonts w:cs="Arial"/>
        </w:rPr>
        <w:t>is for</w:t>
      </w:r>
      <w:r>
        <w:rPr>
          <w:rFonts w:cs="Arial"/>
        </w:rPr>
        <w:t xml:space="preserve"> </w:t>
      </w:r>
      <w:r w:rsidR="006D35FD">
        <w:rPr>
          <w:rFonts w:cs="Arial"/>
        </w:rPr>
        <w:t>clients</w:t>
      </w:r>
      <w:r>
        <w:rPr>
          <w:rFonts w:cs="Arial"/>
        </w:rPr>
        <w:t xml:space="preserve"> aged 16–21</w:t>
      </w:r>
      <w:r w:rsidR="006D35FD">
        <w:rPr>
          <w:rFonts w:cs="Arial"/>
        </w:rPr>
        <w:t>. Clients</w:t>
      </w:r>
      <w:r>
        <w:rPr>
          <w:rFonts w:cs="Arial"/>
        </w:rPr>
        <w:t xml:space="preserve"> age</w:t>
      </w:r>
      <w:r w:rsidR="006D35FD">
        <w:rPr>
          <w:rFonts w:cs="Arial"/>
        </w:rPr>
        <w:t xml:space="preserve">d up to </w:t>
      </w:r>
      <w:r>
        <w:rPr>
          <w:rFonts w:cs="Arial"/>
        </w:rPr>
        <w:t>25</w:t>
      </w:r>
      <w:r w:rsidR="006D35FD">
        <w:rPr>
          <w:rFonts w:cs="Arial"/>
        </w:rPr>
        <w:t xml:space="preserve"> may access youth</w:t>
      </w:r>
      <w:r w:rsidR="006D35FD" w:rsidRPr="006D35FD">
        <w:rPr>
          <w:rFonts w:cs="Arial"/>
          <w:i/>
        </w:rPr>
        <w:t xml:space="preserve"> or</w:t>
      </w:r>
      <w:r w:rsidR="006D35FD">
        <w:rPr>
          <w:rFonts w:cs="Arial"/>
        </w:rPr>
        <w:t xml:space="preserve"> adult services depending on choice and clinical judgment</w:t>
      </w:r>
      <w:r>
        <w:rPr>
          <w:rFonts w:cs="Arial"/>
        </w:rPr>
        <w:t>.</w:t>
      </w:r>
    </w:p>
    <w:p w:rsidR="00F44638" w:rsidRDefault="00F44638" w:rsidP="00F44638">
      <w:pPr>
        <w:pStyle w:val="DHHSbody"/>
        <w:rPr>
          <w:rFonts w:ascii="Helv" w:hAnsi="Helv" w:cs="Helv"/>
          <w:color w:val="000000"/>
          <w:lang w:eastAsia="en-AU"/>
        </w:rPr>
      </w:pPr>
      <w:r w:rsidRPr="006D35FD">
        <w:rPr>
          <w:rFonts w:ascii="Helv" w:hAnsi="Helv" w:cs="Helv"/>
          <w:color w:val="000000"/>
          <w:u w:val="single"/>
          <w:lang w:eastAsia="en-AU"/>
        </w:rPr>
        <w:t xml:space="preserve">Specialist dual diagnosis </w:t>
      </w:r>
      <w:r w:rsidR="00EA1ABB">
        <w:rPr>
          <w:rFonts w:ascii="Helv" w:hAnsi="Helv" w:cs="Helv"/>
          <w:color w:val="000000"/>
          <w:u w:val="single"/>
          <w:lang w:eastAsia="en-AU"/>
        </w:rPr>
        <w:t>residential rehabilitation</w:t>
      </w:r>
      <w:r w:rsidR="00EA1ABB" w:rsidRPr="00EA1ABB">
        <w:rPr>
          <w:rFonts w:ascii="Helv" w:hAnsi="Helv" w:cs="Helv"/>
          <w:color w:val="000000"/>
          <w:lang w:eastAsia="en-AU"/>
        </w:rPr>
        <w:t xml:space="preserve"> is for  </w:t>
      </w:r>
      <w:r>
        <w:rPr>
          <w:rFonts w:ascii="Helv" w:hAnsi="Helv" w:cs="Helv"/>
          <w:color w:val="000000"/>
          <w:lang w:eastAsia="en-AU"/>
        </w:rPr>
        <w:t xml:space="preserve">clients </w:t>
      </w:r>
      <w:r w:rsidR="00EA1ABB">
        <w:rPr>
          <w:rFonts w:ascii="Helv" w:hAnsi="Helv" w:cs="Helv"/>
          <w:color w:val="000000"/>
          <w:lang w:eastAsia="en-AU"/>
        </w:rPr>
        <w:t>with</w:t>
      </w:r>
      <w:r>
        <w:rPr>
          <w:rFonts w:ascii="Helv" w:hAnsi="Helv" w:cs="Helv"/>
          <w:color w:val="000000"/>
          <w:lang w:eastAsia="en-AU"/>
        </w:rPr>
        <w:t xml:space="preserve"> moderate to severe co-occurring drug and mental health needs</w:t>
      </w:r>
      <w:r w:rsidR="00EA1ABB">
        <w:rPr>
          <w:rFonts w:ascii="Helv" w:hAnsi="Helv" w:cs="Helv"/>
          <w:color w:val="000000"/>
          <w:lang w:eastAsia="en-AU"/>
        </w:rPr>
        <w:t>, who experience complexities not accommodated in standard services</w:t>
      </w:r>
      <w:r>
        <w:rPr>
          <w:rFonts w:ascii="Helv" w:hAnsi="Helv" w:cs="Helv"/>
          <w:color w:val="000000"/>
          <w:lang w:eastAsia="en-AU"/>
        </w:rPr>
        <w:t xml:space="preserve"> (see the </w:t>
      </w:r>
      <w:r w:rsidRPr="00F44638">
        <w:rPr>
          <w:rFonts w:ascii="Helv" w:hAnsi="Helv" w:cs="Helv"/>
          <w:i/>
          <w:color w:val="000000"/>
          <w:lang w:eastAsia="en-AU"/>
        </w:rPr>
        <w:t xml:space="preserve">Dual Diagnosis </w:t>
      </w:r>
      <w:bookmarkStart w:id="1" w:name="_GoBack"/>
      <w:bookmarkEnd w:id="1"/>
      <w:r w:rsidR="00410BAA">
        <w:rPr>
          <w:rFonts w:ascii="Helv" w:hAnsi="Helv" w:cs="Helv"/>
          <w:color w:val="000000"/>
          <w:lang w:eastAsia="en-AU"/>
        </w:rPr>
        <w:t>f</w:t>
      </w:r>
      <w:r w:rsidRPr="00410BAA">
        <w:rPr>
          <w:rFonts w:ascii="Helv" w:hAnsi="Helv" w:cs="Helv"/>
          <w:color w:val="000000"/>
          <w:lang w:eastAsia="en-AU"/>
        </w:rPr>
        <w:t xml:space="preserve">actsheet </w:t>
      </w:r>
      <w:r>
        <w:rPr>
          <w:rFonts w:ascii="Helv" w:hAnsi="Helv" w:cs="Helv"/>
          <w:color w:val="000000"/>
          <w:lang w:eastAsia="en-AU"/>
        </w:rPr>
        <w:t>for more information).</w:t>
      </w:r>
    </w:p>
    <w:p w:rsidR="006D35FD" w:rsidRDefault="006D35FD" w:rsidP="006D35FD">
      <w:pPr>
        <w:pStyle w:val="Heading4"/>
      </w:pPr>
      <w:r>
        <w:t>Priority access</w:t>
      </w:r>
    </w:p>
    <w:p w:rsidR="006D35FD" w:rsidRDefault="006D35FD" w:rsidP="006D35FD">
      <w:pPr>
        <w:pStyle w:val="DHHSbody"/>
      </w:pPr>
      <w:r>
        <w:t>Prioritisation is based on level of need, including psychosocial need, noting:</w:t>
      </w:r>
    </w:p>
    <w:p w:rsidR="006D35FD" w:rsidRDefault="006D35FD" w:rsidP="006D35FD">
      <w:pPr>
        <w:pStyle w:val="DHHSbullet10"/>
      </w:pPr>
      <w:r>
        <w:t xml:space="preserve">clients discharged from compulsory withdrawal under the </w:t>
      </w:r>
      <w:r w:rsidRPr="00A7060A">
        <w:rPr>
          <w:i/>
          <w:lang w:eastAsia="en-AU"/>
        </w:rPr>
        <w:t>Severe Substance Dependence Treatment Act 2010</w:t>
      </w:r>
      <w:r>
        <w:rPr>
          <w:i/>
          <w:lang w:eastAsia="en-AU"/>
        </w:rPr>
        <w:t xml:space="preserve"> </w:t>
      </w:r>
      <w:r>
        <w:rPr>
          <w:lang w:eastAsia="en-AU"/>
        </w:rPr>
        <w:t>are prioritised</w:t>
      </w:r>
    </w:p>
    <w:p w:rsidR="00F44638" w:rsidRDefault="006D35FD" w:rsidP="00956571">
      <w:pPr>
        <w:pStyle w:val="DHHSbullet1lastline"/>
      </w:pPr>
      <w:r>
        <w:t xml:space="preserve">clients with judicial or correctional </w:t>
      </w:r>
      <w:r w:rsidR="00CE17E2">
        <w:t xml:space="preserve">(forensic) </w:t>
      </w:r>
      <w:r>
        <w:t>orders may require prompt access to treatment.</w:t>
      </w:r>
    </w:p>
    <w:p w:rsidR="001767C9" w:rsidRDefault="001767C9" w:rsidP="007333AC">
      <w:pPr>
        <w:pStyle w:val="DHHSbody"/>
        <w:rPr>
          <w:rFonts w:ascii="Helv" w:hAnsi="Helv" w:cs="Helv"/>
          <w:color w:val="000000"/>
          <w:lang w:eastAsia="en-AU"/>
        </w:rPr>
        <w:sectPr w:rsidR="001767C9" w:rsidSect="001767C9">
          <w:type w:val="continuous"/>
          <w:pgSz w:w="11906" w:h="16838" w:code="9"/>
          <w:pgMar w:top="1418" w:right="851" w:bottom="851" w:left="851" w:header="567" w:footer="510" w:gutter="0"/>
          <w:cols w:num="2" w:space="340"/>
          <w:titlePg/>
          <w:docGrid w:linePitch="360"/>
        </w:sectPr>
      </w:pPr>
    </w:p>
    <w:p w:rsidR="007333AC" w:rsidRDefault="00221544" w:rsidP="00221544">
      <w:pPr>
        <w:pStyle w:val="Heading2"/>
      </w:pPr>
      <w:r>
        <w:lastRenderedPageBreak/>
        <w:t xml:space="preserve">Client pathways through the drug </w:t>
      </w:r>
      <w:r w:rsidR="007333AC" w:rsidRPr="00222124">
        <w:t xml:space="preserve">treatment system </w:t>
      </w:r>
    </w:p>
    <w:p w:rsidR="00221544" w:rsidRPr="00F44638" w:rsidRDefault="00221544" w:rsidP="007333AC">
      <w:pPr>
        <w:pStyle w:val="DHHSBody0"/>
      </w:pPr>
      <w:r>
        <w:t xml:space="preserve">The figure below illustrates client pathways through the </w:t>
      </w:r>
      <w:r w:rsidR="00403F09">
        <w:t xml:space="preserve">state-funded </w:t>
      </w:r>
      <w:r>
        <w:t>alcohol and other drugs treatment system.</w:t>
      </w:r>
    </w:p>
    <w:p w:rsidR="00EC3495" w:rsidRPr="00EC3495" w:rsidRDefault="00F44638" w:rsidP="00EC3495">
      <w:pPr>
        <w:pStyle w:val="DHHSbody"/>
      </w:pPr>
      <w:r w:rsidRPr="00A7060A">
        <w:t xml:space="preserve">Person-centred treatment is a governing principle in the </w:t>
      </w:r>
      <w:r>
        <w:t>service system</w:t>
      </w:r>
      <w:r w:rsidRPr="00A7060A">
        <w:t>. In order to refer a client appropriately, providers work with the client and intake services to understand the range of treatment options available to meet the client’s needs.</w:t>
      </w:r>
    </w:p>
    <w:p w:rsidR="00EC3495" w:rsidRPr="00EC3495" w:rsidRDefault="00EC3495" w:rsidP="007333AC">
      <w:pPr>
        <w:pStyle w:val="DHHSBody0"/>
        <w:sectPr w:rsidR="00EC3495" w:rsidRPr="00EC3495" w:rsidSect="0008325C"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 w:rsidRPr="00EC3495">
        <w:t xml:space="preserve">Recognising that residential rehabilitation doesn’t suit everyone, the Government has also implemented new </w:t>
      </w:r>
      <w:r w:rsidRPr="00EC3495">
        <w:rPr>
          <w:u w:val="single"/>
        </w:rPr>
        <w:t>Therapeutic day rehabilitation</w:t>
      </w:r>
      <w:r w:rsidRPr="00EC3495">
        <w:t xml:space="preserve"> services across the state, which are providing up to 500 additional places in treatment each year, with a particular focus on regional Victoria.</w:t>
      </w:r>
    </w:p>
    <w:p w:rsidR="007333AC" w:rsidRDefault="0042762C" w:rsidP="00221544">
      <w:pPr>
        <w:pStyle w:val="DHHSbody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E984351">
            <wp:extent cx="5320934" cy="722821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34" cy="7228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5C1" w:rsidRDefault="00B515C1" w:rsidP="00503BB0">
      <w:pPr>
        <w:pStyle w:val="Heading2"/>
        <w:rPr>
          <w:rStyle w:val="Heading1Char"/>
          <w:rFonts w:cs="Times New Roman"/>
          <w:bCs w:val="0"/>
          <w:kern w:val="0"/>
          <w:sz w:val="28"/>
          <w:szCs w:val="28"/>
        </w:rPr>
        <w:sectPr w:rsidR="00B515C1" w:rsidSect="00F01E5F">
          <w:headerReference w:type="default" r:id="rId14"/>
          <w:footerReference w:type="default" r:id="rId15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:rsidR="00D025CB" w:rsidRDefault="00D025CB" w:rsidP="00D025CB">
      <w:pPr>
        <w:pStyle w:val="Heading2"/>
        <w:spacing w:before="0"/>
      </w:pPr>
      <w:r>
        <w:lastRenderedPageBreak/>
        <w:t>Where do I go for more information?</w:t>
      </w:r>
    </w:p>
    <w:p w:rsidR="00EE0A89" w:rsidRDefault="00EE0A89" w:rsidP="00EE0A89">
      <w:pPr>
        <w:pStyle w:val="DHHSbody"/>
      </w:pPr>
      <w:r>
        <w:t>If you have any questions about residential rehabilitation or other drug treatment services, please:</w:t>
      </w:r>
    </w:p>
    <w:p w:rsidR="00EE0A89" w:rsidRDefault="00EE0A89" w:rsidP="00311D0D">
      <w:pPr>
        <w:pStyle w:val="DHHSbullet10"/>
      </w:pPr>
      <w:r>
        <w:t>speak with your local</w:t>
      </w:r>
      <w:r w:rsidRPr="00A5209D">
        <w:t xml:space="preserve"> catchment-based intake service </w:t>
      </w:r>
      <w:r>
        <w:t>(see below)</w:t>
      </w:r>
    </w:p>
    <w:p w:rsidR="00EE0A89" w:rsidRPr="00EE0A89" w:rsidRDefault="00EE0A89" w:rsidP="00EE0A89">
      <w:pPr>
        <w:pStyle w:val="DHHSbullet1lastline"/>
      </w:pPr>
      <w:r>
        <w:t>contact the</w:t>
      </w:r>
      <w:r w:rsidRPr="00A7060A">
        <w:t xml:space="preserve"> statewide </w:t>
      </w:r>
      <w:r>
        <w:t>drug treatment information</w:t>
      </w:r>
      <w:r w:rsidRPr="00A7060A">
        <w:t xml:space="preserve"> and referral service</w:t>
      </w:r>
      <w:r>
        <w:t>, DirectLine on 1800 888 236 or at &lt;</w:t>
      </w:r>
      <w:hyperlink r:id="rId16" w:history="1">
        <w:r w:rsidRPr="006C371E">
          <w:rPr>
            <w:rStyle w:val="Hyperlink"/>
          </w:rPr>
          <w:t>www.directline.org.au</w:t>
        </w:r>
      </w:hyperlink>
      <w:r>
        <w:t>&gt;.</w:t>
      </w:r>
    </w:p>
    <w:p w:rsidR="00EE0A89" w:rsidRDefault="00A768F9" w:rsidP="00311D0D">
      <w:pPr>
        <w:pStyle w:val="DHHSBody0"/>
      </w:pPr>
      <w:r w:rsidRPr="00EE0A89">
        <w:rPr>
          <w:rStyle w:val="Heading4Char"/>
        </w:rPr>
        <w:t>Catchment-based intake services</w:t>
      </w:r>
      <w:r>
        <w:t xml:space="preserve"> </w:t>
      </w:r>
    </w:p>
    <w:p w:rsidR="00D025CB" w:rsidRDefault="00EE0A89" w:rsidP="00311D0D">
      <w:pPr>
        <w:pStyle w:val="DHHSBody0"/>
      </w:pPr>
      <w:r>
        <w:t xml:space="preserve">Intake services </w:t>
      </w:r>
      <w:r w:rsidR="00A768F9">
        <w:t>are the critical point of entry into the alcohol and other drug treatment system. They provide local knowledge to support client pathways to all Victorian state-funded services, including residential rehabilitation.</w:t>
      </w:r>
    </w:p>
    <w:p w:rsidR="00F44638" w:rsidRDefault="00A768F9" w:rsidP="00311D0D">
      <w:pPr>
        <w:pStyle w:val="DHHSBody0"/>
      </w:pPr>
      <w:r>
        <w:t>Working</w:t>
      </w:r>
      <w:r w:rsidR="00F44638" w:rsidRPr="00A7060A">
        <w:t xml:space="preserve"> closely with</w:t>
      </w:r>
      <w:r w:rsidR="00EE0A89">
        <w:t xml:space="preserve"> DirectLine</w:t>
      </w:r>
      <w:r w:rsidR="00F44638">
        <w:t xml:space="preserve">, </w:t>
      </w:r>
      <w:r>
        <w:t xml:space="preserve">and other treatment providers, intake services </w:t>
      </w:r>
      <w:r w:rsidR="00F44638" w:rsidRPr="00A7060A">
        <w:t xml:space="preserve">facilitate client intake, triage, and referral to </w:t>
      </w:r>
      <w:r w:rsidR="00F44638">
        <w:t xml:space="preserve">drug </w:t>
      </w:r>
      <w:r w:rsidR="00F44638" w:rsidRPr="00A7060A">
        <w:t xml:space="preserve">treatment, including the use of brief interventions and bridging support as required. </w:t>
      </w:r>
      <w:r w:rsidR="00F44638">
        <w:t>They</w:t>
      </w:r>
      <w:r w:rsidR="00F44638" w:rsidRPr="00A7060A">
        <w:t xml:space="preserve"> also support families and significant others of people with </w:t>
      </w:r>
      <w:r w:rsidR="00F44638">
        <w:t>alcohol and other drug</w:t>
      </w:r>
      <w:r w:rsidR="00F44638" w:rsidRPr="00A7060A">
        <w:t xml:space="preserve"> issues.</w:t>
      </w:r>
    </w:p>
    <w:p w:rsidR="00F44638" w:rsidRPr="00503BB0" w:rsidRDefault="00F44638" w:rsidP="00F44638">
      <w:pPr>
        <w:pStyle w:val="DHHSBody0"/>
        <w:rPr>
          <w:rFonts w:eastAsia="MS Gothic"/>
        </w:rPr>
      </w:pPr>
      <w:r>
        <w:t>The table below provides the contact details for catchment-based intake providers.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77"/>
        <w:gridCol w:w="1691"/>
        <w:gridCol w:w="3286"/>
        <w:gridCol w:w="2066"/>
      </w:tblGrid>
      <w:tr w:rsidR="007333AC" w:rsidTr="00E70257">
        <w:trPr>
          <w:trHeight w:val="3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B4B"/>
            <w:vAlign w:val="center"/>
          </w:tcPr>
          <w:p w:rsidR="007333AC" w:rsidRPr="007333AC" w:rsidRDefault="007333AC" w:rsidP="00E70257">
            <w:pPr>
              <w:rPr>
                <w:rFonts w:ascii="Arial" w:hAnsi="Arial" w:cs="Arial"/>
                <w:b/>
                <w:color w:val="FFFFFF"/>
              </w:rPr>
            </w:pPr>
            <w:r w:rsidRPr="007333AC">
              <w:rPr>
                <w:rFonts w:ascii="Arial" w:hAnsi="Arial" w:cs="Arial"/>
                <w:b/>
                <w:color w:val="FFFFFF"/>
              </w:rPr>
              <w:t xml:space="preserve">Provider / consortium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B4B"/>
            <w:vAlign w:val="center"/>
          </w:tcPr>
          <w:p w:rsidR="007333AC" w:rsidRPr="007333AC" w:rsidRDefault="007333AC" w:rsidP="00E70257">
            <w:pPr>
              <w:rPr>
                <w:rFonts w:ascii="Arial" w:hAnsi="Arial" w:cs="Arial"/>
                <w:b/>
                <w:color w:val="FFFFFF"/>
              </w:rPr>
            </w:pPr>
            <w:r w:rsidRPr="007333AC">
              <w:rPr>
                <w:rFonts w:ascii="Arial" w:hAnsi="Arial" w:cs="Arial"/>
                <w:b/>
                <w:color w:val="FFFFFF"/>
              </w:rPr>
              <w:t>Contact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B4B"/>
            <w:vAlign w:val="center"/>
          </w:tcPr>
          <w:p w:rsidR="007333AC" w:rsidRPr="007333AC" w:rsidRDefault="007333AC" w:rsidP="00E70257">
            <w:pPr>
              <w:rPr>
                <w:rFonts w:ascii="Arial" w:hAnsi="Arial" w:cs="Arial"/>
                <w:b/>
                <w:color w:val="FFFFFF"/>
              </w:rPr>
            </w:pPr>
            <w:r w:rsidRPr="007333AC">
              <w:rPr>
                <w:rFonts w:ascii="Arial" w:hAnsi="Arial" w:cs="Arial"/>
                <w:b/>
                <w:color w:val="FFFFFF"/>
              </w:rPr>
              <w:t>Local government area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B4B"/>
            <w:vAlign w:val="center"/>
          </w:tcPr>
          <w:p w:rsidR="007333AC" w:rsidRPr="007333AC" w:rsidRDefault="007333AC" w:rsidP="00E70257">
            <w:pPr>
              <w:rPr>
                <w:rFonts w:ascii="Arial" w:hAnsi="Arial" w:cs="Arial"/>
                <w:b/>
                <w:color w:val="FFFFFF"/>
              </w:rPr>
            </w:pPr>
            <w:r w:rsidRPr="007333AC">
              <w:rPr>
                <w:rFonts w:ascii="Arial" w:hAnsi="Arial" w:cs="Arial"/>
                <w:b/>
                <w:color w:val="FFFFFF"/>
              </w:rPr>
              <w:t>Catchment</w:t>
            </w:r>
          </w:p>
        </w:tc>
      </w:tr>
      <w:tr w:rsidR="007333AC" w:rsidTr="00E702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Bayside Integrated Services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1800 229 263</w:t>
            </w:r>
          </w:p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9690 9778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 xml:space="preserve">Cities of: Port Phillip, City of Glen </w:t>
            </w:r>
            <w:proofErr w:type="spellStart"/>
            <w:r w:rsidRPr="00EE0A89">
              <w:rPr>
                <w:rFonts w:cs="Arial"/>
              </w:rPr>
              <w:t>Eira</w:t>
            </w:r>
            <w:proofErr w:type="spellEnd"/>
            <w:r w:rsidRPr="00EE0A89">
              <w:rPr>
                <w:rFonts w:cs="Arial"/>
              </w:rPr>
              <w:t xml:space="preserve">, Bayside, </w:t>
            </w:r>
            <w:proofErr w:type="spellStart"/>
            <w:r w:rsidRPr="00EE0A89">
              <w:rPr>
                <w:rFonts w:cs="Arial"/>
              </w:rPr>
              <w:t>Stonnington</w:t>
            </w:r>
            <w:proofErr w:type="spellEnd"/>
            <w:r w:rsidRPr="00EE0A89">
              <w:rPr>
                <w:rFonts w:cs="Arial"/>
              </w:rPr>
              <w:t>, Kingston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Bayside</w:t>
            </w:r>
          </w:p>
        </w:tc>
      </w:tr>
      <w:tr w:rsidR="007333AC" w:rsidTr="00E702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 xml:space="preserve">South Eastern Consortium of AOD Agencies (SECADA)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1800 142 536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Cities of: Greater Dandenong, Casey, Cardinia Shire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South East Melbourne</w:t>
            </w:r>
          </w:p>
        </w:tc>
      </w:tr>
      <w:tr w:rsidR="007333AC" w:rsidTr="00E702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Frankston and Mornington Drug and Alcohol Services (</w:t>
            </w:r>
            <w:proofErr w:type="spellStart"/>
            <w:r w:rsidRPr="00EE0A89">
              <w:rPr>
                <w:rFonts w:cs="Arial"/>
              </w:rPr>
              <w:t>FaMDAS</w:t>
            </w:r>
            <w:proofErr w:type="spellEnd"/>
            <w:r w:rsidRPr="00EE0A89">
              <w:rPr>
                <w:rFonts w:cs="Arial"/>
              </w:rPr>
              <w:t>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1300 665 781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City of Frankston</w:t>
            </w:r>
          </w:p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 xml:space="preserve">Mornington Peninsula Shire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Frankston-Mornington Peninsula</w:t>
            </w:r>
          </w:p>
        </w:tc>
      </w:tr>
      <w:tr w:rsidR="007333AC" w:rsidTr="00E702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Eastern Health Turning Point AOD Consortium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1800 778 278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 xml:space="preserve">Cities of: </w:t>
            </w:r>
            <w:proofErr w:type="spellStart"/>
            <w:r w:rsidRPr="00EE0A89">
              <w:rPr>
                <w:rFonts w:cs="Arial"/>
              </w:rPr>
              <w:t>Boroondara</w:t>
            </w:r>
            <w:proofErr w:type="spellEnd"/>
            <w:r w:rsidRPr="00EE0A89">
              <w:rPr>
                <w:rFonts w:cs="Arial"/>
              </w:rPr>
              <w:t>, Manningham, Whitehorse, Monash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Inner East</w:t>
            </w:r>
          </w:p>
        </w:tc>
      </w:tr>
      <w:tr w:rsidR="007333AC" w:rsidTr="00E702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EACH SURE Consortium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1300 007 873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 xml:space="preserve">Cities of: Knox, Maroondah </w:t>
            </w:r>
          </w:p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Shire of Yarra Ranges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Eastern Melbourne</w:t>
            </w:r>
          </w:p>
        </w:tc>
      </w:tr>
      <w:tr w:rsidR="007333AC" w:rsidTr="00E7025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proofErr w:type="spellStart"/>
            <w:r w:rsidRPr="00EE0A89">
              <w:rPr>
                <w:rFonts w:cs="Arial"/>
              </w:rPr>
              <w:t>UnitingCare</w:t>
            </w:r>
            <w:proofErr w:type="spellEnd"/>
            <w:r w:rsidRPr="00EE0A89">
              <w:rPr>
                <w:rFonts w:cs="Arial"/>
              </w:rPr>
              <w:t xml:space="preserve"> </w:t>
            </w:r>
            <w:proofErr w:type="spellStart"/>
            <w:r w:rsidRPr="00EE0A89">
              <w:rPr>
                <w:rFonts w:cs="Arial"/>
              </w:rPr>
              <w:t>ReGen</w:t>
            </w:r>
            <w:proofErr w:type="spellEnd"/>
            <w:r w:rsidRPr="00EE0A89">
              <w:rPr>
                <w:rFonts w:cs="Arial"/>
              </w:rPr>
              <w:t xml:space="preserve"> and   Odyssey House Victoria:</w:t>
            </w:r>
          </w:p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North and West Metro Alcohol and Other Drug Service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1800 700 514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 xml:space="preserve">Cities of: Moreland, Moonee Valley, Melbourne, Yarra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Inner North</w:t>
            </w:r>
          </w:p>
        </w:tc>
      </w:tr>
      <w:tr w:rsidR="007333AC" w:rsidTr="00E7025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 xml:space="preserve">Cities of: Whittlesea, Darebin, Banyule </w:t>
            </w:r>
          </w:p>
          <w:p w:rsidR="007333AC" w:rsidRPr="00EE0A89" w:rsidRDefault="007333AC" w:rsidP="00E70257">
            <w:pPr>
              <w:pStyle w:val="DHHStabletext"/>
              <w:tabs>
                <w:tab w:val="left" w:pos="2310"/>
              </w:tabs>
              <w:rPr>
                <w:rFonts w:cs="Arial"/>
              </w:rPr>
            </w:pPr>
            <w:r w:rsidRPr="00EE0A89">
              <w:rPr>
                <w:rFonts w:cs="Arial"/>
              </w:rPr>
              <w:t>Shire of Nillumbik</w:t>
            </w:r>
            <w:r w:rsidRPr="00EE0A89">
              <w:rPr>
                <w:rFonts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North Melbourne</w:t>
            </w:r>
          </w:p>
        </w:tc>
      </w:tr>
      <w:tr w:rsidR="007333AC" w:rsidTr="00E7025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 xml:space="preserve">Cities of: </w:t>
            </w:r>
            <w:proofErr w:type="spellStart"/>
            <w:r w:rsidRPr="00EE0A89">
              <w:rPr>
                <w:rFonts w:cs="Arial"/>
              </w:rPr>
              <w:t>Brimbank</w:t>
            </w:r>
            <w:proofErr w:type="spellEnd"/>
            <w:r w:rsidRPr="00EE0A89">
              <w:rPr>
                <w:rFonts w:cs="Arial"/>
              </w:rPr>
              <w:t xml:space="preserve">, Hume, Maribyrnong </w:t>
            </w:r>
          </w:p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Shire of Melton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North West Melbourne</w:t>
            </w:r>
          </w:p>
        </w:tc>
      </w:tr>
      <w:tr w:rsidR="007333AC" w:rsidTr="00E7025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Cities of: Hobsons Bay, Wyndham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South West Melbourne</w:t>
            </w:r>
          </w:p>
        </w:tc>
      </w:tr>
      <w:tr w:rsidR="007333AC" w:rsidTr="00E702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Barwon AOD Consortium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1300 094 187</w:t>
            </w:r>
          </w:p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Colac area:</w:t>
            </w:r>
          </w:p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 xml:space="preserve">1300 763 254 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City of Greater Geelong</w:t>
            </w:r>
          </w:p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Shires of Colac-Otway, Surf Coast</w:t>
            </w:r>
          </w:p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Borough of Queenscliff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Barwon</w:t>
            </w:r>
          </w:p>
        </w:tc>
      </w:tr>
      <w:tr w:rsidR="007333AC" w:rsidTr="00E7025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3AC" w:rsidRPr="00EE0A89" w:rsidRDefault="0032283B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Australian Community Support Organisation (ACSO)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1300 022 760</w:t>
            </w:r>
          </w:p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 xml:space="preserve">Shires of: Bass Coast,   South Gippsland, Baw </w:t>
            </w:r>
            <w:proofErr w:type="spellStart"/>
            <w:r w:rsidRPr="00EE0A89">
              <w:rPr>
                <w:rFonts w:cs="Arial"/>
              </w:rPr>
              <w:t>Baw</w:t>
            </w:r>
            <w:proofErr w:type="spellEnd"/>
            <w:r w:rsidRPr="00EE0A89">
              <w:rPr>
                <w:rFonts w:cs="Arial"/>
              </w:rPr>
              <w:t>,  Wellington, East Gippsland</w:t>
            </w:r>
          </w:p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 xml:space="preserve">City of </w:t>
            </w:r>
            <w:proofErr w:type="spellStart"/>
            <w:r w:rsidRPr="00EE0A89">
              <w:rPr>
                <w:rFonts w:cs="Arial"/>
              </w:rPr>
              <w:t>LaTrobe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 xml:space="preserve">Gippsland </w:t>
            </w:r>
          </w:p>
        </w:tc>
      </w:tr>
      <w:tr w:rsidR="007333AC" w:rsidTr="00E7025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Rural Cities of: Wodonga, Wangaratta, Benalla</w:t>
            </w:r>
          </w:p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lastRenderedPageBreak/>
              <w:t>Shires of: Indigo, Towong, Mansfield,  Alpine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lastRenderedPageBreak/>
              <w:t xml:space="preserve">Hume </w:t>
            </w:r>
          </w:p>
        </w:tc>
      </w:tr>
      <w:tr w:rsidR="007333AC" w:rsidTr="00E7025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Shires of: Moira, Strathbogie, Mitchell, Murrindindi</w:t>
            </w:r>
          </w:p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City of Greater Shepparton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Goulburn Valley</w:t>
            </w:r>
          </w:p>
        </w:tc>
      </w:tr>
      <w:tr w:rsidR="007333AC" w:rsidTr="00E7025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 xml:space="preserve">Shires of: Moorabool, Golden Plains, Pyrenees, North Grampians, West Wimmera,  Hindmarsh, </w:t>
            </w:r>
            <w:proofErr w:type="spellStart"/>
            <w:r w:rsidRPr="00EE0A89">
              <w:rPr>
                <w:rFonts w:cs="Arial"/>
              </w:rPr>
              <w:t>Yarriambiack</w:t>
            </w:r>
            <w:proofErr w:type="spellEnd"/>
            <w:r w:rsidRPr="00EE0A89">
              <w:rPr>
                <w:rFonts w:cs="Arial"/>
              </w:rPr>
              <w:t>, Hepburn</w:t>
            </w:r>
          </w:p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Rural Cities of: Ararat, Horsham</w:t>
            </w:r>
          </w:p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City of Ballarat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Grampians</w:t>
            </w:r>
          </w:p>
        </w:tc>
      </w:tr>
      <w:tr w:rsidR="007333AC" w:rsidTr="00E7025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 xml:space="preserve">Rural Cities of: Mildura, Swan Hill </w:t>
            </w:r>
          </w:p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Greater City of Bendigo</w:t>
            </w:r>
          </w:p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 xml:space="preserve">Shires of: </w:t>
            </w:r>
            <w:proofErr w:type="spellStart"/>
            <w:r w:rsidRPr="00773C35">
              <w:rPr>
                <w:rFonts w:cs="Arial"/>
              </w:rPr>
              <w:t>Buloke</w:t>
            </w:r>
            <w:proofErr w:type="spellEnd"/>
            <w:r w:rsidRPr="00773C35">
              <w:rPr>
                <w:rFonts w:cs="Arial"/>
              </w:rPr>
              <w:t xml:space="preserve">, </w:t>
            </w:r>
            <w:proofErr w:type="spellStart"/>
            <w:r w:rsidRPr="00773C35">
              <w:rPr>
                <w:rFonts w:cs="Arial"/>
              </w:rPr>
              <w:t>Gannawarra</w:t>
            </w:r>
            <w:proofErr w:type="spellEnd"/>
            <w:r w:rsidRPr="00773C35">
              <w:rPr>
                <w:rFonts w:cs="Arial"/>
              </w:rPr>
              <w:t>, Loddon, Campaspe, Central Goldfields, Mount Alexander, Macedon Ranges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Loddon-Malle</w:t>
            </w:r>
            <w:r w:rsidR="00F040D6">
              <w:rPr>
                <w:rFonts w:cs="Arial"/>
              </w:rPr>
              <w:t>e</w:t>
            </w:r>
          </w:p>
        </w:tc>
      </w:tr>
      <w:tr w:rsidR="007333AC" w:rsidTr="00E7025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Shires of: Glenelg, Southern Grampians, Moyne, Corangamite</w:t>
            </w:r>
          </w:p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City of Warrnambool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AC" w:rsidRPr="00773C35" w:rsidRDefault="007333AC" w:rsidP="00E70257">
            <w:pPr>
              <w:pStyle w:val="DHHStabletext"/>
              <w:rPr>
                <w:rFonts w:cs="Arial"/>
              </w:rPr>
            </w:pPr>
            <w:r w:rsidRPr="00773C35">
              <w:rPr>
                <w:rFonts w:cs="Arial"/>
              </w:rPr>
              <w:t>Great South Coast</w:t>
            </w:r>
          </w:p>
        </w:tc>
      </w:tr>
    </w:tbl>
    <w:p w:rsidR="007333AC" w:rsidRDefault="007333AC" w:rsidP="007333AC">
      <w:pPr>
        <w:pStyle w:val="DHHSbullet10"/>
        <w:numPr>
          <w:ilvl w:val="0"/>
          <w:numId w:val="0"/>
        </w:numPr>
        <w:tabs>
          <w:tab w:val="left" w:pos="1110"/>
        </w:tabs>
        <w:ind w:left="284" w:hanging="284"/>
        <w:rPr>
          <w:rFonts w:cs="Arial"/>
        </w:rPr>
      </w:pPr>
    </w:p>
    <w:p w:rsidR="007333AC" w:rsidRDefault="007333AC" w:rsidP="007333AC">
      <w:pPr>
        <w:pStyle w:val="DHHSbody"/>
        <w:rPr>
          <w:rFonts w:cs="Arial"/>
        </w:rPr>
      </w:pPr>
      <w:r w:rsidRPr="00C50FC2">
        <w:rPr>
          <w:rFonts w:cs="Arial"/>
        </w:rPr>
        <w:t>The DirectLine service f</w:t>
      </w:r>
      <w:r>
        <w:rPr>
          <w:rFonts w:cs="Arial"/>
        </w:rPr>
        <w:t>inder is also</w:t>
      </w:r>
      <w:r w:rsidRPr="00C50FC2">
        <w:rPr>
          <w:rFonts w:cs="Arial"/>
        </w:rPr>
        <w:t xml:space="preserve"> accessible at &lt;</w:t>
      </w:r>
      <w:hyperlink r:id="rId17" w:history="1">
        <w:r w:rsidRPr="00C50FC2">
          <w:rPr>
            <w:rStyle w:val="Hyperlink"/>
            <w:rFonts w:cs="Arial"/>
          </w:rPr>
          <w:t>www.directline.org.au/service-finder</w:t>
        </w:r>
      </w:hyperlink>
      <w:r>
        <w:rPr>
          <w:rFonts w:cs="Arial"/>
        </w:rPr>
        <w:t>&gt;.</w:t>
      </w:r>
    </w:p>
    <w:p w:rsidR="007333AC" w:rsidRDefault="007333AC" w:rsidP="007333AC">
      <w:pPr>
        <w:pStyle w:val="DHHSbullet10"/>
        <w:numPr>
          <w:ilvl w:val="0"/>
          <w:numId w:val="0"/>
        </w:numPr>
        <w:tabs>
          <w:tab w:val="left" w:pos="1110"/>
        </w:tabs>
        <w:ind w:left="284" w:hanging="284"/>
        <w:rPr>
          <w:rFonts w:cs="Arial"/>
        </w:rPr>
      </w:pPr>
      <w:r w:rsidRPr="00FE6EED">
        <w:rPr>
          <w:rFonts w:cs="Arial"/>
        </w:rPr>
        <w:t xml:space="preserve">Other </w:t>
      </w:r>
      <w:r>
        <w:rPr>
          <w:rFonts w:cs="Arial"/>
        </w:rPr>
        <w:t xml:space="preserve">important </w:t>
      </w:r>
      <w:r w:rsidRPr="00FE6EED">
        <w:rPr>
          <w:rFonts w:cs="Arial"/>
        </w:rPr>
        <w:t>stat</w:t>
      </w:r>
      <w:r>
        <w:rPr>
          <w:rFonts w:cs="Arial"/>
        </w:rPr>
        <w:t>ewide contacts are listed below.</w:t>
      </w:r>
    </w:p>
    <w:tbl>
      <w:tblPr>
        <w:tblpPr w:leftFromText="180" w:rightFromText="180" w:vertAnchor="text" w:horzAnchor="margin" w:tblpXSpec="center" w:tblpY="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09"/>
        <w:gridCol w:w="1561"/>
        <w:gridCol w:w="5350"/>
      </w:tblGrid>
      <w:tr w:rsidR="007333AC" w:rsidRPr="00B773D5" w:rsidTr="00636B6B">
        <w:tc>
          <w:tcPr>
            <w:tcW w:w="1684" w:type="pct"/>
            <w:shd w:val="clear" w:color="auto" w:fill="007B4B"/>
          </w:tcPr>
          <w:p w:rsidR="007333AC" w:rsidRPr="007333AC" w:rsidRDefault="007333AC" w:rsidP="00E70257">
            <w:pPr>
              <w:pStyle w:val="DHHStabletext"/>
              <w:rPr>
                <w:rFonts w:cs="Arial"/>
                <w:b/>
                <w:color w:val="FFFFFF"/>
              </w:rPr>
            </w:pPr>
            <w:r w:rsidRPr="007333AC">
              <w:rPr>
                <w:rFonts w:cs="Arial"/>
                <w:b/>
                <w:color w:val="FFFFFF"/>
              </w:rPr>
              <w:t>Service</w:t>
            </w:r>
          </w:p>
        </w:tc>
        <w:tc>
          <w:tcPr>
            <w:tcW w:w="749" w:type="pct"/>
            <w:shd w:val="clear" w:color="auto" w:fill="007B4B"/>
          </w:tcPr>
          <w:p w:rsidR="007333AC" w:rsidRPr="007333AC" w:rsidRDefault="007333AC" w:rsidP="00E70257">
            <w:pPr>
              <w:pStyle w:val="DHHStabletext"/>
              <w:rPr>
                <w:rFonts w:cs="Arial"/>
                <w:b/>
                <w:color w:val="FFFFFF"/>
              </w:rPr>
            </w:pPr>
            <w:r w:rsidRPr="007333AC">
              <w:rPr>
                <w:rFonts w:cs="Arial"/>
                <w:b/>
                <w:color w:val="FFFFFF"/>
              </w:rPr>
              <w:t>Contact</w:t>
            </w:r>
          </w:p>
        </w:tc>
        <w:tc>
          <w:tcPr>
            <w:tcW w:w="2567" w:type="pct"/>
            <w:shd w:val="clear" w:color="auto" w:fill="007B4B"/>
          </w:tcPr>
          <w:p w:rsidR="007333AC" w:rsidRPr="007333AC" w:rsidRDefault="007333AC" w:rsidP="00E70257">
            <w:pPr>
              <w:pStyle w:val="DHHStabletext"/>
              <w:rPr>
                <w:rFonts w:cs="Arial"/>
                <w:b/>
                <w:color w:val="FFFFFF"/>
              </w:rPr>
            </w:pPr>
            <w:r w:rsidRPr="007333AC">
              <w:rPr>
                <w:rFonts w:cs="Arial"/>
                <w:b/>
                <w:color w:val="FFFFFF"/>
              </w:rPr>
              <w:t>Provider</w:t>
            </w:r>
          </w:p>
        </w:tc>
      </w:tr>
      <w:tr w:rsidR="007333AC" w:rsidRPr="00B773D5" w:rsidTr="00636B6B">
        <w:tc>
          <w:tcPr>
            <w:tcW w:w="1684" w:type="pct"/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Youth Drug and Alcohol Advice (</w:t>
            </w:r>
            <w:proofErr w:type="spellStart"/>
            <w:r w:rsidRPr="00EE0A89">
              <w:rPr>
                <w:rFonts w:cs="Arial"/>
              </w:rPr>
              <w:t>YoDAA</w:t>
            </w:r>
            <w:proofErr w:type="spellEnd"/>
            <w:r w:rsidRPr="00EE0A89">
              <w:rPr>
                <w:rFonts w:cs="Arial"/>
              </w:rPr>
              <w:t xml:space="preserve">)  </w:t>
            </w:r>
          </w:p>
        </w:tc>
        <w:tc>
          <w:tcPr>
            <w:tcW w:w="749" w:type="pct"/>
          </w:tcPr>
          <w:p w:rsidR="007333AC" w:rsidRPr="00B773D5" w:rsidRDefault="007333AC" w:rsidP="00E70257">
            <w:pPr>
              <w:pStyle w:val="DHHStabletext"/>
              <w:rPr>
                <w:rFonts w:cs="Arial"/>
              </w:rPr>
            </w:pPr>
            <w:r w:rsidRPr="00B773D5">
              <w:rPr>
                <w:rFonts w:cs="Arial"/>
              </w:rPr>
              <w:t>1800 458 685</w:t>
            </w:r>
          </w:p>
        </w:tc>
        <w:tc>
          <w:tcPr>
            <w:tcW w:w="2567" w:type="pct"/>
          </w:tcPr>
          <w:p w:rsidR="007333AC" w:rsidRPr="00B773D5" w:rsidRDefault="007333AC" w:rsidP="00E70257">
            <w:pPr>
              <w:pStyle w:val="DHHStabletext"/>
              <w:rPr>
                <w:rFonts w:cs="Arial"/>
              </w:rPr>
            </w:pPr>
            <w:r w:rsidRPr="00B773D5">
              <w:rPr>
                <w:rFonts w:cs="Arial"/>
              </w:rPr>
              <w:t>Youth Support and Advocacy Service (YSAS)</w:t>
            </w:r>
          </w:p>
        </w:tc>
      </w:tr>
      <w:tr w:rsidR="007333AC" w:rsidRPr="00B773D5" w:rsidTr="00636B6B">
        <w:tc>
          <w:tcPr>
            <w:tcW w:w="1684" w:type="pct"/>
          </w:tcPr>
          <w:p w:rsidR="007333AC" w:rsidRPr="00EE0A89" w:rsidRDefault="007333AC" w:rsidP="00E70257">
            <w:pPr>
              <w:pStyle w:val="DHHStabletext"/>
              <w:rPr>
                <w:rFonts w:cs="Arial"/>
              </w:rPr>
            </w:pPr>
            <w:r w:rsidRPr="00EE0A89">
              <w:rPr>
                <w:rFonts w:cs="Arial"/>
              </w:rPr>
              <w:t>Family Drug Help</w:t>
            </w:r>
          </w:p>
        </w:tc>
        <w:tc>
          <w:tcPr>
            <w:tcW w:w="749" w:type="pct"/>
          </w:tcPr>
          <w:p w:rsidR="007333AC" w:rsidRPr="00B773D5" w:rsidRDefault="007333AC" w:rsidP="00E70257">
            <w:pPr>
              <w:pStyle w:val="DHHStabletext"/>
              <w:rPr>
                <w:rFonts w:cs="Arial"/>
              </w:rPr>
            </w:pPr>
            <w:r w:rsidRPr="00B773D5">
              <w:rPr>
                <w:rFonts w:cs="Arial"/>
                <w:shd w:val="clear" w:color="auto" w:fill="FFFFFF"/>
              </w:rPr>
              <w:t>1300 660 068</w:t>
            </w:r>
          </w:p>
        </w:tc>
        <w:tc>
          <w:tcPr>
            <w:tcW w:w="2567" w:type="pct"/>
          </w:tcPr>
          <w:p w:rsidR="007333AC" w:rsidRPr="00B773D5" w:rsidRDefault="007333AC" w:rsidP="00E70257">
            <w:pPr>
              <w:pStyle w:val="DHHStabletext"/>
              <w:rPr>
                <w:rFonts w:cs="Arial"/>
              </w:rPr>
            </w:pPr>
            <w:r w:rsidRPr="00B773D5">
              <w:rPr>
                <w:rFonts w:cs="Arial"/>
              </w:rPr>
              <w:t>Self Help Addiction Resource Centre (SHARC)</w:t>
            </w:r>
          </w:p>
        </w:tc>
      </w:tr>
    </w:tbl>
    <w:p w:rsidR="00503BB0" w:rsidRPr="00EE0A89" w:rsidRDefault="00197B06" w:rsidP="00EE0A89">
      <w:pPr>
        <w:pStyle w:val="Heading4"/>
        <w:rPr>
          <w:rStyle w:val="Heading1Char"/>
          <w:rFonts w:eastAsia="MS Mincho" w:cs="Times New Roman"/>
          <w:bCs/>
          <w:color w:val="auto"/>
          <w:kern w:val="0"/>
          <w:sz w:val="20"/>
          <w:szCs w:val="20"/>
        </w:rPr>
      </w:pPr>
      <w:r>
        <w:rPr>
          <w:rStyle w:val="Heading1Char"/>
          <w:rFonts w:eastAsia="MS Mincho" w:cs="Times New Roman"/>
          <w:bCs/>
          <w:color w:val="auto"/>
          <w:kern w:val="0"/>
          <w:sz w:val="20"/>
          <w:szCs w:val="20"/>
        </w:rPr>
        <w:t>Department resources online</w:t>
      </w:r>
    </w:p>
    <w:p w:rsidR="00503BB0" w:rsidRDefault="00503BB0" w:rsidP="00503BB0">
      <w:pPr>
        <w:pStyle w:val="DHHSbody"/>
        <w:rPr>
          <w:lang w:eastAsia="en-AU"/>
        </w:rPr>
      </w:pPr>
      <w:r w:rsidRPr="008628A5">
        <w:rPr>
          <w:rStyle w:val="DHHSBodyChar0"/>
        </w:rPr>
        <w:t xml:space="preserve">The Department of Health and Human Services’ </w:t>
      </w:r>
      <w:r w:rsidRPr="00956571">
        <w:rPr>
          <w:rStyle w:val="DHHSBodyChar0"/>
          <w:i/>
        </w:rPr>
        <w:t>Alcohol and other drugs program guidelines</w:t>
      </w:r>
      <w:r w:rsidRPr="008628A5">
        <w:rPr>
          <w:rStyle w:val="DHHSBodyChar0"/>
        </w:rPr>
        <w:t xml:space="preserve"> describe the objectives and functions of the</w:t>
      </w:r>
      <w:r w:rsidR="00EC3495">
        <w:rPr>
          <w:rStyle w:val="DHHSBodyChar0"/>
        </w:rPr>
        <w:t xml:space="preserve"> whole</w:t>
      </w:r>
      <w:r w:rsidRPr="008628A5">
        <w:rPr>
          <w:rStyle w:val="DHHSBodyChar0"/>
        </w:rPr>
        <w:t xml:space="preserve"> Victorian alcohol and other drug treatment system, and are available for download from the department’s</w:t>
      </w:r>
      <w:r>
        <w:rPr>
          <w:lang w:eastAsia="en-AU"/>
        </w:rPr>
        <w:t xml:space="preserve"> website at &lt;</w:t>
      </w:r>
      <w:hyperlink r:id="rId18" w:history="1">
        <w:r w:rsidRPr="00497090">
          <w:rPr>
            <w:rStyle w:val="Hyperlink"/>
            <w:lang w:eastAsia="en-AU"/>
          </w:rPr>
          <w:t>www2.health.vic.gov.au/alcohol-and-drugs/aod-service-standards-guidelines/aod-program-guidelines</w:t>
        </w:r>
      </w:hyperlink>
      <w:r>
        <w:rPr>
          <w:lang w:eastAsia="en-AU"/>
        </w:rPr>
        <w:t>&gt;.</w:t>
      </w:r>
    </w:p>
    <w:p w:rsidR="0042762C" w:rsidRDefault="00637E0A" w:rsidP="00503BB0">
      <w:pPr>
        <w:pStyle w:val="DHHSbody"/>
        <w:rPr>
          <w:lang w:eastAsia="en-AU"/>
        </w:rPr>
      </w:pPr>
      <w:r>
        <w:rPr>
          <w:lang w:eastAsia="en-AU"/>
        </w:rPr>
        <w:t xml:space="preserve">A factsheet for the new </w:t>
      </w:r>
      <w:r w:rsidRPr="00637E0A">
        <w:rPr>
          <w:lang w:eastAsia="en-AU"/>
        </w:rPr>
        <w:t>d</w:t>
      </w:r>
      <w:r w:rsidR="00197B06" w:rsidRPr="00637E0A">
        <w:rPr>
          <w:lang w:eastAsia="en-AU"/>
        </w:rPr>
        <w:t xml:space="preserve">ual diagnosis </w:t>
      </w:r>
      <w:r w:rsidRPr="00637E0A">
        <w:rPr>
          <w:lang w:eastAsia="en-AU"/>
        </w:rPr>
        <w:t>services</w:t>
      </w:r>
      <w:r>
        <w:rPr>
          <w:i/>
          <w:lang w:eastAsia="en-AU"/>
        </w:rPr>
        <w:t xml:space="preserve"> </w:t>
      </w:r>
      <w:r w:rsidR="00197B06">
        <w:rPr>
          <w:lang w:eastAsia="en-AU"/>
        </w:rPr>
        <w:t>is available at &lt;</w:t>
      </w:r>
      <w:hyperlink r:id="rId19" w:history="1">
        <w:r w:rsidR="00197B06" w:rsidRPr="007F15C2">
          <w:rPr>
            <w:rStyle w:val="Hyperlink"/>
          </w:rPr>
          <w:t>www2.health.vic.gov.au/alcohol-and-drugs/aod-treatment-services/aod-residential-treatment</w:t>
        </w:r>
      </w:hyperlink>
      <w:r w:rsidR="00197B06" w:rsidRPr="00792979">
        <w:rPr>
          <w:color w:val="000000" w:themeColor="text1"/>
        </w:rPr>
        <w:t>&gt;</w:t>
      </w:r>
      <w:r w:rsidR="007D4ADF">
        <w:rPr>
          <w:color w:val="000000" w:themeColor="text1"/>
        </w:rPr>
        <w:t>.</w:t>
      </w:r>
    </w:p>
    <w:tbl>
      <w:tblPr>
        <w:tblpPr w:leftFromText="180" w:rightFromText="180" w:vertAnchor="text" w:horzAnchor="margin" w:tblpY="1029"/>
        <w:tblW w:w="4919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51"/>
      </w:tblGrid>
      <w:tr w:rsidR="00EE0A89" w:rsidRPr="002802E3" w:rsidTr="00EE0A8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A89" w:rsidRPr="00124C00" w:rsidRDefault="00EE0A89" w:rsidP="00EE0A89">
            <w:pPr>
              <w:pStyle w:val="DHHSaccessibilitypara"/>
            </w:pPr>
            <w:r w:rsidRPr="00124C00">
              <w:t xml:space="preserve">To receive this publication in an accessible format phone 9096 0000 using the National Relay Service 13 36 77 if required, or email </w:t>
            </w:r>
            <w:hyperlink r:id="rId20" w:history="1">
              <w:r w:rsidRPr="00566785">
                <w:rPr>
                  <w:rStyle w:val="Hyperlink"/>
                </w:rPr>
                <w:t>aod.enquiries@dhhs.vic.gov.au</w:t>
              </w:r>
            </w:hyperlink>
          </w:p>
          <w:p w:rsidR="00EE0A89" w:rsidRPr="00124C00" w:rsidRDefault="00EE0A89" w:rsidP="00EE0A89">
            <w:pPr>
              <w:pStyle w:val="DHHSbody"/>
            </w:pPr>
            <w:r w:rsidRPr="00124C00">
              <w:t>Authorised and published by the Victorian Government, 1 Treasury Place, Melbourne.</w:t>
            </w:r>
          </w:p>
          <w:p w:rsidR="00EE0A89" w:rsidRPr="00124C00" w:rsidRDefault="00EE0A89" w:rsidP="00EE0A89">
            <w:pPr>
              <w:pStyle w:val="DHHSbody"/>
            </w:pPr>
            <w:r w:rsidRPr="00124C00">
              <w:t>© State of Victoria, Department of Health and Human Services</w:t>
            </w:r>
            <w:r>
              <w:t>,</w:t>
            </w:r>
            <w:r w:rsidRPr="00124C00">
              <w:t xml:space="preserve"> </w:t>
            </w:r>
            <w:r>
              <w:t>March 2018</w:t>
            </w:r>
            <w:r w:rsidRPr="00124C00">
              <w:t>.</w:t>
            </w:r>
          </w:p>
          <w:p w:rsidR="00EE0A89" w:rsidRPr="002802E3" w:rsidRDefault="00EE0A89" w:rsidP="00EE0A89">
            <w:pPr>
              <w:pStyle w:val="DHHSbody"/>
            </w:pPr>
            <w:r w:rsidRPr="00124C00">
              <w:rPr>
                <w:szCs w:val="19"/>
              </w:rPr>
              <w:t xml:space="preserve">Available at </w:t>
            </w:r>
            <w:r>
              <w:t xml:space="preserve"> </w:t>
            </w:r>
            <w:hyperlink r:id="rId21" w:history="1">
              <w:r w:rsidRPr="007F15C2">
                <w:rPr>
                  <w:rStyle w:val="Hyperlink"/>
                </w:rPr>
                <w:t>www2.health.vic.gov.au/alcohol-and-drugs/aod-treatment-services/aod-residential-treatment</w:t>
              </w:r>
            </w:hyperlink>
            <w:r>
              <w:t xml:space="preserve"> </w:t>
            </w:r>
          </w:p>
        </w:tc>
      </w:tr>
    </w:tbl>
    <w:p w:rsidR="00D025CB" w:rsidRPr="008628A5" w:rsidRDefault="00D025CB" w:rsidP="00503BB0">
      <w:pPr>
        <w:pStyle w:val="DHHSbody"/>
        <w:rPr>
          <w:lang w:eastAsia="en-AU"/>
        </w:rPr>
      </w:pPr>
    </w:p>
    <w:p w:rsidR="007333AC" w:rsidRPr="00906490" w:rsidRDefault="007333AC" w:rsidP="007333AC">
      <w:pPr>
        <w:pStyle w:val="DHHSTOCheadingfactsheet"/>
      </w:pPr>
    </w:p>
    <w:sectPr w:rsidR="007333AC" w:rsidRPr="00906490" w:rsidSect="00B515C1"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C0" w:rsidRDefault="00DF33C0">
      <w:r>
        <w:separator/>
      </w:r>
    </w:p>
  </w:endnote>
  <w:endnote w:type="continuationSeparator" w:id="0">
    <w:p w:rsidR="00DF33C0" w:rsidRDefault="00DF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9D4952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3B" w:rsidRDefault="0032283B" w:rsidP="0032283B">
    <w:pPr>
      <w:pStyle w:val="Footer"/>
      <w:tabs>
        <w:tab w:val="clear" w:pos="10206"/>
        <w:tab w:val="left" w:pos="1500"/>
      </w:tabs>
      <w:jc w:val="right"/>
    </w:pPr>
    <w:r>
      <w:t xml:space="preserve">Factsheet March 2018 – </w:t>
    </w:r>
    <w:r w:rsidR="00EC3495">
      <w:t>About residential r</w:t>
    </w:r>
    <w:r>
      <w:t>ehabilitation</w:t>
    </w:r>
    <w:sdt>
      <w:sdtPr>
        <w:id w:val="19331563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3495">
          <w:tab/>
        </w:r>
        <w:r w:rsidR="00EC3495">
          <w:tab/>
        </w:r>
        <w:r w:rsidR="00EC3495">
          <w:tab/>
        </w:r>
        <w:r w:rsidR="00EC3495">
          <w:tab/>
        </w:r>
        <w:r w:rsidR="00EC3495">
          <w:tab/>
        </w:r>
        <w:r w:rsidR="00EC3495">
          <w:tab/>
        </w:r>
        <w:r w:rsidR="00EC3495"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BA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32283B" w:rsidP="0051568D">
    <w:pPr>
      <w:pStyle w:val="DHHSfooter"/>
    </w:pPr>
    <w:r>
      <w:t>Factsheet March 2018 – Residential Rehabilitation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410BAA">
      <w:rPr>
        <w:noProof/>
      </w:rPr>
      <w:t>2</w:t>
    </w:r>
    <w:r w:rsidR="009D70A4" w:rsidRPr="00A11421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03BB0" w:rsidRDefault="0032283B" w:rsidP="00503BB0">
    <w:pPr>
      <w:pStyle w:val="DHHSfooter"/>
    </w:pPr>
    <w:r>
      <w:t xml:space="preserve">Factsheet March 2018 – </w:t>
    </w:r>
    <w:r w:rsidR="00EC3495">
      <w:t>About residential r</w:t>
    </w:r>
    <w:r>
      <w:t>ehabilitation</w:t>
    </w:r>
    <w:r w:rsidR="00503BB0" w:rsidRPr="00A11421">
      <w:tab/>
    </w:r>
    <w:r w:rsidR="00503BB0" w:rsidRPr="00A11421">
      <w:fldChar w:fldCharType="begin"/>
    </w:r>
    <w:r w:rsidR="00503BB0" w:rsidRPr="00A11421">
      <w:instrText xml:space="preserve"> PAGE </w:instrText>
    </w:r>
    <w:r w:rsidR="00503BB0" w:rsidRPr="00A11421">
      <w:fldChar w:fldCharType="separate"/>
    </w:r>
    <w:r w:rsidR="00410BAA">
      <w:rPr>
        <w:noProof/>
      </w:rPr>
      <w:t>4</w:t>
    </w:r>
    <w:r w:rsidR="00503BB0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C0" w:rsidRDefault="00DF33C0" w:rsidP="002862F1">
      <w:pPr>
        <w:spacing w:before="120"/>
      </w:pPr>
      <w:r>
        <w:separator/>
      </w:r>
    </w:p>
  </w:footnote>
  <w:footnote w:type="continuationSeparator" w:id="0">
    <w:p w:rsidR="00DF33C0" w:rsidRDefault="00DF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pStyle w:val="DHHSBulle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Bullet1las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0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4"/>
    <w:lvlOverride w:ilvl="0">
      <w:lvl w:ilvl="0">
        <w:start w:val="1"/>
        <w:numFmt w:val="bullet"/>
        <w:pStyle w:val="DHHSbullet10"/>
        <w:lvlText w:val="•"/>
        <w:lvlJc w:val="left"/>
        <w:pPr>
          <w:ind w:left="284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bullet"/>
        <w:lvlRestart w:val="0"/>
        <w:pStyle w:val="DHHSbullet1lastline"/>
        <w:lvlText w:val="•"/>
        <w:lvlJc w:val="left"/>
        <w:pPr>
          <w:ind w:left="284" w:hanging="284"/>
        </w:pPr>
        <w:rPr>
          <w:rFonts w:ascii="Arial" w:hAnsi="Arial" w:cs="Arial" w:hint="default"/>
          <w:sz w:val="20"/>
          <w:szCs w:val="20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58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2F44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05EC8"/>
    <w:rsid w:val="00112688"/>
    <w:rsid w:val="00112FB7"/>
    <w:rsid w:val="00120BD3"/>
    <w:rsid w:val="00122FEA"/>
    <w:rsid w:val="001232BD"/>
    <w:rsid w:val="00124ED5"/>
    <w:rsid w:val="00134114"/>
    <w:rsid w:val="001447B3"/>
    <w:rsid w:val="00146B0A"/>
    <w:rsid w:val="00152073"/>
    <w:rsid w:val="00161939"/>
    <w:rsid w:val="00161AA0"/>
    <w:rsid w:val="00162093"/>
    <w:rsid w:val="001767C9"/>
    <w:rsid w:val="001771DD"/>
    <w:rsid w:val="00177995"/>
    <w:rsid w:val="00177A8C"/>
    <w:rsid w:val="00186B33"/>
    <w:rsid w:val="00192F9D"/>
    <w:rsid w:val="00196EB8"/>
    <w:rsid w:val="00196EFB"/>
    <w:rsid w:val="001979FF"/>
    <w:rsid w:val="00197B06"/>
    <w:rsid w:val="00197B17"/>
    <w:rsid w:val="001A3ACE"/>
    <w:rsid w:val="001C277E"/>
    <w:rsid w:val="001C2A72"/>
    <w:rsid w:val="001C3FF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154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1C6"/>
    <w:rsid w:val="00302216"/>
    <w:rsid w:val="00303E53"/>
    <w:rsid w:val="00306E5F"/>
    <w:rsid w:val="00307E14"/>
    <w:rsid w:val="00312CE5"/>
    <w:rsid w:val="00314054"/>
    <w:rsid w:val="00316F27"/>
    <w:rsid w:val="0032283B"/>
    <w:rsid w:val="00326801"/>
    <w:rsid w:val="00327870"/>
    <w:rsid w:val="0033259D"/>
    <w:rsid w:val="00333062"/>
    <w:rsid w:val="003406C6"/>
    <w:rsid w:val="003418CC"/>
    <w:rsid w:val="003459BD"/>
    <w:rsid w:val="00350D38"/>
    <w:rsid w:val="00351B36"/>
    <w:rsid w:val="0035252D"/>
    <w:rsid w:val="00352DAE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3F09"/>
    <w:rsid w:val="00406285"/>
    <w:rsid w:val="00410BAA"/>
    <w:rsid w:val="004114A8"/>
    <w:rsid w:val="004148F9"/>
    <w:rsid w:val="0042084E"/>
    <w:rsid w:val="00421EEF"/>
    <w:rsid w:val="00424D65"/>
    <w:rsid w:val="0042762C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BB0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55838"/>
    <w:rsid w:val="00572031"/>
    <w:rsid w:val="005724C8"/>
    <w:rsid w:val="00576E84"/>
    <w:rsid w:val="0058164B"/>
    <w:rsid w:val="00582B8C"/>
    <w:rsid w:val="0058757E"/>
    <w:rsid w:val="00596A4B"/>
    <w:rsid w:val="00597507"/>
    <w:rsid w:val="005A029E"/>
    <w:rsid w:val="005B21B6"/>
    <w:rsid w:val="005B3A08"/>
    <w:rsid w:val="005B7A63"/>
    <w:rsid w:val="005C0955"/>
    <w:rsid w:val="005C3885"/>
    <w:rsid w:val="005C49DA"/>
    <w:rsid w:val="005C50F3"/>
    <w:rsid w:val="005C5D91"/>
    <w:rsid w:val="005D07B8"/>
    <w:rsid w:val="005D6597"/>
    <w:rsid w:val="005E14E7"/>
    <w:rsid w:val="005E26A3"/>
    <w:rsid w:val="005E447E"/>
    <w:rsid w:val="005E769B"/>
    <w:rsid w:val="005F0775"/>
    <w:rsid w:val="005F0CF5"/>
    <w:rsid w:val="005F21EB"/>
    <w:rsid w:val="00605908"/>
    <w:rsid w:val="00610D7C"/>
    <w:rsid w:val="00613414"/>
    <w:rsid w:val="00615C46"/>
    <w:rsid w:val="0062408D"/>
    <w:rsid w:val="006240CC"/>
    <w:rsid w:val="00627DA7"/>
    <w:rsid w:val="006358B4"/>
    <w:rsid w:val="00636B6B"/>
    <w:rsid w:val="00637E0A"/>
    <w:rsid w:val="006419AA"/>
    <w:rsid w:val="00644B7E"/>
    <w:rsid w:val="006454E6"/>
    <w:rsid w:val="00646A68"/>
    <w:rsid w:val="0064751A"/>
    <w:rsid w:val="0065092E"/>
    <w:rsid w:val="006557A7"/>
    <w:rsid w:val="00656290"/>
    <w:rsid w:val="006621D7"/>
    <w:rsid w:val="0066302A"/>
    <w:rsid w:val="00663395"/>
    <w:rsid w:val="00670597"/>
    <w:rsid w:val="006706D0"/>
    <w:rsid w:val="00677574"/>
    <w:rsid w:val="00682C5F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D35FD"/>
    <w:rsid w:val="006D6603"/>
    <w:rsid w:val="006E138B"/>
    <w:rsid w:val="006F1FDC"/>
    <w:rsid w:val="007013EF"/>
    <w:rsid w:val="007173CA"/>
    <w:rsid w:val="007216AA"/>
    <w:rsid w:val="00721AB5"/>
    <w:rsid w:val="00721DEF"/>
    <w:rsid w:val="00723327"/>
    <w:rsid w:val="00724A43"/>
    <w:rsid w:val="007333AC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A024F"/>
    <w:rsid w:val="007A3160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ADF"/>
    <w:rsid w:val="007D6B5C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1AA2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28A5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55C1"/>
    <w:rsid w:val="00937BD9"/>
    <w:rsid w:val="00950E2C"/>
    <w:rsid w:val="00951D50"/>
    <w:rsid w:val="009525EB"/>
    <w:rsid w:val="00954874"/>
    <w:rsid w:val="00956571"/>
    <w:rsid w:val="00961400"/>
    <w:rsid w:val="00963646"/>
    <w:rsid w:val="009705A6"/>
    <w:rsid w:val="0097654F"/>
    <w:rsid w:val="009853E1"/>
    <w:rsid w:val="00986E6B"/>
    <w:rsid w:val="0099007D"/>
    <w:rsid w:val="00991769"/>
    <w:rsid w:val="00994386"/>
    <w:rsid w:val="00995B0A"/>
    <w:rsid w:val="009A13D8"/>
    <w:rsid w:val="009A279E"/>
    <w:rsid w:val="009B0A6F"/>
    <w:rsid w:val="009B0A94"/>
    <w:rsid w:val="009B59E9"/>
    <w:rsid w:val="009B70AA"/>
    <w:rsid w:val="009C7A7E"/>
    <w:rsid w:val="009D02E8"/>
    <w:rsid w:val="009D4952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0C8F"/>
    <w:rsid w:val="00A22229"/>
    <w:rsid w:val="00A44882"/>
    <w:rsid w:val="00A54715"/>
    <w:rsid w:val="00A6061C"/>
    <w:rsid w:val="00A62D44"/>
    <w:rsid w:val="00A632AB"/>
    <w:rsid w:val="00A67263"/>
    <w:rsid w:val="00A7161C"/>
    <w:rsid w:val="00A768F9"/>
    <w:rsid w:val="00A77AA3"/>
    <w:rsid w:val="00A82C19"/>
    <w:rsid w:val="00A854EB"/>
    <w:rsid w:val="00A872E5"/>
    <w:rsid w:val="00A91130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1FB3"/>
    <w:rsid w:val="00B431E8"/>
    <w:rsid w:val="00B45141"/>
    <w:rsid w:val="00B515C1"/>
    <w:rsid w:val="00B5273A"/>
    <w:rsid w:val="00B52926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2CCB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4293"/>
    <w:rsid w:val="00BF7F58"/>
    <w:rsid w:val="00C01381"/>
    <w:rsid w:val="00C05F84"/>
    <w:rsid w:val="00C079B8"/>
    <w:rsid w:val="00C10A99"/>
    <w:rsid w:val="00C123EA"/>
    <w:rsid w:val="00C12A49"/>
    <w:rsid w:val="00C133EE"/>
    <w:rsid w:val="00C27DE9"/>
    <w:rsid w:val="00C33388"/>
    <w:rsid w:val="00C3540E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096D"/>
    <w:rsid w:val="00CA12E3"/>
    <w:rsid w:val="00CA6611"/>
    <w:rsid w:val="00CA6AE6"/>
    <w:rsid w:val="00CA782F"/>
    <w:rsid w:val="00CB3285"/>
    <w:rsid w:val="00CC0C72"/>
    <w:rsid w:val="00CC2BFD"/>
    <w:rsid w:val="00CD3476"/>
    <w:rsid w:val="00CD42D4"/>
    <w:rsid w:val="00CD64DF"/>
    <w:rsid w:val="00CD6838"/>
    <w:rsid w:val="00CE17E2"/>
    <w:rsid w:val="00CF2F50"/>
    <w:rsid w:val="00CF35FC"/>
    <w:rsid w:val="00D025CB"/>
    <w:rsid w:val="00D02919"/>
    <w:rsid w:val="00D04C61"/>
    <w:rsid w:val="00D05B8D"/>
    <w:rsid w:val="00D065A2"/>
    <w:rsid w:val="00D07F00"/>
    <w:rsid w:val="00D17B72"/>
    <w:rsid w:val="00D3084E"/>
    <w:rsid w:val="00D3185C"/>
    <w:rsid w:val="00D33E72"/>
    <w:rsid w:val="00D35BD6"/>
    <w:rsid w:val="00D361B5"/>
    <w:rsid w:val="00D411A2"/>
    <w:rsid w:val="00D45CB7"/>
    <w:rsid w:val="00D4606D"/>
    <w:rsid w:val="00D50B9C"/>
    <w:rsid w:val="00D52D73"/>
    <w:rsid w:val="00D52E58"/>
    <w:rsid w:val="00D714CC"/>
    <w:rsid w:val="00D75EA7"/>
    <w:rsid w:val="00D81F21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33C0"/>
    <w:rsid w:val="00DF3A5C"/>
    <w:rsid w:val="00DF5528"/>
    <w:rsid w:val="00DF68C7"/>
    <w:rsid w:val="00DF731A"/>
    <w:rsid w:val="00E170DC"/>
    <w:rsid w:val="00E26818"/>
    <w:rsid w:val="00E27FFC"/>
    <w:rsid w:val="00E30B15"/>
    <w:rsid w:val="00E40181"/>
    <w:rsid w:val="00E4075C"/>
    <w:rsid w:val="00E41300"/>
    <w:rsid w:val="00E56A01"/>
    <w:rsid w:val="00E629A1"/>
    <w:rsid w:val="00E6794C"/>
    <w:rsid w:val="00E71591"/>
    <w:rsid w:val="00E82C55"/>
    <w:rsid w:val="00E92AC3"/>
    <w:rsid w:val="00EA1ABB"/>
    <w:rsid w:val="00EB00E0"/>
    <w:rsid w:val="00EB3258"/>
    <w:rsid w:val="00EC059F"/>
    <w:rsid w:val="00EC1F24"/>
    <w:rsid w:val="00EC22F6"/>
    <w:rsid w:val="00EC3495"/>
    <w:rsid w:val="00ED1702"/>
    <w:rsid w:val="00ED5B9B"/>
    <w:rsid w:val="00ED6BAD"/>
    <w:rsid w:val="00ED7447"/>
    <w:rsid w:val="00EE0A89"/>
    <w:rsid w:val="00EE1488"/>
    <w:rsid w:val="00EE4D5D"/>
    <w:rsid w:val="00EE5131"/>
    <w:rsid w:val="00EF109B"/>
    <w:rsid w:val="00EF36AF"/>
    <w:rsid w:val="00F00F9C"/>
    <w:rsid w:val="00F01E5F"/>
    <w:rsid w:val="00F02ABA"/>
    <w:rsid w:val="00F03CD5"/>
    <w:rsid w:val="00F040D6"/>
    <w:rsid w:val="00F0437A"/>
    <w:rsid w:val="00F11037"/>
    <w:rsid w:val="00F16F1B"/>
    <w:rsid w:val="00F250A9"/>
    <w:rsid w:val="00F30FF4"/>
    <w:rsid w:val="00F3122E"/>
    <w:rsid w:val="00F329EA"/>
    <w:rsid w:val="00F331AD"/>
    <w:rsid w:val="00F35287"/>
    <w:rsid w:val="00F43A37"/>
    <w:rsid w:val="00F44638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362B"/>
    <w:rsid w:val="00FB4769"/>
    <w:rsid w:val="00FB4CDA"/>
    <w:rsid w:val="00FC0F81"/>
    <w:rsid w:val="00FC395C"/>
    <w:rsid w:val="00FD037B"/>
    <w:rsid w:val="00FD3766"/>
    <w:rsid w:val="00FD47C4"/>
    <w:rsid w:val="00FE2DCF"/>
    <w:rsid w:val="00FF2FCE"/>
    <w:rsid w:val="00FF4F7D"/>
    <w:rsid w:val="00FF5343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7333AC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0">
    <w:name w:val="DHHS bullet 1"/>
    <w:basedOn w:val="DHHSbody"/>
    <w:link w:val="DHHSbullet1Char"/>
    <w:uiPriority w:val="99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99"/>
    <w:qFormat/>
    <w:rsid w:val="0051568D"/>
    <w:pPr>
      <w:numPr>
        <w:ilvl w:val="2"/>
        <w:numId w:val="7"/>
      </w:numPr>
      <w:spacing w:after="40"/>
    </w:pPr>
  </w:style>
  <w:style w:type="character" w:customStyle="1" w:styleId="DHHSbodyChar">
    <w:name w:val="DHHS body Char"/>
    <w:link w:val="DHHSbody"/>
    <w:rsid w:val="007333AC"/>
    <w:rPr>
      <w:rFonts w:ascii="Arial" w:eastAsia="Times" w:hAnsi="Arial"/>
      <w:lang w:eastAsia="en-US"/>
    </w:rPr>
  </w:style>
  <w:style w:type="paragraph" w:customStyle="1" w:styleId="DHHSBody0">
    <w:name w:val="DHHS Body"/>
    <w:basedOn w:val="DHHSbody"/>
    <w:link w:val="DHHSBodyChar0"/>
    <w:qFormat/>
    <w:rsid w:val="007333AC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99"/>
    <w:qFormat/>
    <w:rsid w:val="0051568D"/>
    <w:pPr>
      <w:numPr>
        <w:ilvl w:val="6"/>
        <w:numId w:val="7"/>
      </w:numPr>
    </w:pPr>
  </w:style>
  <w:style w:type="character" w:customStyle="1" w:styleId="DHHSBodyChar0">
    <w:name w:val="DHHS Body Char"/>
    <w:link w:val="DHHSBody0"/>
    <w:rsid w:val="007333AC"/>
    <w:rPr>
      <w:rFonts w:ascii="Arial" w:eastAsia="Times" w:hAnsi="Arial"/>
      <w:lang w:eastAsia="en-US"/>
    </w:rPr>
  </w:style>
  <w:style w:type="character" w:customStyle="1" w:styleId="DHHSbullet1Char">
    <w:name w:val="DHHS bullet 1 Char"/>
    <w:link w:val="DHHSbullet10"/>
    <w:uiPriority w:val="99"/>
    <w:rsid w:val="007333AC"/>
    <w:rPr>
      <w:rFonts w:ascii="Arial" w:eastAsia="Times" w:hAnsi="Arial"/>
      <w:lang w:eastAsia="en-US"/>
    </w:r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99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0"/>
    <w:uiPriority w:val="99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99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99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s1">
    <w:name w:val="s1"/>
    <w:rsid w:val="00F03CD5"/>
  </w:style>
  <w:style w:type="paragraph" w:styleId="BalloonText">
    <w:name w:val="Balloon Text"/>
    <w:basedOn w:val="Normal"/>
    <w:link w:val="BalloonTextChar"/>
    <w:uiPriority w:val="99"/>
    <w:semiHidden/>
    <w:unhideWhenUsed/>
    <w:rsid w:val="00D4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B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83B"/>
    <w:rPr>
      <w:rFonts w:ascii="Arial" w:hAnsi="Arial" w:cs="Arial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F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FB7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FB7"/>
    <w:rPr>
      <w:rFonts w:ascii="Cambria" w:hAnsi="Cambria"/>
      <w:b/>
      <w:bCs/>
      <w:lang w:eastAsia="en-US"/>
    </w:rPr>
  </w:style>
  <w:style w:type="paragraph" w:customStyle="1" w:styleId="DHHSBullet1">
    <w:name w:val="DHHS Bullet 1"/>
    <w:basedOn w:val="DHHSbullet10"/>
    <w:link w:val="DHHSBullet1Char0"/>
    <w:qFormat/>
    <w:rsid w:val="00333062"/>
    <w:pPr>
      <w:numPr>
        <w:numId w:val="5"/>
      </w:numPr>
    </w:pPr>
  </w:style>
  <w:style w:type="paragraph" w:customStyle="1" w:styleId="DHHSBullet1last">
    <w:name w:val="DHHS Bullet 1 last"/>
    <w:basedOn w:val="DHHSbullet1lastline"/>
    <w:link w:val="DHHSBullet1lastChar"/>
    <w:qFormat/>
    <w:rsid w:val="00333062"/>
    <w:pPr>
      <w:numPr>
        <w:numId w:val="5"/>
      </w:numPr>
    </w:pPr>
  </w:style>
  <w:style w:type="character" w:customStyle="1" w:styleId="DHHSBullet1Char0">
    <w:name w:val="DHHS Bullet 1 Char"/>
    <w:basedOn w:val="DHHSbullet1Char"/>
    <w:link w:val="DHHSBullet1"/>
    <w:rsid w:val="00333062"/>
    <w:rPr>
      <w:rFonts w:ascii="Arial" w:eastAsia="Times" w:hAnsi="Arial"/>
      <w:lang w:eastAsia="en-US"/>
    </w:rPr>
  </w:style>
  <w:style w:type="character" w:customStyle="1" w:styleId="DHHSBullet1lastChar">
    <w:name w:val="DHHS Bullet 1 last Char"/>
    <w:basedOn w:val="DHHSbullet1Char"/>
    <w:link w:val="DHHSBullet1last"/>
    <w:rsid w:val="00333062"/>
    <w:rPr>
      <w:rFonts w:ascii="Arial" w:eastAsia="Times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7333AC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0">
    <w:name w:val="DHHS bullet 1"/>
    <w:basedOn w:val="DHHSbody"/>
    <w:link w:val="DHHSbullet1Char"/>
    <w:uiPriority w:val="99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99"/>
    <w:qFormat/>
    <w:rsid w:val="0051568D"/>
    <w:pPr>
      <w:numPr>
        <w:ilvl w:val="2"/>
        <w:numId w:val="7"/>
      </w:numPr>
      <w:spacing w:after="40"/>
    </w:pPr>
  </w:style>
  <w:style w:type="character" w:customStyle="1" w:styleId="DHHSbodyChar">
    <w:name w:val="DHHS body Char"/>
    <w:link w:val="DHHSbody"/>
    <w:rsid w:val="007333AC"/>
    <w:rPr>
      <w:rFonts w:ascii="Arial" w:eastAsia="Times" w:hAnsi="Arial"/>
      <w:lang w:eastAsia="en-US"/>
    </w:rPr>
  </w:style>
  <w:style w:type="paragraph" w:customStyle="1" w:styleId="DHHSBody0">
    <w:name w:val="DHHS Body"/>
    <w:basedOn w:val="DHHSbody"/>
    <w:link w:val="DHHSBodyChar0"/>
    <w:qFormat/>
    <w:rsid w:val="007333AC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99"/>
    <w:qFormat/>
    <w:rsid w:val="0051568D"/>
    <w:pPr>
      <w:numPr>
        <w:ilvl w:val="6"/>
        <w:numId w:val="7"/>
      </w:numPr>
    </w:pPr>
  </w:style>
  <w:style w:type="character" w:customStyle="1" w:styleId="DHHSBodyChar0">
    <w:name w:val="DHHS Body Char"/>
    <w:link w:val="DHHSBody0"/>
    <w:rsid w:val="007333AC"/>
    <w:rPr>
      <w:rFonts w:ascii="Arial" w:eastAsia="Times" w:hAnsi="Arial"/>
      <w:lang w:eastAsia="en-US"/>
    </w:rPr>
  </w:style>
  <w:style w:type="character" w:customStyle="1" w:styleId="DHHSbullet1Char">
    <w:name w:val="DHHS bullet 1 Char"/>
    <w:link w:val="DHHSbullet10"/>
    <w:uiPriority w:val="99"/>
    <w:rsid w:val="007333AC"/>
    <w:rPr>
      <w:rFonts w:ascii="Arial" w:eastAsia="Times" w:hAnsi="Arial"/>
      <w:lang w:eastAsia="en-US"/>
    </w:r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99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0"/>
    <w:uiPriority w:val="99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99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99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s1">
    <w:name w:val="s1"/>
    <w:rsid w:val="00F03CD5"/>
  </w:style>
  <w:style w:type="paragraph" w:styleId="BalloonText">
    <w:name w:val="Balloon Text"/>
    <w:basedOn w:val="Normal"/>
    <w:link w:val="BalloonTextChar"/>
    <w:uiPriority w:val="99"/>
    <w:semiHidden/>
    <w:unhideWhenUsed/>
    <w:rsid w:val="00D4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B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83B"/>
    <w:rPr>
      <w:rFonts w:ascii="Arial" w:hAnsi="Arial" w:cs="Arial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F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FB7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FB7"/>
    <w:rPr>
      <w:rFonts w:ascii="Cambria" w:hAnsi="Cambria"/>
      <w:b/>
      <w:bCs/>
      <w:lang w:eastAsia="en-US"/>
    </w:rPr>
  </w:style>
  <w:style w:type="paragraph" w:customStyle="1" w:styleId="DHHSBullet1">
    <w:name w:val="DHHS Bullet 1"/>
    <w:basedOn w:val="DHHSbullet10"/>
    <w:link w:val="DHHSBullet1Char0"/>
    <w:qFormat/>
    <w:rsid w:val="00333062"/>
    <w:pPr>
      <w:numPr>
        <w:numId w:val="5"/>
      </w:numPr>
    </w:pPr>
  </w:style>
  <w:style w:type="paragraph" w:customStyle="1" w:styleId="DHHSBullet1last">
    <w:name w:val="DHHS Bullet 1 last"/>
    <w:basedOn w:val="DHHSbullet1lastline"/>
    <w:link w:val="DHHSBullet1lastChar"/>
    <w:qFormat/>
    <w:rsid w:val="00333062"/>
    <w:pPr>
      <w:numPr>
        <w:numId w:val="5"/>
      </w:numPr>
    </w:pPr>
  </w:style>
  <w:style w:type="character" w:customStyle="1" w:styleId="DHHSBullet1Char0">
    <w:name w:val="DHHS Bullet 1 Char"/>
    <w:basedOn w:val="DHHSbullet1Char"/>
    <w:link w:val="DHHSBullet1"/>
    <w:rsid w:val="00333062"/>
    <w:rPr>
      <w:rFonts w:ascii="Arial" w:eastAsia="Times" w:hAnsi="Arial"/>
      <w:lang w:eastAsia="en-US"/>
    </w:rPr>
  </w:style>
  <w:style w:type="character" w:customStyle="1" w:styleId="DHHSBullet1lastChar">
    <w:name w:val="DHHS Bullet 1 last Char"/>
    <w:basedOn w:val="DHHSbullet1Char"/>
    <w:link w:val="DHHSBullet1last"/>
    <w:rsid w:val="00333062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2.health.vic.gov.au/alcohol-and-drugs/aod-service-standards-guidelines/aod-program-guidelin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2.health.vic.gov.au/alcohol-and-drugs/aod-treatment-services/aod-residential-treatment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file:///\\N060\GROUP\Drug%20Policy%20and%20Services\Design%20&amp;%20Development\Guidelines\2017%20Guidelines%20review\www.directline.org.au\service-finder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N060\GROUP\Drug%20Policy%20and%20Services\Strategy%20&amp;%20Policy\Aspex%20review\Communications\Fact%20sheets\Clients\www.directline.org.au" TargetMode="External"/><Relationship Id="rId20" Type="http://schemas.openxmlformats.org/officeDocument/2006/relationships/hyperlink" Target="mailto:aod.enquiries@dhhs.vic.gov.au?subject=Request%20for%20accessible%20format%20-%20intake%20and%20assessment%20factsheet%20for%20client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2.health.vic.gov.au/alcohol-and-drugs/aod-treatment-services/aod-residential-treatmen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4%20Green%2077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04 Green 7726.dot</Template>
  <TotalTime>199</TotalTime>
  <Pages>4</Pages>
  <Words>1068</Words>
  <Characters>7883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8934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 Allison (DHHS)</dc:creator>
  <cp:lastModifiedBy>Kristal Allison (DHHS)</cp:lastModifiedBy>
  <cp:revision>21</cp:revision>
  <cp:lastPrinted>2015-08-21T03:17:00Z</cp:lastPrinted>
  <dcterms:created xsi:type="dcterms:W3CDTF">2018-03-18T23:51:00Z</dcterms:created>
  <dcterms:modified xsi:type="dcterms:W3CDTF">2018-03-21T04:52:00Z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