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21BA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6A8F06CE" wp14:editId="0C0504F3">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2F3CB48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E8E4EE3" w14:textId="77777777" w:rsidTr="00C832AB">
        <w:tc>
          <w:tcPr>
            <w:tcW w:w="0" w:type="auto"/>
            <w:tcMar>
              <w:top w:w="1588" w:type="dxa"/>
              <w:left w:w="0" w:type="dxa"/>
              <w:right w:w="0" w:type="dxa"/>
            </w:tcMar>
          </w:tcPr>
          <w:p w14:paraId="46E79D67" w14:textId="777000D3" w:rsidR="003B5733" w:rsidRPr="003B5733" w:rsidRDefault="00D4598E" w:rsidP="003B5733">
            <w:pPr>
              <w:pStyle w:val="Documenttitle"/>
            </w:pPr>
            <w:r>
              <w:t>Cemetery Sector Governance Support Program newsletter</w:t>
            </w:r>
          </w:p>
        </w:tc>
      </w:tr>
      <w:tr w:rsidR="003B5733" w14:paraId="4D2B3F9D" w14:textId="77777777" w:rsidTr="005F44C0">
        <w:tc>
          <w:tcPr>
            <w:tcW w:w="0" w:type="auto"/>
          </w:tcPr>
          <w:p w14:paraId="74752577" w14:textId="41425DC4" w:rsidR="003B5733" w:rsidRPr="00A1389F" w:rsidRDefault="00D4598E" w:rsidP="005F44C0">
            <w:pPr>
              <w:pStyle w:val="Documentsubtitle"/>
            </w:pPr>
            <w:r>
              <w:t>Edition 1, 2021</w:t>
            </w:r>
          </w:p>
        </w:tc>
      </w:tr>
      <w:tr w:rsidR="003B5733" w14:paraId="649828F9" w14:textId="77777777" w:rsidTr="005F44C0">
        <w:tc>
          <w:tcPr>
            <w:tcW w:w="0" w:type="auto"/>
          </w:tcPr>
          <w:p w14:paraId="0F344DC5" w14:textId="79370D28" w:rsidR="003B5733" w:rsidRDefault="003B5733" w:rsidP="005F44C0">
            <w:pPr>
              <w:pStyle w:val="Bannermarking"/>
            </w:pPr>
          </w:p>
        </w:tc>
      </w:tr>
    </w:tbl>
    <w:p w14:paraId="464E5C19" w14:textId="2A140CC2" w:rsidR="00D4598E" w:rsidRDefault="00D4598E" w:rsidP="00D4598E">
      <w:pPr>
        <w:pStyle w:val="Body"/>
      </w:pPr>
    </w:p>
    <w:p w14:paraId="5FF4F19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A662DBD" w14:textId="42FF20FF" w:rsidR="00D4598E" w:rsidRPr="000F7AFE" w:rsidRDefault="00D4598E" w:rsidP="000F7AFE">
      <w:pPr>
        <w:spacing w:before="320" w:after="200"/>
        <w:rPr>
          <w:color w:val="53565A"/>
          <w:sz w:val="40"/>
          <w:szCs w:val="40"/>
        </w:rPr>
      </w:pPr>
      <w:r w:rsidRPr="000F7AFE">
        <w:rPr>
          <w:color w:val="53565A"/>
          <w:sz w:val="40"/>
          <w:szCs w:val="40"/>
        </w:rPr>
        <w:t>In this issue</w:t>
      </w:r>
    </w:p>
    <w:bookmarkStart w:id="0" w:name="_Toc56166584"/>
    <w:p w14:paraId="1D3269BF" w14:textId="042FEEB3" w:rsidR="00632786" w:rsidRDefault="000F7AFE">
      <w:pPr>
        <w:pStyle w:val="TOC1"/>
        <w:rPr>
          <w:rFonts w:asciiTheme="minorHAnsi" w:eastAsiaTheme="minorEastAsia" w:hAnsiTheme="minorHAnsi" w:cstheme="minorBidi"/>
          <w:b w:val="0"/>
          <w:sz w:val="22"/>
          <w:szCs w:val="22"/>
          <w:lang w:eastAsia="en-AU"/>
        </w:rPr>
      </w:pPr>
      <w:r>
        <w:rPr>
          <w:b w:val="0"/>
          <w:bCs/>
        </w:rPr>
        <w:fldChar w:fldCharType="begin"/>
      </w:r>
      <w:r>
        <w:rPr>
          <w:b w:val="0"/>
          <w:bCs/>
        </w:rPr>
        <w:instrText xml:space="preserve"> TOC \o "1-1" \h \z \u </w:instrText>
      </w:r>
      <w:r>
        <w:rPr>
          <w:b w:val="0"/>
          <w:bCs/>
        </w:rPr>
        <w:fldChar w:fldCharType="separate"/>
      </w:r>
      <w:hyperlink w:anchor="_Toc66979378" w:history="1">
        <w:r w:rsidR="00632786" w:rsidRPr="00CC6563">
          <w:rPr>
            <w:rStyle w:val="Hyperlink"/>
          </w:rPr>
          <w:t>Contact us</w:t>
        </w:r>
        <w:r w:rsidR="00632786">
          <w:rPr>
            <w:webHidden/>
          </w:rPr>
          <w:tab/>
        </w:r>
        <w:r w:rsidR="00632786">
          <w:rPr>
            <w:webHidden/>
          </w:rPr>
          <w:fldChar w:fldCharType="begin"/>
        </w:r>
        <w:r w:rsidR="00632786">
          <w:rPr>
            <w:webHidden/>
          </w:rPr>
          <w:instrText xml:space="preserve"> PAGEREF _Toc66979378 \h </w:instrText>
        </w:r>
        <w:r w:rsidR="00632786">
          <w:rPr>
            <w:webHidden/>
          </w:rPr>
        </w:r>
        <w:r w:rsidR="00632786">
          <w:rPr>
            <w:webHidden/>
          </w:rPr>
          <w:fldChar w:fldCharType="separate"/>
        </w:r>
        <w:r w:rsidR="00632786">
          <w:rPr>
            <w:webHidden/>
          </w:rPr>
          <w:t>1</w:t>
        </w:r>
        <w:r w:rsidR="00632786">
          <w:rPr>
            <w:webHidden/>
          </w:rPr>
          <w:fldChar w:fldCharType="end"/>
        </w:r>
      </w:hyperlink>
    </w:p>
    <w:p w14:paraId="320F78B0" w14:textId="65E5DD60" w:rsidR="00632786" w:rsidRDefault="00A972BF">
      <w:pPr>
        <w:pStyle w:val="TOC1"/>
        <w:rPr>
          <w:rFonts w:asciiTheme="minorHAnsi" w:eastAsiaTheme="minorEastAsia" w:hAnsiTheme="minorHAnsi" w:cstheme="minorBidi"/>
          <w:b w:val="0"/>
          <w:sz w:val="22"/>
          <w:szCs w:val="22"/>
          <w:lang w:eastAsia="en-AU"/>
        </w:rPr>
      </w:pPr>
      <w:hyperlink w:anchor="_Toc66979379" w:history="1">
        <w:r w:rsidR="00632786" w:rsidRPr="00CC6563">
          <w:rPr>
            <w:rStyle w:val="Hyperlink"/>
          </w:rPr>
          <w:t>Welcome</w:t>
        </w:r>
        <w:r w:rsidR="00632786">
          <w:rPr>
            <w:webHidden/>
          </w:rPr>
          <w:tab/>
        </w:r>
        <w:r w:rsidR="00632786">
          <w:rPr>
            <w:webHidden/>
          </w:rPr>
          <w:fldChar w:fldCharType="begin"/>
        </w:r>
        <w:r w:rsidR="00632786">
          <w:rPr>
            <w:webHidden/>
          </w:rPr>
          <w:instrText xml:space="preserve"> PAGEREF _Toc66979379 \h </w:instrText>
        </w:r>
        <w:r w:rsidR="00632786">
          <w:rPr>
            <w:webHidden/>
          </w:rPr>
        </w:r>
        <w:r w:rsidR="00632786">
          <w:rPr>
            <w:webHidden/>
          </w:rPr>
          <w:fldChar w:fldCharType="separate"/>
        </w:r>
        <w:r w:rsidR="00632786">
          <w:rPr>
            <w:webHidden/>
          </w:rPr>
          <w:t>1</w:t>
        </w:r>
        <w:r w:rsidR="00632786">
          <w:rPr>
            <w:webHidden/>
          </w:rPr>
          <w:fldChar w:fldCharType="end"/>
        </w:r>
      </w:hyperlink>
    </w:p>
    <w:p w14:paraId="1695C98A" w14:textId="38201C13" w:rsidR="00632786" w:rsidRDefault="00A972BF">
      <w:pPr>
        <w:pStyle w:val="TOC1"/>
        <w:rPr>
          <w:rFonts w:asciiTheme="minorHAnsi" w:eastAsiaTheme="minorEastAsia" w:hAnsiTheme="minorHAnsi" w:cstheme="minorBidi"/>
          <w:b w:val="0"/>
          <w:sz w:val="22"/>
          <w:szCs w:val="22"/>
          <w:lang w:eastAsia="en-AU"/>
        </w:rPr>
      </w:pPr>
      <w:hyperlink w:anchor="_Toc66979380" w:history="1">
        <w:r w:rsidR="00632786" w:rsidRPr="00CC6563">
          <w:rPr>
            <w:rStyle w:val="Hyperlink"/>
          </w:rPr>
          <w:t>Donating trust funds</w:t>
        </w:r>
        <w:r w:rsidR="00632786">
          <w:rPr>
            <w:webHidden/>
          </w:rPr>
          <w:tab/>
        </w:r>
        <w:r w:rsidR="00632786">
          <w:rPr>
            <w:webHidden/>
          </w:rPr>
          <w:fldChar w:fldCharType="begin"/>
        </w:r>
        <w:r w:rsidR="00632786">
          <w:rPr>
            <w:webHidden/>
          </w:rPr>
          <w:instrText xml:space="preserve"> PAGEREF _Toc66979380 \h </w:instrText>
        </w:r>
        <w:r w:rsidR="00632786">
          <w:rPr>
            <w:webHidden/>
          </w:rPr>
        </w:r>
        <w:r w:rsidR="00632786">
          <w:rPr>
            <w:webHidden/>
          </w:rPr>
          <w:fldChar w:fldCharType="separate"/>
        </w:r>
        <w:r w:rsidR="00632786">
          <w:rPr>
            <w:webHidden/>
          </w:rPr>
          <w:t>1</w:t>
        </w:r>
        <w:r w:rsidR="00632786">
          <w:rPr>
            <w:webHidden/>
          </w:rPr>
          <w:fldChar w:fldCharType="end"/>
        </w:r>
      </w:hyperlink>
    </w:p>
    <w:p w14:paraId="0B615F32" w14:textId="475DD6A3" w:rsidR="00632786" w:rsidRDefault="00A972BF">
      <w:pPr>
        <w:pStyle w:val="TOC1"/>
        <w:rPr>
          <w:rFonts w:asciiTheme="minorHAnsi" w:eastAsiaTheme="minorEastAsia" w:hAnsiTheme="minorHAnsi" w:cstheme="minorBidi"/>
          <w:b w:val="0"/>
          <w:sz w:val="22"/>
          <w:szCs w:val="22"/>
          <w:lang w:eastAsia="en-AU"/>
        </w:rPr>
      </w:pPr>
      <w:hyperlink w:anchor="_Toc66979381" w:history="1">
        <w:r w:rsidR="00632786" w:rsidRPr="00CC6563">
          <w:rPr>
            <w:rStyle w:val="Hyperlink"/>
          </w:rPr>
          <w:t>Data security reporting</w:t>
        </w:r>
        <w:r w:rsidR="00632786">
          <w:rPr>
            <w:webHidden/>
          </w:rPr>
          <w:tab/>
        </w:r>
        <w:r w:rsidR="00632786">
          <w:rPr>
            <w:webHidden/>
          </w:rPr>
          <w:fldChar w:fldCharType="begin"/>
        </w:r>
        <w:r w:rsidR="00632786">
          <w:rPr>
            <w:webHidden/>
          </w:rPr>
          <w:instrText xml:space="preserve"> PAGEREF _Toc66979381 \h </w:instrText>
        </w:r>
        <w:r w:rsidR="00632786">
          <w:rPr>
            <w:webHidden/>
          </w:rPr>
        </w:r>
        <w:r w:rsidR="00632786">
          <w:rPr>
            <w:webHidden/>
          </w:rPr>
          <w:fldChar w:fldCharType="separate"/>
        </w:r>
        <w:r w:rsidR="00632786">
          <w:rPr>
            <w:webHidden/>
          </w:rPr>
          <w:t>1</w:t>
        </w:r>
        <w:r w:rsidR="00632786">
          <w:rPr>
            <w:webHidden/>
          </w:rPr>
          <w:fldChar w:fldCharType="end"/>
        </w:r>
      </w:hyperlink>
    </w:p>
    <w:p w14:paraId="318DAD26" w14:textId="42006BA2" w:rsidR="00632786" w:rsidRDefault="00A972BF">
      <w:pPr>
        <w:pStyle w:val="TOC1"/>
        <w:rPr>
          <w:rFonts w:asciiTheme="minorHAnsi" w:eastAsiaTheme="minorEastAsia" w:hAnsiTheme="minorHAnsi" w:cstheme="minorBidi"/>
          <w:b w:val="0"/>
          <w:sz w:val="22"/>
          <w:szCs w:val="22"/>
          <w:lang w:eastAsia="en-AU"/>
        </w:rPr>
      </w:pPr>
      <w:hyperlink w:anchor="_Toc66979382" w:history="1">
        <w:r w:rsidR="00632786" w:rsidRPr="00CC6563">
          <w:rPr>
            <w:rStyle w:val="Hyperlink"/>
          </w:rPr>
          <w:t>Class B appointments</w:t>
        </w:r>
        <w:r w:rsidR="00632786">
          <w:rPr>
            <w:webHidden/>
          </w:rPr>
          <w:tab/>
        </w:r>
        <w:r w:rsidR="00632786">
          <w:rPr>
            <w:webHidden/>
          </w:rPr>
          <w:fldChar w:fldCharType="begin"/>
        </w:r>
        <w:r w:rsidR="00632786">
          <w:rPr>
            <w:webHidden/>
          </w:rPr>
          <w:instrText xml:space="preserve"> PAGEREF _Toc66979382 \h </w:instrText>
        </w:r>
        <w:r w:rsidR="00632786">
          <w:rPr>
            <w:webHidden/>
          </w:rPr>
        </w:r>
        <w:r w:rsidR="00632786">
          <w:rPr>
            <w:webHidden/>
          </w:rPr>
          <w:fldChar w:fldCharType="separate"/>
        </w:r>
        <w:r w:rsidR="00632786">
          <w:rPr>
            <w:webHidden/>
          </w:rPr>
          <w:t>2</w:t>
        </w:r>
        <w:r w:rsidR="00632786">
          <w:rPr>
            <w:webHidden/>
          </w:rPr>
          <w:fldChar w:fldCharType="end"/>
        </w:r>
      </w:hyperlink>
    </w:p>
    <w:p w14:paraId="2338562F" w14:textId="78054CF6" w:rsidR="00632786" w:rsidRDefault="00A972BF">
      <w:pPr>
        <w:pStyle w:val="TOC1"/>
        <w:rPr>
          <w:rFonts w:asciiTheme="minorHAnsi" w:eastAsiaTheme="minorEastAsia" w:hAnsiTheme="minorHAnsi" w:cstheme="minorBidi"/>
          <w:b w:val="0"/>
          <w:sz w:val="22"/>
          <w:szCs w:val="22"/>
          <w:lang w:eastAsia="en-AU"/>
        </w:rPr>
      </w:pPr>
      <w:hyperlink w:anchor="_Toc66979383" w:history="1">
        <w:r w:rsidR="00632786" w:rsidRPr="00CC6563">
          <w:rPr>
            <w:rStyle w:val="Hyperlink"/>
          </w:rPr>
          <w:t>Performance Support Program</w:t>
        </w:r>
        <w:r w:rsidR="00632786">
          <w:rPr>
            <w:webHidden/>
          </w:rPr>
          <w:tab/>
        </w:r>
        <w:r w:rsidR="00632786">
          <w:rPr>
            <w:webHidden/>
          </w:rPr>
          <w:fldChar w:fldCharType="begin"/>
        </w:r>
        <w:r w:rsidR="00632786">
          <w:rPr>
            <w:webHidden/>
          </w:rPr>
          <w:instrText xml:space="preserve"> PAGEREF _Toc66979383 \h </w:instrText>
        </w:r>
        <w:r w:rsidR="00632786">
          <w:rPr>
            <w:webHidden/>
          </w:rPr>
        </w:r>
        <w:r w:rsidR="00632786">
          <w:rPr>
            <w:webHidden/>
          </w:rPr>
          <w:fldChar w:fldCharType="separate"/>
        </w:r>
        <w:r w:rsidR="00632786">
          <w:rPr>
            <w:webHidden/>
          </w:rPr>
          <w:t>3</w:t>
        </w:r>
        <w:r w:rsidR="00632786">
          <w:rPr>
            <w:webHidden/>
          </w:rPr>
          <w:fldChar w:fldCharType="end"/>
        </w:r>
      </w:hyperlink>
    </w:p>
    <w:p w14:paraId="434F1893" w14:textId="1F45FE06" w:rsidR="00632786" w:rsidRDefault="00A972BF">
      <w:pPr>
        <w:pStyle w:val="TOC1"/>
        <w:rPr>
          <w:rFonts w:asciiTheme="minorHAnsi" w:eastAsiaTheme="minorEastAsia" w:hAnsiTheme="minorHAnsi" w:cstheme="minorBidi"/>
          <w:b w:val="0"/>
          <w:sz w:val="22"/>
          <w:szCs w:val="22"/>
          <w:lang w:eastAsia="en-AU"/>
        </w:rPr>
      </w:pPr>
      <w:hyperlink w:anchor="_Toc66979384" w:history="1">
        <w:r w:rsidR="00632786" w:rsidRPr="00CC6563">
          <w:rPr>
            <w:rStyle w:val="Hyperlink"/>
          </w:rPr>
          <w:t>Cemetery Grants Program</w:t>
        </w:r>
        <w:r w:rsidR="00632786">
          <w:rPr>
            <w:webHidden/>
          </w:rPr>
          <w:tab/>
        </w:r>
        <w:r w:rsidR="00632786">
          <w:rPr>
            <w:webHidden/>
          </w:rPr>
          <w:fldChar w:fldCharType="begin"/>
        </w:r>
        <w:r w:rsidR="00632786">
          <w:rPr>
            <w:webHidden/>
          </w:rPr>
          <w:instrText xml:space="preserve"> PAGEREF _Toc66979384 \h </w:instrText>
        </w:r>
        <w:r w:rsidR="00632786">
          <w:rPr>
            <w:webHidden/>
          </w:rPr>
        </w:r>
        <w:r w:rsidR="00632786">
          <w:rPr>
            <w:webHidden/>
          </w:rPr>
          <w:fldChar w:fldCharType="separate"/>
        </w:r>
        <w:r w:rsidR="00632786">
          <w:rPr>
            <w:webHidden/>
          </w:rPr>
          <w:t>3</w:t>
        </w:r>
        <w:r w:rsidR="00632786">
          <w:rPr>
            <w:webHidden/>
          </w:rPr>
          <w:fldChar w:fldCharType="end"/>
        </w:r>
      </w:hyperlink>
    </w:p>
    <w:p w14:paraId="4C6E8E87" w14:textId="10CC05F3" w:rsidR="00632786" w:rsidRDefault="00A972BF">
      <w:pPr>
        <w:pStyle w:val="TOC1"/>
        <w:rPr>
          <w:rFonts w:asciiTheme="minorHAnsi" w:eastAsiaTheme="minorEastAsia" w:hAnsiTheme="minorHAnsi" w:cstheme="minorBidi"/>
          <w:b w:val="0"/>
          <w:sz w:val="22"/>
          <w:szCs w:val="22"/>
          <w:lang w:eastAsia="en-AU"/>
        </w:rPr>
      </w:pPr>
      <w:hyperlink w:anchor="_Toc66979385" w:history="1">
        <w:r w:rsidR="00632786" w:rsidRPr="00CC6563">
          <w:rPr>
            <w:rStyle w:val="Hyperlink"/>
          </w:rPr>
          <w:t>CPI increase to fees effective 1 July 2021</w:t>
        </w:r>
        <w:r w:rsidR="00632786">
          <w:rPr>
            <w:webHidden/>
          </w:rPr>
          <w:tab/>
        </w:r>
        <w:r w:rsidR="00632786">
          <w:rPr>
            <w:webHidden/>
          </w:rPr>
          <w:fldChar w:fldCharType="begin"/>
        </w:r>
        <w:r w:rsidR="00632786">
          <w:rPr>
            <w:webHidden/>
          </w:rPr>
          <w:instrText xml:space="preserve"> PAGEREF _Toc66979385 \h </w:instrText>
        </w:r>
        <w:r w:rsidR="00632786">
          <w:rPr>
            <w:webHidden/>
          </w:rPr>
        </w:r>
        <w:r w:rsidR="00632786">
          <w:rPr>
            <w:webHidden/>
          </w:rPr>
          <w:fldChar w:fldCharType="separate"/>
        </w:r>
        <w:r w:rsidR="00632786">
          <w:rPr>
            <w:webHidden/>
          </w:rPr>
          <w:t>4</w:t>
        </w:r>
        <w:r w:rsidR="00632786">
          <w:rPr>
            <w:webHidden/>
          </w:rPr>
          <w:fldChar w:fldCharType="end"/>
        </w:r>
      </w:hyperlink>
    </w:p>
    <w:p w14:paraId="485EA3B0" w14:textId="02F5F6F1" w:rsidR="00632786" w:rsidRDefault="00A972BF">
      <w:pPr>
        <w:pStyle w:val="TOC1"/>
        <w:rPr>
          <w:rFonts w:asciiTheme="minorHAnsi" w:eastAsiaTheme="minorEastAsia" w:hAnsiTheme="minorHAnsi" w:cstheme="minorBidi"/>
          <w:b w:val="0"/>
          <w:sz w:val="22"/>
          <w:szCs w:val="22"/>
          <w:lang w:eastAsia="en-AU"/>
        </w:rPr>
      </w:pPr>
      <w:hyperlink w:anchor="_Toc66979386" w:history="1">
        <w:r w:rsidR="00632786" w:rsidRPr="00CC6563">
          <w:rPr>
            <w:rStyle w:val="Hyperlink"/>
          </w:rPr>
          <w:t>Right of interment and interment register</w:t>
        </w:r>
        <w:r w:rsidR="00632786">
          <w:rPr>
            <w:webHidden/>
          </w:rPr>
          <w:tab/>
        </w:r>
        <w:r w:rsidR="00632786">
          <w:rPr>
            <w:webHidden/>
          </w:rPr>
          <w:fldChar w:fldCharType="begin"/>
        </w:r>
        <w:r w:rsidR="00632786">
          <w:rPr>
            <w:webHidden/>
          </w:rPr>
          <w:instrText xml:space="preserve"> PAGEREF _Toc66979386 \h </w:instrText>
        </w:r>
        <w:r w:rsidR="00632786">
          <w:rPr>
            <w:webHidden/>
          </w:rPr>
        </w:r>
        <w:r w:rsidR="00632786">
          <w:rPr>
            <w:webHidden/>
          </w:rPr>
          <w:fldChar w:fldCharType="separate"/>
        </w:r>
        <w:r w:rsidR="00632786">
          <w:rPr>
            <w:webHidden/>
          </w:rPr>
          <w:t>4</w:t>
        </w:r>
        <w:r w:rsidR="00632786">
          <w:rPr>
            <w:webHidden/>
          </w:rPr>
          <w:fldChar w:fldCharType="end"/>
        </w:r>
      </w:hyperlink>
    </w:p>
    <w:p w14:paraId="71BA7E30" w14:textId="69BFD9D6" w:rsidR="00632786" w:rsidRDefault="00A972BF">
      <w:pPr>
        <w:pStyle w:val="TOC1"/>
        <w:rPr>
          <w:rFonts w:asciiTheme="minorHAnsi" w:eastAsiaTheme="minorEastAsia" w:hAnsiTheme="minorHAnsi" w:cstheme="minorBidi"/>
          <w:b w:val="0"/>
          <w:sz w:val="22"/>
          <w:szCs w:val="22"/>
          <w:lang w:eastAsia="en-AU"/>
        </w:rPr>
      </w:pPr>
      <w:hyperlink w:anchor="_Toc66979387" w:history="1">
        <w:r w:rsidR="00632786" w:rsidRPr="00CC6563">
          <w:rPr>
            <w:rStyle w:val="Hyperlink"/>
          </w:rPr>
          <w:t>Governance and operational training</w:t>
        </w:r>
        <w:r w:rsidR="00632786">
          <w:rPr>
            <w:webHidden/>
          </w:rPr>
          <w:tab/>
        </w:r>
        <w:r w:rsidR="00632786">
          <w:rPr>
            <w:webHidden/>
          </w:rPr>
          <w:fldChar w:fldCharType="begin"/>
        </w:r>
        <w:r w:rsidR="00632786">
          <w:rPr>
            <w:webHidden/>
          </w:rPr>
          <w:instrText xml:space="preserve"> PAGEREF _Toc66979387 \h </w:instrText>
        </w:r>
        <w:r w:rsidR="00632786">
          <w:rPr>
            <w:webHidden/>
          </w:rPr>
        </w:r>
        <w:r w:rsidR="00632786">
          <w:rPr>
            <w:webHidden/>
          </w:rPr>
          <w:fldChar w:fldCharType="separate"/>
        </w:r>
        <w:r w:rsidR="00632786">
          <w:rPr>
            <w:webHidden/>
          </w:rPr>
          <w:t>4</w:t>
        </w:r>
        <w:r w:rsidR="00632786">
          <w:rPr>
            <w:webHidden/>
          </w:rPr>
          <w:fldChar w:fldCharType="end"/>
        </w:r>
      </w:hyperlink>
    </w:p>
    <w:p w14:paraId="1C185BB5" w14:textId="1A87DCD1" w:rsidR="00D4598E" w:rsidRDefault="000F7AFE" w:rsidP="00C61566">
      <w:pPr>
        <w:pStyle w:val="Heading1"/>
      </w:pPr>
      <w:r>
        <w:rPr>
          <w:rFonts w:eastAsia="Times New Roman" w:cs="Times New Roman"/>
          <w:b/>
          <w:bCs w:val="0"/>
          <w:noProof/>
          <w:color w:val="auto"/>
          <w:kern w:val="0"/>
          <w:sz w:val="21"/>
          <w:szCs w:val="20"/>
        </w:rPr>
        <w:fldChar w:fldCharType="end"/>
      </w:r>
      <w:bookmarkStart w:id="1" w:name="_Toc66979378"/>
      <w:r w:rsidR="00D4598E" w:rsidRPr="00BC5626">
        <w:t>Contact</w:t>
      </w:r>
      <w:r w:rsidR="00D4598E">
        <w:t xml:space="preserve"> us</w:t>
      </w:r>
      <w:bookmarkEnd w:id="0"/>
      <w:bookmarkEnd w:id="1"/>
    </w:p>
    <w:tbl>
      <w:tblPr>
        <w:tblStyle w:val="TableGrid"/>
        <w:tblW w:w="0" w:type="auto"/>
        <w:tblLook w:val="04A0" w:firstRow="1" w:lastRow="0" w:firstColumn="1" w:lastColumn="0" w:noHBand="0" w:noVBand="1"/>
      </w:tblPr>
      <w:tblGrid>
        <w:gridCol w:w="4922"/>
      </w:tblGrid>
      <w:tr w:rsidR="00D4598E" w14:paraId="5E0EF56C" w14:textId="77777777" w:rsidTr="00D869D2">
        <w:tc>
          <w:tcPr>
            <w:tcW w:w="4922" w:type="dxa"/>
            <w:tcBorders>
              <w:top w:val="nil"/>
              <w:left w:val="nil"/>
              <w:bottom w:val="nil"/>
              <w:right w:val="nil"/>
            </w:tcBorders>
            <w:shd w:val="clear" w:color="auto" w:fill="F2F2F2" w:themeFill="background1" w:themeFillShade="F2"/>
            <w:tcMar>
              <w:top w:w="113" w:type="dxa"/>
              <w:bottom w:w="113" w:type="dxa"/>
            </w:tcMar>
          </w:tcPr>
          <w:p w14:paraId="6D82E35A" w14:textId="77777777" w:rsidR="00D4598E" w:rsidRDefault="00D4598E" w:rsidP="00D057D2">
            <w:pPr>
              <w:pStyle w:val="Body"/>
            </w:pPr>
            <w:r>
              <w:t>Phone (</w:t>
            </w:r>
            <w:proofErr w:type="spellStart"/>
            <w:r>
              <w:t>freecall</w:t>
            </w:r>
            <w:proofErr w:type="spellEnd"/>
            <w:r>
              <w:t>) 1800 034 280</w:t>
            </w:r>
            <w:r>
              <w:br/>
              <w:t>Fax (03) 9096 9186</w:t>
            </w:r>
          </w:p>
          <w:p w14:paraId="5158E12A" w14:textId="6A6D03C5" w:rsidR="00D4598E" w:rsidRDefault="00A972BF" w:rsidP="00D057D2">
            <w:pPr>
              <w:pStyle w:val="Body"/>
            </w:pPr>
            <w:hyperlink r:id="rId19" w:history="1">
              <w:r w:rsidR="00D4598E" w:rsidRPr="007F164B">
                <w:rPr>
                  <w:rStyle w:val="Hyperlink"/>
                </w:rPr>
                <w:t>Email the Cemetery Sector Governance Support Program</w:t>
              </w:r>
            </w:hyperlink>
            <w:r w:rsidR="00D4598E">
              <w:t xml:space="preserve"> &lt;cemet</w:t>
            </w:r>
            <w:r w:rsidR="008345AE">
              <w:t>e</w:t>
            </w:r>
            <w:r w:rsidR="00D4598E">
              <w:t>ries@</w:t>
            </w:r>
            <w:r w:rsidR="008345AE">
              <w:t>health</w:t>
            </w:r>
            <w:r w:rsidR="00D4598E">
              <w:t>.vic.gov.au&gt;</w:t>
            </w:r>
          </w:p>
          <w:p w14:paraId="59C2F0A2" w14:textId="77777777" w:rsidR="00D4598E" w:rsidRDefault="00A972BF" w:rsidP="00D057D2">
            <w:pPr>
              <w:pStyle w:val="Body"/>
            </w:pPr>
            <w:hyperlink r:id="rId20" w:history="1">
              <w:r w:rsidR="00D4598E" w:rsidRPr="00242E8D">
                <w:rPr>
                  <w:rStyle w:val="Hyperlink"/>
                </w:rPr>
                <w:t>Visit the Cemeteries and Crematoria webpage</w:t>
              </w:r>
            </w:hyperlink>
            <w:r w:rsidR="00D4598E">
              <w:t xml:space="preserve"> &lt;</w:t>
            </w:r>
            <w:r w:rsidR="00D4598E" w:rsidRPr="00242E8D">
              <w:t>https://www2.health.vic.gov.au/public-health/cemeteries-and-crematoria</w:t>
            </w:r>
            <w:r w:rsidR="00D4598E">
              <w:t>&gt;</w:t>
            </w:r>
          </w:p>
          <w:p w14:paraId="269651AB" w14:textId="77777777" w:rsidR="00D4598E" w:rsidRPr="00D4598E" w:rsidRDefault="00D4598E" w:rsidP="00D4598E">
            <w:pPr>
              <w:pStyle w:val="Body"/>
              <w:rPr>
                <w:b/>
                <w:bCs/>
              </w:rPr>
            </w:pPr>
            <w:r w:rsidRPr="00D4598E">
              <w:rPr>
                <w:b/>
                <w:bCs/>
              </w:rPr>
              <w:t>Postal address</w:t>
            </w:r>
          </w:p>
          <w:p w14:paraId="6FC7C64A" w14:textId="04DF279C" w:rsidR="00D4598E" w:rsidRPr="00242E8D" w:rsidRDefault="00D4598E" w:rsidP="00D057D2">
            <w:pPr>
              <w:pStyle w:val="Body"/>
            </w:pPr>
            <w:r w:rsidRPr="00242E8D">
              <w:t>Cemetery Sector Governance Support</w:t>
            </w:r>
            <w:r>
              <w:t xml:space="preserve"> Program</w:t>
            </w:r>
            <w:r>
              <w:br/>
              <w:t xml:space="preserve">Department of Health </w:t>
            </w:r>
            <w:r>
              <w:br/>
              <w:t>PO Box 4057</w:t>
            </w:r>
            <w:r>
              <w:br/>
              <w:t>Melbourne VIC 3001</w:t>
            </w:r>
          </w:p>
        </w:tc>
      </w:tr>
    </w:tbl>
    <w:p w14:paraId="0FD25E47" w14:textId="77777777" w:rsidR="00D4598E" w:rsidRPr="00B57329" w:rsidRDefault="00D4598E" w:rsidP="00D4598E">
      <w:pPr>
        <w:pStyle w:val="Heading1"/>
      </w:pPr>
      <w:bookmarkStart w:id="2" w:name="_Toc56166585"/>
      <w:bookmarkStart w:id="3" w:name="_Toc66979379"/>
      <w:r>
        <w:t>Welcome</w:t>
      </w:r>
      <w:bookmarkEnd w:id="2"/>
      <w:bookmarkEnd w:id="3"/>
    </w:p>
    <w:p w14:paraId="14777481" w14:textId="77777777" w:rsidR="00D4598E" w:rsidRDefault="00D4598E" w:rsidP="00D057D2">
      <w:pPr>
        <w:pStyle w:val="Body"/>
      </w:pPr>
      <w:r>
        <w:t>Welcome to the Cemetery Sector Governance Support Program’s (the program) newsletter.</w:t>
      </w:r>
    </w:p>
    <w:p w14:paraId="31ADCD0C" w14:textId="19CEBD0E" w:rsidR="008C6A01" w:rsidRDefault="008C6A01" w:rsidP="008C6A01">
      <w:pPr>
        <w:pStyle w:val="Heading1"/>
      </w:pPr>
      <w:bookmarkStart w:id="4" w:name="_Toc66979380"/>
      <w:r>
        <w:t>Donating trust funds</w:t>
      </w:r>
      <w:bookmarkEnd w:id="4"/>
      <w:r>
        <w:t xml:space="preserve"> </w:t>
      </w:r>
    </w:p>
    <w:p w14:paraId="73A00C9D" w14:textId="4733C70F" w:rsidR="008C6A01" w:rsidRDefault="008C6A01" w:rsidP="00D057D2">
      <w:pPr>
        <w:pStyle w:val="Body"/>
      </w:pPr>
      <w:r>
        <w:t xml:space="preserve">Cemetery trusts cannot donate funds to charities or other not-for-profits. Providing donations is not within the scope of a cemetery trust’s functions as defined by the </w:t>
      </w:r>
      <w:r w:rsidRPr="00D869D2">
        <w:rPr>
          <w:i/>
          <w:iCs/>
        </w:rPr>
        <w:t xml:space="preserve">Cemeteries and Crematoria </w:t>
      </w:r>
      <w:r w:rsidRPr="00FC5CBD">
        <w:rPr>
          <w:i/>
          <w:iCs/>
        </w:rPr>
        <w:t>Act 2003</w:t>
      </w:r>
      <w:r>
        <w:rPr>
          <w:i/>
          <w:iCs/>
        </w:rPr>
        <w:t xml:space="preserve"> </w:t>
      </w:r>
      <w:r>
        <w:t xml:space="preserve">(the Act). The function of both </w:t>
      </w:r>
      <w:r w:rsidR="00FC5CBD">
        <w:t>C</w:t>
      </w:r>
      <w:r>
        <w:t xml:space="preserve">lass A and </w:t>
      </w:r>
      <w:r w:rsidR="00FC5CBD">
        <w:t>C</w:t>
      </w:r>
      <w:r>
        <w:t xml:space="preserve">lass B cemetery trusts is to properly and efficiently manage and maintain each public cemetery for which it is responsible. Although the Act gives cemetery trusts the power to spend money, trusts’ actions must be consistent with their functions </w:t>
      </w:r>
      <w:r w:rsidR="00AA4B3C">
        <w:t xml:space="preserve">under </w:t>
      </w:r>
      <w:r>
        <w:t xml:space="preserve">the Act. Trusts must also consider their obligations in relation to funding the perpetual maintenance of their public cemetery. </w:t>
      </w:r>
    </w:p>
    <w:p w14:paraId="5E10D945" w14:textId="5F322281" w:rsidR="008C6A01" w:rsidRDefault="008C6A01" w:rsidP="00D057D2">
      <w:pPr>
        <w:pStyle w:val="Body"/>
      </w:pPr>
      <w:r>
        <w:t xml:space="preserve">Cemetery trusts can receive donations from organisations or members of the </w:t>
      </w:r>
      <w:proofErr w:type="gramStart"/>
      <w:r>
        <w:t>public</w:t>
      </w:r>
      <w:r w:rsidR="00FC5CBD">
        <w:t>,</w:t>
      </w:r>
      <w:proofErr w:type="gramEnd"/>
      <w:r>
        <w:t xml:space="preserve"> however</w:t>
      </w:r>
      <w:r w:rsidR="006150E7">
        <w:t>,</w:t>
      </w:r>
      <w:r>
        <w:t xml:space="preserve"> the donor should be aware that donations to cemetery trusts are not tax-deductible.</w:t>
      </w:r>
    </w:p>
    <w:p w14:paraId="770E7D6A" w14:textId="7CF116C4" w:rsidR="00D4598E" w:rsidRDefault="00D4598E" w:rsidP="00D4598E">
      <w:pPr>
        <w:pStyle w:val="Heading1"/>
      </w:pPr>
      <w:bookmarkStart w:id="5" w:name="_Toc66979381"/>
      <w:r>
        <w:t>Data security reporting</w:t>
      </w:r>
      <w:bookmarkEnd w:id="5"/>
    </w:p>
    <w:p w14:paraId="01EE5335" w14:textId="6E5B7CD2" w:rsidR="00D4598E" w:rsidRDefault="00D4598E" w:rsidP="00D057D2">
      <w:pPr>
        <w:pStyle w:val="Body"/>
      </w:pPr>
      <w:r>
        <w:t>In July 2020 the Office of the Victorian Information Commissioner</w:t>
      </w:r>
      <w:r w:rsidR="00AA4B3C">
        <w:t>’s</w:t>
      </w:r>
      <w:r>
        <w:t xml:space="preserve"> (OVIC) Information Security Unit met with members of the Cemeteries and Crematoria Association of Victoria to discuss the Protective Data Security Plan (PDSP) reporting requirements for Class B cemetery trusts. Following these productive discussions, OVIC developed a PDSP template specifically for Class B cemetery </w:t>
      </w:r>
      <w:r>
        <w:lastRenderedPageBreak/>
        <w:t xml:space="preserve">trusts to clarify the information security requirements for the sector. </w:t>
      </w:r>
    </w:p>
    <w:p w14:paraId="4F347AAD" w14:textId="4597C8A1" w:rsidR="00D4598E" w:rsidRDefault="00D4598E" w:rsidP="00D057D2">
      <w:pPr>
        <w:pStyle w:val="Body"/>
      </w:pPr>
      <w:bookmarkStart w:id="6" w:name="_Hlk64449010"/>
      <w:r>
        <w:t xml:space="preserve">To date, OVIC has received PDSP responses from 352 Class B </w:t>
      </w:r>
      <w:bookmarkEnd w:id="6"/>
      <w:r>
        <w:t>cemetery trusts. OVIC thanks cemetery trust members for their work on the PDSPs and looks forward to continuing to educate and work with the sector to enhance the information security practices of each trust.</w:t>
      </w:r>
    </w:p>
    <w:p w14:paraId="2B5314B8" w14:textId="117CFB01" w:rsidR="00D4598E" w:rsidRPr="005278C6" w:rsidRDefault="00D4598E" w:rsidP="00D057D2">
      <w:pPr>
        <w:pStyle w:val="Body"/>
      </w:pPr>
      <w:r>
        <w:t>For those trusts yet to submit their 2020 PDSP</w:t>
      </w:r>
      <w:r w:rsidR="00385E13">
        <w:t xml:space="preserve"> to OVIC</w:t>
      </w:r>
      <w:r>
        <w:t xml:space="preserve">, we encourage you to </w:t>
      </w:r>
      <w:r w:rsidR="00385E13">
        <w:t>do so</w:t>
      </w:r>
      <w:r>
        <w:t xml:space="preserve">. Information packs and templates were sent out via hard and soft copy in mid-2020 </w:t>
      </w:r>
      <w:bookmarkStart w:id="7" w:name="_Hlk59005752"/>
      <w:r>
        <w:t xml:space="preserve">to assist </w:t>
      </w:r>
      <w:bookmarkEnd w:id="7"/>
      <w:r>
        <w:t xml:space="preserve">with this process. For </w:t>
      </w:r>
      <w:r w:rsidR="00385E13">
        <w:t>help</w:t>
      </w:r>
      <w:r>
        <w:t xml:space="preserve"> and advice, please contact the OVIC Information Security Unit by </w:t>
      </w:r>
      <w:hyperlink r:id="rId21" w:history="1">
        <w:r w:rsidRPr="00D057D2">
          <w:rPr>
            <w:rStyle w:val="Hyperlink"/>
          </w:rPr>
          <w:t xml:space="preserve">emailing </w:t>
        </w:r>
        <w:r w:rsidR="00D057D2" w:rsidRPr="00D057D2">
          <w:rPr>
            <w:rStyle w:val="Hyperlink"/>
          </w:rPr>
          <w:t>OVIC</w:t>
        </w:r>
      </w:hyperlink>
      <w:r w:rsidR="00D057D2">
        <w:t xml:space="preserve"> &lt;</w:t>
      </w:r>
      <w:r>
        <w:t>security@ovic.vic.gov.au</w:t>
      </w:r>
      <w:r w:rsidR="00D057D2">
        <w:t>&gt;</w:t>
      </w:r>
      <w:r>
        <w:t xml:space="preserve"> or calling (03) 8684 1616.</w:t>
      </w:r>
    </w:p>
    <w:p w14:paraId="4F203836" w14:textId="77777777" w:rsidR="00D4598E" w:rsidRDefault="00D4598E" w:rsidP="00D4598E">
      <w:pPr>
        <w:pStyle w:val="Heading1"/>
      </w:pPr>
      <w:bookmarkStart w:id="8" w:name="_Toc66979382"/>
      <w:r>
        <w:t>Class B appointments</w:t>
      </w:r>
      <w:bookmarkEnd w:id="8"/>
    </w:p>
    <w:p w14:paraId="22193C45" w14:textId="77777777" w:rsidR="00D4598E" w:rsidRDefault="00D4598E" w:rsidP="00D4598E">
      <w:pPr>
        <w:pStyle w:val="Heading2"/>
      </w:pPr>
      <w:r>
        <w:t>New application form and guidelines</w:t>
      </w:r>
    </w:p>
    <w:p w14:paraId="3D29F5F0" w14:textId="368FFCF8" w:rsidR="00D4598E" w:rsidRDefault="00D4598E" w:rsidP="00D057D2">
      <w:pPr>
        <w:pStyle w:val="Body"/>
      </w:pPr>
      <w:r>
        <w:t xml:space="preserve">At the beginning of this year, the program introduced a new </w:t>
      </w:r>
      <w:r w:rsidRPr="00686E46">
        <w:rPr>
          <w:i/>
          <w:iCs/>
        </w:rPr>
        <w:t xml:space="preserve">Application for appointment to a </w:t>
      </w:r>
      <w:r w:rsidR="00FC5CBD">
        <w:rPr>
          <w:i/>
          <w:iCs/>
        </w:rPr>
        <w:t>C</w:t>
      </w:r>
      <w:r w:rsidRPr="00686E46">
        <w:rPr>
          <w:i/>
          <w:iCs/>
        </w:rPr>
        <w:t>lass B cemetery trust</w:t>
      </w:r>
      <w:r>
        <w:t xml:space="preserve"> and </w:t>
      </w:r>
      <w:r w:rsidR="00FC5CBD">
        <w:t>C</w:t>
      </w:r>
      <w:r>
        <w:t xml:space="preserve">lass B cemetery trust applicant guidelines. Both documents are available on </w:t>
      </w:r>
      <w:hyperlink r:id="rId22" w:history="1">
        <w:r w:rsidRPr="00D057D2">
          <w:rPr>
            <w:rStyle w:val="Hyperlink"/>
          </w:rPr>
          <w:t>the program’s web</w:t>
        </w:r>
        <w:r w:rsidR="006150E7">
          <w:rPr>
            <w:rStyle w:val="Hyperlink"/>
          </w:rPr>
          <w:t>page</w:t>
        </w:r>
      </w:hyperlink>
      <w:r w:rsidR="006150E7">
        <w:t xml:space="preserve"> </w:t>
      </w:r>
      <w:r>
        <w:t xml:space="preserve">&lt;https://www2.health.vic.gov.au/publichealth/ cemeteries-and-crematoria/appointments/class-b-appointments&gt;. </w:t>
      </w:r>
    </w:p>
    <w:p w14:paraId="0DCCCDFC" w14:textId="18BF2931" w:rsidR="00D4598E" w:rsidRDefault="00D4598E" w:rsidP="00D057D2">
      <w:pPr>
        <w:pStyle w:val="Body"/>
      </w:pPr>
      <w:r>
        <w:t>All applicants seeking appointment to a Class B cemetery trust are required to read the guidelines and complete Part</w:t>
      </w:r>
      <w:r w:rsidR="00FC5CBD">
        <w:t>s</w:t>
      </w:r>
      <w:r>
        <w:t xml:space="preserve"> A to G of the application form. The guidelines contain important information about the department’s use of personal information, probity checks and conflicts of interest. Applicants are required to declare on the application form that they have read the guidelines and agree to the application</w:t>
      </w:r>
      <w:r w:rsidR="00385E13">
        <w:t>’s</w:t>
      </w:r>
      <w:r>
        <w:t xml:space="preserve"> terms.</w:t>
      </w:r>
    </w:p>
    <w:p w14:paraId="0506EF34" w14:textId="11CAE08E" w:rsidR="00D4598E" w:rsidRDefault="00D4598E" w:rsidP="00D057D2">
      <w:pPr>
        <w:pStyle w:val="Body"/>
      </w:pPr>
      <w:r>
        <w:t>If the trust endorses the application, the trust chairperson is required to complete Part</w:t>
      </w:r>
      <w:r w:rsidR="00385E13">
        <w:t>s</w:t>
      </w:r>
      <w:r>
        <w:t xml:space="preserve"> H and I of the application form. Please note that the new application form includes questions for applicants who may be directly related to other trust members or applicants. This means that trusts no longer </w:t>
      </w:r>
      <w:r w:rsidR="00385E13">
        <w:t xml:space="preserve">have </w:t>
      </w:r>
      <w:r>
        <w:t>to complete a separate letter of support for applicants who are directly related to other trust members or applicants.</w:t>
      </w:r>
    </w:p>
    <w:p w14:paraId="455F37E7" w14:textId="77777777" w:rsidR="00E41C71" w:rsidRPr="009E63F4" w:rsidRDefault="00E41C71" w:rsidP="00E41C71">
      <w:pPr>
        <w:pStyle w:val="Heading2"/>
      </w:pPr>
      <w:r>
        <w:t>Appointment rounds</w:t>
      </w:r>
    </w:p>
    <w:p w14:paraId="70F0820A" w14:textId="46D0714F" w:rsidR="00E41C71" w:rsidRDefault="00E41C71" w:rsidP="00D057D2">
      <w:pPr>
        <w:pStyle w:val="Body"/>
      </w:pPr>
      <w:r>
        <w:t>To streamline the Class B appointment process, applications for all new appointments and reappointments are now managed by the program in four annual appointment rounds.</w:t>
      </w:r>
    </w:p>
    <w:p w14:paraId="55B9B3C4" w14:textId="02B60DCA" w:rsidR="00E41C71" w:rsidRDefault="00E41C71" w:rsidP="00D057D2">
      <w:pPr>
        <w:pStyle w:val="Body"/>
      </w:pPr>
      <w:r>
        <w:t xml:space="preserve">This means that if a current trust member intends to seek reappointment for a consecutive term, the completed application will need to be submitted to the program by a specified date to ensure their </w:t>
      </w:r>
      <w:bookmarkStart w:id="9" w:name="_GoBack"/>
      <w:bookmarkEnd w:id="9"/>
      <w:r>
        <w:t xml:space="preserve">application is processed in the appropriate appointment round. </w:t>
      </w:r>
    </w:p>
    <w:p w14:paraId="5032430A" w14:textId="77777777" w:rsidR="00E41C71" w:rsidRDefault="00E41C71" w:rsidP="00D057D2">
      <w:pPr>
        <w:pStyle w:val="Body"/>
      </w:pPr>
      <w:r>
        <w:t>The following table shows the current member term of appointment expiry dates and corresponding deadline for completed applications to be submitted to the department:</w:t>
      </w:r>
    </w:p>
    <w:tbl>
      <w:tblPr>
        <w:tblStyle w:val="TableGrid"/>
        <w:tblW w:w="0" w:type="auto"/>
        <w:tblLook w:val="04A0" w:firstRow="1" w:lastRow="0" w:firstColumn="1" w:lastColumn="0" w:noHBand="0" w:noVBand="1"/>
      </w:tblPr>
      <w:tblGrid>
        <w:gridCol w:w="2211"/>
        <w:gridCol w:w="2464"/>
      </w:tblGrid>
      <w:tr w:rsidR="00E41C71" w14:paraId="7A2E9BEC" w14:textId="77777777" w:rsidTr="00D057D2">
        <w:trPr>
          <w:tblHeader/>
        </w:trPr>
        <w:tc>
          <w:tcPr>
            <w:tcW w:w="2211" w:type="dxa"/>
          </w:tcPr>
          <w:p w14:paraId="3342B27F" w14:textId="77777777" w:rsidR="00E41C71" w:rsidRPr="000F7AFE" w:rsidRDefault="00E41C71" w:rsidP="00D057D2">
            <w:pPr>
              <w:pStyle w:val="Tablecolhead"/>
            </w:pPr>
            <w:r w:rsidRPr="000F7AFE">
              <w:rPr>
                <w:lang w:eastAsia="en-AU"/>
              </w:rPr>
              <w:t>Term expiry date</w:t>
            </w:r>
          </w:p>
        </w:tc>
        <w:tc>
          <w:tcPr>
            <w:tcW w:w="2464" w:type="dxa"/>
          </w:tcPr>
          <w:p w14:paraId="20C68024" w14:textId="77777777" w:rsidR="00E41C71" w:rsidRPr="000F7AFE" w:rsidRDefault="00E41C71" w:rsidP="00D057D2">
            <w:pPr>
              <w:pStyle w:val="Tablecolhead"/>
            </w:pPr>
            <w:r w:rsidRPr="000F7AFE">
              <w:rPr>
                <w:lang w:eastAsia="en-AU"/>
              </w:rPr>
              <w:t>Application deadline</w:t>
            </w:r>
          </w:p>
        </w:tc>
      </w:tr>
      <w:tr w:rsidR="00E41C71" w14:paraId="19BC1F5F" w14:textId="77777777" w:rsidTr="00D057D2">
        <w:tc>
          <w:tcPr>
            <w:tcW w:w="2211" w:type="dxa"/>
          </w:tcPr>
          <w:p w14:paraId="6920AB70" w14:textId="77777777" w:rsidR="00E41C71" w:rsidRDefault="00E41C71" w:rsidP="00D057D2">
            <w:pPr>
              <w:pStyle w:val="Tabletext"/>
            </w:pPr>
            <w:r>
              <w:t>30 April</w:t>
            </w:r>
          </w:p>
        </w:tc>
        <w:tc>
          <w:tcPr>
            <w:tcW w:w="2464" w:type="dxa"/>
          </w:tcPr>
          <w:p w14:paraId="255DC786" w14:textId="259001B0" w:rsidR="00E41C71" w:rsidRDefault="00105C2A" w:rsidP="00D057D2">
            <w:pPr>
              <w:pStyle w:val="Tabletext"/>
            </w:pPr>
            <w:r>
              <w:t xml:space="preserve">  </w:t>
            </w:r>
            <w:r w:rsidR="00E41C71">
              <w:t>5 February</w:t>
            </w:r>
          </w:p>
        </w:tc>
      </w:tr>
      <w:tr w:rsidR="00E41C71" w14:paraId="095FEC70" w14:textId="77777777" w:rsidTr="00D057D2">
        <w:tc>
          <w:tcPr>
            <w:tcW w:w="2211" w:type="dxa"/>
          </w:tcPr>
          <w:p w14:paraId="610C421F" w14:textId="77777777" w:rsidR="00E41C71" w:rsidRDefault="00E41C71" w:rsidP="00D057D2">
            <w:pPr>
              <w:pStyle w:val="Tabletext"/>
            </w:pPr>
            <w:r>
              <w:t>31 July</w:t>
            </w:r>
          </w:p>
        </w:tc>
        <w:tc>
          <w:tcPr>
            <w:tcW w:w="2464" w:type="dxa"/>
          </w:tcPr>
          <w:p w14:paraId="2E518B76" w14:textId="77777777" w:rsidR="00E41C71" w:rsidRDefault="00E41C71" w:rsidP="00D057D2">
            <w:pPr>
              <w:pStyle w:val="Tabletext"/>
            </w:pPr>
            <w:r>
              <w:t>14 May</w:t>
            </w:r>
          </w:p>
        </w:tc>
      </w:tr>
      <w:tr w:rsidR="00E41C71" w14:paraId="30BFC054" w14:textId="77777777" w:rsidTr="00D057D2">
        <w:tc>
          <w:tcPr>
            <w:tcW w:w="2211" w:type="dxa"/>
          </w:tcPr>
          <w:p w14:paraId="3FFE2B80" w14:textId="77777777" w:rsidR="00E41C71" w:rsidRDefault="00E41C71" w:rsidP="00D057D2">
            <w:pPr>
              <w:pStyle w:val="Tabletext"/>
            </w:pPr>
            <w:r>
              <w:t>31 October</w:t>
            </w:r>
          </w:p>
        </w:tc>
        <w:tc>
          <w:tcPr>
            <w:tcW w:w="2464" w:type="dxa"/>
          </w:tcPr>
          <w:p w14:paraId="14D7AACA" w14:textId="77777777" w:rsidR="00E41C71" w:rsidRDefault="00E41C71" w:rsidP="00D057D2">
            <w:pPr>
              <w:pStyle w:val="Tabletext"/>
            </w:pPr>
            <w:r>
              <w:t>13 August</w:t>
            </w:r>
          </w:p>
        </w:tc>
      </w:tr>
      <w:tr w:rsidR="00E41C71" w14:paraId="57FEA0B3" w14:textId="77777777" w:rsidTr="00D057D2">
        <w:tc>
          <w:tcPr>
            <w:tcW w:w="2211" w:type="dxa"/>
          </w:tcPr>
          <w:p w14:paraId="47423227" w14:textId="77777777" w:rsidR="00E41C71" w:rsidRDefault="00E41C71" w:rsidP="00D057D2">
            <w:pPr>
              <w:pStyle w:val="Tabletext"/>
            </w:pPr>
            <w:r>
              <w:t>28 February</w:t>
            </w:r>
          </w:p>
        </w:tc>
        <w:tc>
          <w:tcPr>
            <w:tcW w:w="2464" w:type="dxa"/>
          </w:tcPr>
          <w:p w14:paraId="518AE1A0" w14:textId="77777777" w:rsidR="00E41C71" w:rsidRDefault="00E41C71" w:rsidP="00D057D2">
            <w:pPr>
              <w:pStyle w:val="Tabletext"/>
            </w:pPr>
            <w:r>
              <w:t>10 December</w:t>
            </w:r>
          </w:p>
        </w:tc>
      </w:tr>
    </w:tbl>
    <w:p w14:paraId="4EC696D9" w14:textId="04B47750" w:rsidR="00E41C71" w:rsidRDefault="00E41C71" w:rsidP="000F7AFE">
      <w:pPr>
        <w:pStyle w:val="Bodyaftertablefigure"/>
      </w:pPr>
      <w:r>
        <w:t xml:space="preserve">If an application for reappointment is received after the corresponding appointment round deadline, it will be processed in the following appointment round. This means that when the applicant’s term of appointment expires, their trust membership </w:t>
      </w:r>
      <w:r w:rsidR="00F66C0E">
        <w:t xml:space="preserve">will </w:t>
      </w:r>
      <w:r>
        <w:t>lapse</w:t>
      </w:r>
      <w:r w:rsidR="00F66C0E">
        <w:t>,</w:t>
      </w:r>
      <w:r>
        <w:t xml:space="preserve"> </w:t>
      </w:r>
      <w:r w:rsidR="00F66C0E">
        <w:t>so</w:t>
      </w:r>
      <w:r>
        <w:t xml:space="preserve"> they will no longer be an active trust member</w:t>
      </w:r>
      <w:r w:rsidR="0074060C">
        <w:t>.</w:t>
      </w:r>
      <w:r>
        <w:t xml:space="preserve"> </w:t>
      </w:r>
    </w:p>
    <w:p w14:paraId="3395D302" w14:textId="77777777" w:rsidR="00E41C71" w:rsidRDefault="00E41C71" w:rsidP="00D057D2">
      <w:pPr>
        <w:pStyle w:val="Body"/>
      </w:pPr>
      <w:r>
        <w:t>If a trust member’s term of appointment lapses, they will not be eligible to vote at trust meetings but may continue to attend meetings as an observer if the trust agrees.</w:t>
      </w:r>
    </w:p>
    <w:p w14:paraId="75F2AAD2" w14:textId="77777777" w:rsidR="00E41C71" w:rsidRDefault="00E41C71" w:rsidP="00E41C71">
      <w:pPr>
        <w:pStyle w:val="Heading2"/>
      </w:pPr>
      <w:r>
        <w:t>Notification of expiry of term of appointment as a trust member</w:t>
      </w:r>
    </w:p>
    <w:p w14:paraId="79902D73" w14:textId="1A51E566" w:rsidR="00E41C71" w:rsidRDefault="00E41C71" w:rsidP="00D057D2">
      <w:pPr>
        <w:pStyle w:val="Body"/>
      </w:pPr>
      <w:r>
        <w:t>The program notif</w:t>
      </w:r>
      <w:r w:rsidR="0074060C">
        <w:t>ies</w:t>
      </w:r>
      <w:r>
        <w:t xml:space="preserve"> trust members </w:t>
      </w:r>
      <w:r w:rsidR="0074060C">
        <w:t>whose</w:t>
      </w:r>
      <w:r>
        <w:t xml:space="preserve"> term of appointment </w:t>
      </w:r>
      <w:r w:rsidR="0074060C">
        <w:t xml:space="preserve">is </w:t>
      </w:r>
      <w:r>
        <w:t xml:space="preserve">due to expire </w:t>
      </w:r>
      <w:r w:rsidRPr="00D869D2">
        <w:rPr>
          <w:i/>
          <w:iCs/>
        </w:rPr>
        <w:t>by email</w:t>
      </w:r>
      <w:r w:rsidR="0074060C">
        <w:rPr>
          <w:i/>
          <w:iCs/>
        </w:rPr>
        <w:t>,</w:t>
      </w:r>
      <w:r>
        <w:t xml:space="preserve"> </w:t>
      </w:r>
      <w:r w:rsidR="0074060C">
        <w:t>provided</w:t>
      </w:r>
      <w:r>
        <w:t xml:space="preserve"> the member has provided </w:t>
      </w:r>
      <w:r w:rsidR="0074060C">
        <w:t xml:space="preserve">the department with </w:t>
      </w:r>
      <w:r>
        <w:t>a current email address.</w:t>
      </w:r>
    </w:p>
    <w:p w14:paraId="2B2C9C06" w14:textId="16737332" w:rsidR="00E41C71" w:rsidRDefault="00E41C71" w:rsidP="00D057D2">
      <w:pPr>
        <w:pStyle w:val="Body"/>
      </w:pPr>
      <w:r>
        <w:t xml:space="preserve">The program </w:t>
      </w:r>
      <w:r w:rsidR="0074060C">
        <w:t xml:space="preserve">will </w:t>
      </w:r>
      <w:r>
        <w:t xml:space="preserve">also </w:t>
      </w:r>
      <w:r w:rsidR="0074060C">
        <w:t>notify</w:t>
      </w:r>
      <w:r>
        <w:t xml:space="preserve"> the </w:t>
      </w:r>
      <w:r w:rsidR="006150E7">
        <w:t>p</w:t>
      </w:r>
      <w:r>
        <w:t xml:space="preserve">rimary </w:t>
      </w:r>
      <w:r w:rsidR="006150E7">
        <w:t>c</w:t>
      </w:r>
      <w:r>
        <w:t xml:space="preserve">ontact at </w:t>
      </w:r>
      <w:r w:rsidR="0074060C">
        <w:t>any</w:t>
      </w:r>
      <w:r>
        <w:t xml:space="preserve"> trust with members whose term </w:t>
      </w:r>
      <w:r w:rsidR="0074060C">
        <w:t xml:space="preserve">is about to </w:t>
      </w:r>
      <w:r>
        <w:t xml:space="preserve">expire </w:t>
      </w:r>
      <w:r w:rsidRPr="00D869D2">
        <w:rPr>
          <w:i/>
          <w:iCs/>
        </w:rPr>
        <w:t>by email</w:t>
      </w:r>
      <w:r>
        <w:t xml:space="preserve">. </w:t>
      </w:r>
    </w:p>
    <w:p w14:paraId="696A66C6" w14:textId="373F9C0F" w:rsidR="00E41C71" w:rsidRDefault="00E41C71" w:rsidP="00D057D2">
      <w:pPr>
        <w:pStyle w:val="Body"/>
      </w:pPr>
      <w:r>
        <w:t>Please check your email (and ‘junk’ email folder in case the</w:t>
      </w:r>
      <w:r w:rsidR="0074060C">
        <w:t>se</w:t>
      </w:r>
      <w:r>
        <w:t xml:space="preserve"> notification</w:t>
      </w:r>
      <w:r w:rsidR="0074060C">
        <w:t>s</w:t>
      </w:r>
      <w:r>
        <w:t xml:space="preserve"> ha</w:t>
      </w:r>
      <w:r w:rsidR="0074060C">
        <w:t>ve</w:t>
      </w:r>
      <w:r>
        <w:t xml:space="preserve"> been diverted). </w:t>
      </w:r>
      <w:r w:rsidRPr="005E2225">
        <w:t xml:space="preserve">To </w:t>
      </w:r>
      <w:r w:rsidRPr="005E2225">
        <w:lastRenderedPageBreak/>
        <w:t xml:space="preserve">check the term of appointment dates for members of your trust please </w:t>
      </w:r>
      <w:r>
        <w:t>download</w:t>
      </w:r>
      <w:r w:rsidRPr="005E2225">
        <w:t xml:space="preserve"> the </w:t>
      </w:r>
      <w:hyperlink r:id="rId23" w:history="1">
        <w:r w:rsidRPr="00F66C0E">
          <w:rPr>
            <w:rStyle w:val="Hyperlink"/>
            <w:i/>
            <w:iCs/>
          </w:rPr>
          <w:t>List of current members appointed to Victorian cemetery</w:t>
        </w:r>
        <w:r w:rsidRPr="00F66C0E">
          <w:rPr>
            <w:rStyle w:val="Hyperlink"/>
          </w:rPr>
          <w:t xml:space="preserve"> </w:t>
        </w:r>
        <w:r w:rsidRPr="00F66C0E">
          <w:rPr>
            <w:rStyle w:val="Hyperlink"/>
            <w:i/>
            <w:iCs/>
          </w:rPr>
          <w:t>trusts</w:t>
        </w:r>
      </w:hyperlink>
      <w:r w:rsidRPr="005E2225">
        <w:t xml:space="preserve"> </w:t>
      </w:r>
      <w:r>
        <w:t>&lt;</w:t>
      </w:r>
      <w:r w:rsidRPr="00D869D2">
        <w:t>https://www2.health.vic.gov.au/public-health/cemeteries-and-crematoria/appointments</w:t>
      </w:r>
      <w:r>
        <w:t xml:space="preserve">&gt;. </w:t>
      </w:r>
    </w:p>
    <w:p w14:paraId="31F5968B" w14:textId="2FFEC814" w:rsidR="00E41C71" w:rsidRDefault="0074060C" w:rsidP="00632786">
      <w:pPr>
        <w:pStyle w:val="Body"/>
      </w:pPr>
      <w:r>
        <w:t>T</w:t>
      </w:r>
      <w:r w:rsidR="00E41C71">
        <w:t>he program place</w:t>
      </w:r>
      <w:r>
        <w:t>s</w:t>
      </w:r>
      <w:r w:rsidR="00E41C71">
        <w:t xml:space="preserve"> advertisement</w:t>
      </w:r>
      <w:r>
        <w:t xml:space="preserve">s for trust member vacancies. These ads </w:t>
      </w:r>
      <w:r w:rsidR="00E41C71">
        <w:t>seek expressions of interest from the public</w:t>
      </w:r>
      <w:r>
        <w:t xml:space="preserve"> for all vacant positions on the trust</w:t>
      </w:r>
      <w:r w:rsidR="00E41C71">
        <w:t>. The ad</w:t>
      </w:r>
      <w:r>
        <w:t xml:space="preserve">s support </w:t>
      </w:r>
      <w:r w:rsidR="00E41C71">
        <w:t xml:space="preserve">transparency in the appointment process and </w:t>
      </w:r>
      <w:r>
        <w:t xml:space="preserve">promote </w:t>
      </w:r>
      <w:r w:rsidR="00E41C71">
        <w:t xml:space="preserve">community </w:t>
      </w:r>
      <w:r>
        <w:t xml:space="preserve">awareness and </w:t>
      </w:r>
      <w:r w:rsidR="00E41C71">
        <w:t>involvement.</w:t>
      </w:r>
    </w:p>
    <w:p w14:paraId="359D1974" w14:textId="52FB74C0" w:rsidR="00E41C71" w:rsidRDefault="00A47497" w:rsidP="00632786">
      <w:pPr>
        <w:pStyle w:val="Body"/>
      </w:pPr>
      <w:r>
        <w:t>Where possible and appropriate t</w:t>
      </w:r>
      <w:r w:rsidR="00E41C71">
        <w:t xml:space="preserve">he program </w:t>
      </w:r>
      <w:r>
        <w:t>will advertise in a</w:t>
      </w:r>
      <w:r w:rsidR="00E41C71">
        <w:t xml:space="preserve"> publication preferred by the trust. As some regional papers have ceased print production, ad</w:t>
      </w:r>
      <w:r>
        <w:t>s</w:t>
      </w:r>
      <w:r w:rsidR="00E41C71">
        <w:t xml:space="preserve"> might appear in a digital version</w:t>
      </w:r>
      <w:r>
        <w:t xml:space="preserve"> of the publication</w:t>
      </w:r>
      <w:r w:rsidR="00E41C71">
        <w:t xml:space="preserve"> only. To check on your trust’s preferred publication as currently listed, please download</w:t>
      </w:r>
      <w:r w:rsidR="00E41C71" w:rsidRPr="005E2225">
        <w:t xml:space="preserve"> </w:t>
      </w:r>
      <w:hyperlink r:id="rId24" w:history="1">
        <w:r w:rsidR="00E41C71" w:rsidRPr="009F428A">
          <w:rPr>
            <w:rStyle w:val="Hyperlink"/>
            <w:i/>
            <w:iCs/>
          </w:rPr>
          <w:t xml:space="preserve">Preferred publications for </w:t>
        </w:r>
        <w:r w:rsidR="002911F6">
          <w:rPr>
            <w:rStyle w:val="Hyperlink"/>
            <w:i/>
            <w:iCs/>
          </w:rPr>
          <w:t>C</w:t>
        </w:r>
        <w:r w:rsidR="00E41C71" w:rsidRPr="009F428A">
          <w:rPr>
            <w:rStyle w:val="Hyperlink"/>
            <w:i/>
            <w:iCs/>
          </w:rPr>
          <w:t>lass B advertising</w:t>
        </w:r>
      </w:hyperlink>
      <w:r w:rsidR="00E41C71" w:rsidRPr="005E2225">
        <w:t xml:space="preserve"> </w:t>
      </w:r>
      <w:r w:rsidR="00E41C71">
        <w:t>&lt;</w:t>
      </w:r>
      <w:r w:rsidR="00E41C71" w:rsidRPr="005E2225">
        <w:t>https://www2.health.vic.gov.au/public-health/cemeteries-and-crematoria/appointments/recruitment-and-advertising</w:t>
      </w:r>
      <w:r w:rsidR="00E41C71">
        <w:t xml:space="preserve">&gt;. </w:t>
      </w:r>
    </w:p>
    <w:p w14:paraId="0FD78B1E" w14:textId="77777777" w:rsidR="00E41C71" w:rsidRDefault="00E41C71" w:rsidP="00E41C71">
      <w:pPr>
        <w:pStyle w:val="Heading1"/>
      </w:pPr>
      <w:bookmarkStart w:id="10" w:name="_Toc66979383"/>
      <w:r>
        <w:t>Performance Support Program</w:t>
      </w:r>
      <w:bookmarkEnd w:id="10"/>
    </w:p>
    <w:p w14:paraId="5B00AFB9" w14:textId="3E39EFFA" w:rsidR="00E41C71" w:rsidRDefault="009F428A" w:rsidP="00D057D2">
      <w:pPr>
        <w:pStyle w:val="Body"/>
        <w:rPr>
          <w:lang w:val="en"/>
        </w:rPr>
      </w:pPr>
      <w:r>
        <w:rPr>
          <w:lang w:val="en"/>
        </w:rPr>
        <w:t>NTT undertook p</w:t>
      </w:r>
      <w:r w:rsidR="00E41C71">
        <w:rPr>
          <w:lang w:val="en"/>
        </w:rPr>
        <w:t xml:space="preserve">erformance reviews at seven </w:t>
      </w:r>
      <w:r w:rsidR="00105C2A">
        <w:rPr>
          <w:lang w:val="en"/>
        </w:rPr>
        <w:t>C</w:t>
      </w:r>
      <w:r w:rsidR="00E41C71">
        <w:rPr>
          <w:lang w:val="en"/>
        </w:rPr>
        <w:t xml:space="preserve">lass B </w:t>
      </w:r>
      <w:r w:rsidR="00D057D2">
        <w:rPr>
          <w:lang w:val="en"/>
        </w:rPr>
        <w:t>c</w:t>
      </w:r>
      <w:r w:rsidR="00E41C71">
        <w:rPr>
          <w:lang w:val="en"/>
        </w:rPr>
        <w:t xml:space="preserve">emetery </w:t>
      </w:r>
      <w:r w:rsidR="00D057D2">
        <w:rPr>
          <w:lang w:val="en"/>
        </w:rPr>
        <w:t>t</w:t>
      </w:r>
      <w:r w:rsidR="00E41C71">
        <w:rPr>
          <w:lang w:val="en"/>
        </w:rPr>
        <w:t>rusts for the 2019</w:t>
      </w:r>
      <w:r w:rsidR="006150E7">
        <w:rPr>
          <w:lang w:val="en"/>
        </w:rPr>
        <w:t>–</w:t>
      </w:r>
      <w:r w:rsidR="00E41C71">
        <w:rPr>
          <w:lang w:val="en"/>
        </w:rPr>
        <w:t>20 financial year.</w:t>
      </w:r>
    </w:p>
    <w:p w14:paraId="44624464" w14:textId="364B06AA" w:rsidR="00E41C71" w:rsidRDefault="00E41C71" w:rsidP="00D057D2">
      <w:pPr>
        <w:pStyle w:val="Body"/>
        <w:rPr>
          <w:lang w:val="en-US"/>
        </w:rPr>
      </w:pPr>
      <w:r>
        <w:t xml:space="preserve">The review process is currently in its fifth year </w:t>
      </w:r>
      <w:r>
        <w:rPr>
          <w:lang w:val="en-US"/>
        </w:rPr>
        <w:t>and each</w:t>
      </w:r>
      <w:r w:rsidRPr="00A30BF7">
        <w:rPr>
          <w:lang w:val="en-US"/>
        </w:rPr>
        <w:t xml:space="preserve"> </w:t>
      </w:r>
      <w:r>
        <w:rPr>
          <w:lang w:val="en-US"/>
        </w:rPr>
        <w:t>review</w:t>
      </w:r>
      <w:r w:rsidRPr="00A30BF7">
        <w:rPr>
          <w:lang w:val="en-US"/>
        </w:rPr>
        <w:t xml:space="preserve"> provide</w:t>
      </w:r>
      <w:r>
        <w:rPr>
          <w:lang w:val="en-US"/>
        </w:rPr>
        <w:t>s</w:t>
      </w:r>
      <w:r w:rsidRPr="00A30BF7">
        <w:rPr>
          <w:lang w:val="en-US"/>
        </w:rPr>
        <w:t xml:space="preserve"> </w:t>
      </w:r>
      <w:r w:rsidR="00A47497">
        <w:rPr>
          <w:lang w:val="en-US"/>
        </w:rPr>
        <w:t xml:space="preserve">participating trusts with </w:t>
      </w:r>
      <w:r w:rsidRPr="00A30BF7">
        <w:rPr>
          <w:lang w:val="en-US"/>
        </w:rPr>
        <w:t>an independent assessment of</w:t>
      </w:r>
      <w:r w:rsidR="00A47497">
        <w:rPr>
          <w:lang w:val="en-US"/>
        </w:rPr>
        <w:t xml:space="preserve"> their</w:t>
      </w:r>
      <w:r w:rsidRPr="00A30BF7">
        <w:rPr>
          <w:lang w:val="en-US"/>
        </w:rPr>
        <w:t xml:space="preserve"> governance, operational and financial management</w:t>
      </w:r>
      <w:r w:rsidR="00A47497">
        <w:rPr>
          <w:lang w:val="en-US"/>
        </w:rPr>
        <w:t xml:space="preserve"> performance</w:t>
      </w:r>
      <w:r w:rsidRPr="00A30BF7">
        <w:rPr>
          <w:lang w:val="en-US"/>
        </w:rPr>
        <w:t xml:space="preserve">. The key objective of </w:t>
      </w:r>
      <w:r>
        <w:rPr>
          <w:lang w:val="en-US"/>
        </w:rPr>
        <w:t>a</w:t>
      </w:r>
      <w:r w:rsidRPr="00A30BF7">
        <w:rPr>
          <w:lang w:val="en-US"/>
        </w:rPr>
        <w:t xml:space="preserve"> performance </w:t>
      </w:r>
      <w:r>
        <w:rPr>
          <w:lang w:val="en-US"/>
        </w:rPr>
        <w:t>review</w:t>
      </w:r>
      <w:r w:rsidRPr="00A30BF7">
        <w:rPr>
          <w:lang w:val="en-US"/>
        </w:rPr>
        <w:t xml:space="preserve"> </w:t>
      </w:r>
      <w:r>
        <w:rPr>
          <w:lang w:val="en-US"/>
        </w:rPr>
        <w:t>is</w:t>
      </w:r>
      <w:r w:rsidRPr="00A30BF7">
        <w:rPr>
          <w:lang w:val="en-US"/>
        </w:rPr>
        <w:t xml:space="preserve"> to assist trust</w:t>
      </w:r>
      <w:r>
        <w:rPr>
          <w:lang w:val="en-US"/>
        </w:rPr>
        <w:t>s to</w:t>
      </w:r>
      <w:r w:rsidRPr="00A30BF7">
        <w:rPr>
          <w:lang w:val="en-US"/>
        </w:rPr>
        <w:t xml:space="preserve"> identify and manage risks associated with their </w:t>
      </w:r>
      <w:r w:rsidRPr="00484E61">
        <w:rPr>
          <w:lang w:val="en-US"/>
        </w:rPr>
        <w:t>operations and governance.</w:t>
      </w:r>
    </w:p>
    <w:p w14:paraId="08E697A8" w14:textId="210D46B0" w:rsidR="00E41C71" w:rsidRPr="00BC32D6" w:rsidRDefault="00E41C71" w:rsidP="00D057D2">
      <w:pPr>
        <w:pStyle w:val="Body"/>
        <w:rPr>
          <w:lang w:val="en-US"/>
        </w:rPr>
      </w:pPr>
      <w:r w:rsidRPr="00A30BF7">
        <w:rPr>
          <w:lang w:val="en-US"/>
        </w:rPr>
        <w:t>The information gather</w:t>
      </w:r>
      <w:r>
        <w:rPr>
          <w:lang w:val="en-US"/>
        </w:rPr>
        <w:t>ed</w:t>
      </w:r>
      <w:r w:rsidRPr="00A30BF7">
        <w:rPr>
          <w:lang w:val="en-US"/>
        </w:rPr>
        <w:t xml:space="preserve"> from these </w:t>
      </w:r>
      <w:r>
        <w:rPr>
          <w:lang w:val="en-US"/>
        </w:rPr>
        <w:t>reviews</w:t>
      </w:r>
      <w:r w:rsidRPr="00A30BF7">
        <w:rPr>
          <w:lang w:val="en-US"/>
        </w:rPr>
        <w:t xml:space="preserve"> also provides the department with information that </w:t>
      </w:r>
      <w:r w:rsidR="009F428A">
        <w:rPr>
          <w:lang w:val="en-US"/>
        </w:rPr>
        <w:t>helps us</w:t>
      </w:r>
      <w:r w:rsidR="009F428A" w:rsidRPr="00A30BF7">
        <w:rPr>
          <w:lang w:val="en-US"/>
        </w:rPr>
        <w:t xml:space="preserve"> </w:t>
      </w:r>
      <w:r w:rsidRPr="00A30BF7">
        <w:rPr>
          <w:lang w:val="en-US"/>
        </w:rPr>
        <w:t xml:space="preserve">to review and update </w:t>
      </w:r>
      <w:r w:rsidRPr="00484E61">
        <w:rPr>
          <w:lang w:val="en-US"/>
        </w:rPr>
        <w:t>materials, training, guidance and advice provide</w:t>
      </w:r>
      <w:r w:rsidR="009F428A">
        <w:rPr>
          <w:lang w:val="en-US"/>
        </w:rPr>
        <w:t>d</w:t>
      </w:r>
      <w:r w:rsidRPr="00484E61">
        <w:rPr>
          <w:lang w:val="en-US"/>
        </w:rPr>
        <w:t xml:space="preserve"> to the sector.</w:t>
      </w:r>
      <w:r w:rsidRPr="00BC32D6">
        <w:rPr>
          <w:lang w:val="en-US"/>
        </w:rPr>
        <w:t xml:space="preserve"> </w:t>
      </w:r>
    </w:p>
    <w:p w14:paraId="1154CE04" w14:textId="2702CDF8" w:rsidR="00E41C71" w:rsidRDefault="00E41C71" w:rsidP="00D057D2">
      <w:pPr>
        <w:pStyle w:val="Body"/>
        <w:rPr>
          <w:lang w:val="en-US"/>
        </w:rPr>
      </w:pPr>
      <w:r w:rsidRPr="00BC32D6">
        <w:rPr>
          <w:lang w:val="en-US"/>
        </w:rPr>
        <w:t xml:space="preserve">The department </w:t>
      </w:r>
      <w:r>
        <w:rPr>
          <w:lang w:val="en-US"/>
        </w:rPr>
        <w:t>has</w:t>
      </w:r>
      <w:r w:rsidRPr="00A30BF7">
        <w:rPr>
          <w:lang w:val="en-US"/>
        </w:rPr>
        <w:t xml:space="preserve"> releas</w:t>
      </w:r>
      <w:r>
        <w:rPr>
          <w:lang w:val="en-US"/>
        </w:rPr>
        <w:t>ed a</w:t>
      </w:r>
      <w:r w:rsidRPr="00A30BF7">
        <w:rPr>
          <w:lang w:val="en-US"/>
        </w:rPr>
        <w:t xml:space="preserve"> de-identified </w:t>
      </w:r>
      <w:r w:rsidR="009F428A">
        <w:rPr>
          <w:lang w:val="en-US"/>
        </w:rPr>
        <w:br/>
      </w:r>
      <w:r w:rsidRPr="00A30BF7">
        <w:rPr>
          <w:lang w:val="en-US"/>
        </w:rPr>
        <w:t>201</w:t>
      </w:r>
      <w:r>
        <w:rPr>
          <w:lang w:val="en-US"/>
        </w:rPr>
        <w:t>9</w:t>
      </w:r>
      <w:r w:rsidR="00D057D2">
        <w:rPr>
          <w:lang w:val="en-US"/>
        </w:rPr>
        <w:t>–</w:t>
      </w:r>
      <w:r>
        <w:rPr>
          <w:lang w:val="en-US"/>
        </w:rPr>
        <w:t>20</w:t>
      </w:r>
      <w:r w:rsidRPr="00A30BF7">
        <w:rPr>
          <w:lang w:val="en-US"/>
        </w:rPr>
        <w:t xml:space="preserve"> </w:t>
      </w:r>
      <w:r w:rsidR="00D057D2">
        <w:rPr>
          <w:lang w:val="en-US"/>
        </w:rPr>
        <w:t>a</w:t>
      </w:r>
      <w:r>
        <w:rPr>
          <w:lang w:val="en-US"/>
        </w:rPr>
        <w:t xml:space="preserve">nnual </w:t>
      </w:r>
      <w:r w:rsidR="00D057D2">
        <w:rPr>
          <w:lang w:val="en-US"/>
        </w:rPr>
        <w:t>r</w:t>
      </w:r>
      <w:r>
        <w:rPr>
          <w:lang w:val="en-US"/>
        </w:rPr>
        <w:t>eport for the Performance Support Program</w:t>
      </w:r>
      <w:r w:rsidR="009F428A">
        <w:rPr>
          <w:lang w:val="en-US"/>
        </w:rPr>
        <w:t>,</w:t>
      </w:r>
      <w:r>
        <w:rPr>
          <w:lang w:val="en-US"/>
        </w:rPr>
        <w:t xml:space="preserve"> </w:t>
      </w:r>
      <w:r w:rsidR="00A47497">
        <w:rPr>
          <w:lang w:val="en-US"/>
        </w:rPr>
        <w:t xml:space="preserve">which is available </w:t>
      </w:r>
      <w:r>
        <w:rPr>
          <w:lang w:val="en-US"/>
        </w:rPr>
        <w:t>on the cemetery website.</w:t>
      </w:r>
    </w:p>
    <w:p w14:paraId="7D703BF4" w14:textId="4FB80D41" w:rsidR="00E41C71" w:rsidRDefault="00E41C71" w:rsidP="00D057D2">
      <w:pPr>
        <w:pStyle w:val="Body"/>
        <w:rPr>
          <w:lang w:val="en-US"/>
        </w:rPr>
      </w:pPr>
      <w:r w:rsidRPr="00861B79">
        <w:rPr>
          <w:lang w:val="en-US"/>
        </w:rPr>
        <w:t xml:space="preserve">The report </w:t>
      </w:r>
      <w:proofErr w:type="spellStart"/>
      <w:r w:rsidR="00A47497">
        <w:rPr>
          <w:lang w:val="en-US"/>
        </w:rPr>
        <w:t>summari</w:t>
      </w:r>
      <w:r w:rsidR="009F428A">
        <w:rPr>
          <w:lang w:val="en-US"/>
        </w:rPr>
        <w:t>s</w:t>
      </w:r>
      <w:r w:rsidR="00A47497">
        <w:rPr>
          <w:lang w:val="en-US"/>
        </w:rPr>
        <w:t>es</w:t>
      </w:r>
      <w:proofErr w:type="spellEnd"/>
      <w:r w:rsidRPr="00861B79">
        <w:rPr>
          <w:lang w:val="en-US"/>
        </w:rPr>
        <w:t xml:space="preserve"> </w:t>
      </w:r>
      <w:proofErr w:type="gramStart"/>
      <w:r w:rsidRPr="00861B79">
        <w:rPr>
          <w:lang w:val="en-US"/>
        </w:rPr>
        <w:t>a number of</w:t>
      </w:r>
      <w:proofErr w:type="gramEnd"/>
      <w:r w:rsidRPr="00861B79">
        <w:rPr>
          <w:lang w:val="en-US"/>
        </w:rPr>
        <w:t xml:space="preserve"> common </w:t>
      </w:r>
      <w:r>
        <w:rPr>
          <w:lang w:val="en-US"/>
        </w:rPr>
        <w:t>theme</w:t>
      </w:r>
      <w:r w:rsidRPr="00861B79">
        <w:rPr>
          <w:lang w:val="en-US"/>
        </w:rPr>
        <w:t xml:space="preserve">s </w:t>
      </w:r>
      <w:r w:rsidR="00A47497">
        <w:rPr>
          <w:lang w:val="en-US"/>
        </w:rPr>
        <w:t xml:space="preserve">that emerged in </w:t>
      </w:r>
      <w:r>
        <w:rPr>
          <w:lang w:val="en-US"/>
        </w:rPr>
        <w:t xml:space="preserve">the </w:t>
      </w:r>
      <w:r w:rsidR="009F428A">
        <w:rPr>
          <w:lang w:val="en-US"/>
        </w:rPr>
        <w:t xml:space="preserve">2019–20 </w:t>
      </w:r>
      <w:r>
        <w:rPr>
          <w:lang w:val="en-US"/>
        </w:rPr>
        <w:t xml:space="preserve">performance reviews. </w:t>
      </w:r>
      <w:r w:rsidR="00A47497">
        <w:rPr>
          <w:lang w:val="en-US"/>
        </w:rPr>
        <w:t>Trust</w:t>
      </w:r>
      <w:r w:rsidR="003B6315">
        <w:rPr>
          <w:lang w:val="en-US"/>
        </w:rPr>
        <w:t>s</w:t>
      </w:r>
      <w:r w:rsidR="00A47497">
        <w:rPr>
          <w:lang w:val="en-US"/>
        </w:rPr>
        <w:t xml:space="preserve"> should review these findings to </w:t>
      </w:r>
      <w:r w:rsidR="00A47497">
        <w:rPr>
          <w:lang w:val="en-US"/>
        </w:rPr>
        <w:t xml:space="preserve">determine if there are </w:t>
      </w:r>
      <w:r w:rsidR="009F428A">
        <w:rPr>
          <w:lang w:val="en-US"/>
        </w:rPr>
        <w:t xml:space="preserve">lessons </w:t>
      </w:r>
      <w:r w:rsidR="00A47497">
        <w:rPr>
          <w:lang w:val="en-US"/>
        </w:rPr>
        <w:t>or opportunities to improve their own governance performance</w:t>
      </w:r>
      <w:r>
        <w:rPr>
          <w:lang w:val="en-US"/>
        </w:rPr>
        <w:t xml:space="preserve">. </w:t>
      </w:r>
    </w:p>
    <w:p w14:paraId="04EEEBCA" w14:textId="62E162BC" w:rsidR="007060E0" w:rsidRDefault="007060E0" w:rsidP="00D057D2">
      <w:pPr>
        <w:pStyle w:val="Body"/>
        <w:rPr>
          <w:lang w:val="en-US"/>
        </w:rPr>
      </w:pPr>
      <w:r>
        <w:rPr>
          <w:lang w:val="en-US"/>
        </w:rPr>
        <w:t xml:space="preserve">Common themes identified in the report were that </w:t>
      </w:r>
      <w:r w:rsidR="006150E7">
        <w:rPr>
          <w:lang w:val="en-US"/>
        </w:rPr>
        <w:t xml:space="preserve">several </w:t>
      </w:r>
      <w:r>
        <w:rPr>
          <w:lang w:val="en-US"/>
        </w:rPr>
        <w:t>trusts did not have in place:</w:t>
      </w:r>
    </w:p>
    <w:p w14:paraId="5CD8553C" w14:textId="4132AE8E" w:rsidR="007060E0" w:rsidRPr="00632786" w:rsidRDefault="00051E0D" w:rsidP="00632786">
      <w:pPr>
        <w:pStyle w:val="Bullet1"/>
      </w:pPr>
      <w:r w:rsidRPr="00632786">
        <w:t>a</w:t>
      </w:r>
      <w:r w:rsidR="007060E0" w:rsidRPr="00632786">
        <w:t xml:space="preserve"> financial budget, forecast or strategy to plan and manage the long-term viability of the trust</w:t>
      </w:r>
    </w:p>
    <w:p w14:paraId="724AC91E" w14:textId="252D2386" w:rsidR="007060E0" w:rsidRPr="00632786" w:rsidRDefault="00051E0D" w:rsidP="00632786">
      <w:pPr>
        <w:pStyle w:val="Bullet1"/>
      </w:pPr>
      <w:r w:rsidRPr="00632786">
        <w:t>a</w:t>
      </w:r>
      <w:r w:rsidR="003B6315" w:rsidRPr="00632786">
        <w:t>n i</w:t>
      </w:r>
      <w:r w:rsidR="007060E0" w:rsidRPr="00632786">
        <w:t xml:space="preserve">nstrument of delegation to </w:t>
      </w:r>
      <w:proofErr w:type="spellStart"/>
      <w:r w:rsidR="007060E0" w:rsidRPr="00632786">
        <w:t>authorise</w:t>
      </w:r>
      <w:proofErr w:type="spellEnd"/>
      <w:r w:rsidR="007060E0" w:rsidRPr="00632786">
        <w:t xml:space="preserve"> trust members/officers to undertake functions and exercise powers under the</w:t>
      </w:r>
      <w:r w:rsidRPr="00632786">
        <w:t xml:space="preserve"> Act</w:t>
      </w:r>
    </w:p>
    <w:p w14:paraId="3A127A70" w14:textId="77514C67" w:rsidR="007060E0" w:rsidRPr="00632786" w:rsidRDefault="00051E0D" w:rsidP="00632786">
      <w:pPr>
        <w:pStyle w:val="Bullet1"/>
      </w:pPr>
      <w:r w:rsidRPr="00632786">
        <w:t>d</w:t>
      </w:r>
      <w:r w:rsidR="007060E0" w:rsidRPr="00632786">
        <w:t xml:space="preserve">ocumented policies and procedures for contract management including assessment of contractor performance </w:t>
      </w:r>
    </w:p>
    <w:p w14:paraId="71EFDBF3" w14:textId="1384F44A" w:rsidR="007060E0" w:rsidRPr="00632786" w:rsidRDefault="00051E0D" w:rsidP="00632786">
      <w:pPr>
        <w:pStyle w:val="Bullet1"/>
      </w:pPr>
      <w:r w:rsidRPr="00632786">
        <w:t>a</w:t>
      </w:r>
      <w:r w:rsidR="003B6315" w:rsidRPr="00632786">
        <w:t xml:space="preserve"> central </w:t>
      </w:r>
      <w:r w:rsidR="007060E0" w:rsidRPr="00632786">
        <w:t xml:space="preserve">register to record complaints </w:t>
      </w:r>
    </w:p>
    <w:p w14:paraId="19D5DB23" w14:textId="03D7DEDD" w:rsidR="007060E0" w:rsidRPr="00632786" w:rsidRDefault="00051E0D" w:rsidP="00632786">
      <w:pPr>
        <w:pStyle w:val="Bullet1"/>
      </w:pPr>
      <w:r w:rsidRPr="00632786">
        <w:t>a</w:t>
      </w:r>
      <w:r w:rsidR="007060E0" w:rsidRPr="00632786">
        <w:t>dequate risk management activities (financial and non-financial)</w:t>
      </w:r>
      <w:r w:rsidRPr="00632786">
        <w:t>.</w:t>
      </w:r>
    </w:p>
    <w:p w14:paraId="3C4489E2" w14:textId="7B95A441" w:rsidR="007060E0" w:rsidRDefault="007060E0" w:rsidP="00632786">
      <w:pPr>
        <w:pStyle w:val="Bodyafterbullets"/>
        <w:rPr>
          <w:lang w:val="en-US"/>
        </w:rPr>
      </w:pPr>
      <w:r>
        <w:rPr>
          <w:lang w:val="en-US"/>
        </w:rPr>
        <w:t xml:space="preserve">For </w:t>
      </w:r>
      <w:r w:rsidR="00D057D2">
        <w:rPr>
          <w:lang w:val="en-US"/>
        </w:rPr>
        <w:t xml:space="preserve">more </w:t>
      </w:r>
      <w:r>
        <w:rPr>
          <w:lang w:val="en-US"/>
        </w:rPr>
        <w:t xml:space="preserve">information please refer to the </w:t>
      </w:r>
      <w:hyperlink r:id="rId25" w:history="1">
        <w:r w:rsidRPr="00632786">
          <w:rPr>
            <w:rStyle w:val="Hyperlink"/>
            <w:lang w:val="en-US"/>
          </w:rPr>
          <w:t xml:space="preserve">report on the </w:t>
        </w:r>
        <w:r w:rsidR="006150E7">
          <w:rPr>
            <w:rStyle w:val="Hyperlink"/>
            <w:lang w:val="en-US"/>
          </w:rPr>
          <w:t xml:space="preserve">health.vic </w:t>
        </w:r>
        <w:r w:rsidRPr="00632786">
          <w:rPr>
            <w:rStyle w:val="Hyperlink"/>
            <w:lang w:val="en-US"/>
          </w:rPr>
          <w:t>website</w:t>
        </w:r>
      </w:hyperlink>
      <w:r>
        <w:rPr>
          <w:lang w:val="en-US"/>
        </w:rPr>
        <w:t xml:space="preserve"> &lt;</w:t>
      </w:r>
      <w:r w:rsidRPr="00861B79">
        <w:rPr>
          <w:lang w:val="en-US"/>
        </w:rPr>
        <w:t>https://www2.health.vic.gov.au/public-health/cemeteries-and-crematoria/publications/reports-and-fact-sheets</w:t>
      </w:r>
      <w:r>
        <w:rPr>
          <w:lang w:val="en-US"/>
        </w:rPr>
        <w:t>&gt;.</w:t>
      </w:r>
    </w:p>
    <w:p w14:paraId="55B8EAF0" w14:textId="5F733CFD" w:rsidR="00E41C71" w:rsidRDefault="00A47497" w:rsidP="00632786">
      <w:pPr>
        <w:pStyle w:val="Body"/>
        <w:rPr>
          <w:lang w:val="en-US"/>
        </w:rPr>
      </w:pPr>
      <w:r>
        <w:rPr>
          <w:lang w:val="en-US"/>
        </w:rPr>
        <w:t>In conjunction with the sector</w:t>
      </w:r>
      <w:r w:rsidR="003B6315">
        <w:rPr>
          <w:lang w:val="en-US"/>
        </w:rPr>
        <w:t>,</w:t>
      </w:r>
      <w:r>
        <w:rPr>
          <w:lang w:val="en-US"/>
        </w:rPr>
        <w:t xml:space="preserve"> the department has developed </w:t>
      </w:r>
      <w:r w:rsidR="00190A9D">
        <w:rPr>
          <w:lang w:val="en-US"/>
        </w:rPr>
        <w:t>several</w:t>
      </w:r>
      <w:r>
        <w:rPr>
          <w:lang w:val="en-US"/>
        </w:rPr>
        <w:t xml:space="preserve"> new </w:t>
      </w:r>
      <w:r w:rsidR="00E41C71">
        <w:rPr>
          <w:lang w:val="en-US"/>
        </w:rPr>
        <w:t xml:space="preserve">policy templates to assist </w:t>
      </w:r>
      <w:r w:rsidR="002911F6">
        <w:rPr>
          <w:lang w:val="en-US"/>
        </w:rPr>
        <w:t>C</w:t>
      </w:r>
      <w:r w:rsidR="00E41C71">
        <w:rPr>
          <w:lang w:val="en-US"/>
        </w:rPr>
        <w:t>lass B cemeter</w:t>
      </w:r>
      <w:r>
        <w:rPr>
          <w:lang w:val="en-US"/>
        </w:rPr>
        <w:t>y</w:t>
      </w:r>
      <w:r w:rsidR="00E41C71">
        <w:rPr>
          <w:lang w:val="en-US"/>
        </w:rPr>
        <w:t xml:space="preserve"> </w:t>
      </w:r>
      <w:r>
        <w:rPr>
          <w:lang w:val="en-US"/>
        </w:rPr>
        <w:t xml:space="preserve">trusts. These templates are designed </w:t>
      </w:r>
      <w:r w:rsidR="003B6315">
        <w:rPr>
          <w:lang w:val="en-US"/>
        </w:rPr>
        <w:t xml:space="preserve">to </w:t>
      </w:r>
      <w:r>
        <w:rPr>
          <w:lang w:val="en-US"/>
        </w:rPr>
        <w:t xml:space="preserve">improve trust governance performance. These policies and procedures can be found </w:t>
      </w:r>
      <w:r w:rsidR="00632786">
        <w:rPr>
          <w:lang w:val="en-US"/>
        </w:rPr>
        <w:t xml:space="preserve">on the </w:t>
      </w:r>
      <w:hyperlink r:id="rId26" w:history="1">
        <w:r w:rsidR="006150E7">
          <w:rPr>
            <w:rStyle w:val="Hyperlink"/>
            <w:lang w:val="en-US"/>
          </w:rPr>
          <w:t xml:space="preserve">program’s </w:t>
        </w:r>
        <w:r w:rsidR="00632786" w:rsidRPr="00632786">
          <w:rPr>
            <w:rStyle w:val="Hyperlink"/>
            <w:lang w:val="en-US"/>
          </w:rPr>
          <w:t>webpage</w:t>
        </w:r>
      </w:hyperlink>
      <w:r w:rsidR="00632786">
        <w:rPr>
          <w:lang w:val="en-US"/>
        </w:rPr>
        <w:t xml:space="preserve"> </w:t>
      </w:r>
      <w:r w:rsidR="00E41C71">
        <w:rPr>
          <w:lang w:val="en-US"/>
        </w:rPr>
        <w:t>&lt;</w:t>
      </w:r>
      <w:r w:rsidR="00E41C71" w:rsidRPr="00484E61">
        <w:rPr>
          <w:lang w:val="en-US"/>
        </w:rPr>
        <w:t>https://www2.health.vic.gov.au/public-health/cemeteries-and-crematoria/governance-and-finance/policy-templates</w:t>
      </w:r>
      <w:r w:rsidR="00E41C71">
        <w:rPr>
          <w:lang w:val="en-US"/>
        </w:rPr>
        <w:t>&gt;.</w:t>
      </w:r>
    </w:p>
    <w:p w14:paraId="43F4AAE3" w14:textId="77777777" w:rsidR="00E41C71" w:rsidRDefault="00E41C71" w:rsidP="00E41C71">
      <w:pPr>
        <w:pStyle w:val="Heading1"/>
      </w:pPr>
      <w:bookmarkStart w:id="11" w:name="_Toc66979384"/>
      <w:r>
        <w:t>Cemetery Grants Program</w:t>
      </w:r>
      <w:bookmarkEnd w:id="11"/>
    </w:p>
    <w:p w14:paraId="1C4CADA5" w14:textId="74899989" w:rsidR="00E41C71" w:rsidRPr="00A65073" w:rsidRDefault="00E41C71" w:rsidP="00D057D2">
      <w:pPr>
        <w:pStyle w:val="Body"/>
      </w:pPr>
      <w:r w:rsidRPr="00A65073">
        <w:t>The first round of the 20</w:t>
      </w:r>
      <w:r>
        <w:t>20</w:t>
      </w:r>
      <w:r w:rsidRPr="00A65073">
        <w:t>–2</w:t>
      </w:r>
      <w:r>
        <w:t>1</w:t>
      </w:r>
      <w:r w:rsidRPr="00A65073">
        <w:t xml:space="preserve"> Cemetery Grants Program closed on 30 November 20</w:t>
      </w:r>
      <w:r>
        <w:t>20</w:t>
      </w:r>
      <w:r w:rsidRPr="00A65073">
        <w:t>,</w:t>
      </w:r>
      <w:r w:rsidR="00190A9D">
        <w:t xml:space="preserve"> with</w:t>
      </w:r>
      <w:r w:rsidRPr="00A65073">
        <w:t xml:space="preserve"> </w:t>
      </w:r>
      <w:r w:rsidR="008345AE" w:rsidRPr="00581D56">
        <w:t>68</w:t>
      </w:r>
      <w:r w:rsidRPr="00581D56">
        <w:t xml:space="preserve"> trusts</w:t>
      </w:r>
      <w:r w:rsidR="007060E0" w:rsidRPr="00581D56">
        <w:t xml:space="preserve"> </w:t>
      </w:r>
      <w:r w:rsidR="007060E0">
        <w:t>receiv</w:t>
      </w:r>
      <w:r w:rsidR="00190A9D">
        <w:t>ing</w:t>
      </w:r>
      <w:r w:rsidR="007060E0">
        <w:t xml:space="preserve"> grants totalling </w:t>
      </w:r>
      <w:r w:rsidR="008345AE">
        <w:t>$827,844.98</w:t>
      </w:r>
      <w:r w:rsidR="008345AE" w:rsidRPr="00D869D2">
        <w:t>.</w:t>
      </w:r>
    </w:p>
    <w:p w14:paraId="44AE4AFD" w14:textId="673AEE63" w:rsidR="00E41C71" w:rsidRPr="00A65073" w:rsidRDefault="00E41C71" w:rsidP="00D057D2">
      <w:pPr>
        <w:pStyle w:val="Body"/>
      </w:pPr>
      <w:r w:rsidRPr="00A65073">
        <w:t>The second round of the 20</w:t>
      </w:r>
      <w:r>
        <w:t>20</w:t>
      </w:r>
      <w:r w:rsidRPr="00A65073">
        <w:t>–2</w:t>
      </w:r>
      <w:r>
        <w:t>1</w:t>
      </w:r>
      <w:r w:rsidRPr="00A65073">
        <w:t xml:space="preserve"> program </w:t>
      </w:r>
      <w:r>
        <w:t xml:space="preserve">will </w:t>
      </w:r>
      <w:r w:rsidRPr="00A65073">
        <w:t>close on 31 March 202</w:t>
      </w:r>
      <w:r>
        <w:t>1</w:t>
      </w:r>
      <w:r w:rsidRPr="00A65073">
        <w:t xml:space="preserve">. Trusts that </w:t>
      </w:r>
      <w:r>
        <w:t>apply</w:t>
      </w:r>
      <w:r w:rsidRPr="00A65073">
        <w:t xml:space="preserve"> for a grant in this round will be notified of the outcome in </w:t>
      </w:r>
      <w:r w:rsidRPr="00581D56">
        <w:t>May</w:t>
      </w:r>
      <w:r w:rsidRPr="00A65073">
        <w:rPr>
          <w:color w:val="FF0000"/>
        </w:rPr>
        <w:t xml:space="preserve"> </w:t>
      </w:r>
      <w:r w:rsidRPr="00A65073">
        <w:t>202</w:t>
      </w:r>
      <w:r>
        <w:t>1</w:t>
      </w:r>
      <w:r w:rsidRPr="00A65073">
        <w:t>.</w:t>
      </w:r>
    </w:p>
    <w:p w14:paraId="6D7FA0A7" w14:textId="5EA49B60" w:rsidR="00E41C71" w:rsidRPr="00A65073" w:rsidRDefault="00E41C71" w:rsidP="00D057D2">
      <w:pPr>
        <w:pStyle w:val="Body"/>
      </w:pPr>
      <w:r w:rsidRPr="00A65073">
        <w:t>Please note there are limited funds available for grants and priority will be given to applications for funds that address occupational health and safety issues and those trusts that need IT equipment</w:t>
      </w:r>
      <w:r w:rsidR="007060E0">
        <w:t xml:space="preserve"> to improve their service delivery.</w:t>
      </w:r>
      <w:r w:rsidRPr="00A65073">
        <w:t xml:space="preserve"> </w:t>
      </w:r>
      <w:r>
        <w:t>P</w:t>
      </w:r>
      <w:r w:rsidRPr="00A65073">
        <w:t>artial grants will be considered for those trusts that can contribute to the proposed project from their own funds.</w:t>
      </w:r>
    </w:p>
    <w:p w14:paraId="54431137" w14:textId="77777777" w:rsidR="00E41C71" w:rsidRPr="00A65073" w:rsidRDefault="00E41C71" w:rsidP="00D057D2">
      <w:pPr>
        <w:pStyle w:val="Body"/>
      </w:pPr>
      <w:r w:rsidRPr="00A65073">
        <w:lastRenderedPageBreak/>
        <w:t>To apply for a grant, a cemetery trust must submit the application form before work begins. Applications should include two quotes for the proposed expenditure and photos of the relevant area (if appropriate). If a trust is unable to obtain two quotes, a written explanation of why this is not possible must be submitted. Previous grants must be acquitted for the grant application to be considered</w:t>
      </w:r>
      <w:r>
        <w:t>. A</w:t>
      </w:r>
      <w:r w:rsidRPr="00A65073">
        <w:t xml:space="preserve"> current ABN is also required for the grant funds to be transferred.</w:t>
      </w:r>
    </w:p>
    <w:p w14:paraId="2BF85036" w14:textId="1B7F7A4D" w:rsidR="00E41C71" w:rsidRPr="00A65073" w:rsidRDefault="00E41C71" w:rsidP="00D057D2">
      <w:pPr>
        <w:pStyle w:val="Body"/>
      </w:pPr>
      <w:r w:rsidRPr="00A65073">
        <w:t xml:space="preserve">Trusts are required to </w:t>
      </w:r>
      <w:hyperlink r:id="rId27" w:history="1">
        <w:r w:rsidRPr="00A37C51">
          <w:rPr>
            <w:rStyle w:val="Hyperlink"/>
          </w:rPr>
          <w:t>email applications to the department</w:t>
        </w:r>
      </w:hyperlink>
      <w:r w:rsidRPr="00A65073">
        <w:t xml:space="preserve"> &lt;cemeteries@</w:t>
      </w:r>
      <w:r w:rsidR="008345AE">
        <w:t>health</w:t>
      </w:r>
      <w:r w:rsidRPr="00A65073">
        <w:t>.vic.gov.au&gt;.</w:t>
      </w:r>
    </w:p>
    <w:p w14:paraId="7E548C42" w14:textId="3F7ED645" w:rsidR="00E41C71" w:rsidRDefault="00E41C71" w:rsidP="00D057D2">
      <w:pPr>
        <w:pStyle w:val="Body"/>
      </w:pPr>
      <w:r w:rsidRPr="00A65073">
        <w:t xml:space="preserve">Visit the </w:t>
      </w:r>
      <w:hyperlink r:id="rId28" w:history="1">
        <w:r w:rsidRPr="006150E7">
          <w:rPr>
            <w:rStyle w:val="Hyperlink"/>
          </w:rPr>
          <w:t>Cemeteries and crematoria website</w:t>
        </w:r>
      </w:hyperlink>
      <w:r w:rsidRPr="00A65073">
        <w:t xml:space="preserve"> </w:t>
      </w:r>
      <w:r w:rsidR="006150E7">
        <w:t>&lt;</w:t>
      </w:r>
      <w:r w:rsidR="006150E7" w:rsidRPr="006150E7">
        <w:t>https://www2.health.vic.gov.au/public-health/cemeteries-and-crematoria/grants</w:t>
      </w:r>
      <w:r w:rsidR="006150E7">
        <w:t>&gt;</w:t>
      </w:r>
      <w:r w:rsidR="006150E7" w:rsidRPr="00A65073">
        <w:t xml:space="preserve"> </w:t>
      </w:r>
      <w:r w:rsidRPr="00A65073">
        <w:t xml:space="preserve">for the application form and </w:t>
      </w:r>
      <w:r w:rsidR="00D057D2">
        <w:t>more</w:t>
      </w:r>
      <w:r w:rsidR="00D057D2" w:rsidRPr="00A65073">
        <w:t xml:space="preserve"> </w:t>
      </w:r>
      <w:r w:rsidRPr="00A65073">
        <w:t>information</w:t>
      </w:r>
      <w:r>
        <w:t>.</w:t>
      </w:r>
    </w:p>
    <w:p w14:paraId="55FEA0A5" w14:textId="77777777" w:rsidR="00E41C71" w:rsidRDefault="00E41C71" w:rsidP="00E41C71">
      <w:pPr>
        <w:pStyle w:val="Heading1"/>
      </w:pPr>
      <w:bookmarkStart w:id="12" w:name="_Toc66979385"/>
      <w:r>
        <w:t>CPI increase to fees effective 1 July 2021</w:t>
      </w:r>
      <w:bookmarkEnd w:id="12"/>
    </w:p>
    <w:p w14:paraId="2465B030" w14:textId="65DC9577" w:rsidR="00E41C71" w:rsidRPr="00F41014" w:rsidRDefault="00E41C71" w:rsidP="00D057D2">
      <w:pPr>
        <w:pStyle w:val="Body"/>
      </w:pPr>
      <w:r w:rsidRPr="00F41014">
        <w:t xml:space="preserve">As outlined in s. 43 of the </w:t>
      </w:r>
      <w:r w:rsidR="002B1154">
        <w:t>Act</w:t>
      </w:r>
      <w:r w:rsidRPr="00F41014">
        <w:t xml:space="preserve">, all cemetery trust fees of $50 or more are to be increased by the consumer price index (CPI) rate each year. </w:t>
      </w:r>
      <w:r w:rsidRPr="00363954">
        <w:t>The CPI rate for this year</w:t>
      </w:r>
      <w:r>
        <w:t>’s increase</w:t>
      </w:r>
      <w:r w:rsidRPr="00363954">
        <w:t xml:space="preserve"> is 1.3 per cent. </w:t>
      </w:r>
      <w:r>
        <w:t>This</w:t>
      </w:r>
      <w:r w:rsidRPr="00F41014">
        <w:t xml:space="preserve"> adjustment to </w:t>
      </w:r>
      <w:r>
        <w:t>trusts’</w:t>
      </w:r>
      <w:r w:rsidRPr="00F41014">
        <w:t xml:space="preserve"> fees</w:t>
      </w:r>
      <w:r>
        <w:t xml:space="preserve"> </w:t>
      </w:r>
      <w:r w:rsidRPr="00F41014">
        <w:t>will be effective from 1 July 20</w:t>
      </w:r>
      <w:r>
        <w:t>21</w:t>
      </w:r>
      <w:r w:rsidRPr="00F41014">
        <w:t>.</w:t>
      </w:r>
    </w:p>
    <w:p w14:paraId="6FA473DB" w14:textId="1D147E1D" w:rsidR="00E41C71" w:rsidRDefault="00E41C71" w:rsidP="00D057D2">
      <w:pPr>
        <w:pStyle w:val="Body"/>
      </w:pPr>
      <w:r w:rsidRPr="00E47AB0">
        <w:t>Notices confirming each trust’s CPI-adjusted fees for</w:t>
      </w:r>
      <w:r>
        <w:t xml:space="preserve"> the financial year</w:t>
      </w:r>
      <w:r w:rsidRPr="00E47AB0">
        <w:t xml:space="preserve"> 2021–22 will be </w:t>
      </w:r>
      <w:r>
        <w:t>distributed by mail</w:t>
      </w:r>
      <w:r w:rsidRPr="00E47AB0">
        <w:t xml:space="preserve"> </w:t>
      </w:r>
      <w:r w:rsidRPr="00363954">
        <w:t xml:space="preserve">in </w:t>
      </w:r>
      <w:r>
        <w:t>March</w:t>
      </w:r>
      <w:r w:rsidRPr="00363954">
        <w:t xml:space="preserve"> 2021</w:t>
      </w:r>
      <w:r w:rsidRPr="00E47AB0">
        <w:t>.</w:t>
      </w:r>
    </w:p>
    <w:p w14:paraId="384B6386" w14:textId="2FBB9120" w:rsidR="00544F22" w:rsidRDefault="00544F22" w:rsidP="00E41C71">
      <w:pPr>
        <w:pStyle w:val="Heading1"/>
      </w:pPr>
      <w:bookmarkStart w:id="13" w:name="_Toc66979386"/>
      <w:r>
        <w:t>Right of interment and interment register</w:t>
      </w:r>
      <w:bookmarkEnd w:id="13"/>
    </w:p>
    <w:p w14:paraId="4B51662B" w14:textId="02EDEDE1" w:rsidR="00544F22" w:rsidRPr="00632786" w:rsidRDefault="00544F22" w:rsidP="00D057D2">
      <w:pPr>
        <w:pStyle w:val="Body"/>
      </w:pPr>
      <w:r w:rsidRPr="00632786">
        <w:t xml:space="preserve">The department has sourced printed copies of the ‘Right of interment and interment register’. If your trust requires a new copy in order to maintain appropriate records of interments, please email the program </w:t>
      </w:r>
      <w:r w:rsidR="00190A9D">
        <w:t>and we</w:t>
      </w:r>
      <w:r w:rsidR="00190A9D" w:rsidRPr="00632786">
        <w:t xml:space="preserve"> </w:t>
      </w:r>
      <w:r w:rsidRPr="00632786">
        <w:t xml:space="preserve">will arrange to post a copy to </w:t>
      </w:r>
      <w:r w:rsidR="00190A9D">
        <w:t>you</w:t>
      </w:r>
      <w:r w:rsidRPr="00632786">
        <w:t>.</w:t>
      </w:r>
    </w:p>
    <w:p w14:paraId="4BF132F5" w14:textId="77777777" w:rsidR="00581D56" w:rsidRDefault="00581D56" w:rsidP="00581D56">
      <w:pPr>
        <w:pStyle w:val="Heading1"/>
      </w:pPr>
      <w:bookmarkStart w:id="14" w:name="_Toc23849582"/>
      <w:bookmarkStart w:id="15" w:name="_Toc66979387"/>
      <w:r>
        <w:t>Governance and operational training</w:t>
      </w:r>
      <w:bookmarkEnd w:id="14"/>
      <w:bookmarkEnd w:id="15"/>
    </w:p>
    <w:p w14:paraId="7F3CB5E5" w14:textId="2506B5E4" w:rsidR="00581D56" w:rsidRDefault="00581D56" w:rsidP="00D057D2">
      <w:pPr>
        <w:pStyle w:val="Body"/>
      </w:pPr>
      <w:r>
        <w:t xml:space="preserve">The governance and operational training programs for </w:t>
      </w:r>
      <w:r w:rsidR="00520B45">
        <w:t>C</w:t>
      </w:r>
      <w:r>
        <w:t xml:space="preserve">lass A and </w:t>
      </w:r>
      <w:r w:rsidR="00520B45">
        <w:t>C</w:t>
      </w:r>
      <w:r>
        <w:t>lass B cemetery trusts provide trust members with practical and relevant information and materials about their role. All trust members and trust secretaries are eligible to attend these department-funded training programs.</w:t>
      </w:r>
    </w:p>
    <w:p w14:paraId="571B0AAD" w14:textId="0D7CBB7B" w:rsidR="00581D56" w:rsidRDefault="00581D56" w:rsidP="00D057D2">
      <w:pPr>
        <w:pStyle w:val="Body"/>
      </w:pPr>
      <w:r>
        <w:t xml:space="preserve">The program is delivered by Our Community, and </w:t>
      </w:r>
      <w:r w:rsidR="00D057D2">
        <w:t xml:space="preserve">more </w:t>
      </w:r>
      <w:r w:rsidR="00520B45">
        <w:t>information</w:t>
      </w:r>
      <w:r>
        <w:t xml:space="preserve"> has been attached. To register for a workshop, please visit the </w:t>
      </w:r>
      <w:hyperlink r:id="rId29" w:history="1">
        <w:r w:rsidRPr="00E23B64">
          <w:rPr>
            <w:rStyle w:val="Hyperlink"/>
          </w:rPr>
          <w:t>Institute of Community Directors Australia website</w:t>
        </w:r>
      </w:hyperlink>
      <w:r>
        <w:t xml:space="preserve"> &lt;https://www.communitydirectors.com.au&gt;.</w:t>
      </w:r>
    </w:p>
    <w:p w14:paraId="43756BAF" w14:textId="77777777" w:rsidR="00581D56" w:rsidRDefault="00581D56" w:rsidP="00D057D2">
      <w:pPr>
        <w:pStyle w:val="Body"/>
      </w:pPr>
      <w:r>
        <w:t>For more information, help with registrations or to arrange a governance and operational training workshop by request, please contact Our Community directly:</w:t>
      </w:r>
    </w:p>
    <w:p w14:paraId="0AB0F471" w14:textId="77777777" w:rsidR="00581D56" w:rsidRDefault="00581D56" w:rsidP="00D057D2">
      <w:pPr>
        <w:pStyle w:val="Bodynospace"/>
      </w:pPr>
      <w:r>
        <w:t>Emily Moore</w:t>
      </w:r>
    </w:p>
    <w:p w14:paraId="419E3AB0" w14:textId="77777777" w:rsidR="00581D56" w:rsidRDefault="00581D56" w:rsidP="00D057D2">
      <w:pPr>
        <w:pStyle w:val="Bodynospace"/>
      </w:pPr>
      <w:r>
        <w:t>Our Community</w:t>
      </w:r>
    </w:p>
    <w:p w14:paraId="6E3E4F25" w14:textId="77777777" w:rsidR="00581D56" w:rsidRDefault="00581D56" w:rsidP="00D057D2">
      <w:pPr>
        <w:pStyle w:val="Bodynospace"/>
      </w:pPr>
      <w:r>
        <w:t>Phone: 9320 6808</w:t>
      </w:r>
    </w:p>
    <w:p w14:paraId="676F3D25" w14:textId="18C03178" w:rsidR="00581D56" w:rsidRPr="000F4D22" w:rsidRDefault="00A972BF" w:rsidP="00D057D2">
      <w:pPr>
        <w:pStyle w:val="Bodynospace"/>
      </w:pPr>
      <w:hyperlink r:id="rId30" w:history="1">
        <w:r w:rsidR="00581D56" w:rsidRPr="00E23B64">
          <w:rPr>
            <w:rStyle w:val="Hyperlink"/>
          </w:rPr>
          <w:t>Email Emily</w:t>
        </w:r>
      </w:hyperlink>
      <w:r w:rsidR="00581D56">
        <w:t xml:space="preserve"> &lt;</w:t>
      </w:r>
      <w:r w:rsidR="00520B45">
        <w:t>learn</w:t>
      </w:r>
      <w:r w:rsidR="00581D56" w:rsidRPr="00E23B64">
        <w:t>@ourcommunity.com.au</w:t>
      </w:r>
      <w:r w:rsidR="00581D56">
        <w:t>&gt;</w:t>
      </w:r>
    </w:p>
    <w:p w14:paraId="50E38867" w14:textId="77777777" w:rsidR="00E41C71" w:rsidRPr="00861B79" w:rsidRDefault="00E41C71" w:rsidP="00E41C71">
      <w:pPr>
        <w:rPr>
          <w:lang w:val="en-US"/>
        </w:rPr>
      </w:pPr>
    </w:p>
    <w:p w14:paraId="3712641D" w14:textId="77777777" w:rsidR="00E41C71" w:rsidRDefault="00E41C71" w:rsidP="00E41C71">
      <w:pPr>
        <w:pStyle w:val="Body"/>
        <w:sectPr w:rsidR="00E41C71" w:rsidSect="00D4598E">
          <w:type w:val="continuous"/>
          <w:pgSz w:w="11906" w:h="16838" w:code="9"/>
          <w:pgMar w:top="1418" w:right="851" w:bottom="1418" w:left="851" w:header="680" w:footer="851" w:gutter="0"/>
          <w:cols w:num="2" w:space="340"/>
          <w:docGrid w:linePitch="360"/>
        </w:sectPr>
      </w:pPr>
    </w:p>
    <w:p w14:paraId="3ED84741" w14:textId="77777777" w:rsidR="00E41C71" w:rsidRDefault="00E41C71" w:rsidP="00E41C71">
      <w:pPr>
        <w:pStyle w:val="Body"/>
      </w:pPr>
    </w:p>
    <w:tbl>
      <w:tblPr>
        <w:tblStyle w:val="TableGrid"/>
        <w:tblW w:w="0" w:type="auto"/>
        <w:tblCellMar>
          <w:bottom w:w="108" w:type="dxa"/>
        </w:tblCellMar>
        <w:tblLook w:val="0600" w:firstRow="0" w:lastRow="0" w:firstColumn="0" w:lastColumn="0" w:noHBand="1" w:noVBand="1"/>
      </w:tblPr>
      <w:tblGrid>
        <w:gridCol w:w="10194"/>
      </w:tblGrid>
      <w:tr w:rsidR="00E41C71" w14:paraId="577C4E7A" w14:textId="77777777" w:rsidTr="00D869D2">
        <w:tc>
          <w:tcPr>
            <w:tcW w:w="10194" w:type="dxa"/>
          </w:tcPr>
          <w:p w14:paraId="68E0A51E" w14:textId="742D26B3" w:rsidR="00E41C71" w:rsidRDefault="00E41C71" w:rsidP="00E41C71">
            <w:r w:rsidRPr="00254F58">
              <w:t xml:space="preserve">To receive this publication in </w:t>
            </w:r>
            <w:r w:rsidRPr="00770F37">
              <w:t>an</w:t>
            </w:r>
            <w:r w:rsidRPr="00254F58">
              <w:t xml:space="preserve"> accessible format phone</w:t>
            </w:r>
            <w:r>
              <w:t xml:space="preserve"> 1800 034 280,</w:t>
            </w:r>
            <w:r w:rsidRPr="00254F58">
              <w:t xml:space="preserve"> using the National Relay Service 13 36 77 if required, or </w:t>
            </w:r>
            <w:hyperlink r:id="rId31" w:history="1">
              <w:r w:rsidRPr="007F164B">
                <w:rPr>
                  <w:rStyle w:val="Hyperlink"/>
                </w:rPr>
                <w:t>email the Cemetery Sector Governance Support Program</w:t>
              </w:r>
            </w:hyperlink>
            <w:r>
              <w:t xml:space="preserve"> &lt;cemeteries@</w:t>
            </w:r>
            <w:r w:rsidR="008345AE">
              <w:t>health</w:t>
            </w:r>
            <w:r>
              <w:t>.vic.gov.au&gt;</w:t>
            </w:r>
            <w:r w:rsidR="00190A9D">
              <w:t>.</w:t>
            </w:r>
          </w:p>
          <w:p w14:paraId="3ECB3484" w14:textId="77777777" w:rsidR="00E41C71" w:rsidRPr="0055119B" w:rsidRDefault="00E41C71" w:rsidP="00D869D2">
            <w:pPr>
              <w:pStyle w:val="Imprint"/>
            </w:pPr>
            <w:r w:rsidRPr="0055119B">
              <w:t>Authorised and published by the Victorian Government, 1 Treasury Place, Melbourne.</w:t>
            </w:r>
          </w:p>
          <w:p w14:paraId="14AA886B" w14:textId="33CEA133" w:rsidR="00E41C71" w:rsidRPr="0055119B" w:rsidRDefault="00E41C71" w:rsidP="00D869D2">
            <w:pPr>
              <w:pStyle w:val="Imprint"/>
            </w:pPr>
            <w:r w:rsidRPr="0055119B">
              <w:t xml:space="preserve">© State of Victoria, Australia, </w:t>
            </w:r>
            <w:r w:rsidRPr="001E2A36">
              <w:t>Department of Health</w:t>
            </w:r>
            <w:r w:rsidRPr="0055119B">
              <w:t xml:space="preserve">, </w:t>
            </w:r>
            <w:r>
              <w:t>March 2021</w:t>
            </w:r>
          </w:p>
          <w:p w14:paraId="33C867AA" w14:textId="52C58D3D" w:rsidR="00E41C71" w:rsidRPr="0055119B" w:rsidRDefault="00E41C71" w:rsidP="00D869D2">
            <w:pPr>
              <w:pStyle w:val="Imprint"/>
            </w:pPr>
            <w:r w:rsidRPr="0055119B">
              <w:t xml:space="preserve">ISSN </w:t>
            </w:r>
            <w:r>
              <w:t>2208-8830 (print) 2208-8849</w:t>
            </w:r>
            <w:r w:rsidRPr="00E33237">
              <w:rPr>
                <w:color w:val="004C97"/>
              </w:rPr>
              <w:t xml:space="preserve"> </w:t>
            </w:r>
            <w:r w:rsidRPr="0055119B">
              <w:t xml:space="preserve">(online/PDF/Word) </w:t>
            </w:r>
          </w:p>
          <w:p w14:paraId="3ADF2DD4" w14:textId="77777777" w:rsidR="00E41C71" w:rsidRDefault="00A972BF" w:rsidP="00D869D2">
            <w:pPr>
              <w:pStyle w:val="Imprint"/>
            </w:pPr>
            <w:hyperlink r:id="rId32" w:history="1">
              <w:r w:rsidR="00E41C71">
                <w:rPr>
                  <w:rStyle w:val="Hyperlink"/>
                </w:rPr>
                <w:t>Available from the Cemeteries and Crematoria webpage</w:t>
              </w:r>
            </w:hyperlink>
            <w:r w:rsidR="00E41C71">
              <w:t xml:space="preserve"> &lt;</w:t>
            </w:r>
            <w:r w:rsidR="00E41C71" w:rsidRPr="00242E8D">
              <w:t>https://www2.health.vic.gov.au/public-health/cemeteries-and-crematoria</w:t>
            </w:r>
            <w:r w:rsidR="00E41C71">
              <w:t>&gt;</w:t>
            </w:r>
          </w:p>
          <w:p w14:paraId="1A700BAB" w14:textId="18FF4FA7" w:rsidR="00E41C71" w:rsidRDefault="00E41C71" w:rsidP="00D869D2">
            <w:pPr>
              <w:pStyle w:val="Imprint"/>
            </w:pPr>
            <w:r w:rsidRPr="0055119B">
              <w:t xml:space="preserve">Printed by </w:t>
            </w:r>
            <w:r w:rsidR="000C5257" w:rsidRPr="000C5257">
              <w:rPr>
                <w:color w:val="auto"/>
              </w:rPr>
              <w:t>Razer Graphix, Bayswater</w:t>
            </w:r>
          </w:p>
        </w:tc>
      </w:tr>
    </w:tbl>
    <w:p w14:paraId="6B839D1D" w14:textId="77777777" w:rsidR="00E41C71" w:rsidRDefault="00E41C71" w:rsidP="00E41C71">
      <w:pPr>
        <w:pStyle w:val="Body"/>
      </w:pPr>
    </w:p>
    <w:sectPr w:rsidR="00E41C71" w:rsidSect="00E41C7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6ECC4" w14:textId="77777777" w:rsidR="00B70FD1" w:rsidRDefault="00B70FD1">
      <w:r>
        <w:separator/>
      </w:r>
    </w:p>
  </w:endnote>
  <w:endnote w:type="continuationSeparator" w:id="0">
    <w:p w14:paraId="26121943" w14:textId="77777777" w:rsidR="00B70FD1" w:rsidRDefault="00B7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CAC8" w14:textId="77777777" w:rsidR="00745F9C" w:rsidRDefault="00745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5289" w14:textId="7F2145B9" w:rsidR="00E261B3" w:rsidRPr="00F65AA9" w:rsidRDefault="00315BD8" w:rsidP="00F84FA0">
    <w:pPr>
      <w:pStyle w:val="Footer"/>
    </w:pPr>
    <w:r>
      <w:rPr>
        <w:noProof/>
        <w:lang w:eastAsia="en-AU"/>
      </w:rPr>
      <w:drawing>
        <wp:anchor distT="0" distB="0" distL="114300" distR="114300" simplePos="0" relativeHeight="251674112" behindDoc="1" locked="1" layoutInCell="1" allowOverlap="1" wp14:anchorId="06F28A18" wp14:editId="3A7CD486">
          <wp:simplePos x="0" y="0"/>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67CE" w14:textId="61F1FE81" w:rsidR="00E261B3" w:rsidRDefault="00E2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4B320" w14:textId="77777777" w:rsidR="00B70FD1" w:rsidRDefault="00B70FD1" w:rsidP="002862F1">
      <w:pPr>
        <w:spacing w:before="120"/>
      </w:pPr>
      <w:r>
        <w:separator/>
      </w:r>
    </w:p>
  </w:footnote>
  <w:footnote w:type="continuationSeparator" w:id="0">
    <w:p w14:paraId="3504E8F7" w14:textId="77777777" w:rsidR="00B70FD1" w:rsidRDefault="00B7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09A2" w14:textId="77777777" w:rsidR="00745F9C" w:rsidRDefault="0074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AAE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1D38" w14:textId="77777777" w:rsidR="00745F9C" w:rsidRDefault="00745F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92DF7" w14:textId="31E3FB5F" w:rsidR="00E261B3" w:rsidRPr="0051568D" w:rsidRDefault="008C3697" w:rsidP="0011701A">
    <w:pPr>
      <w:pStyle w:val="Header"/>
    </w:pPr>
    <w:r>
      <w:rPr>
        <w:noProof/>
      </w:rPr>
      <w:drawing>
        <wp:anchor distT="0" distB="0" distL="114300" distR="114300" simplePos="0" relativeHeight="251673088" behindDoc="1" locked="1" layoutInCell="1" allowOverlap="1" wp14:anchorId="20D148AA" wp14:editId="17DD65B8">
          <wp:simplePos x="0" y="0"/>
          <wp:positionH relativeFrom="page">
            <wp:posOffset>0</wp:posOffset>
          </wp:positionH>
          <wp:positionV relativeFrom="page">
            <wp:posOffset>0</wp:posOffset>
          </wp:positionV>
          <wp:extent cx="7524000" cy="270000"/>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C61566" w:rsidRPr="00C61566">
      <w:t>Cemetery Sector Governance Support Program newsletter: edition 1, 2021</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DC11A8"/>
    <w:multiLevelType w:val="hybridMultilevel"/>
    <w:tmpl w:val="19D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276CA09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38"/>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1E0D"/>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C5257"/>
    <w:rsid w:val="000D1242"/>
    <w:rsid w:val="000E0970"/>
    <w:rsid w:val="000E1910"/>
    <w:rsid w:val="000E3CC7"/>
    <w:rsid w:val="000E6BD4"/>
    <w:rsid w:val="000E6D6D"/>
    <w:rsid w:val="000F1F1E"/>
    <w:rsid w:val="000F2259"/>
    <w:rsid w:val="000F2DDA"/>
    <w:rsid w:val="000F5213"/>
    <w:rsid w:val="000F7AFE"/>
    <w:rsid w:val="00101001"/>
    <w:rsid w:val="00103276"/>
    <w:rsid w:val="0010392D"/>
    <w:rsid w:val="0010447F"/>
    <w:rsid w:val="00104FE3"/>
    <w:rsid w:val="001056E1"/>
    <w:rsid w:val="00105C2A"/>
    <w:rsid w:val="0010714F"/>
    <w:rsid w:val="001120C5"/>
    <w:rsid w:val="0011701A"/>
    <w:rsid w:val="00120BD3"/>
    <w:rsid w:val="00122FEA"/>
    <w:rsid w:val="001232BD"/>
    <w:rsid w:val="00124ED5"/>
    <w:rsid w:val="001276FA"/>
    <w:rsid w:val="0014255B"/>
    <w:rsid w:val="001447B3"/>
    <w:rsid w:val="00152073"/>
    <w:rsid w:val="00154E2D"/>
    <w:rsid w:val="00156598"/>
    <w:rsid w:val="0015664C"/>
    <w:rsid w:val="00161939"/>
    <w:rsid w:val="00161AA0"/>
    <w:rsid w:val="00161D2E"/>
    <w:rsid w:val="00161F3E"/>
    <w:rsid w:val="00162093"/>
    <w:rsid w:val="00162CA9"/>
    <w:rsid w:val="00165459"/>
    <w:rsid w:val="00165A57"/>
    <w:rsid w:val="001712C2"/>
    <w:rsid w:val="001715B7"/>
    <w:rsid w:val="00172BAF"/>
    <w:rsid w:val="001771DD"/>
    <w:rsid w:val="00177995"/>
    <w:rsid w:val="00177A8C"/>
    <w:rsid w:val="00186B33"/>
    <w:rsid w:val="0018727D"/>
    <w:rsid w:val="00190A9D"/>
    <w:rsid w:val="00192F9D"/>
    <w:rsid w:val="00196EB8"/>
    <w:rsid w:val="00196EFB"/>
    <w:rsid w:val="001979FF"/>
    <w:rsid w:val="00197B17"/>
    <w:rsid w:val="001A1950"/>
    <w:rsid w:val="001A1C54"/>
    <w:rsid w:val="001A3ACE"/>
    <w:rsid w:val="001B058F"/>
    <w:rsid w:val="001B1EE0"/>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201"/>
    <w:rsid w:val="001E68A5"/>
    <w:rsid w:val="001E6BB0"/>
    <w:rsid w:val="001E7282"/>
    <w:rsid w:val="001F3826"/>
    <w:rsid w:val="001F6E46"/>
    <w:rsid w:val="001F7C91"/>
    <w:rsid w:val="00202907"/>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1F6"/>
    <w:rsid w:val="00291373"/>
    <w:rsid w:val="0029597D"/>
    <w:rsid w:val="002962C3"/>
    <w:rsid w:val="0029752B"/>
    <w:rsid w:val="002A0A9C"/>
    <w:rsid w:val="002A483C"/>
    <w:rsid w:val="002B0C7C"/>
    <w:rsid w:val="002B1154"/>
    <w:rsid w:val="002B1729"/>
    <w:rsid w:val="002B36C7"/>
    <w:rsid w:val="002B4DD4"/>
    <w:rsid w:val="002B5277"/>
    <w:rsid w:val="002B5375"/>
    <w:rsid w:val="002B77C1"/>
    <w:rsid w:val="002C0ED7"/>
    <w:rsid w:val="002C2728"/>
    <w:rsid w:val="002C28E6"/>
    <w:rsid w:val="002D1E0D"/>
    <w:rsid w:val="002D5006"/>
    <w:rsid w:val="002E01D0"/>
    <w:rsid w:val="002E161D"/>
    <w:rsid w:val="002E3100"/>
    <w:rsid w:val="002E6C95"/>
    <w:rsid w:val="002E7C36"/>
    <w:rsid w:val="002F0107"/>
    <w:rsid w:val="002F3D32"/>
    <w:rsid w:val="002F5F31"/>
    <w:rsid w:val="002F5F46"/>
    <w:rsid w:val="00302216"/>
    <w:rsid w:val="00303E53"/>
    <w:rsid w:val="003058A7"/>
    <w:rsid w:val="00305CC1"/>
    <w:rsid w:val="00306E5F"/>
    <w:rsid w:val="00307E14"/>
    <w:rsid w:val="00314054"/>
    <w:rsid w:val="00315BD8"/>
    <w:rsid w:val="00316F27"/>
    <w:rsid w:val="003214F1"/>
    <w:rsid w:val="00322E4B"/>
    <w:rsid w:val="00327870"/>
    <w:rsid w:val="0033259D"/>
    <w:rsid w:val="003333D2"/>
    <w:rsid w:val="003406C6"/>
    <w:rsid w:val="003418CC"/>
    <w:rsid w:val="00343638"/>
    <w:rsid w:val="003459BD"/>
    <w:rsid w:val="00350D38"/>
    <w:rsid w:val="00351B36"/>
    <w:rsid w:val="00354289"/>
    <w:rsid w:val="00357B4E"/>
    <w:rsid w:val="003716FD"/>
    <w:rsid w:val="0037204B"/>
    <w:rsid w:val="003744CF"/>
    <w:rsid w:val="00374717"/>
    <w:rsid w:val="0037676C"/>
    <w:rsid w:val="00381043"/>
    <w:rsid w:val="003829E5"/>
    <w:rsid w:val="00385E13"/>
    <w:rsid w:val="00386109"/>
    <w:rsid w:val="00386944"/>
    <w:rsid w:val="003956CC"/>
    <w:rsid w:val="00395C9A"/>
    <w:rsid w:val="003A0853"/>
    <w:rsid w:val="003A6B67"/>
    <w:rsid w:val="003B13B6"/>
    <w:rsid w:val="003B15E6"/>
    <w:rsid w:val="003B408A"/>
    <w:rsid w:val="003B5733"/>
    <w:rsid w:val="003B6315"/>
    <w:rsid w:val="003C08A2"/>
    <w:rsid w:val="003C2045"/>
    <w:rsid w:val="003C43A1"/>
    <w:rsid w:val="003C4FC0"/>
    <w:rsid w:val="003C55F4"/>
    <w:rsid w:val="003C58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219"/>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0B45"/>
    <w:rsid w:val="00526AC7"/>
    <w:rsid w:val="00526C15"/>
    <w:rsid w:val="00536499"/>
    <w:rsid w:val="00543903"/>
    <w:rsid w:val="00543F11"/>
    <w:rsid w:val="00544F22"/>
    <w:rsid w:val="00546305"/>
    <w:rsid w:val="00547A95"/>
    <w:rsid w:val="0055119B"/>
    <w:rsid w:val="005548B5"/>
    <w:rsid w:val="00572031"/>
    <w:rsid w:val="00572282"/>
    <w:rsid w:val="00573CE3"/>
    <w:rsid w:val="00576E84"/>
    <w:rsid w:val="00580394"/>
    <w:rsid w:val="005809CD"/>
    <w:rsid w:val="00581D56"/>
    <w:rsid w:val="00582B8C"/>
    <w:rsid w:val="00583374"/>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A78"/>
    <w:rsid w:val="005D6597"/>
    <w:rsid w:val="005E14E7"/>
    <w:rsid w:val="005E26A3"/>
    <w:rsid w:val="005E2ECB"/>
    <w:rsid w:val="005E447E"/>
    <w:rsid w:val="005E4FD1"/>
    <w:rsid w:val="005F0775"/>
    <w:rsid w:val="005F0CF5"/>
    <w:rsid w:val="005F21EB"/>
    <w:rsid w:val="00605908"/>
    <w:rsid w:val="00610D7C"/>
    <w:rsid w:val="00613414"/>
    <w:rsid w:val="006150E7"/>
    <w:rsid w:val="00617F62"/>
    <w:rsid w:val="00620154"/>
    <w:rsid w:val="0062408D"/>
    <w:rsid w:val="006240CC"/>
    <w:rsid w:val="00624940"/>
    <w:rsid w:val="006254F8"/>
    <w:rsid w:val="00627DA7"/>
    <w:rsid w:val="00630DA4"/>
    <w:rsid w:val="00632597"/>
    <w:rsid w:val="00632786"/>
    <w:rsid w:val="006358B4"/>
    <w:rsid w:val="006419AA"/>
    <w:rsid w:val="00644B1F"/>
    <w:rsid w:val="00644B7E"/>
    <w:rsid w:val="006454E6"/>
    <w:rsid w:val="00646235"/>
    <w:rsid w:val="00646A68"/>
    <w:rsid w:val="006505BD"/>
    <w:rsid w:val="006508EA"/>
    <w:rsid w:val="0065092E"/>
    <w:rsid w:val="006557A7"/>
    <w:rsid w:val="00656290"/>
    <w:rsid w:val="006608D8"/>
    <w:rsid w:val="00661A51"/>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E2B3B"/>
    <w:rsid w:val="006F0330"/>
    <w:rsid w:val="006F1FDC"/>
    <w:rsid w:val="006F6B8C"/>
    <w:rsid w:val="007013EF"/>
    <w:rsid w:val="007055BD"/>
    <w:rsid w:val="007060E0"/>
    <w:rsid w:val="007108CC"/>
    <w:rsid w:val="007173CA"/>
    <w:rsid w:val="007216AA"/>
    <w:rsid w:val="00721AB5"/>
    <w:rsid w:val="00721CFB"/>
    <w:rsid w:val="00721DEF"/>
    <w:rsid w:val="00724A43"/>
    <w:rsid w:val="007273AC"/>
    <w:rsid w:val="00731AD4"/>
    <w:rsid w:val="007346E4"/>
    <w:rsid w:val="0074060C"/>
    <w:rsid w:val="00740F22"/>
    <w:rsid w:val="00741CF0"/>
    <w:rsid w:val="00741F1A"/>
    <w:rsid w:val="007447DA"/>
    <w:rsid w:val="007450F8"/>
    <w:rsid w:val="00745F9C"/>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0BEC"/>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45AE"/>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3A02"/>
    <w:rsid w:val="008C5557"/>
    <w:rsid w:val="008C589D"/>
    <w:rsid w:val="008C6A01"/>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2C4C"/>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28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7C51"/>
    <w:rsid w:val="00A44882"/>
    <w:rsid w:val="00A45125"/>
    <w:rsid w:val="00A47497"/>
    <w:rsid w:val="00A54715"/>
    <w:rsid w:val="00A6061C"/>
    <w:rsid w:val="00A62D44"/>
    <w:rsid w:val="00A67263"/>
    <w:rsid w:val="00A7161C"/>
    <w:rsid w:val="00A77AA3"/>
    <w:rsid w:val="00A8236D"/>
    <w:rsid w:val="00A854EB"/>
    <w:rsid w:val="00A872E5"/>
    <w:rsid w:val="00A91406"/>
    <w:rsid w:val="00A96E65"/>
    <w:rsid w:val="00A972BF"/>
    <w:rsid w:val="00A97C72"/>
    <w:rsid w:val="00AA268E"/>
    <w:rsid w:val="00AA310B"/>
    <w:rsid w:val="00AA4B3C"/>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3315"/>
    <w:rsid w:val="00B45141"/>
    <w:rsid w:val="00B46DE7"/>
    <w:rsid w:val="00B506DF"/>
    <w:rsid w:val="00B519CD"/>
    <w:rsid w:val="00B5273A"/>
    <w:rsid w:val="00B57329"/>
    <w:rsid w:val="00B60E61"/>
    <w:rsid w:val="00B62B50"/>
    <w:rsid w:val="00B635B7"/>
    <w:rsid w:val="00B63AE8"/>
    <w:rsid w:val="00B65950"/>
    <w:rsid w:val="00B66D83"/>
    <w:rsid w:val="00B672C0"/>
    <w:rsid w:val="00B676FD"/>
    <w:rsid w:val="00B70FD1"/>
    <w:rsid w:val="00B75646"/>
    <w:rsid w:val="00B90729"/>
    <w:rsid w:val="00B907DA"/>
    <w:rsid w:val="00B950BC"/>
    <w:rsid w:val="00B9714C"/>
    <w:rsid w:val="00BA29AD"/>
    <w:rsid w:val="00BA33CF"/>
    <w:rsid w:val="00BA3F8D"/>
    <w:rsid w:val="00BB1B0A"/>
    <w:rsid w:val="00BB7A10"/>
    <w:rsid w:val="00BC3E8F"/>
    <w:rsid w:val="00BC60BE"/>
    <w:rsid w:val="00BC7468"/>
    <w:rsid w:val="00BC7D4F"/>
    <w:rsid w:val="00BC7ED7"/>
    <w:rsid w:val="00BD2850"/>
    <w:rsid w:val="00BE28D2"/>
    <w:rsid w:val="00BE4A64"/>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2989"/>
    <w:rsid w:val="00C33388"/>
    <w:rsid w:val="00C35484"/>
    <w:rsid w:val="00C40477"/>
    <w:rsid w:val="00C4173A"/>
    <w:rsid w:val="00C50DED"/>
    <w:rsid w:val="00C55063"/>
    <w:rsid w:val="00C602FF"/>
    <w:rsid w:val="00C61174"/>
    <w:rsid w:val="00C6148F"/>
    <w:rsid w:val="00C61566"/>
    <w:rsid w:val="00C621B1"/>
    <w:rsid w:val="00C62F7A"/>
    <w:rsid w:val="00C63B9C"/>
    <w:rsid w:val="00C6682F"/>
    <w:rsid w:val="00C67BF4"/>
    <w:rsid w:val="00C7275E"/>
    <w:rsid w:val="00C74C5D"/>
    <w:rsid w:val="00C832AB"/>
    <w:rsid w:val="00C84D35"/>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5CE9"/>
    <w:rsid w:val="00CF2F50"/>
    <w:rsid w:val="00CF6198"/>
    <w:rsid w:val="00D02919"/>
    <w:rsid w:val="00D04C61"/>
    <w:rsid w:val="00D057D2"/>
    <w:rsid w:val="00D05B8D"/>
    <w:rsid w:val="00D065A2"/>
    <w:rsid w:val="00D079AA"/>
    <w:rsid w:val="00D07F00"/>
    <w:rsid w:val="00D1130F"/>
    <w:rsid w:val="00D17B72"/>
    <w:rsid w:val="00D20839"/>
    <w:rsid w:val="00D3185C"/>
    <w:rsid w:val="00D3205F"/>
    <w:rsid w:val="00D3318E"/>
    <w:rsid w:val="00D33E72"/>
    <w:rsid w:val="00D35BD6"/>
    <w:rsid w:val="00D361B5"/>
    <w:rsid w:val="00D370C2"/>
    <w:rsid w:val="00D411A2"/>
    <w:rsid w:val="00D4598E"/>
    <w:rsid w:val="00D4606D"/>
    <w:rsid w:val="00D46C92"/>
    <w:rsid w:val="00D50B9C"/>
    <w:rsid w:val="00D52D73"/>
    <w:rsid w:val="00D52E58"/>
    <w:rsid w:val="00D55B29"/>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5CC"/>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1C7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4BE2"/>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6C0E"/>
    <w:rsid w:val="00F6768F"/>
    <w:rsid w:val="00F72C2C"/>
    <w:rsid w:val="00F76CAB"/>
    <w:rsid w:val="00F772C6"/>
    <w:rsid w:val="00F815B5"/>
    <w:rsid w:val="00F84FA0"/>
    <w:rsid w:val="00F85195"/>
    <w:rsid w:val="00F868E3"/>
    <w:rsid w:val="00F91941"/>
    <w:rsid w:val="00F938BA"/>
    <w:rsid w:val="00F97919"/>
    <w:rsid w:val="00FA2C46"/>
    <w:rsid w:val="00FA3525"/>
    <w:rsid w:val="00FA5A53"/>
    <w:rsid w:val="00FB4769"/>
    <w:rsid w:val="00FB4CDA"/>
    <w:rsid w:val="00FB6481"/>
    <w:rsid w:val="00FB6D36"/>
    <w:rsid w:val="00FC0965"/>
    <w:rsid w:val="00FC0F81"/>
    <w:rsid w:val="00FC252F"/>
    <w:rsid w:val="00FC395C"/>
    <w:rsid w:val="00FC5CBD"/>
    <w:rsid w:val="00FC5E8E"/>
    <w:rsid w:val="00FD3766"/>
    <w:rsid w:val="00FD47C4"/>
    <w:rsid w:val="00FD722A"/>
    <w:rsid w:val="00FE2DCF"/>
    <w:rsid w:val="00FE3FA7"/>
    <w:rsid w:val="00FE56C5"/>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2691D7"/>
  <w15:docId w15:val="{698116C6-F06F-4FB8-AA6E-DA7FC11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632786"/>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632786"/>
    <w:pPr>
      <w:numPr>
        <w:numId w:val="7"/>
      </w:numPr>
      <w:spacing w:after="40"/>
    </w:pPr>
    <w:rPr>
      <w:lang w:val="en-US"/>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632786"/>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ublic-health/cemeteries-and-crematoria/governance-and-finance/policy-templates" TargetMode="External"/><Relationship Id="rId3" Type="http://schemas.openxmlformats.org/officeDocument/2006/relationships/customXml" Target="../customXml/item3.xml"/><Relationship Id="rId21" Type="http://schemas.openxmlformats.org/officeDocument/2006/relationships/hyperlink" Target="mailto:security@ovic.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public-health/cemeteries-and-crematoria/publications/reports-and-fact-shee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cemeteries-and-crematoria" TargetMode="External"/><Relationship Id="rId29" Type="http://schemas.openxmlformats.org/officeDocument/2006/relationships/hyperlink" Target="https://www.communitydirector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public-health/cemeteries-and-crematoria/appointments/recruitment-and-advertising" TargetMode="External"/><Relationship Id="rId32" Type="http://schemas.openxmlformats.org/officeDocument/2006/relationships/hyperlink" Target="https://www2.health.vic.gov.au/public-health/cemeteries-and-crematori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ublic-health/cemeteries-and-crematoria/appointments" TargetMode="External"/><Relationship Id="rId28" Type="http://schemas.openxmlformats.org/officeDocument/2006/relationships/hyperlink" Target="https://www2.health.vic.gov.au/public-health/cemeteries-and-crematoria/grants" TargetMode="External"/><Relationship Id="rId10" Type="http://schemas.openxmlformats.org/officeDocument/2006/relationships/endnotes" Target="endnotes.xml"/><Relationship Id="rId19" Type="http://schemas.openxmlformats.org/officeDocument/2006/relationships/hyperlink" Target="mailto:cemeteries@health.vic.gov.au" TargetMode="External"/><Relationship Id="rId31" Type="http://schemas.openxmlformats.org/officeDocument/2006/relationships/hyperlink" Target="mailto:cemetaries@dhh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20cemeteries-and-crematoria/appointments/class-b-appointments" TargetMode="External"/><Relationship Id="rId27" Type="http://schemas.openxmlformats.org/officeDocument/2006/relationships/hyperlink" Target="mailto:cemeteries@health.vic.gov.au" TargetMode="External"/><Relationship Id="rId30" Type="http://schemas.openxmlformats.org/officeDocument/2006/relationships/hyperlink" Target="mailto:emilym@ourcommunity.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schemas.microsoft.com/office/2006/documentManagement/type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4E3CC807-994B-405E-9F1B-E6809D01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1768</Words>
  <Characters>12267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Cemetery Sector Governance Support Program newsletter: edition 1, 2021</vt:lpstr>
    </vt:vector>
  </TitlesOfParts>
  <Company>Victoria State Government, Department of Health</Company>
  <LinksUpToDate>false</LinksUpToDate>
  <CharactersWithSpaces>14007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Sector Governance Support Program newsletter: edition 1, 2021</dc:title>
  <dc:subject>Cemetery Sector Governance Support Program newsletter: edition 1, 2021</dc:subject>
  <dc:creator>Cemetery Sector Governance Support Program</dc:creator>
  <cp:keywords>Cemetery Sector Governance Support Program, newsletter, crematoria, victoria</cp:keywords>
  <cp:lastModifiedBy>Alice York (Health)</cp:lastModifiedBy>
  <cp:revision>2</cp:revision>
  <cp:lastPrinted>2020-03-30T03:28:00Z</cp:lastPrinted>
  <dcterms:created xsi:type="dcterms:W3CDTF">2021-04-08T03:44:00Z</dcterms:created>
  <dcterms:modified xsi:type="dcterms:W3CDTF">2021-04-08T03:44:00Z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Owner">
    <vt:lpwstr>Alice.York@health.vic.gov.au</vt:lpwstr>
  </property>
  <property fmtid="{D5CDD505-2E9C-101B-9397-08002B2CF9AE}" pid="8" name="MSIP_Label_efdf5488-3066-4b6c-8fea-9472b8a1f34c_SetDate">
    <vt:lpwstr>2021-04-08T03:43:26.1855961Z</vt:lpwstr>
  </property>
  <property fmtid="{D5CDD505-2E9C-101B-9397-08002B2CF9AE}" pid="9" name="MSIP_Label_efdf5488-3066-4b6c-8fea-9472b8a1f34c_Name">
    <vt:lpwstr>DO NOT MARK</vt:lpwstr>
  </property>
  <property fmtid="{D5CDD505-2E9C-101B-9397-08002B2CF9AE}" pid="10" name="MSIP_Label_efdf5488-3066-4b6c-8fea-9472b8a1f34c_Application">
    <vt:lpwstr>Microsoft Azure Information Protection</vt:lpwstr>
  </property>
  <property fmtid="{D5CDD505-2E9C-101B-9397-08002B2CF9AE}" pid="11" name="MSIP_Label_efdf5488-3066-4b6c-8fea-9472b8a1f34c_ActionId">
    <vt:lpwstr>f698c9b2-185a-4029-96b1-f629befbbc5e</vt:lpwstr>
  </property>
  <property fmtid="{D5CDD505-2E9C-101B-9397-08002B2CF9AE}" pid="12" name="MSIP_Label_efdf5488-3066-4b6c-8fea-9472b8a1f34c_Extended_MSFT_Method">
    <vt:lpwstr>Manual</vt:lpwstr>
  </property>
  <property fmtid="{D5CDD505-2E9C-101B-9397-08002B2CF9AE}" pid="13" name="Sensitivity">
    <vt:lpwstr>DO NOT MARK</vt:lpwstr>
  </property>
</Properties>
</file>