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63884" w14:textId="77777777" w:rsidR="0074696E" w:rsidRPr="004C6EEE" w:rsidRDefault="00067266" w:rsidP="00AD784C">
      <w:pPr>
        <w:pStyle w:val="Spacerparatopoffirstpage"/>
      </w:pPr>
      <w:r>
        <w:drawing>
          <wp:anchor distT="0" distB="0" distL="114300" distR="114300" simplePos="0" relativeHeight="251657728" behindDoc="1" locked="1" layoutInCell="0" allowOverlap="1" wp14:anchorId="77600F54" wp14:editId="3B3908BF">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2F2F9" w14:textId="77777777" w:rsidR="00A62D44" w:rsidRPr="004C6EEE" w:rsidRDefault="00A62D44"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6282E835" w14:textId="77777777" w:rsidTr="001C277E">
        <w:trPr>
          <w:trHeight w:val="1247"/>
        </w:trPr>
        <w:tc>
          <w:tcPr>
            <w:tcW w:w="8046" w:type="dxa"/>
            <w:shd w:val="clear" w:color="auto" w:fill="auto"/>
            <w:vAlign w:val="bottom"/>
          </w:tcPr>
          <w:p w14:paraId="3FB01E30" w14:textId="6E6254D2" w:rsidR="00AD784C" w:rsidRPr="00161AA0" w:rsidRDefault="00B73C83" w:rsidP="00A91406">
            <w:pPr>
              <w:pStyle w:val="DHHSmainheading"/>
            </w:pPr>
            <w:r>
              <w:t>Suboxone</w:t>
            </w:r>
            <w:r w:rsidRPr="00686E77">
              <w:rPr>
                <w:rFonts w:cs="Arial"/>
                <w:vertAlign w:val="superscript"/>
              </w:rPr>
              <w:t>®</w:t>
            </w:r>
            <w:r>
              <w:t xml:space="preserve"> fact sheet</w:t>
            </w:r>
          </w:p>
        </w:tc>
      </w:tr>
      <w:tr w:rsidR="00AD784C" w14:paraId="22765BDA" w14:textId="77777777" w:rsidTr="00357B4E">
        <w:trPr>
          <w:trHeight w:hRule="exact" w:val="1162"/>
        </w:trPr>
        <w:tc>
          <w:tcPr>
            <w:tcW w:w="8046" w:type="dxa"/>
            <w:shd w:val="clear" w:color="auto" w:fill="auto"/>
            <w:tcMar>
              <w:top w:w="170" w:type="dxa"/>
              <w:bottom w:w="510" w:type="dxa"/>
            </w:tcMar>
          </w:tcPr>
          <w:p w14:paraId="5313321D" w14:textId="4D5CFF6A" w:rsidR="00357B4E" w:rsidRPr="00BC11DB" w:rsidRDefault="00B73C83" w:rsidP="00B73C83">
            <w:pPr>
              <w:pStyle w:val="DHHSmainsubheading"/>
              <w:rPr>
                <w:rFonts w:cs="Arial"/>
                <w:szCs w:val="28"/>
              </w:rPr>
            </w:pPr>
            <w:r>
              <w:rPr>
                <w:szCs w:val="28"/>
              </w:rPr>
              <w:t>Prescribing and dispensing Suboxone</w:t>
            </w:r>
            <w:r>
              <w:rPr>
                <w:rFonts w:cs="Arial"/>
                <w:szCs w:val="28"/>
              </w:rPr>
              <w:t>®</w:t>
            </w:r>
          </w:p>
        </w:tc>
      </w:tr>
    </w:tbl>
    <w:p w14:paraId="31AE8174" w14:textId="77777777" w:rsidR="007173CA" w:rsidRDefault="007173CA" w:rsidP="007173CA">
      <w:pPr>
        <w:pStyle w:val="DHHSbody"/>
      </w:pPr>
    </w:p>
    <w:p w14:paraId="0EA90F04" w14:textId="77777777" w:rsidR="007173CA" w:rsidRDefault="007173CA" w:rsidP="007173CA">
      <w:pPr>
        <w:pStyle w:val="DHHSbody"/>
        <w:sectPr w:rsidR="007173CA"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bookmarkStart w:id="0" w:name="_Toc440566508"/>
    </w:p>
    <w:p w14:paraId="06B1D80F" w14:textId="77777777" w:rsidR="00B73C83" w:rsidRPr="004C6EEE" w:rsidRDefault="00B73C83" w:rsidP="00B73C83">
      <w:pPr>
        <w:pStyle w:val="Spacerparatopoffirstpage"/>
      </w:pPr>
      <w:r>
        <w:rPr>
          <w:lang w:eastAsia="zh-CN"/>
        </w:rPr>
        <w:drawing>
          <wp:anchor distT="0" distB="0" distL="114300" distR="114300" simplePos="0" relativeHeight="251658752" behindDoc="1" locked="1" layoutInCell="0" allowOverlap="1" wp14:anchorId="16114B59" wp14:editId="30846582">
            <wp:simplePos x="0" y="0"/>
            <wp:positionH relativeFrom="page">
              <wp:posOffset>0</wp:posOffset>
            </wp:positionH>
            <wp:positionV relativeFrom="page">
              <wp:posOffset>0</wp:posOffset>
            </wp:positionV>
            <wp:extent cx="7563485" cy="2072640"/>
            <wp:effectExtent l="0" t="0" r="0" b="381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A757D" w14:textId="77777777" w:rsidR="00B73C83" w:rsidRPr="004C6EEE" w:rsidRDefault="00B73C83" w:rsidP="00B73C83">
      <w:pPr>
        <w:pStyle w:val="Sectionbreakfirstpage"/>
        <w:sectPr w:rsidR="00B73C83" w:rsidRPr="004C6EEE" w:rsidSect="00B73C83">
          <w:footerReference w:type="even" r:id="rId16"/>
          <w:footerReference w:type="default" r:id="rId17"/>
          <w:footerReference w:type="first" r:id="rId18"/>
          <w:type w:val="continuous"/>
          <w:pgSz w:w="11906" w:h="16838" w:code="9"/>
          <w:pgMar w:top="567" w:right="851" w:bottom="1418" w:left="851" w:header="510" w:footer="510" w:gutter="0"/>
          <w:cols w:space="708"/>
          <w:docGrid w:linePitch="360"/>
        </w:sectPr>
      </w:pPr>
    </w:p>
    <w:p w14:paraId="5F3A2588" w14:textId="77777777" w:rsidR="00B73C83" w:rsidRDefault="00B73C83" w:rsidP="00B73C83">
      <w:pPr>
        <w:pStyle w:val="Heading1"/>
      </w:pPr>
      <w:r w:rsidRPr="00686E77">
        <w:t>Background</w:t>
      </w:r>
    </w:p>
    <w:p w14:paraId="54BECC9D" w14:textId="0B33FE4E" w:rsidR="00B73C83" w:rsidRDefault="00B73C83" w:rsidP="00686E77">
      <w:pPr>
        <w:pStyle w:val="DHHSbody"/>
      </w:pPr>
      <w:r>
        <w:t xml:space="preserve">Suboxone is a sublingual film that contains the </w:t>
      </w:r>
      <w:r w:rsidRPr="00EB5997">
        <w:t>active</w:t>
      </w:r>
      <w:r>
        <w:t xml:space="preserve"> ingredients buprenorphine and nalo</w:t>
      </w:r>
      <w:r w:rsidR="00686E77">
        <w:t>xo</w:t>
      </w:r>
      <w:r>
        <w:t xml:space="preserve">ne. It is registered with the Therapeutic Goods Administration for use in Australia for the treatment of opioid dependence. </w:t>
      </w:r>
    </w:p>
    <w:p w14:paraId="7987FE1A" w14:textId="5AAE935C" w:rsidR="00B73C83" w:rsidRDefault="00B73C83" w:rsidP="00686E77">
      <w:pPr>
        <w:pStyle w:val="DHHSbody"/>
      </w:pPr>
      <w:r>
        <w:t xml:space="preserve">Through the Section 100 Opiate Dependence Treatment Program established under the </w:t>
      </w:r>
      <w:r w:rsidRPr="00006D17">
        <w:rPr>
          <w:i/>
        </w:rPr>
        <w:t>National Health Act 1953</w:t>
      </w:r>
      <w:r>
        <w:t>, Suboxone is fully subsidised by the Commonwealth Government under the Pharmaceutical Benefits Scheme (PBS) for opioid replacement therapy.</w:t>
      </w:r>
    </w:p>
    <w:p w14:paraId="712C286C" w14:textId="77777777" w:rsidR="00B73C83" w:rsidRDefault="00B73C83" w:rsidP="00B73C83">
      <w:pPr>
        <w:pStyle w:val="DHHSbody"/>
      </w:pPr>
      <w:r>
        <w:t xml:space="preserve">There has been some confusion about the legality and practicalities of prescribing and dispensing Suboxone for purposes other than opioid replacement </w:t>
      </w:r>
      <w:r w:rsidRPr="00EB5997">
        <w:t>therapy</w:t>
      </w:r>
      <w:r>
        <w:t xml:space="preserve"> (</w:t>
      </w:r>
      <w:r w:rsidRPr="008617E9">
        <w:t>off-label</w:t>
      </w:r>
      <w:r>
        <w:t xml:space="preserve"> </w:t>
      </w:r>
      <w:r w:rsidRPr="00EB5997">
        <w:t>use</w:t>
      </w:r>
      <w:r>
        <w:t xml:space="preserve">). </w:t>
      </w:r>
    </w:p>
    <w:p w14:paraId="4617B68A" w14:textId="77777777" w:rsidR="00B73C83" w:rsidRPr="00416CA1" w:rsidRDefault="00B73C83" w:rsidP="00686E77">
      <w:pPr>
        <w:pStyle w:val="DHHSbody"/>
      </w:pPr>
      <w:r>
        <w:t>This factsheet sets out the current regulatory, funding and supply mechanisms for Suboxone to provide clarity around these matters.</w:t>
      </w:r>
    </w:p>
    <w:p w14:paraId="16C296FD" w14:textId="37089E34" w:rsidR="00B73C83" w:rsidRPr="00686E77" w:rsidRDefault="00B73C83" w:rsidP="00B73C83">
      <w:pPr>
        <w:pStyle w:val="Heading1"/>
      </w:pPr>
      <w:r w:rsidRPr="002E184F">
        <w:t xml:space="preserve">For </w:t>
      </w:r>
      <w:r>
        <w:t>o</w:t>
      </w:r>
      <w:r w:rsidRPr="002E184F">
        <w:t xml:space="preserve">pioid </w:t>
      </w:r>
      <w:r>
        <w:t>r</w:t>
      </w:r>
      <w:r w:rsidRPr="002E184F">
        <w:t xml:space="preserve">eplacement </w:t>
      </w:r>
      <w:r>
        <w:t>t</w:t>
      </w:r>
      <w:r w:rsidRPr="002E184F">
        <w:t>herapy</w:t>
      </w:r>
    </w:p>
    <w:p w14:paraId="42272CFF" w14:textId="60A9FB5E" w:rsidR="00B73C83" w:rsidRDefault="00B73C83" w:rsidP="00686E77">
      <w:pPr>
        <w:pStyle w:val="DHHSbody"/>
      </w:pPr>
      <w:r>
        <w:t xml:space="preserve">As Suboxone is a Schedule 8 poison for the purposes of the Victorian </w:t>
      </w:r>
      <w:r>
        <w:rPr>
          <w:i/>
        </w:rPr>
        <w:t xml:space="preserve">Drugs, Poisons and Controlled Substances Act 1981, </w:t>
      </w:r>
      <w:r>
        <w:t xml:space="preserve">in Victoria, medical practitioners require a Schedule 8 permit to prescribe Suboxone to drug-dependent persons, or to non-drug dependent persons for a period of more than eight </w:t>
      </w:r>
      <w:r w:rsidRPr="00EB5997">
        <w:t>weeks</w:t>
      </w:r>
      <w:r>
        <w:t>.</w:t>
      </w:r>
    </w:p>
    <w:p w14:paraId="3E4158E9" w14:textId="09E64FB0" w:rsidR="00B73C83" w:rsidRDefault="00B73C83" w:rsidP="00B73C83">
      <w:pPr>
        <w:pStyle w:val="DHHSbody"/>
      </w:pPr>
      <w:r>
        <w:t xml:space="preserve">When Suboxone is prescribed for opioid replacement therapy, pharmacists obtain stock to fill these prescriptions via the </w:t>
      </w:r>
      <w:r w:rsidRPr="00F95363">
        <w:t>Section 100 Opioid Dependence Treatment Program</w:t>
      </w:r>
      <w:r>
        <w:t xml:space="preserve"> </w:t>
      </w:r>
      <w:r w:rsidRPr="00EB5997">
        <w:t>under</w:t>
      </w:r>
      <w:r>
        <w:t xml:space="preserve"> the PBS. </w:t>
      </w:r>
    </w:p>
    <w:p w14:paraId="6BFCBC2E" w14:textId="638BD7B8" w:rsidR="00B73C83" w:rsidRDefault="00B73C83" w:rsidP="00686E77">
      <w:pPr>
        <w:pStyle w:val="DHHSbody"/>
      </w:pPr>
      <w:r>
        <w:t>Pharmacies cannot obtain Suboxone for opioid replacement therapy from wholesalers unless the pharmacy has been approved by the Victorian Department of Health and Human Services to dispense Suboxone for opioid replacement therapy.</w:t>
      </w:r>
    </w:p>
    <w:p w14:paraId="09D66ED3" w14:textId="77777777" w:rsidR="00B73C83" w:rsidRDefault="00B73C83" w:rsidP="00B73C83">
      <w:pPr>
        <w:pStyle w:val="DHHSbody"/>
        <w:contextualSpacing/>
      </w:pPr>
      <w:r>
        <w:t xml:space="preserve">The Commonwealth funds the full cost of Suboxone under the PBS for opioid replacement therapy, however consumers prescribed Suboxone are required to pay a dispensing fee. For a consumer to access Suboxone under the </w:t>
      </w:r>
      <w:r w:rsidRPr="00410819">
        <w:t>Section 100 Opioid Dependence Treatment Program</w:t>
      </w:r>
      <w:r>
        <w:t xml:space="preserve">, </w:t>
      </w:r>
      <w:r w:rsidRPr="004F774C">
        <w:t>the indication</w:t>
      </w:r>
      <w:r>
        <w:t xml:space="preserve"> must be opioid dependence.</w:t>
      </w:r>
    </w:p>
    <w:p w14:paraId="026648F5" w14:textId="4CAF24D8" w:rsidR="00B73C83" w:rsidRPr="00686E77" w:rsidRDefault="00B73C83" w:rsidP="00B73C83">
      <w:pPr>
        <w:pStyle w:val="Heading1"/>
      </w:pPr>
      <w:r w:rsidRPr="002E184F">
        <w:t xml:space="preserve">For </w:t>
      </w:r>
      <w:r>
        <w:t>o</w:t>
      </w:r>
      <w:r w:rsidRPr="002E184F">
        <w:t xml:space="preserve">ther </w:t>
      </w:r>
      <w:r>
        <w:t>i</w:t>
      </w:r>
      <w:r w:rsidRPr="002E184F">
        <w:t>ndications</w:t>
      </w:r>
    </w:p>
    <w:p w14:paraId="29098A3D" w14:textId="76254A82" w:rsidR="00B73C83" w:rsidRDefault="00B73C83" w:rsidP="00B73C83">
      <w:pPr>
        <w:pStyle w:val="DHHSbody"/>
      </w:pPr>
      <w:r w:rsidRPr="002F3BD6">
        <w:t>There</w:t>
      </w:r>
      <w:r>
        <w:t xml:space="preserve"> are no provisions</w:t>
      </w:r>
      <w:r w:rsidRPr="002F3BD6">
        <w:t xml:space="preserve"> under Commonwealth or Victoria</w:t>
      </w:r>
      <w:r>
        <w:t>n legislation</w:t>
      </w:r>
      <w:r w:rsidRPr="002F3BD6">
        <w:t xml:space="preserve"> that prohibit</w:t>
      </w:r>
      <w:r w:rsidRPr="007F430A">
        <w:t xml:space="preserve"> prescribing</w:t>
      </w:r>
      <w:r w:rsidRPr="002F3BD6">
        <w:t xml:space="preserve"> Suboxone</w:t>
      </w:r>
      <w:r>
        <w:t xml:space="preserve"> for off-label use.</w:t>
      </w:r>
    </w:p>
    <w:p w14:paraId="6E091895" w14:textId="77777777" w:rsidR="00B73C83" w:rsidRDefault="00B73C83" w:rsidP="00B73C83">
      <w:pPr>
        <w:pStyle w:val="DHHSbody"/>
      </w:pPr>
      <w:r>
        <w:t>However, i</w:t>
      </w:r>
      <w:r w:rsidRPr="002F3BD6">
        <w:t xml:space="preserve">f Suboxone is prescribed </w:t>
      </w:r>
      <w:r>
        <w:t xml:space="preserve">for </w:t>
      </w:r>
      <w:r w:rsidRPr="002F3BD6">
        <w:t>off-label</w:t>
      </w:r>
      <w:r>
        <w:t xml:space="preserve"> use</w:t>
      </w:r>
      <w:r w:rsidRPr="002F3BD6">
        <w:t xml:space="preserve">, the prescriber </w:t>
      </w:r>
      <w:r>
        <w:t>may</w:t>
      </w:r>
      <w:r w:rsidRPr="002F3BD6">
        <w:t xml:space="preserve"> still </w:t>
      </w:r>
      <w:r>
        <w:t xml:space="preserve">be </w:t>
      </w:r>
      <w:r w:rsidRPr="002F3BD6">
        <w:t xml:space="preserve">required to </w:t>
      </w:r>
      <w:r>
        <w:t>hold</w:t>
      </w:r>
      <w:r w:rsidRPr="002F3BD6">
        <w:t xml:space="preserve"> a Schedule 8 permit. </w:t>
      </w:r>
    </w:p>
    <w:p w14:paraId="6E00F57A" w14:textId="77777777" w:rsidR="00B73C83" w:rsidRPr="002F3BD6" w:rsidRDefault="00B73C83" w:rsidP="00686E77">
      <w:pPr>
        <w:pStyle w:val="DHHSbody"/>
      </w:pPr>
      <w:r>
        <w:t>Additionally,</w:t>
      </w:r>
      <w:r w:rsidRPr="002F3BD6">
        <w:t xml:space="preserve"> there is no PBS funding for off-label use</w:t>
      </w:r>
      <w:r>
        <w:t xml:space="preserve"> of Suboxone, and p</w:t>
      </w:r>
      <w:r w:rsidRPr="002F3BD6">
        <w:t xml:space="preserve">harmacists cannot </w:t>
      </w:r>
      <w:r>
        <w:t>dispense</w:t>
      </w:r>
      <w:r w:rsidRPr="002F3BD6">
        <w:t xml:space="preserve"> the Suboxone obtained </w:t>
      </w:r>
      <w:r w:rsidRPr="00D61D9E">
        <w:t>via the Section 100 Opiate Dependence Treatment Program</w:t>
      </w:r>
      <w:r>
        <w:t xml:space="preserve"> </w:t>
      </w:r>
      <w:r w:rsidRPr="002F3BD6">
        <w:t>for off-label</w:t>
      </w:r>
      <w:r>
        <w:t xml:space="preserve"> use.</w:t>
      </w:r>
      <w:r w:rsidRPr="002F3BD6">
        <w:t xml:space="preserve"> </w:t>
      </w:r>
    </w:p>
    <w:p w14:paraId="754E93C6" w14:textId="45CADCAD" w:rsidR="00B73C83" w:rsidRPr="002F3BD6" w:rsidRDefault="00B73C83" w:rsidP="00686E77">
      <w:pPr>
        <w:pStyle w:val="DHHSbody"/>
      </w:pPr>
      <w:r>
        <w:lastRenderedPageBreak/>
        <w:t xml:space="preserve">As a result, access to Suboxone for off-label use will be limited to circumstances where pharmacists have obtained </w:t>
      </w:r>
      <w:r w:rsidRPr="002F3BD6">
        <w:t xml:space="preserve">Suboxone from wholesalers </w:t>
      </w:r>
      <w:r>
        <w:t xml:space="preserve">outside of the Section 100 Opiate Dependence Treatment Program. If off-label use is being considered, enquiries should be made as to </w:t>
      </w:r>
      <w:r w:rsidRPr="00EB5997">
        <w:t>the</w:t>
      </w:r>
      <w:r>
        <w:t xml:space="preserve"> availability of the medicine.</w:t>
      </w:r>
    </w:p>
    <w:p w14:paraId="62880711" w14:textId="77777777" w:rsidR="00B73C83" w:rsidRPr="00C44AE4" w:rsidRDefault="00B73C83" w:rsidP="00B73C83"/>
    <w:tbl>
      <w:tblPr>
        <w:tblW w:w="4800" w:type="pct"/>
        <w:tblInd w:w="113" w:type="dxa"/>
        <w:tblCellMar>
          <w:top w:w="113" w:type="dxa"/>
          <w:bottom w:w="57" w:type="dxa"/>
        </w:tblCellMar>
        <w:tblLook w:val="00A0" w:firstRow="1" w:lastRow="0" w:firstColumn="1" w:lastColumn="0" w:noHBand="0" w:noVBand="0"/>
      </w:tblPr>
      <w:tblGrid>
        <w:gridCol w:w="9786"/>
      </w:tblGrid>
      <w:tr w:rsidR="002802E3" w:rsidRPr="002802E3" w14:paraId="314EFCE3" w14:textId="77777777" w:rsidTr="00B73C83">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0"/>
          <w:p w14:paraId="178405FF" w14:textId="1736B179" w:rsidR="00254F58" w:rsidRPr="00880B1E" w:rsidRDefault="00254F58" w:rsidP="00770F37">
            <w:pPr>
              <w:pStyle w:val="DHHSaccessibilitypara"/>
            </w:pPr>
            <w:r w:rsidRPr="00254F58">
              <w:t xml:space="preserve">To receive this publication in </w:t>
            </w:r>
            <w:r w:rsidRPr="00770F37">
              <w:t>an</w:t>
            </w:r>
            <w:r w:rsidRPr="00254F58">
              <w:t xml:space="preserve"> accessible format phone </w:t>
            </w:r>
            <w:r w:rsidR="00C96A29" w:rsidRPr="00880B1E">
              <w:t>1300 364 545</w:t>
            </w:r>
            <w:r w:rsidRPr="00254F58">
              <w:t xml:space="preserve">, using the National Relay Service 13 36 77 if required, or </w:t>
            </w:r>
            <w:hyperlink r:id="rId19" w:history="1">
              <w:r w:rsidRPr="00880B1E">
                <w:rPr>
                  <w:rStyle w:val="Hyperlink"/>
                </w:rPr>
                <w:t xml:space="preserve">email </w:t>
              </w:r>
              <w:r w:rsidR="00C96A29" w:rsidRPr="00880B1E">
                <w:rPr>
                  <w:rStyle w:val="Hyperlink"/>
                </w:rPr>
                <w:t>Medicines and Poisons Regulation team</w:t>
              </w:r>
            </w:hyperlink>
            <w:r w:rsidR="00880B1E" w:rsidRPr="00880B1E">
              <w:t xml:space="preserve"> </w:t>
            </w:r>
            <w:r w:rsidR="00880B1E">
              <w:t>&lt;</w:t>
            </w:r>
            <w:r w:rsidR="00C96A29" w:rsidRPr="00880B1E">
              <w:t>dpcs@dhhs.vic.gov.au</w:t>
            </w:r>
            <w:r w:rsidR="00880B1E">
              <w:t>&gt;</w:t>
            </w:r>
          </w:p>
          <w:p w14:paraId="3EE6D3EA" w14:textId="77777777" w:rsidR="00254F58" w:rsidRPr="00254F58" w:rsidRDefault="00254F58" w:rsidP="00254F58">
            <w:pPr>
              <w:pStyle w:val="DHHSbody"/>
            </w:pPr>
            <w:r w:rsidRPr="00254F58">
              <w:t>Authorised and published by the Victorian Governmen</w:t>
            </w:r>
            <w:r w:rsidR="001F3826">
              <w:t>t, 1 Treasury Place, Melbourne.</w:t>
            </w:r>
          </w:p>
          <w:p w14:paraId="385C8E67" w14:textId="71E1479E"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Pr="00BA3F8D">
              <w:rPr>
                <w:color w:val="008950"/>
              </w:rPr>
              <w:t xml:space="preserve"> </w:t>
            </w:r>
            <w:r w:rsidR="00C96A29">
              <w:rPr>
                <w:color w:val="D50032"/>
              </w:rPr>
              <w:t>February 2020</w:t>
            </w:r>
            <w:r w:rsidR="00F61A9F">
              <w:t>.</w:t>
            </w:r>
          </w:p>
          <w:p w14:paraId="51CFC974" w14:textId="79CD5F44" w:rsidR="00254F58" w:rsidRPr="00254F58" w:rsidRDefault="00254F58" w:rsidP="00254F58">
            <w:pPr>
              <w:pStyle w:val="DHHSbody"/>
            </w:pPr>
            <w:r w:rsidRPr="00254F58">
              <w:t>ISBN/ISSN</w:t>
            </w:r>
            <w:r w:rsidRPr="00880B1E">
              <w:t xml:space="preserve"> </w:t>
            </w:r>
            <w:r w:rsidR="007675A5" w:rsidRPr="00880B1E">
              <w:t>978-1-76069-189-9</w:t>
            </w:r>
            <w:bookmarkStart w:id="1" w:name="_GoBack"/>
            <w:bookmarkEnd w:id="1"/>
          </w:p>
          <w:p w14:paraId="0C123384" w14:textId="581564E2" w:rsidR="002802E3" w:rsidRPr="00C96A29" w:rsidRDefault="00254F58" w:rsidP="00254F58">
            <w:pPr>
              <w:pStyle w:val="DHHSbody"/>
              <w:rPr>
                <w:szCs w:val="19"/>
              </w:rPr>
            </w:pPr>
            <w:r w:rsidRPr="00254F58">
              <w:rPr>
                <w:szCs w:val="19"/>
              </w:rPr>
              <w:t xml:space="preserve">Available at </w:t>
            </w:r>
            <w:r w:rsidR="00C96A29">
              <w:rPr>
                <w:szCs w:val="19"/>
              </w:rPr>
              <w:t>the department’s website&lt;https://www2.health.vic.gov.au/public-health/drugs-and-poisons&gt;</w:t>
            </w:r>
          </w:p>
        </w:tc>
      </w:tr>
    </w:tbl>
    <w:p w14:paraId="3E485134" w14:textId="77777777"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DA8B" w14:textId="77777777" w:rsidR="000F2D8F" w:rsidRDefault="000F2D8F">
      <w:r>
        <w:separator/>
      </w:r>
    </w:p>
  </w:endnote>
  <w:endnote w:type="continuationSeparator" w:id="0">
    <w:p w14:paraId="28D08E3F" w14:textId="77777777" w:rsidR="000F2D8F" w:rsidRDefault="000F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FC2D" w14:textId="77777777" w:rsidR="00880B1E" w:rsidRDefault="00880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79E8" w14:textId="77777777" w:rsidR="009D70A4" w:rsidRPr="00F65AA9" w:rsidRDefault="00067266" w:rsidP="0051568D">
    <w:pPr>
      <w:pStyle w:val="DHHSfooter"/>
    </w:pPr>
    <w:r>
      <w:rPr>
        <w:noProof/>
      </w:rPr>
      <w:drawing>
        <wp:anchor distT="0" distB="0" distL="114300" distR="114300" simplePos="0" relativeHeight="251657216" behindDoc="0" locked="1" layoutInCell="0" allowOverlap="1" wp14:anchorId="4C0DF58F" wp14:editId="4E924DCF">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0748" w14:textId="77777777" w:rsidR="00880B1E" w:rsidRDefault="00880B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1679" w14:textId="77777777"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0B23FD">
      <w:rPr>
        <w:noProof/>
      </w:rPr>
      <w:t>2</w:t>
    </w:r>
    <w:r w:rsidRPr="00A1142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C0D0" w14:textId="77777777" w:rsidR="00B73C83" w:rsidRDefault="00580B30">
    <w:pPr>
      <w:pStyle w:val="Footer"/>
    </w:pPr>
    <w:fldSimple w:instr=" DOCPROPERTY DocumentID \* MERGEFORMAT ">
      <w:r w:rsidR="00B73C83" w:rsidRPr="00A945A8">
        <w:rPr>
          <w:color w:val="191919"/>
          <w:sz w:val="13"/>
        </w:rPr>
        <w:t>ME_162009427_1</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DB96" w14:textId="77777777" w:rsidR="00B73C83" w:rsidRDefault="00B73C83" w:rsidP="0051568D">
    <w:pPr>
      <w:pStyle w:val="DHHSfooter"/>
    </w:pPr>
    <w:r>
      <w:rPr>
        <w:noProof/>
        <w:lang w:eastAsia="zh-CN"/>
      </w:rPr>
      <w:drawing>
        <wp:anchor distT="0" distB="0" distL="114300" distR="114300" simplePos="0" relativeHeight="251658240" behindDoc="0" locked="1" layoutInCell="0" allowOverlap="1" wp14:anchorId="5DBFD663" wp14:editId="23908C27">
          <wp:simplePos x="0" y="0"/>
          <wp:positionH relativeFrom="page">
            <wp:posOffset>0</wp:posOffset>
          </wp:positionH>
          <wp:positionV relativeFrom="page">
            <wp:posOffset>9901555</wp:posOffset>
          </wp:positionV>
          <wp:extent cx="7561580" cy="791210"/>
          <wp:effectExtent l="0" t="0" r="1270" b="8890"/>
          <wp:wrapNone/>
          <wp:docPr id="3" name="Picture 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E037A" w14:textId="77777777" w:rsidR="00B73C83" w:rsidRPr="00F65AA9" w:rsidRDefault="00580B30" w:rsidP="0051568D">
    <w:pPr>
      <w:pStyle w:val="DHHSfooter"/>
    </w:pPr>
    <w:fldSimple w:instr=" DOCPROPERTY DocumentID \* MERGEFORMAT ">
      <w:r w:rsidR="00B73C83" w:rsidRPr="00A945A8">
        <w:rPr>
          <w:color w:val="191919"/>
          <w:sz w:val="13"/>
        </w:rPr>
        <w:t>ME_162009427_1</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3EB5" w14:textId="77777777" w:rsidR="00B73C83" w:rsidRDefault="00580B30">
    <w:pPr>
      <w:pStyle w:val="Footer"/>
    </w:pPr>
    <w:fldSimple w:instr=" DOCPROPERTY DocumentID \* MERGEFORMAT ">
      <w:r w:rsidR="00B73C83" w:rsidRPr="00A945A8">
        <w:rPr>
          <w:color w:val="191919"/>
          <w:sz w:val="13"/>
        </w:rPr>
        <w:t>ME_162009427_1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13F18" w14:textId="77777777" w:rsidR="000F2D8F" w:rsidRDefault="000F2D8F" w:rsidP="002862F1">
      <w:pPr>
        <w:spacing w:before="120"/>
      </w:pPr>
      <w:r>
        <w:separator/>
      </w:r>
    </w:p>
  </w:footnote>
  <w:footnote w:type="continuationSeparator" w:id="0">
    <w:p w14:paraId="3DC33982" w14:textId="77777777" w:rsidR="000F2D8F" w:rsidRDefault="000F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4101" w14:textId="77777777" w:rsidR="00880B1E" w:rsidRDefault="00880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70B0" w14:textId="77777777" w:rsidR="00880B1E" w:rsidRDefault="00880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3430" w14:textId="77777777" w:rsidR="00880B1E" w:rsidRDefault="00880B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F1A6"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83"/>
    <w:rsid w:val="000072B6"/>
    <w:rsid w:val="0001021B"/>
    <w:rsid w:val="00011D89"/>
    <w:rsid w:val="00024D89"/>
    <w:rsid w:val="000250B6"/>
    <w:rsid w:val="00033D81"/>
    <w:rsid w:val="00041BF0"/>
    <w:rsid w:val="0004536B"/>
    <w:rsid w:val="00046B68"/>
    <w:rsid w:val="000527DD"/>
    <w:rsid w:val="000578B2"/>
    <w:rsid w:val="00060959"/>
    <w:rsid w:val="000663CD"/>
    <w:rsid w:val="00067266"/>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0F2D8F"/>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A67D9"/>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0B30"/>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86E77"/>
    <w:rsid w:val="00691B62"/>
    <w:rsid w:val="00693D14"/>
    <w:rsid w:val="006A18C2"/>
    <w:rsid w:val="006B077C"/>
    <w:rsid w:val="006B6803"/>
    <w:rsid w:val="006D2A3F"/>
    <w:rsid w:val="006D2FBC"/>
    <w:rsid w:val="006E138B"/>
    <w:rsid w:val="006E25D8"/>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675A5"/>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0B1E"/>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1550F"/>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3C83"/>
    <w:rsid w:val="00B75646"/>
    <w:rsid w:val="00B90729"/>
    <w:rsid w:val="00B907DA"/>
    <w:rsid w:val="00B950BC"/>
    <w:rsid w:val="00B9714C"/>
    <w:rsid w:val="00BA3F8D"/>
    <w:rsid w:val="00BB7A10"/>
    <w:rsid w:val="00BC11DB"/>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96A29"/>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635F56"/>
  <w15:chartTrackingRefBased/>
  <w15:docId w15:val="{ECBF015D-1713-164A-8D4E-3A46BA3B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7">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B73C83"/>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B73C8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73C83"/>
    <w:rPr>
      <w:sz w:val="18"/>
      <w:szCs w:val="18"/>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7675A5"/>
    <w:rPr>
      <w:sz w:val="16"/>
      <w:szCs w:val="16"/>
    </w:rPr>
  </w:style>
  <w:style w:type="paragraph" w:styleId="CommentText">
    <w:name w:val="annotation text"/>
    <w:basedOn w:val="Normal"/>
    <w:link w:val="CommentTextChar"/>
    <w:uiPriority w:val="99"/>
    <w:semiHidden/>
    <w:unhideWhenUsed/>
    <w:rsid w:val="007675A5"/>
  </w:style>
  <w:style w:type="character" w:customStyle="1" w:styleId="CommentTextChar">
    <w:name w:val="Comment Text Char"/>
    <w:basedOn w:val="DefaultParagraphFont"/>
    <w:link w:val="CommentText"/>
    <w:uiPriority w:val="99"/>
    <w:semiHidden/>
    <w:rsid w:val="007675A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7675A5"/>
    <w:rPr>
      <w:b/>
      <w:bCs/>
    </w:rPr>
  </w:style>
  <w:style w:type="character" w:customStyle="1" w:styleId="CommentSubjectChar">
    <w:name w:val="Comment Subject Char"/>
    <w:basedOn w:val="CommentTextChar"/>
    <w:link w:val="CommentSubject"/>
    <w:uiPriority w:val="99"/>
    <w:semiHidden/>
    <w:rsid w:val="007675A5"/>
    <w:rPr>
      <w:rFonts w:ascii="Cambria" w:hAnsi="Cambria"/>
      <w:b/>
      <w:bCs/>
      <w:lang w:eastAsia="en-US"/>
    </w:rPr>
  </w:style>
  <w:style w:type="character" w:styleId="UnresolvedMention">
    <w:name w:val="Unresolved Mention"/>
    <w:basedOn w:val="DefaultParagraphFont"/>
    <w:uiPriority w:val="99"/>
    <w:semiHidden/>
    <w:unhideWhenUsed/>
    <w:rsid w:val="00880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dpcs@dhhs.vic.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3206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Macrae</dc:creator>
  <cp:keywords/>
  <cp:lastModifiedBy>Sarah Luscombe (DHHS)</cp:lastModifiedBy>
  <cp:revision>2</cp:revision>
  <cp:lastPrinted>2015-08-21T04:17:00Z</cp:lastPrinted>
  <dcterms:created xsi:type="dcterms:W3CDTF">2020-03-03T01:27:00Z</dcterms:created>
  <dcterms:modified xsi:type="dcterms:W3CDTF">2020-03-03T01:27:00Z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