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A486" w14:textId="77777777" w:rsidR="0074696E" w:rsidRPr="004C6EEE" w:rsidRDefault="000E0970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2EC6A73B" wp14:editId="160A426D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1580" cy="18942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57FBF" w14:textId="77777777" w:rsidR="00A62D44" w:rsidRPr="004C6EEE" w:rsidRDefault="00A62D44" w:rsidP="004C6EEE">
      <w:pPr>
        <w:pStyle w:val="Sectionbreakfirstpage"/>
        <w:sectPr w:rsidR="00A62D44" w:rsidRPr="004C6EEE" w:rsidSect="000068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851" w:bottom="1814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D784C" w14:paraId="7D91EA57" w14:textId="77777777" w:rsidTr="00EE74E5">
        <w:trPr>
          <w:trHeight w:val="1247"/>
        </w:trPr>
        <w:tc>
          <w:tcPr>
            <w:tcW w:w="9464" w:type="dxa"/>
            <w:shd w:val="clear" w:color="auto" w:fill="auto"/>
            <w:vAlign w:val="bottom"/>
          </w:tcPr>
          <w:p w14:paraId="16029EC7" w14:textId="5F3A74F3" w:rsidR="00AD784C" w:rsidRPr="00FA6BFE" w:rsidRDefault="00152239" w:rsidP="00EE74E5">
            <w:pPr>
              <w:pStyle w:val="DHHSmainheading"/>
              <w:rPr>
                <w:szCs w:val="60"/>
              </w:rPr>
            </w:pPr>
            <w:r w:rsidRPr="0075079E">
              <w:rPr>
                <w:sz w:val="48"/>
                <w:szCs w:val="48"/>
              </w:rPr>
              <w:t>H</w:t>
            </w:r>
            <w:r w:rsidR="00AC17E2" w:rsidRPr="0075079E">
              <w:rPr>
                <w:caps w:val="0"/>
                <w:sz w:val="48"/>
                <w:szCs w:val="48"/>
              </w:rPr>
              <w:t xml:space="preserve">ealth service environmental </w:t>
            </w:r>
            <w:r w:rsidR="00AC17E2">
              <w:rPr>
                <w:caps w:val="0"/>
                <w:sz w:val="48"/>
                <w:szCs w:val="48"/>
              </w:rPr>
              <w:t xml:space="preserve">sustainability </w:t>
            </w:r>
            <w:r w:rsidR="00AC17E2" w:rsidRPr="0075079E">
              <w:rPr>
                <w:caps w:val="0"/>
                <w:sz w:val="48"/>
                <w:szCs w:val="48"/>
              </w:rPr>
              <w:t>requirements</w:t>
            </w:r>
          </w:p>
        </w:tc>
      </w:tr>
      <w:tr w:rsidR="00AD784C" w14:paraId="1AF0AA78" w14:textId="77777777" w:rsidTr="004B6F52">
        <w:trPr>
          <w:trHeight w:hRule="exact" w:val="737"/>
        </w:trPr>
        <w:tc>
          <w:tcPr>
            <w:tcW w:w="9464" w:type="dxa"/>
            <w:shd w:val="clear" w:color="auto" w:fill="auto"/>
            <w:tcMar>
              <w:top w:w="85" w:type="dxa"/>
              <w:bottom w:w="510" w:type="dxa"/>
            </w:tcMar>
          </w:tcPr>
          <w:p w14:paraId="3A383FB4" w14:textId="5A6512D4" w:rsidR="00357B4E" w:rsidRPr="00EE74E5" w:rsidRDefault="00152239" w:rsidP="007A7381">
            <w:pPr>
              <w:pStyle w:val="DHHSmainsubheading"/>
            </w:pPr>
            <w:r>
              <w:t>Guide for compliance</w:t>
            </w:r>
            <w:r w:rsidR="007A7381">
              <w:t xml:space="preserve"> (</w:t>
            </w:r>
            <w:r w:rsidR="007571EE">
              <w:t>January</w:t>
            </w:r>
            <w:r>
              <w:t xml:space="preserve"> 20</w:t>
            </w:r>
            <w:r w:rsidR="007571EE">
              <w:t>20</w:t>
            </w:r>
            <w:r w:rsidR="007A7381">
              <w:t>)</w:t>
            </w:r>
          </w:p>
        </w:tc>
      </w:tr>
    </w:tbl>
    <w:p w14:paraId="1DC87B69" w14:textId="729039EF" w:rsidR="00152239" w:rsidRDefault="00152239" w:rsidP="00152239">
      <w:pPr>
        <w:pStyle w:val="Heading1"/>
        <w:tabs>
          <w:tab w:val="left" w:pos="3031"/>
        </w:tabs>
        <w:spacing w:before="0"/>
      </w:pPr>
      <w:r>
        <w:t>Overview</w:t>
      </w:r>
    </w:p>
    <w:p w14:paraId="2F333F5E" w14:textId="6AC379B7" w:rsidR="00152239" w:rsidRPr="00806820" w:rsidRDefault="00152239" w:rsidP="00152239">
      <w:pPr>
        <w:pStyle w:val="DHHSbody"/>
      </w:pPr>
      <w:r>
        <w:t>This guidance provides an overview of key environmental requirements of Victorian public hospitals</w:t>
      </w:r>
      <w:r w:rsidR="00AC17E2">
        <w:t>.</w:t>
      </w:r>
      <w:r>
        <w:rPr>
          <w:rStyle w:val="FootnoteReference"/>
        </w:rPr>
        <w:footnoteReference w:id="1"/>
      </w:r>
      <w:r>
        <w:t xml:space="preserve"> Further resources are provided on the </w:t>
      </w:r>
      <w:hyperlink r:id="rId14" w:history="1">
        <w:r w:rsidR="00AC17E2" w:rsidRPr="00AC17E2">
          <w:rPr>
            <w:rStyle w:val="Hyperlink"/>
          </w:rPr>
          <w:t xml:space="preserve">Sustainability </w:t>
        </w:r>
        <w:r w:rsidRPr="00AC17E2">
          <w:rPr>
            <w:rStyle w:val="Hyperlink"/>
          </w:rPr>
          <w:t>in healthcare website</w:t>
        </w:r>
      </w:hyperlink>
      <w:r>
        <w:t xml:space="preserve"> </w:t>
      </w:r>
      <w:r w:rsidR="00AC17E2">
        <w:t>&lt;</w:t>
      </w:r>
      <w:r w:rsidR="00AC17E2" w:rsidRPr="00AC17E2">
        <w:t>https://www2.health.vic.gov.au/hospitals-and-health-services/planning-infrastructure/sustainability</w:t>
      </w:r>
      <w:r w:rsidR="00AC17E2">
        <w:t>&gt;</w:t>
      </w:r>
      <w:r w:rsidR="00AC17E2" w:rsidRPr="00AC17E2">
        <w:t xml:space="preserve"> </w:t>
      </w:r>
      <w:r>
        <w:t xml:space="preserve">and through following the links embedded in this guide. </w:t>
      </w:r>
    </w:p>
    <w:p w14:paraId="5C12B2EB" w14:textId="77777777" w:rsidR="00152239" w:rsidRDefault="00152239" w:rsidP="00152239">
      <w:pPr>
        <w:pStyle w:val="Heading2"/>
      </w:pPr>
      <w:r>
        <w:t>Environmental requirements</w:t>
      </w:r>
    </w:p>
    <w:p w14:paraId="1C49DE4A" w14:textId="77777777" w:rsidR="00AC17E2" w:rsidRDefault="00152239" w:rsidP="00152239">
      <w:pPr>
        <w:pStyle w:val="DHHSbody"/>
      </w:pPr>
      <w:r w:rsidRPr="009B4DA4">
        <w:t>The </w:t>
      </w:r>
      <w:r w:rsidRPr="009B4DA4">
        <w:rPr>
          <w:i/>
        </w:rPr>
        <w:t>Environmental sustainability strategy 2018–19 to 2022–23</w:t>
      </w:r>
      <w:r w:rsidRPr="009B4DA4">
        <w:t xml:space="preserve"> sets out the department’s commitment to further improve the environmental performance of the health system. </w:t>
      </w:r>
    </w:p>
    <w:p w14:paraId="7136884F" w14:textId="630C4F7D" w:rsidR="00AC17E2" w:rsidRDefault="00152239" w:rsidP="00152239">
      <w:pPr>
        <w:pStyle w:val="DHHSbody"/>
      </w:pPr>
      <w:r>
        <w:t xml:space="preserve">This is the primary guiding document for environmental sustainability, with the department’s environmental management plan template providing guidance on how </w:t>
      </w:r>
      <w:r w:rsidR="00AC17E2">
        <w:t>health services can operationalise it</w:t>
      </w:r>
      <w:r>
        <w:t xml:space="preserve">. </w:t>
      </w:r>
    </w:p>
    <w:p w14:paraId="5466BCEF" w14:textId="45934555" w:rsidR="00152239" w:rsidRPr="009B4DA4" w:rsidRDefault="00C632D8" w:rsidP="00152239">
      <w:pPr>
        <w:pStyle w:val="DHHSbody"/>
      </w:pPr>
      <w:r>
        <w:t>Include a</w:t>
      </w:r>
      <w:r w:rsidR="00152239">
        <w:t xml:space="preserve">ll requirements below, where applicable, in the environmental management plan, </w:t>
      </w:r>
      <w:r w:rsidR="00AC17E2">
        <w:t xml:space="preserve">which </w:t>
      </w:r>
      <w:r>
        <w:t>should be</w:t>
      </w:r>
      <w:r w:rsidR="00152239">
        <w:t xml:space="preserve"> reviewed annually to ensure that is up-to-date. </w:t>
      </w:r>
    </w:p>
    <w:tbl>
      <w:tblPr>
        <w:tblStyle w:val="MediumGrid3-Accent4"/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1253"/>
        <w:gridCol w:w="2575"/>
        <w:gridCol w:w="992"/>
        <w:gridCol w:w="3673"/>
      </w:tblGrid>
      <w:tr w:rsidR="00152239" w14:paraId="00BAB6BD" w14:textId="77777777" w:rsidTr="008D5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651EBC3" w14:textId="77777777" w:rsidR="00152239" w:rsidRPr="0075002B" w:rsidRDefault="00152239" w:rsidP="008D5B8D">
            <w:pPr>
              <w:pStyle w:val="DHHStablecolhead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253" w:type="dxa"/>
          </w:tcPr>
          <w:p w14:paraId="5FCE4851" w14:textId="6B45E701" w:rsidR="00152239" w:rsidRPr="0075002B" w:rsidRDefault="00152239" w:rsidP="008D5B8D">
            <w:pPr>
              <w:pStyle w:val="DHHS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Who it appl</w:t>
            </w:r>
            <w:r w:rsidR="00C632D8">
              <w:rPr>
                <w:b/>
              </w:rPr>
              <w:t>ies</w:t>
            </w:r>
            <w:r>
              <w:rPr>
                <w:b/>
              </w:rPr>
              <w:t xml:space="preserve"> to</w:t>
            </w:r>
          </w:p>
        </w:tc>
        <w:tc>
          <w:tcPr>
            <w:tcW w:w="2575" w:type="dxa"/>
          </w:tcPr>
          <w:p w14:paraId="07B93946" w14:textId="77777777" w:rsidR="00152239" w:rsidRPr="0075002B" w:rsidRDefault="00152239" w:rsidP="008D5B8D">
            <w:pPr>
              <w:pStyle w:val="DHHS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992" w:type="dxa"/>
          </w:tcPr>
          <w:p w14:paraId="67D6F0D8" w14:textId="77777777" w:rsidR="00152239" w:rsidRDefault="00152239" w:rsidP="008D5B8D">
            <w:pPr>
              <w:pStyle w:val="DHHS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/>
              </w:rPr>
              <w:t>Policy owner/ regulator</w:t>
            </w:r>
          </w:p>
          <w:p w14:paraId="3BE27412" w14:textId="77777777" w:rsidR="00152239" w:rsidRPr="0075002B" w:rsidRDefault="00152239" w:rsidP="008D5B8D">
            <w:pPr>
              <w:pStyle w:val="DHHS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673" w:type="dxa"/>
          </w:tcPr>
          <w:p w14:paraId="798BBC10" w14:textId="77777777" w:rsidR="00152239" w:rsidRPr="0075002B" w:rsidRDefault="00152239" w:rsidP="008D5B8D">
            <w:pPr>
              <w:pStyle w:val="DHHS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152239" w:rsidRPr="00E3704E" w14:paraId="6712C63F" w14:textId="77777777" w:rsidTr="008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6012D21" w14:textId="40B755C9" w:rsidR="00152239" w:rsidRPr="00E3704E" w:rsidRDefault="004A5B20" w:rsidP="008D5B8D">
            <w:pPr>
              <w:pStyle w:val="DHHStabletext"/>
              <w:rPr>
                <w:b w:val="0"/>
              </w:rPr>
            </w:pPr>
            <w:r>
              <w:rPr>
                <w:b w:val="0"/>
              </w:rPr>
              <w:t xml:space="preserve">Policy and </w:t>
            </w:r>
            <w:r w:rsidR="00C632D8">
              <w:rPr>
                <w:b w:val="0"/>
              </w:rPr>
              <w:t>funding guidelines –</w:t>
            </w:r>
            <w:r w:rsidR="001B374D">
              <w:rPr>
                <w:b w:val="0"/>
              </w:rPr>
              <w:t xml:space="preserve"> </w:t>
            </w:r>
            <w:r w:rsidR="00C632D8">
              <w:rPr>
                <w:b w:val="0"/>
              </w:rPr>
              <w:t>e</w:t>
            </w:r>
            <w:r w:rsidR="00C632D8" w:rsidRPr="00E3704E">
              <w:rPr>
                <w:b w:val="0"/>
              </w:rPr>
              <w:t xml:space="preserve">nvironmental </w:t>
            </w:r>
            <w:r w:rsidR="00152239" w:rsidRPr="00E3704E">
              <w:rPr>
                <w:b w:val="0"/>
              </w:rPr>
              <w:t>management plan</w:t>
            </w:r>
          </w:p>
        </w:tc>
        <w:tc>
          <w:tcPr>
            <w:tcW w:w="1253" w:type="dxa"/>
          </w:tcPr>
          <w:p w14:paraId="462D14DE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All public hospitals and health services</w:t>
            </w:r>
          </w:p>
        </w:tc>
        <w:tc>
          <w:tcPr>
            <w:tcW w:w="2575" w:type="dxa"/>
          </w:tcPr>
          <w:p w14:paraId="4A8671BC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 xml:space="preserve">All health services to have an EMP in place. A template is available. </w:t>
            </w:r>
          </w:p>
        </w:tc>
        <w:tc>
          <w:tcPr>
            <w:tcW w:w="992" w:type="dxa"/>
          </w:tcPr>
          <w:p w14:paraId="22C61CCE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DHHS</w:t>
            </w:r>
          </w:p>
        </w:tc>
        <w:tc>
          <w:tcPr>
            <w:tcW w:w="3673" w:type="dxa"/>
          </w:tcPr>
          <w:p w14:paraId="669EA34C" w14:textId="01E93ADF" w:rsidR="00152239" w:rsidRDefault="00F83A6B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990CE7" w:rsidRPr="00990CE7">
                <w:rPr>
                  <w:rStyle w:val="Hyperlink"/>
                </w:rPr>
                <w:t>Environmental Management Planning and Reporting</w:t>
              </w:r>
            </w:hyperlink>
            <w:r w:rsidR="00990CE7">
              <w:t xml:space="preserve"> </w:t>
            </w:r>
            <w:r w:rsidR="00990CE7" w:rsidRPr="001D22A6">
              <w:rPr>
                <w:rFonts w:eastAsia="MS Gothic"/>
              </w:rPr>
              <w:t>&lt;</w:t>
            </w:r>
            <w:hyperlink r:id="rId16" w:history="1">
              <w:r w:rsidR="00990CE7" w:rsidRPr="001D22A6">
                <w:rPr>
                  <w:rFonts w:eastAsia="MS Gothic"/>
                </w:rPr>
                <w:t>https://www2.health.vic.gov.au/hospitals-and-health-services/planning-infrastructure/sustainability/planning-reporting</w:t>
              </w:r>
            </w:hyperlink>
            <w:r w:rsidR="00990CE7" w:rsidRPr="001D22A6">
              <w:rPr>
                <w:rFonts w:eastAsia="MS Gothic"/>
              </w:rPr>
              <w:t>&gt;</w:t>
            </w:r>
          </w:p>
          <w:p w14:paraId="254BC6B5" w14:textId="2A98E90C" w:rsidR="002E6463" w:rsidRPr="00E3704E" w:rsidRDefault="00F83A6B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802DDC" w:rsidRPr="00C632D8">
                <w:rPr>
                  <w:rStyle w:val="Hyperlink"/>
                </w:rPr>
                <w:t xml:space="preserve">DHHS </w:t>
              </w:r>
              <w:r w:rsidR="00C632D8" w:rsidRPr="00C632D8">
                <w:rPr>
                  <w:rStyle w:val="Hyperlink"/>
                </w:rPr>
                <w:t xml:space="preserve">policy </w:t>
              </w:r>
              <w:r w:rsidR="002E6463" w:rsidRPr="00C632D8">
                <w:rPr>
                  <w:rStyle w:val="Hyperlink"/>
                </w:rPr>
                <w:t xml:space="preserve">and </w:t>
              </w:r>
              <w:r w:rsidR="00C632D8" w:rsidRPr="00C632D8">
                <w:rPr>
                  <w:rStyle w:val="Hyperlink"/>
                </w:rPr>
                <w:t xml:space="preserve">funding </w:t>
              </w:r>
              <w:r w:rsidR="002E6463" w:rsidRPr="00C632D8">
                <w:rPr>
                  <w:rStyle w:val="Hyperlink"/>
                </w:rPr>
                <w:t>guidelines</w:t>
              </w:r>
            </w:hyperlink>
            <w:r w:rsidR="00802DDC">
              <w:t xml:space="preserve"> </w:t>
            </w:r>
            <w:r w:rsidR="00C632D8">
              <w:t>&lt;</w:t>
            </w:r>
            <w:r w:rsidR="00C632D8" w:rsidRPr="001D22A6">
              <w:rPr>
                <w:rFonts w:eastAsia="MS Gothic"/>
              </w:rPr>
              <w:t>https://www.dhhs.vic.gov.au/publications/policy-and-funding-guidelines-health-and-human-services</w:t>
            </w:r>
            <w:r w:rsidR="00C632D8">
              <w:rPr>
                <w:rFonts w:eastAsia="MS Gothic"/>
              </w:rPr>
              <w:t>&gt;</w:t>
            </w:r>
          </w:p>
        </w:tc>
      </w:tr>
      <w:tr w:rsidR="00152239" w:rsidRPr="00E3704E" w14:paraId="64513A56" w14:textId="77777777" w:rsidTr="008D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64C5D71" w14:textId="6546E0A0" w:rsidR="00152239" w:rsidRPr="00E3704E" w:rsidRDefault="001B374D" w:rsidP="008D5B8D">
            <w:pPr>
              <w:pStyle w:val="DHHStabletext"/>
              <w:spacing w:before="240"/>
              <w:rPr>
                <w:b w:val="0"/>
              </w:rPr>
            </w:pPr>
            <w:r>
              <w:rPr>
                <w:b w:val="0"/>
              </w:rPr>
              <w:t xml:space="preserve">Policy and </w:t>
            </w:r>
            <w:r w:rsidR="00C632D8">
              <w:rPr>
                <w:b w:val="0"/>
              </w:rPr>
              <w:t xml:space="preserve">funding </w:t>
            </w:r>
            <w:r>
              <w:rPr>
                <w:b w:val="0"/>
              </w:rPr>
              <w:t xml:space="preserve">guidelines </w:t>
            </w:r>
            <w:r w:rsidR="00C632D8">
              <w:rPr>
                <w:b w:val="0"/>
              </w:rPr>
              <w:t>– public</w:t>
            </w:r>
            <w:r w:rsidR="00C632D8" w:rsidRPr="00E3704E">
              <w:rPr>
                <w:b w:val="0"/>
              </w:rPr>
              <w:t xml:space="preserve"> </w:t>
            </w:r>
            <w:r w:rsidR="00152239" w:rsidRPr="00E3704E">
              <w:rPr>
                <w:b w:val="0"/>
              </w:rPr>
              <w:t>report</w:t>
            </w:r>
            <w:r w:rsidR="00152239">
              <w:rPr>
                <w:b w:val="0"/>
              </w:rPr>
              <w:t>ing on</w:t>
            </w:r>
            <w:r w:rsidR="00152239" w:rsidRPr="00E3704E">
              <w:rPr>
                <w:b w:val="0"/>
              </w:rPr>
              <w:t xml:space="preserve"> </w:t>
            </w:r>
            <w:r w:rsidR="00152239">
              <w:rPr>
                <w:b w:val="0"/>
              </w:rPr>
              <w:t>e</w:t>
            </w:r>
            <w:r w:rsidR="00152239" w:rsidRPr="00E3704E">
              <w:rPr>
                <w:b w:val="0"/>
              </w:rPr>
              <w:t xml:space="preserve">nvironmental performance </w:t>
            </w:r>
          </w:p>
        </w:tc>
        <w:tc>
          <w:tcPr>
            <w:tcW w:w="1253" w:type="dxa"/>
          </w:tcPr>
          <w:p w14:paraId="4AA989DF" w14:textId="77777777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04E">
              <w:t>All</w:t>
            </w:r>
            <w:r>
              <w:t xml:space="preserve"> </w:t>
            </w:r>
            <w:r w:rsidRPr="00E3704E">
              <w:t>public hospitals and health services</w:t>
            </w:r>
          </w:p>
        </w:tc>
        <w:tc>
          <w:tcPr>
            <w:tcW w:w="2575" w:type="dxa"/>
          </w:tcPr>
          <w:p w14:paraId="651B1756" w14:textId="77777777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04E">
              <w:t>a) All health services must report their environmental dat</w:t>
            </w:r>
            <w:r>
              <w:t>a</w:t>
            </w:r>
            <w:r w:rsidRPr="00E3704E">
              <w:t xml:space="preserve"> into their annual report, and </w:t>
            </w:r>
          </w:p>
          <w:p w14:paraId="5B5B2A96" w14:textId="48E4CCF6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04E">
              <w:t xml:space="preserve">b) Health services must collect and report data to the department using EDMS. </w:t>
            </w:r>
          </w:p>
        </w:tc>
        <w:tc>
          <w:tcPr>
            <w:tcW w:w="992" w:type="dxa"/>
          </w:tcPr>
          <w:p w14:paraId="537DAF5B" w14:textId="77777777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04E">
              <w:t>DHHS</w:t>
            </w:r>
          </w:p>
        </w:tc>
        <w:tc>
          <w:tcPr>
            <w:tcW w:w="3673" w:type="dxa"/>
          </w:tcPr>
          <w:p w14:paraId="17BD215C" w14:textId="2FDD4ED6" w:rsidR="00152239" w:rsidRPr="00216AF6" w:rsidRDefault="00152239" w:rsidP="00C632D8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a) Further information will be included in the </w:t>
            </w:r>
            <w:r w:rsidRPr="00216AF6">
              <w:rPr>
                <w:i/>
              </w:rPr>
              <w:t xml:space="preserve">Health </w:t>
            </w:r>
            <w:r w:rsidR="00C632D8" w:rsidRPr="00216AF6">
              <w:rPr>
                <w:i/>
              </w:rPr>
              <w:t xml:space="preserve">services annual report </w:t>
            </w:r>
            <w:r w:rsidRPr="00216AF6">
              <w:rPr>
                <w:i/>
              </w:rPr>
              <w:t xml:space="preserve">2019–20: Guidelines for the </w:t>
            </w:r>
            <w:r w:rsidR="00C632D8">
              <w:rPr>
                <w:i/>
              </w:rPr>
              <w:t>r</w:t>
            </w:r>
            <w:r w:rsidR="00C632D8" w:rsidRPr="00216AF6">
              <w:rPr>
                <w:i/>
              </w:rPr>
              <w:t xml:space="preserve">eport </w:t>
            </w:r>
            <w:r w:rsidRPr="00216AF6">
              <w:rPr>
                <w:i/>
              </w:rPr>
              <w:t xml:space="preserve">of </w:t>
            </w:r>
            <w:r w:rsidR="00C632D8">
              <w:rPr>
                <w:i/>
              </w:rPr>
              <w:t>o</w:t>
            </w:r>
            <w:r w:rsidR="00C632D8" w:rsidRPr="00216AF6">
              <w:rPr>
                <w:i/>
              </w:rPr>
              <w:t>perations</w:t>
            </w:r>
            <w:r w:rsidR="00C632D8">
              <w:t xml:space="preserve"> </w:t>
            </w:r>
            <w:r>
              <w:t xml:space="preserve">prior to the </w:t>
            </w:r>
            <w:r w:rsidR="00C632D8">
              <w:t>20</w:t>
            </w:r>
            <w:r>
              <w:t>19</w:t>
            </w:r>
            <w:r w:rsidR="00C632D8">
              <w:t>–</w:t>
            </w:r>
            <w:r>
              <w:t>20 reporting period</w:t>
            </w:r>
          </w:p>
          <w:p w14:paraId="2DEB5647" w14:textId="3B5E1BE5" w:rsidR="00990CE7" w:rsidRDefault="00152239" w:rsidP="00990CE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22A6">
              <w:t>b)</w:t>
            </w:r>
            <w:r w:rsidR="00990CE7" w:rsidRPr="001D22A6">
              <w:t xml:space="preserve"> </w:t>
            </w:r>
            <w:hyperlink r:id="rId18" w:history="1">
              <w:r w:rsidR="00990CE7" w:rsidRPr="001D22A6">
                <w:rPr>
                  <w:rStyle w:val="Hyperlink"/>
                </w:rPr>
                <w:t>Environmental Management Planning and Reporting</w:t>
              </w:r>
            </w:hyperlink>
            <w:r w:rsidR="00990CE7">
              <w:t xml:space="preserve"> </w:t>
            </w:r>
            <w:r w:rsidR="00990CE7" w:rsidRPr="004F49F7">
              <w:rPr>
                <w:rFonts w:eastAsia="MS Gothic"/>
              </w:rPr>
              <w:t>&lt;</w:t>
            </w:r>
            <w:hyperlink r:id="rId19" w:history="1">
              <w:r w:rsidR="00990CE7" w:rsidRPr="004F49F7">
                <w:rPr>
                  <w:rFonts w:eastAsia="MS Gothic"/>
                </w:rPr>
                <w:t>https://www2.health.vic.gov.au/hospitals-and-health-services/planning-</w:t>
              </w:r>
              <w:r w:rsidR="00990CE7" w:rsidRPr="004F49F7">
                <w:rPr>
                  <w:rFonts w:eastAsia="MS Gothic"/>
                </w:rPr>
                <w:lastRenderedPageBreak/>
                <w:t>infrastructure/sustainability/planning-reporting</w:t>
              </w:r>
            </w:hyperlink>
            <w:r w:rsidR="00990CE7" w:rsidRPr="004F49F7">
              <w:rPr>
                <w:rFonts w:eastAsia="MS Gothic"/>
              </w:rPr>
              <w:t>&gt;</w:t>
            </w:r>
          </w:p>
          <w:p w14:paraId="46B336FC" w14:textId="1C52D5A2" w:rsidR="00152239" w:rsidRPr="00E3704E" w:rsidRDefault="00152239" w:rsidP="00DC259E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239" w:rsidRPr="00E3704E" w14:paraId="5C95F476" w14:textId="77777777" w:rsidTr="001D2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B37D873" w14:textId="3AB6B2FF" w:rsidR="00152239" w:rsidRPr="00E3704E" w:rsidRDefault="00152239" w:rsidP="008D5B8D">
            <w:pPr>
              <w:pStyle w:val="DHHStabletext"/>
              <w:spacing w:before="240"/>
              <w:rPr>
                <w:b w:val="0"/>
              </w:rPr>
            </w:pPr>
            <w:r w:rsidRPr="00E3704E">
              <w:rPr>
                <w:b w:val="0"/>
              </w:rPr>
              <w:lastRenderedPageBreak/>
              <w:t xml:space="preserve">Statement of </w:t>
            </w:r>
            <w:r w:rsidR="00C632D8">
              <w:rPr>
                <w:b w:val="0"/>
              </w:rPr>
              <w:t>p</w:t>
            </w:r>
            <w:r w:rsidR="00C632D8" w:rsidRPr="00E3704E">
              <w:rPr>
                <w:b w:val="0"/>
              </w:rPr>
              <w:t xml:space="preserve">riorities </w:t>
            </w:r>
            <w:r w:rsidR="00C632D8">
              <w:rPr>
                <w:b w:val="0"/>
              </w:rPr>
              <w:t>–</w:t>
            </w:r>
            <w:r w:rsidR="00C632D8" w:rsidRPr="00E3704E">
              <w:rPr>
                <w:b w:val="0"/>
              </w:rPr>
              <w:t xml:space="preserve"> </w:t>
            </w:r>
            <w:r w:rsidR="00C632D8">
              <w:rPr>
                <w:b w:val="0"/>
              </w:rPr>
              <w:t>s</w:t>
            </w:r>
            <w:r w:rsidR="00C632D8" w:rsidRPr="00E3704E">
              <w:rPr>
                <w:b w:val="0"/>
              </w:rPr>
              <w:t xml:space="preserve">upporting </w:t>
            </w:r>
            <w:r w:rsidR="00C632D8">
              <w:rPr>
                <w:b w:val="0"/>
              </w:rPr>
              <w:t>e</w:t>
            </w:r>
            <w:r w:rsidR="00C632D8" w:rsidRPr="00E3704E">
              <w:rPr>
                <w:b w:val="0"/>
              </w:rPr>
              <w:t xml:space="preserve">nvironmental </w:t>
            </w:r>
            <w:r w:rsidR="00C632D8">
              <w:rPr>
                <w:b w:val="0"/>
              </w:rPr>
              <w:t>s</w:t>
            </w:r>
            <w:r w:rsidR="00C632D8" w:rsidRPr="00E3704E">
              <w:rPr>
                <w:b w:val="0"/>
              </w:rPr>
              <w:t>ustainability</w:t>
            </w:r>
          </w:p>
          <w:p w14:paraId="48777A23" w14:textId="77777777" w:rsidR="00152239" w:rsidRPr="00E3704E" w:rsidRDefault="00152239" w:rsidP="008D5B8D">
            <w:pPr>
              <w:pStyle w:val="DHHStabletext"/>
              <w:rPr>
                <w:b w:val="0"/>
              </w:rPr>
            </w:pPr>
          </w:p>
        </w:tc>
        <w:tc>
          <w:tcPr>
            <w:tcW w:w="0" w:type="dxa"/>
          </w:tcPr>
          <w:p w14:paraId="2A9559B2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All</w:t>
            </w:r>
            <w:r>
              <w:t xml:space="preserve"> </w:t>
            </w:r>
            <w:r w:rsidRPr="00E3704E">
              <w:t>public hospitals and health services</w:t>
            </w:r>
          </w:p>
        </w:tc>
        <w:tc>
          <w:tcPr>
            <w:tcW w:w="0" w:type="dxa"/>
          </w:tcPr>
          <w:p w14:paraId="3E9ED85B" w14:textId="0DFDA8A5" w:rsidR="00152239" w:rsidRPr="00E3704E" w:rsidRDefault="00152239" w:rsidP="00E2269A">
            <w:pPr>
              <w:pStyle w:val="DHHStablecaption"/>
              <w:keepNext w:val="0"/>
              <w:keepLines w:val="0"/>
              <w:widowControl w:val="0"/>
              <w:spacing w:before="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b w:val="0"/>
                <w:color w:val="000000"/>
                <w:lang w:eastAsia="en-AU"/>
              </w:rPr>
            </w:pPr>
            <w:r w:rsidRPr="00E3704E">
              <w:rPr>
                <w:rFonts w:eastAsia="Times" w:cs="Arial"/>
                <w:b w:val="0"/>
                <w:color w:val="000000"/>
                <w:lang w:eastAsia="en-AU"/>
              </w:rPr>
              <w:t>Contribute to improving the environmental sustainability of the health system by identifying and implementing projects and/or processes to reduce carbon emissions</w:t>
            </w:r>
            <w:r w:rsidR="00E2269A">
              <w:rPr>
                <w:rFonts w:eastAsia="Times" w:cs="Arial"/>
                <w:b w:val="0"/>
                <w:color w:val="000000"/>
                <w:lang w:eastAsia="en-AU"/>
              </w:rPr>
              <w:t>.</w:t>
            </w:r>
          </w:p>
          <w:p w14:paraId="6EDEFAF7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7B4EC2BF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DHHS</w:t>
            </w:r>
          </w:p>
        </w:tc>
        <w:tc>
          <w:tcPr>
            <w:tcW w:w="0" w:type="dxa"/>
          </w:tcPr>
          <w:p w14:paraId="179224AE" w14:textId="573B8AC5" w:rsidR="00152239" w:rsidRPr="00E3704E" w:rsidRDefault="00F83A6B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152239" w:rsidRPr="00C632D8">
                <w:rPr>
                  <w:rStyle w:val="Hyperlink"/>
                </w:rPr>
                <w:t>SoP requirements</w:t>
              </w:r>
            </w:hyperlink>
            <w:r w:rsidR="00C632D8">
              <w:t xml:space="preserve"> &lt;</w:t>
            </w:r>
            <w:r w:rsidR="00152239" w:rsidRPr="00E3704E">
              <w:t>https://www2.health.vic.gov.au/hospitals-and-health-services/funding-performance-accountability/statement-of-priorities</w:t>
            </w:r>
            <w:r w:rsidR="00C632D8">
              <w:t>&gt;</w:t>
            </w:r>
          </w:p>
        </w:tc>
      </w:tr>
      <w:tr w:rsidR="00152239" w:rsidRPr="00E3704E" w14:paraId="457801E2" w14:textId="77777777" w:rsidTr="008D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FB4F2F7" w14:textId="36E6CBAA" w:rsidR="00152239" w:rsidRPr="001D22A6" w:rsidDel="007413AD" w:rsidRDefault="00152239" w:rsidP="008D5B8D">
            <w:pPr>
              <w:pStyle w:val="DHHStabletext"/>
              <w:rPr>
                <w:b w:val="0"/>
                <w:bCs w:val="0"/>
              </w:rPr>
            </w:pPr>
            <w:r w:rsidRPr="00E2269A">
              <w:t>Sustainability guidelines</w:t>
            </w:r>
            <w:r w:rsidR="007A7381" w:rsidRPr="00E2269A">
              <w:t xml:space="preserve"> for healthcare capital works</w:t>
            </w:r>
          </w:p>
        </w:tc>
        <w:tc>
          <w:tcPr>
            <w:tcW w:w="1253" w:type="dxa"/>
          </w:tcPr>
          <w:p w14:paraId="7BD9B1D6" w14:textId="09F922FD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DHHS/</w:t>
            </w:r>
            <w:r w:rsidR="00E2269A">
              <w:t xml:space="preserve"> </w:t>
            </w:r>
            <w:r>
              <w:t>health services</w:t>
            </w:r>
          </w:p>
        </w:tc>
        <w:tc>
          <w:tcPr>
            <w:tcW w:w="2575" w:type="dxa"/>
          </w:tcPr>
          <w:p w14:paraId="69886337" w14:textId="224796B0" w:rsidR="00152239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4A6">
              <w:t>All health</w:t>
            </w:r>
            <w:r>
              <w:t>care capital works delivered by the department</w:t>
            </w:r>
            <w:r w:rsidRPr="008234A6">
              <w:t xml:space="preserve"> </w:t>
            </w:r>
            <w:r>
              <w:t>must meet the guidelines for sustainability in healthcare capital works</w:t>
            </w:r>
            <w:r w:rsidR="00E2269A">
              <w:t>.</w:t>
            </w:r>
          </w:p>
        </w:tc>
        <w:tc>
          <w:tcPr>
            <w:tcW w:w="992" w:type="dxa"/>
          </w:tcPr>
          <w:p w14:paraId="30531437" w14:textId="77777777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4A6">
              <w:t>DHHS</w:t>
            </w:r>
          </w:p>
        </w:tc>
        <w:tc>
          <w:tcPr>
            <w:tcW w:w="3673" w:type="dxa"/>
          </w:tcPr>
          <w:p w14:paraId="3EEC70A3" w14:textId="174012BA" w:rsidR="00E2269A" w:rsidRDefault="00F83A6B" w:rsidP="00E2269A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E2269A" w:rsidRPr="00E2269A">
                <w:rPr>
                  <w:rStyle w:val="Hyperlink"/>
                </w:rPr>
                <w:t>Sustainability guidelines</w:t>
              </w:r>
            </w:hyperlink>
          </w:p>
          <w:p w14:paraId="7E3B56A5" w14:textId="7B86A368" w:rsidR="00152239" w:rsidRPr="00FE7AB2" w:rsidDel="007413AD" w:rsidRDefault="00E2269A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="00152239" w:rsidRPr="004E42DB">
              <w:t>http://www.capital.health.vic.gov.au/Environmental_sustainability/Sustainability_in_healthcare_capital_works/Sustainability_guideline_2010/</w:t>
            </w:r>
            <w:r>
              <w:t>&gt;</w:t>
            </w:r>
          </w:p>
        </w:tc>
      </w:tr>
      <w:tr w:rsidR="00152239" w:rsidRPr="00E3704E" w14:paraId="1E512AD9" w14:textId="77777777" w:rsidTr="008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7ED2461" w14:textId="2F6C9FBA" w:rsidR="00152239" w:rsidRPr="00E3704E" w:rsidRDefault="00152239" w:rsidP="008D5B8D">
            <w:pPr>
              <w:pStyle w:val="DHHStabletext"/>
              <w:rPr>
                <w:b w:val="0"/>
              </w:rPr>
            </w:pPr>
            <w:r w:rsidRPr="00E3704E">
              <w:rPr>
                <w:b w:val="0"/>
              </w:rPr>
              <w:t>National Pollut</w:t>
            </w:r>
            <w:r w:rsidR="007A7381">
              <w:rPr>
                <w:b w:val="0"/>
              </w:rPr>
              <w:t>ant</w:t>
            </w:r>
            <w:r w:rsidRPr="00E3704E">
              <w:rPr>
                <w:b w:val="0"/>
              </w:rPr>
              <w:t xml:space="preserve"> Inventory</w:t>
            </w:r>
            <w:r w:rsidR="00E2269A">
              <w:rPr>
                <w:b w:val="0"/>
              </w:rPr>
              <w:t xml:space="preserve"> (NPI</w:t>
            </w:r>
            <w:r w:rsidRPr="00E3704E">
              <w:rPr>
                <w:b w:val="0"/>
              </w:rPr>
              <w:t>)</w:t>
            </w:r>
          </w:p>
        </w:tc>
        <w:tc>
          <w:tcPr>
            <w:tcW w:w="1253" w:type="dxa"/>
          </w:tcPr>
          <w:p w14:paraId="4F995895" w14:textId="68C189DF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Health services meeting the threshold</w:t>
            </w:r>
          </w:p>
        </w:tc>
        <w:tc>
          <w:tcPr>
            <w:tcW w:w="2575" w:type="dxa"/>
          </w:tcPr>
          <w:p w14:paraId="48E82093" w14:textId="7538687A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 xml:space="preserve">Health services meeting </w:t>
            </w:r>
            <w:r>
              <w:t xml:space="preserve">certain thresholds. </w:t>
            </w:r>
            <w:r w:rsidRPr="004C3EB2">
              <w:t>Use the </w:t>
            </w:r>
            <w:r>
              <w:t>NPI</w:t>
            </w:r>
            <w:r w:rsidRPr="004C3EB2">
              <w:t> </w:t>
            </w:r>
            <w:r w:rsidR="00E2269A">
              <w:t>g</w:t>
            </w:r>
            <w:r w:rsidR="00E2269A" w:rsidRPr="004C3EB2">
              <w:t xml:space="preserve">uide </w:t>
            </w:r>
            <w:r w:rsidRPr="004C3EB2">
              <w:t>to determine whether your facility should report emissions and transfers of substances to the </w:t>
            </w:r>
            <w:r>
              <w:t>NPI</w:t>
            </w:r>
            <w:r w:rsidRPr="004C3EB2">
              <w:t>.</w:t>
            </w:r>
          </w:p>
        </w:tc>
        <w:tc>
          <w:tcPr>
            <w:tcW w:w="992" w:type="dxa"/>
          </w:tcPr>
          <w:p w14:paraId="0C367615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EPA</w:t>
            </w:r>
          </w:p>
        </w:tc>
        <w:tc>
          <w:tcPr>
            <w:tcW w:w="3673" w:type="dxa"/>
          </w:tcPr>
          <w:p w14:paraId="08A403E9" w14:textId="0F033D7D" w:rsidR="00E2269A" w:rsidRDefault="00F83A6B" w:rsidP="00E2269A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E2269A" w:rsidRPr="00E2269A">
                <w:rPr>
                  <w:rStyle w:val="Hyperlink"/>
                </w:rPr>
                <w:t>NPI website</w:t>
              </w:r>
            </w:hyperlink>
          </w:p>
          <w:p w14:paraId="205CAC78" w14:textId="50A14FB7" w:rsidR="00152239" w:rsidRPr="00E3704E" w:rsidRDefault="00E2269A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152239" w:rsidRPr="004C3EB2">
              <w:t>http://www.npi.gov.au/</w:t>
            </w:r>
            <w:r>
              <w:t>&gt;</w:t>
            </w:r>
          </w:p>
        </w:tc>
      </w:tr>
      <w:tr w:rsidR="00152239" w:rsidRPr="00E3704E" w14:paraId="5BDA9C8A" w14:textId="77777777" w:rsidTr="008D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AE5839A" w14:textId="4AB95BB7" w:rsidR="00152239" w:rsidRPr="001D22A6" w:rsidRDefault="00152239" w:rsidP="008D5B8D">
            <w:pPr>
              <w:pStyle w:val="DHHStabletext"/>
              <w:rPr>
                <w:b w:val="0"/>
                <w:bCs w:val="0"/>
              </w:rPr>
            </w:pPr>
            <w:r w:rsidRPr="00E2269A">
              <w:t>National Greenhouse</w:t>
            </w:r>
            <w:r w:rsidR="00887EE8" w:rsidRPr="00E2269A">
              <w:t xml:space="preserve"> and Energy Reporting </w:t>
            </w:r>
            <w:r w:rsidR="00D35F0F">
              <w:rPr>
                <w:b w:val="0"/>
                <w:bCs w:val="0"/>
              </w:rPr>
              <w:t>(NGER) s</w:t>
            </w:r>
            <w:r w:rsidR="00D35F0F" w:rsidRPr="00E2269A">
              <w:t>cheme</w:t>
            </w:r>
            <w:r w:rsidRPr="00E2269A">
              <w:t xml:space="preserve"> </w:t>
            </w:r>
          </w:p>
        </w:tc>
        <w:tc>
          <w:tcPr>
            <w:tcW w:w="1253" w:type="dxa"/>
          </w:tcPr>
          <w:p w14:paraId="41F66A56" w14:textId="44005745" w:rsidR="00152239" w:rsidRPr="00E3704E" w:rsidRDefault="00887EE8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Sites required to report under the </w:t>
            </w:r>
            <w:r w:rsidRPr="001D22A6">
              <w:rPr>
                <w:i/>
                <w:iCs/>
              </w:rPr>
              <w:t xml:space="preserve">NGER </w:t>
            </w:r>
            <w:r w:rsidR="00E2269A">
              <w:rPr>
                <w:i/>
                <w:iCs/>
              </w:rPr>
              <w:t>A</w:t>
            </w:r>
            <w:r w:rsidR="00E2269A" w:rsidRPr="001D22A6">
              <w:rPr>
                <w:i/>
                <w:iCs/>
              </w:rPr>
              <w:t xml:space="preserve">ct </w:t>
            </w:r>
            <w:r w:rsidRPr="001D22A6">
              <w:rPr>
                <w:i/>
                <w:iCs/>
              </w:rPr>
              <w:t>2007</w:t>
            </w:r>
          </w:p>
        </w:tc>
        <w:tc>
          <w:tcPr>
            <w:tcW w:w="2575" w:type="dxa"/>
          </w:tcPr>
          <w:p w14:paraId="255A3258" w14:textId="7683D462" w:rsidR="00152239" w:rsidRPr="00E3704E" w:rsidRDefault="00887EE8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services can determine if they are required to report by using the </w:t>
            </w:r>
            <w:r w:rsidR="00D35F0F">
              <w:t>‘</w:t>
            </w:r>
            <w:r>
              <w:t>assess potential obligations</w:t>
            </w:r>
            <w:r w:rsidR="00D35F0F">
              <w:t xml:space="preserve">’ </w:t>
            </w:r>
            <w:r>
              <w:t>from the guides and factsheet section of the NGERs website.</w:t>
            </w:r>
          </w:p>
        </w:tc>
        <w:tc>
          <w:tcPr>
            <w:tcW w:w="992" w:type="dxa"/>
          </w:tcPr>
          <w:p w14:paraId="104A304A" w14:textId="77777777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3" w:type="dxa"/>
          </w:tcPr>
          <w:p w14:paraId="05AC3D5B" w14:textId="54A8D0C8" w:rsidR="00D35F0F" w:rsidRDefault="00F83A6B" w:rsidP="00E2269A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D35F0F" w:rsidRPr="00D35F0F">
                <w:rPr>
                  <w:rStyle w:val="Hyperlink"/>
                </w:rPr>
                <w:t>NGER website</w:t>
              </w:r>
            </w:hyperlink>
          </w:p>
          <w:p w14:paraId="2033326B" w14:textId="1D221F09" w:rsidR="00152239" w:rsidRDefault="00D35F0F" w:rsidP="00E2269A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>
              <w:rPr>
                <w:rFonts w:eastAsia="MS Gothic"/>
              </w:rPr>
              <w:t>&lt;</w:t>
            </w:r>
            <w:r w:rsidRPr="001D22A6">
              <w:rPr>
                <w:rFonts w:eastAsia="MS Gothic"/>
              </w:rPr>
              <w:t>http://www.cleanenergyregulator.gov.au/NGER</w:t>
            </w:r>
            <w:r>
              <w:rPr>
                <w:rFonts w:eastAsia="MS Gothic"/>
              </w:rPr>
              <w:t>&gt;</w:t>
            </w:r>
          </w:p>
          <w:p w14:paraId="6DAF06E3" w14:textId="44C9BFEC" w:rsidR="00D35F0F" w:rsidRDefault="00F83A6B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D35F0F" w:rsidRPr="00D35F0F">
                <w:rPr>
                  <w:rStyle w:val="Hyperlink"/>
                </w:rPr>
                <w:t>NGER guides and factsheets</w:t>
              </w:r>
            </w:hyperlink>
          </w:p>
          <w:p w14:paraId="092B43F4" w14:textId="08F45D03" w:rsidR="00887EE8" w:rsidRPr="004C3EB2" w:rsidRDefault="00D35F0F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MS Gothic"/>
              </w:rPr>
              <w:t>&lt;</w:t>
            </w:r>
            <w:r w:rsidRPr="001D22A6">
              <w:rPr>
                <w:rFonts w:eastAsia="MS Gothic"/>
              </w:rPr>
              <w:t>http://www.cleanenergyregulator.gov.au/NGER/Forms-and-resources/Guides-and-factsheets</w:t>
            </w:r>
            <w:r>
              <w:rPr>
                <w:rFonts w:eastAsia="MS Gothic"/>
              </w:rPr>
              <w:t>&gt;</w:t>
            </w:r>
          </w:p>
        </w:tc>
      </w:tr>
      <w:tr w:rsidR="00152239" w:rsidRPr="00E3704E" w14:paraId="635A90D9" w14:textId="77777777" w:rsidTr="008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CB43D1C" w14:textId="3A77B54E" w:rsidR="00152239" w:rsidRPr="00E3704E" w:rsidRDefault="00152239" w:rsidP="008D5B8D">
            <w:pPr>
              <w:pStyle w:val="DHHStabletext"/>
              <w:rPr>
                <w:b w:val="0"/>
              </w:rPr>
            </w:pPr>
            <w:r w:rsidRPr="00E3704E">
              <w:rPr>
                <w:b w:val="0"/>
              </w:rPr>
              <w:t>E-</w:t>
            </w:r>
            <w:r w:rsidR="00D35F0F">
              <w:rPr>
                <w:b w:val="0"/>
              </w:rPr>
              <w:t>w</w:t>
            </w:r>
            <w:r w:rsidR="00D35F0F" w:rsidRPr="00E3704E">
              <w:rPr>
                <w:b w:val="0"/>
              </w:rPr>
              <w:t xml:space="preserve">aste </w:t>
            </w:r>
            <w:r w:rsidRPr="00E3704E">
              <w:rPr>
                <w:b w:val="0"/>
              </w:rPr>
              <w:t>to landfill ban</w:t>
            </w:r>
          </w:p>
        </w:tc>
        <w:tc>
          <w:tcPr>
            <w:tcW w:w="1253" w:type="dxa"/>
          </w:tcPr>
          <w:p w14:paraId="5999595A" w14:textId="1D733500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All Victorians, including hospitals</w:t>
            </w:r>
          </w:p>
        </w:tc>
        <w:tc>
          <w:tcPr>
            <w:tcW w:w="2575" w:type="dxa"/>
          </w:tcPr>
          <w:p w14:paraId="6B05A709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All appliances powered by a battery or electric cord, can no longer be disposed of in landfill and must be recycled.</w:t>
            </w:r>
          </w:p>
        </w:tc>
        <w:tc>
          <w:tcPr>
            <w:tcW w:w="992" w:type="dxa"/>
          </w:tcPr>
          <w:p w14:paraId="52E60033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EPA</w:t>
            </w:r>
          </w:p>
        </w:tc>
        <w:tc>
          <w:tcPr>
            <w:tcW w:w="3673" w:type="dxa"/>
          </w:tcPr>
          <w:p w14:paraId="6880E837" w14:textId="51F010FC" w:rsidR="00D35F0F" w:rsidRDefault="00F83A6B" w:rsidP="00E2269A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D35F0F" w:rsidRPr="00D35F0F">
                <w:rPr>
                  <w:rStyle w:val="Hyperlink"/>
                </w:rPr>
                <w:t>E-waste in Victoria</w:t>
              </w:r>
            </w:hyperlink>
            <w:r w:rsidR="00D35F0F">
              <w:t xml:space="preserve"> </w:t>
            </w:r>
          </w:p>
          <w:p w14:paraId="5CA28F26" w14:textId="67C4F54C" w:rsidR="00152239" w:rsidRPr="00E3704E" w:rsidRDefault="00D35F0F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MS Gothic"/>
              </w:rPr>
              <w:t>&lt;</w:t>
            </w:r>
            <w:hyperlink w:history="1"/>
            <w:r w:rsidRPr="001D22A6">
              <w:rPr>
                <w:rFonts w:eastAsia="MS Gothic"/>
              </w:rPr>
              <w:t>https://www.environment.vic.gov.au/sustainability/e-waste-in-victoria</w:t>
            </w:r>
            <w:r>
              <w:rPr>
                <w:rFonts w:eastAsia="MS Gothic"/>
              </w:rPr>
              <w:t>&gt;</w:t>
            </w:r>
          </w:p>
        </w:tc>
      </w:tr>
      <w:tr w:rsidR="00152239" w:rsidRPr="00E3704E" w14:paraId="02FADBE5" w14:textId="77777777" w:rsidTr="008D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473D230" w14:textId="77777777" w:rsidR="00152239" w:rsidRPr="00E3704E" w:rsidRDefault="00152239" w:rsidP="008D5B8D">
            <w:pPr>
              <w:pStyle w:val="DHHStabletext"/>
              <w:rPr>
                <w:b w:val="0"/>
              </w:rPr>
            </w:pPr>
            <w:r w:rsidRPr="00E3704E">
              <w:rPr>
                <w:b w:val="0"/>
              </w:rPr>
              <w:t xml:space="preserve">Clinical and related waste guidelines </w:t>
            </w:r>
          </w:p>
        </w:tc>
        <w:tc>
          <w:tcPr>
            <w:tcW w:w="1253" w:type="dxa"/>
          </w:tcPr>
          <w:p w14:paraId="0A5350DC" w14:textId="77777777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04E">
              <w:t>All Victorian hospitals, health facilities</w:t>
            </w:r>
          </w:p>
        </w:tc>
        <w:tc>
          <w:tcPr>
            <w:tcW w:w="2575" w:type="dxa"/>
          </w:tcPr>
          <w:p w14:paraId="3951BE19" w14:textId="67FBCB20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04E">
              <w:t xml:space="preserve">All clinical waste must be disposed of according to the </w:t>
            </w:r>
            <w:hyperlink r:id="rId26" w:history="1">
              <w:r w:rsidRPr="001D22A6">
                <w:rPr>
                  <w:rStyle w:val="Hyperlink"/>
                </w:rPr>
                <w:t>Clinical and related waste – operational guidance</w:t>
              </w:r>
            </w:hyperlink>
            <w:r w:rsidR="00D35F0F">
              <w:rPr>
                <w:i/>
                <w:iCs/>
              </w:rPr>
              <w:t xml:space="preserve"> &lt;</w:t>
            </w:r>
            <w:r w:rsidR="00D35F0F" w:rsidRPr="001D22A6">
              <w:t>https://www.epa.vic.gov.au/our-work/publications/publication/2009/september/iwrg612-1&gt;</w:t>
            </w:r>
            <w:r w:rsidR="00E2269A" w:rsidRPr="001D22A6">
              <w:t>.</w:t>
            </w:r>
          </w:p>
        </w:tc>
        <w:tc>
          <w:tcPr>
            <w:tcW w:w="992" w:type="dxa"/>
          </w:tcPr>
          <w:p w14:paraId="0FF68513" w14:textId="77777777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04E">
              <w:t>EPA</w:t>
            </w:r>
          </w:p>
        </w:tc>
        <w:tc>
          <w:tcPr>
            <w:tcW w:w="3673" w:type="dxa"/>
          </w:tcPr>
          <w:p w14:paraId="0F651214" w14:textId="6D43CA3D" w:rsidR="00D35F0F" w:rsidRDefault="00F83A6B" w:rsidP="00E2269A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D35F0F" w:rsidRPr="00D35F0F">
                <w:rPr>
                  <w:rStyle w:val="Hyperlink"/>
                </w:rPr>
                <w:t>Clinical waste guidance</w:t>
              </w:r>
            </w:hyperlink>
          </w:p>
          <w:p w14:paraId="7F5BE205" w14:textId="6EE3865F" w:rsidR="00152239" w:rsidRPr="00E3704E" w:rsidRDefault="00D35F0F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="00152239" w:rsidRPr="00024BCF">
              <w:t>https://www.epa.vic.gov.au/business-and-industry/guidelines/waste-guidance/clinical-waste-guidance</w:t>
            </w:r>
            <w:r>
              <w:t>&gt;</w:t>
            </w:r>
          </w:p>
        </w:tc>
      </w:tr>
      <w:tr w:rsidR="00152239" w:rsidRPr="00E3704E" w14:paraId="04E6A50D" w14:textId="77777777" w:rsidTr="008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CD2A041" w14:textId="0A035C93" w:rsidR="00152239" w:rsidRPr="00E3704E" w:rsidRDefault="00DF4AE9" w:rsidP="008D5B8D">
            <w:pPr>
              <w:pStyle w:val="DHHStabletext"/>
              <w:rPr>
                <w:b w:val="0"/>
              </w:rPr>
            </w:pPr>
            <w:r>
              <w:rPr>
                <w:b w:val="0"/>
              </w:rPr>
              <w:t xml:space="preserve">PVC </w:t>
            </w:r>
            <w:r w:rsidR="00D35F0F">
              <w:rPr>
                <w:b w:val="0"/>
              </w:rPr>
              <w:t>recycling</w:t>
            </w:r>
          </w:p>
        </w:tc>
        <w:tc>
          <w:tcPr>
            <w:tcW w:w="1253" w:type="dxa"/>
          </w:tcPr>
          <w:p w14:paraId="675AC311" w14:textId="683F916B" w:rsidR="00152239" w:rsidRPr="00E3704E" w:rsidRDefault="00DF4AE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metropolita</w:t>
            </w:r>
            <w:r>
              <w:lastRenderedPageBreak/>
              <w:t>n health services</w:t>
            </w:r>
          </w:p>
        </w:tc>
        <w:tc>
          <w:tcPr>
            <w:tcW w:w="2575" w:type="dxa"/>
          </w:tcPr>
          <w:p w14:paraId="1FFA51D9" w14:textId="22AAB547" w:rsidR="00152239" w:rsidRPr="00E3704E" w:rsidRDefault="00DF4AE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PVC items (oxygen masks, oxygen tubing and </w:t>
            </w:r>
            <w:r>
              <w:lastRenderedPageBreak/>
              <w:t xml:space="preserve">Baxter IV bags) </w:t>
            </w:r>
            <w:r w:rsidR="00811785">
              <w:t xml:space="preserve">generated in theatre, renal and ICU </w:t>
            </w:r>
            <w:r>
              <w:t>must be recycled</w:t>
            </w:r>
            <w:r w:rsidR="00E2269A">
              <w:t>.</w:t>
            </w:r>
          </w:p>
        </w:tc>
        <w:tc>
          <w:tcPr>
            <w:tcW w:w="992" w:type="dxa"/>
          </w:tcPr>
          <w:p w14:paraId="6122B02C" w14:textId="61388F85" w:rsidR="00152239" w:rsidRPr="00E3704E" w:rsidRDefault="00DF4AE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DHHS</w:t>
            </w:r>
          </w:p>
        </w:tc>
        <w:tc>
          <w:tcPr>
            <w:tcW w:w="3673" w:type="dxa"/>
          </w:tcPr>
          <w:p w14:paraId="2AF094A9" w14:textId="2F4F4520" w:rsidR="00D35F0F" w:rsidRDefault="00F83A6B" w:rsidP="00E2269A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D35F0F" w:rsidRPr="00D35F0F">
                <w:rPr>
                  <w:rStyle w:val="Hyperlink"/>
                </w:rPr>
                <w:t>Recycling in hospitals</w:t>
              </w:r>
            </w:hyperlink>
          </w:p>
          <w:p w14:paraId="0ACD669F" w14:textId="3E031F76" w:rsidR="00152239" w:rsidRPr="00E3704E" w:rsidRDefault="00D35F0F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&lt;</w:t>
            </w:r>
            <w:hyperlink w:history="1"/>
            <w:r w:rsidRPr="001D22A6">
              <w:rPr>
                <w:rFonts w:eastAsia="MS Gothic"/>
              </w:rPr>
              <w:t>http://recyclinginhospitals.com.au/</w:t>
            </w:r>
            <w:r>
              <w:rPr>
                <w:rFonts w:eastAsia="MS Gothic"/>
              </w:rPr>
              <w:t>&gt;</w:t>
            </w:r>
          </w:p>
        </w:tc>
      </w:tr>
    </w:tbl>
    <w:p w14:paraId="589A09B2" w14:textId="7703F8C7" w:rsidR="00152239" w:rsidRDefault="00152239" w:rsidP="00D35F0F">
      <w:pPr>
        <w:pStyle w:val="Heading2"/>
      </w:pPr>
      <w:r w:rsidRPr="00E3704E">
        <w:lastRenderedPageBreak/>
        <w:t xml:space="preserve">Other </w:t>
      </w:r>
      <w:r>
        <w:t>environmental</w:t>
      </w:r>
      <w:r w:rsidRPr="00E3704E">
        <w:t xml:space="preserve"> </w:t>
      </w:r>
      <w:r>
        <w:t>opportunities</w:t>
      </w:r>
      <w:r w:rsidRPr="00E3704E">
        <w:t xml:space="preserve"> </w:t>
      </w:r>
    </w:p>
    <w:p w14:paraId="0F01F1DF" w14:textId="77777777" w:rsidR="00D35F0F" w:rsidRDefault="004D52D4" w:rsidP="00152239">
      <w:pPr>
        <w:pStyle w:val="DHHSbody"/>
      </w:pPr>
      <w:r>
        <w:t xml:space="preserve">This section contains non-mandatory </w:t>
      </w:r>
      <w:r w:rsidR="00A731B2">
        <w:t xml:space="preserve">opportunities, that health services are encouraged to review and adopt. </w:t>
      </w:r>
    </w:p>
    <w:p w14:paraId="2872E894" w14:textId="43CF9E8A" w:rsidR="00152239" w:rsidRPr="008D5B8D" w:rsidRDefault="00A731B2" w:rsidP="00152239">
      <w:pPr>
        <w:pStyle w:val="DHHSbody"/>
      </w:pPr>
      <w:r>
        <w:t xml:space="preserve">Some of these may apply to the government or sector as a whole and may become mandatory in the future. </w:t>
      </w:r>
    </w:p>
    <w:tbl>
      <w:tblPr>
        <w:tblStyle w:val="MediumGrid3-Accent4"/>
        <w:tblW w:w="10196" w:type="dxa"/>
        <w:tblLayout w:type="fixed"/>
        <w:tblLook w:val="04A0" w:firstRow="1" w:lastRow="0" w:firstColumn="1" w:lastColumn="0" w:noHBand="0" w:noVBand="1"/>
      </w:tblPr>
      <w:tblGrid>
        <w:gridCol w:w="1636"/>
        <w:gridCol w:w="1417"/>
        <w:gridCol w:w="2466"/>
        <w:gridCol w:w="992"/>
        <w:gridCol w:w="3685"/>
      </w:tblGrid>
      <w:tr w:rsidR="00152239" w:rsidRPr="00E3704E" w14:paraId="75D9F3C5" w14:textId="77777777" w:rsidTr="008D5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5B51335B" w14:textId="77777777" w:rsidR="00152239" w:rsidRPr="001D22A6" w:rsidRDefault="00152239" w:rsidP="008D5B8D">
            <w:pPr>
              <w:pStyle w:val="DHHStabletext"/>
              <w:rPr>
                <w:bCs w:val="0"/>
              </w:rPr>
            </w:pPr>
            <w:r w:rsidRPr="00D35F0F">
              <w:t>Topic</w:t>
            </w:r>
          </w:p>
        </w:tc>
        <w:tc>
          <w:tcPr>
            <w:tcW w:w="1417" w:type="dxa"/>
          </w:tcPr>
          <w:p w14:paraId="552C0FBC" w14:textId="538CC1EC" w:rsidR="00152239" w:rsidRPr="007413AD" w:rsidRDefault="00152239" w:rsidP="001D22A6">
            <w:pPr>
              <w:pStyle w:val="DHHS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413AD">
              <w:t xml:space="preserve">Who </w:t>
            </w:r>
            <w:r w:rsidR="00D35F0F">
              <w:t xml:space="preserve">it applies </w:t>
            </w:r>
            <w:r w:rsidRPr="007413AD">
              <w:t>to</w:t>
            </w:r>
          </w:p>
        </w:tc>
        <w:tc>
          <w:tcPr>
            <w:tcW w:w="2466" w:type="dxa"/>
          </w:tcPr>
          <w:p w14:paraId="16648BCC" w14:textId="77777777" w:rsidR="00152239" w:rsidRPr="007413AD" w:rsidRDefault="00152239" w:rsidP="001D22A6">
            <w:pPr>
              <w:pStyle w:val="DHHS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413AD">
              <w:t>Summary</w:t>
            </w:r>
          </w:p>
        </w:tc>
        <w:tc>
          <w:tcPr>
            <w:tcW w:w="992" w:type="dxa"/>
          </w:tcPr>
          <w:p w14:paraId="2A53C530" w14:textId="59F849DB" w:rsidR="00152239" w:rsidRPr="001D22A6" w:rsidRDefault="00152239" w:rsidP="001D22A6">
            <w:pPr>
              <w:pStyle w:val="DHHS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35F0F">
              <w:t>Agency/</w:t>
            </w:r>
            <w:r w:rsidR="009E5FB1">
              <w:rPr>
                <w:bCs w:val="0"/>
              </w:rPr>
              <w:t>d</w:t>
            </w:r>
            <w:r w:rsidRPr="00D35F0F">
              <w:t xml:space="preserve">ept </w:t>
            </w:r>
          </w:p>
        </w:tc>
        <w:tc>
          <w:tcPr>
            <w:tcW w:w="3685" w:type="dxa"/>
          </w:tcPr>
          <w:p w14:paraId="6AC07F21" w14:textId="77777777" w:rsidR="00152239" w:rsidRPr="007413AD" w:rsidRDefault="00152239" w:rsidP="001D22A6">
            <w:pPr>
              <w:pStyle w:val="DHHS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413AD">
              <w:t>Further information</w:t>
            </w:r>
          </w:p>
        </w:tc>
      </w:tr>
      <w:tr w:rsidR="00152239" w:rsidRPr="00E3704E" w14:paraId="7FA52524" w14:textId="77777777" w:rsidTr="008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4569C427" w14:textId="77777777" w:rsidR="00152239" w:rsidRPr="00E3704E" w:rsidRDefault="00152239" w:rsidP="008D5B8D">
            <w:pPr>
              <w:pStyle w:val="DHHStabletext"/>
              <w:rPr>
                <w:b w:val="0"/>
              </w:rPr>
            </w:pPr>
            <w:r w:rsidRPr="00E3704E">
              <w:rPr>
                <w:b w:val="0"/>
              </w:rPr>
              <w:t>Waste audit guidelines</w:t>
            </w:r>
          </w:p>
        </w:tc>
        <w:tc>
          <w:tcPr>
            <w:tcW w:w="1417" w:type="dxa"/>
          </w:tcPr>
          <w:p w14:paraId="0596E21D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All</w:t>
            </w:r>
            <w:r>
              <w:t xml:space="preserve"> </w:t>
            </w:r>
            <w:r w:rsidRPr="00E3704E">
              <w:t>public hospitals and health services</w:t>
            </w:r>
          </w:p>
        </w:tc>
        <w:tc>
          <w:tcPr>
            <w:tcW w:w="2466" w:type="dxa"/>
          </w:tcPr>
          <w:p w14:paraId="086D3321" w14:textId="25364F92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health services are encouraged to </w:t>
            </w:r>
            <w:r w:rsidR="00D35F0F">
              <w:t xml:space="preserve">use </w:t>
            </w:r>
            <w:r>
              <w:t>the department’s waste audit guidelines</w:t>
            </w:r>
            <w:r w:rsidR="00DF4AE9">
              <w:t xml:space="preserve"> when conducting waste audits</w:t>
            </w:r>
          </w:p>
        </w:tc>
        <w:tc>
          <w:tcPr>
            <w:tcW w:w="992" w:type="dxa"/>
          </w:tcPr>
          <w:p w14:paraId="604F1C21" w14:textId="77777777" w:rsidR="00152239" w:rsidRPr="00E3704E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04E">
              <w:t>DHHS</w:t>
            </w:r>
          </w:p>
        </w:tc>
        <w:tc>
          <w:tcPr>
            <w:tcW w:w="3685" w:type="dxa"/>
          </w:tcPr>
          <w:p w14:paraId="5BB87C9E" w14:textId="01215C5F" w:rsidR="00D35F0F" w:rsidRDefault="00F83A6B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D35F0F" w:rsidRPr="00D35F0F">
                <w:rPr>
                  <w:rStyle w:val="Hyperlink"/>
                </w:rPr>
                <w:t>Waste audit guidelines</w:t>
              </w:r>
            </w:hyperlink>
          </w:p>
          <w:p w14:paraId="55F6FF18" w14:textId="7523AA2D" w:rsidR="00152239" w:rsidRPr="00E3704E" w:rsidRDefault="00D35F0F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152239" w:rsidRPr="001C2F24">
              <w:t>https://www2.health.vic.gov.au/hospitals-and-health-services/planning-infrastructure/sustainability/waste/audit-guidelines</w:t>
            </w:r>
            <w:r>
              <w:t>&gt;</w:t>
            </w:r>
          </w:p>
        </w:tc>
      </w:tr>
      <w:tr w:rsidR="00152239" w:rsidRPr="00E3704E" w14:paraId="7D313204" w14:textId="77777777" w:rsidTr="008D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7D8EC5B8" w14:textId="77777777" w:rsidR="00152239" w:rsidRPr="00E3704E" w:rsidRDefault="00152239" w:rsidP="008D5B8D">
            <w:pPr>
              <w:pStyle w:val="DHHStabletext"/>
              <w:rPr>
                <w:b w:val="0"/>
              </w:rPr>
            </w:pPr>
            <w:r w:rsidRPr="00E3704E">
              <w:rPr>
                <w:b w:val="0"/>
              </w:rPr>
              <w:t>Climate change adaptation plan</w:t>
            </w:r>
          </w:p>
        </w:tc>
        <w:tc>
          <w:tcPr>
            <w:tcW w:w="1417" w:type="dxa"/>
          </w:tcPr>
          <w:p w14:paraId="6944168F" w14:textId="77777777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DHHS</w:t>
            </w:r>
          </w:p>
        </w:tc>
        <w:tc>
          <w:tcPr>
            <w:tcW w:w="2466" w:type="dxa"/>
          </w:tcPr>
          <w:p w14:paraId="74224962" w14:textId="6E2031F1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departments required to develop </w:t>
            </w:r>
            <w:r w:rsidR="00D35F0F">
              <w:t>a</w:t>
            </w:r>
            <w:r>
              <w:t>dap</w:t>
            </w:r>
            <w:r w:rsidR="00811785">
              <w:t>t</w:t>
            </w:r>
            <w:r>
              <w:t xml:space="preserve">ation </w:t>
            </w:r>
            <w:r w:rsidR="00D35F0F">
              <w:t xml:space="preserve">action plans </w:t>
            </w:r>
            <w:r>
              <w:t>under the Climate Health Act. This commences by Nov</w:t>
            </w:r>
            <w:r w:rsidR="00D35F0F">
              <w:t>ember</w:t>
            </w:r>
            <w:r>
              <w:t xml:space="preserve"> 2020, but the department is part of a pilot prior to the commencement of the legislation. Further information will be provided as this part of the departments work. </w:t>
            </w:r>
          </w:p>
        </w:tc>
        <w:tc>
          <w:tcPr>
            <w:tcW w:w="992" w:type="dxa"/>
          </w:tcPr>
          <w:p w14:paraId="626621D8" w14:textId="77777777" w:rsidR="00152239" w:rsidRPr="00E3704E" w:rsidRDefault="00152239" w:rsidP="001D22A6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04E">
              <w:t>DELWP</w:t>
            </w:r>
          </w:p>
        </w:tc>
        <w:tc>
          <w:tcPr>
            <w:tcW w:w="3685" w:type="dxa"/>
          </w:tcPr>
          <w:p w14:paraId="6F64F8B8" w14:textId="1D5B505E" w:rsidR="00D35F0F" w:rsidRDefault="00F83A6B" w:rsidP="009E5FB1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D35F0F" w:rsidRPr="00D35F0F">
                <w:rPr>
                  <w:rStyle w:val="Hyperlink"/>
                </w:rPr>
                <w:t>Climate change and health</w:t>
              </w:r>
            </w:hyperlink>
          </w:p>
          <w:p w14:paraId="032D5562" w14:textId="1FFC028C" w:rsidR="00152239" w:rsidRPr="00E3704E" w:rsidRDefault="00D35F0F" w:rsidP="009E5FB1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="00152239" w:rsidRPr="00820ABA">
              <w:t>https://www.betterhealth.vic.gov.au/health/healthyliving/climate-change-and-health</w:t>
            </w:r>
            <w:r>
              <w:t>&gt;</w:t>
            </w:r>
            <w:r w:rsidR="00152239" w:rsidRPr="00E3704E">
              <w:t xml:space="preserve"> </w:t>
            </w:r>
          </w:p>
        </w:tc>
      </w:tr>
      <w:tr w:rsidR="00152239" w14:paraId="4FB04F41" w14:textId="77777777" w:rsidTr="008D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6358C41B" w14:textId="77777777" w:rsidR="00152239" w:rsidRPr="00D35F0F" w:rsidRDefault="00152239" w:rsidP="008D5B8D">
            <w:pPr>
              <w:pStyle w:val="DHHStabletext"/>
              <w:rPr>
                <w:b w:val="0"/>
                <w:bCs w:val="0"/>
              </w:rPr>
            </w:pPr>
            <w:r w:rsidRPr="00D35F0F">
              <w:t xml:space="preserve">Fleet </w:t>
            </w:r>
            <w:r w:rsidRPr="00D35F0F">
              <w:rPr>
                <w:b w:val="0"/>
                <w:bCs w:val="0"/>
              </w:rPr>
              <w:t>e</w:t>
            </w:r>
            <w:r w:rsidRPr="00D35F0F">
              <w:t>fficiency plan</w:t>
            </w:r>
          </w:p>
        </w:tc>
        <w:tc>
          <w:tcPr>
            <w:tcW w:w="1417" w:type="dxa"/>
          </w:tcPr>
          <w:p w14:paraId="5F682BEE" w14:textId="77777777" w:rsidR="00152239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Victorian public hospitals</w:t>
            </w:r>
          </w:p>
        </w:tc>
        <w:tc>
          <w:tcPr>
            <w:tcW w:w="2466" w:type="dxa"/>
          </w:tcPr>
          <w:p w14:paraId="3A6A276C" w14:textId="77777777" w:rsidR="00152239" w:rsidRPr="003D259A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59A">
              <w:t>All health services are encouraged to develop a fleet efficiency plan</w:t>
            </w:r>
          </w:p>
        </w:tc>
        <w:tc>
          <w:tcPr>
            <w:tcW w:w="992" w:type="dxa"/>
          </w:tcPr>
          <w:p w14:paraId="15772B89" w14:textId="77777777" w:rsidR="00152239" w:rsidRPr="003D259A" w:rsidRDefault="00152239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59A">
              <w:t>DHHS</w:t>
            </w:r>
          </w:p>
        </w:tc>
        <w:tc>
          <w:tcPr>
            <w:tcW w:w="3685" w:type="dxa"/>
          </w:tcPr>
          <w:p w14:paraId="19E18130" w14:textId="770600EA" w:rsidR="00D35F0F" w:rsidRDefault="00F83A6B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9E5FB1" w:rsidRPr="009E5FB1">
                <w:rPr>
                  <w:rStyle w:val="Hyperlink"/>
                </w:rPr>
                <w:t>Fleet management</w:t>
              </w:r>
            </w:hyperlink>
          </w:p>
          <w:p w14:paraId="17CDDD52" w14:textId="2731AEAD" w:rsidR="00152239" w:rsidRDefault="009E5FB1" w:rsidP="001D22A6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MS Gothic"/>
              </w:rPr>
              <w:t>&lt;</w:t>
            </w:r>
            <w:r w:rsidRPr="001D22A6">
              <w:rPr>
                <w:rFonts w:eastAsia="MS Gothic"/>
              </w:rPr>
              <w:t>https://www2.health.vic.gov.au/hospitals-and-health-services/planning-infrastructure/sustainability/transport</w:t>
            </w:r>
            <w:r>
              <w:rPr>
                <w:rFonts w:eastAsia="MS Gothic"/>
              </w:rPr>
              <w:t>&gt;</w:t>
            </w:r>
          </w:p>
        </w:tc>
      </w:tr>
    </w:tbl>
    <w:p w14:paraId="7CD98F24" w14:textId="77777777" w:rsidR="00152239" w:rsidRPr="0016138C" w:rsidRDefault="00152239" w:rsidP="00152239">
      <w:pPr>
        <w:pStyle w:val="DHHSbody"/>
        <w:rPr>
          <w:color w:val="007B4B"/>
          <w:sz w:val="26"/>
          <w:szCs w:val="26"/>
        </w:rPr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152239" w:rsidRPr="002802E3" w14:paraId="5E194914" w14:textId="77777777" w:rsidTr="008D5B8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5343" w14:textId="78123AA2" w:rsidR="00152239" w:rsidRPr="00C31117" w:rsidRDefault="00152239" w:rsidP="008D5B8D">
            <w:pPr>
              <w:pStyle w:val="DHHSaccessibilitypara"/>
            </w:pPr>
            <w:r w:rsidRPr="00C31117">
              <w:t xml:space="preserve">To receive this publication in an accessible format phone </w:t>
            </w:r>
            <w:r w:rsidR="00D35F0F">
              <w:t xml:space="preserve">03 </w:t>
            </w:r>
            <w:r w:rsidRPr="001D22A6">
              <w:rPr>
                <w:color w:val="000000" w:themeColor="text1"/>
              </w:rPr>
              <w:t>9096 2119</w:t>
            </w:r>
            <w:r w:rsidRPr="00C31117">
              <w:t>, using the National Relay Service 13 36 77 if required, or email</w:t>
            </w:r>
            <w:r w:rsidR="00D35F0F">
              <w:t xml:space="preserve"> the </w:t>
            </w:r>
            <w:hyperlink r:id="rId32" w:history="1">
              <w:r w:rsidR="00D35F0F" w:rsidRPr="00D35F0F">
                <w:rPr>
                  <w:rStyle w:val="Hyperlink"/>
                </w:rPr>
                <w:t>Sustainability team</w:t>
              </w:r>
            </w:hyperlink>
            <w:r>
              <w:t xml:space="preserve"> </w:t>
            </w:r>
            <w:r w:rsidRPr="001D22A6">
              <w:rPr>
                <w:color w:val="000000" w:themeColor="text1"/>
              </w:rPr>
              <w:t>&lt;sustainability@dhhs.vic.gov.au&gt;</w:t>
            </w:r>
          </w:p>
          <w:p w14:paraId="0167FC7F" w14:textId="77777777" w:rsidR="00152239" w:rsidRPr="00C31117" w:rsidRDefault="00152239" w:rsidP="008D5B8D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0D4E4EBC" w14:textId="0D926498" w:rsidR="00152239" w:rsidRPr="00C31117" w:rsidRDefault="00152239" w:rsidP="008D5B8D">
            <w:pPr>
              <w:pStyle w:val="DHHSbody"/>
            </w:pPr>
            <w:r w:rsidRPr="00C31117">
              <w:t xml:space="preserve">© State of Victoria, Australia, </w:t>
            </w:r>
            <w:r>
              <w:t>Victorian Health and Human Service</w:t>
            </w:r>
            <w:r w:rsidRPr="00C31117">
              <w:t>s</w:t>
            </w:r>
            <w:r>
              <w:t xml:space="preserve"> Building Authority</w:t>
            </w:r>
            <w:r w:rsidRPr="00C31117">
              <w:rPr>
                <w:color w:val="008950"/>
              </w:rPr>
              <w:t xml:space="preserve"> </w:t>
            </w:r>
            <w:r w:rsidR="00990CE7">
              <w:rPr>
                <w:color w:val="000000" w:themeColor="text1"/>
              </w:rPr>
              <w:t>January</w:t>
            </w:r>
            <w:r w:rsidR="00990CE7" w:rsidRPr="001D22A6">
              <w:rPr>
                <w:color w:val="000000" w:themeColor="text1"/>
              </w:rPr>
              <w:t xml:space="preserve"> 20</w:t>
            </w:r>
            <w:r w:rsidR="00990CE7">
              <w:rPr>
                <w:color w:val="000000" w:themeColor="text1"/>
              </w:rPr>
              <w:t>20</w:t>
            </w:r>
            <w:r w:rsidRPr="001D22A6">
              <w:rPr>
                <w:color w:val="000000" w:themeColor="text1"/>
              </w:rPr>
              <w:t>.</w:t>
            </w:r>
          </w:p>
          <w:p w14:paraId="7536DF03" w14:textId="3234DC23" w:rsidR="005E374C" w:rsidRDefault="005E374C" w:rsidP="008D5B8D">
            <w:pPr>
              <w:pStyle w:val="DHHSbody"/>
              <w:rPr>
                <w:szCs w:val="19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>978-1-76069-178-3</w:t>
            </w:r>
            <w:r>
              <w:rPr>
                <w:rFonts w:cs="Arial"/>
                <w:b/>
                <w:bCs/>
                <w:color w:val="000000"/>
              </w:rPr>
              <w:t xml:space="preserve"> (pdf/online/MS word)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7E6E0741" w14:textId="570279E7" w:rsidR="00152239" w:rsidRPr="005A4855" w:rsidRDefault="001D22A6" w:rsidP="008D5B8D">
            <w:pPr>
              <w:pStyle w:val="DHHSbody"/>
              <w:rPr>
                <w:color w:val="000000"/>
                <w:szCs w:val="19"/>
              </w:rPr>
            </w:pPr>
            <w:r w:rsidRPr="004F49F7">
              <w:rPr>
                <w:szCs w:val="19"/>
              </w:rPr>
              <w:t xml:space="preserve">Available at </w:t>
            </w:r>
            <w:hyperlink r:id="rId33" w:history="1">
              <w:r w:rsidRPr="004F49F7">
                <w:rPr>
                  <w:rStyle w:val="Hyperlink"/>
                </w:rPr>
                <w:t>Health.vic</w:t>
              </w:r>
              <w:r w:rsidRPr="00CD73D1">
                <w:rPr>
                  <w:rStyle w:val="Hyperlink"/>
                </w:rPr>
                <w:t xml:space="preserve"> website</w:t>
              </w:r>
            </w:hyperlink>
            <w:r w:rsidRPr="004F49F7">
              <w:rPr>
                <w:color w:val="000000"/>
                <w:szCs w:val="19"/>
              </w:rPr>
              <w:t xml:space="preserve"> </w:t>
            </w:r>
            <w:r w:rsidRPr="004F49F7">
              <w:rPr>
                <w:color w:val="000000"/>
              </w:rPr>
              <w:t>&lt;</w:t>
            </w:r>
            <w:hyperlink r:id="rId34" w:history="1">
              <w:r w:rsidRPr="004F49F7">
                <w:rPr>
                  <w:rFonts w:eastAsia="MS Gothic"/>
                </w:rPr>
                <w:t>https://www2.health.vic.gov.au/hospitals-and-health-services/planning-infrastructure/sustainability/planning-reporting</w:t>
              </w:r>
            </w:hyperlink>
            <w:r>
              <w:rPr>
                <w:rFonts w:eastAsia="MS Gothic"/>
              </w:rPr>
              <w:t>&gt;.</w:t>
            </w:r>
          </w:p>
        </w:tc>
      </w:tr>
    </w:tbl>
    <w:p w14:paraId="0B155B43" w14:textId="77777777" w:rsidR="00152239" w:rsidRPr="00906490" w:rsidRDefault="00152239" w:rsidP="00152239">
      <w:pPr>
        <w:pStyle w:val="DHHSbody"/>
      </w:pPr>
    </w:p>
    <w:p w14:paraId="4D5AC865" w14:textId="77777777" w:rsidR="00B2752E" w:rsidRPr="00906490" w:rsidRDefault="00B2752E" w:rsidP="00FF6D9D">
      <w:pPr>
        <w:pStyle w:val="DHHSbody"/>
      </w:pPr>
    </w:p>
    <w:sectPr w:rsidR="00B2752E" w:rsidRPr="00906490" w:rsidSect="004013C7">
      <w:headerReference w:type="default" r:id="rId35"/>
      <w:footerReference w:type="default" r:id="rId36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8D3A" w14:textId="77777777" w:rsidR="00891853" w:rsidRDefault="00891853">
      <w:r>
        <w:separator/>
      </w:r>
    </w:p>
  </w:endnote>
  <w:endnote w:type="continuationSeparator" w:id="0">
    <w:p w14:paraId="729115E6" w14:textId="77777777" w:rsidR="00891853" w:rsidRDefault="0089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ED02" w14:textId="77777777" w:rsidR="007571EE" w:rsidRDefault="00757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BAD1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AF47EED" wp14:editId="50B618D9">
          <wp:simplePos x="0" y="0"/>
          <wp:positionH relativeFrom="page">
            <wp:posOffset>-1905</wp:posOffset>
          </wp:positionH>
          <wp:positionV relativeFrom="page">
            <wp:posOffset>9724390</wp:posOffset>
          </wp:positionV>
          <wp:extent cx="7556500" cy="972185"/>
          <wp:effectExtent l="0" t="0" r="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F545" w14:textId="77777777" w:rsidR="007571EE" w:rsidRDefault="007571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98D6" w14:textId="56278E18" w:rsidR="009D70A4" w:rsidRPr="00A11421" w:rsidRDefault="00152239" w:rsidP="0051568D">
    <w:pPr>
      <w:pStyle w:val="DHHSfooter"/>
    </w:pPr>
    <w:r>
      <w:t xml:space="preserve">Health service environmental sustainability requirements – </w:t>
    </w:r>
    <w:r w:rsidR="007571EE">
      <w:t xml:space="preserve">January </w:t>
    </w:r>
    <w:r>
      <w:t>20</w:t>
    </w:r>
    <w:r w:rsidR="007571EE">
      <w:t>20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B66804">
      <w:rPr>
        <w:noProof/>
      </w:rPr>
      <w:t>4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AFB9" w14:textId="77777777" w:rsidR="00891853" w:rsidRDefault="00891853" w:rsidP="002862F1">
      <w:pPr>
        <w:spacing w:before="120"/>
      </w:pPr>
      <w:r>
        <w:separator/>
      </w:r>
    </w:p>
  </w:footnote>
  <w:footnote w:type="continuationSeparator" w:id="0">
    <w:p w14:paraId="657FA0F7" w14:textId="77777777" w:rsidR="00891853" w:rsidRDefault="00891853">
      <w:r>
        <w:continuationSeparator/>
      </w:r>
    </w:p>
  </w:footnote>
  <w:footnote w:id="1">
    <w:p w14:paraId="74E412FF" w14:textId="2FFCB8CE" w:rsidR="00152239" w:rsidRDefault="00152239" w:rsidP="00152239">
      <w:pPr>
        <w:pStyle w:val="FootnoteText"/>
      </w:pPr>
      <w:r>
        <w:rPr>
          <w:rStyle w:val="FootnoteReference"/>
        </w:rPr>
        <w:footnoteRef/>
      </w:r>
      <w:r>
        <w:t xml:space="preserve"> Whil</w:t>
      </w:r>
      <w:r w:rsidR="00C632D8">
        <w:t>e</w:t>
      </w:r>
      <w:r>
        <w:t xml:space="preserve"> best efforts are made to keep this information up to date, health services are responsible </w:t>
      </w:r>
      <w:r w:rsidR="00A731B2">
        <w:t xml:space="preserve">for </w:t>
      </w:r>
      <w:r>
        <w:t>meeting legislative requirements. If there are any requirements that are not included, please email</w:t>
      </w:r>
      <w:r w:rsidR="00C632D8">
        <w:t xml:space="preserve"> the </w:t>
      </w:r>
      <w:hyperlink r:id="rId1" w:history="1">
        <w:r w:rsidR="00C632D8" w:rsidRPr="00C632D8">
          <w:rPr>
            <w:rStyle w:val="Hyperlink"/>
          </w:rPr>
          <w:t>Sustainability team</w:t>
        </w:r>
      </w:hyperlink>
      <w:r>
        <w:t xml:space="preserve"> </w:t>
      </w:r>
      <w:r w:rsidR="00C632D8">
        <w:t>&lt;</w:t>
      </w:r>
      <w:r w:rsidR="00C632D8" w:rsidRPr="001D22A6">
        <w:t>sustainability@dhhs.vic.gov.au</w:t>
      </w:r>
      <w:r w:rsidR="00C632D8">
        <w:t>&gt;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8F56" w14:textId="77777777" w:rsidR="007571EE" w:rsidRDefault="00757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A8FF" w14:textId="77777777" w:rsidR="007571EE" w:rsidRDefault="00757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9FF9" w14:textId="77777777" w:rsidR="007571EE" w:rsidRDefault="007571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8DE6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376D9D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39"/>
    <w:rsid w:val="0000682E"/>
    <w:rsid w:val="000072B6"/>
    <w:rsid w:val="0001021B"/>
    <w:rsid w:val="00011D89"/>
    <w:rsid w:val="000154FD"/>
    <w:rsid w:val="00024D89"/>
    <w:rsid w:val="000250B6"/>
    <w:rsid w:val="00033D81"/>
    <w:rsid w:val="00041A5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5E5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778A"/>
    <w:rsid w:val="000F1F1E"/>
    <w:rsid w:val="000F2259"/>
    <w:rsid w:val="000F7246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2239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374D"/>
    <w:rsid w:val="001C277E"/>
    <w:rsid w:val="001C2A72"/>
    <w:rsid w:val="001D0B75"/>
    <w:rsid w:val="001D1931"/>
    <w:rsid w:val="001D22A6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3134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C4079"/>
    <w:rsid w:val="002D5006"/>
    <w:rsid w:val="002E01D0"/>
    <w:rsid w:val="002E161D"/>
    <w:rsid w:val="002E3100"/>
    <w:rsid w:val="002E6463"/>
    <w:rsid w:val="002E6C95"/>
    <w:rsid w:val="002E7C36"/>
    <w:rsid w:val="002F5F31"/>
    <w:rsid w:val="002F5F46"/>
    <w:rsid w:val="00302216"/>
    <w:rsid w:val="00303E53"/>
    <w:rsid w:val="00306E5F"/>
    <w:rsid w:val="00307E14"/>
    <w:rsid w:val="0031211C"/>
    <w:rsid w:val="00314054"/>
    <w:rsid w:val="00314717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B20"/>
    <w:rsid w:val="004A5C62"/>
    <w:rsid w:val="004A707D"/>
    <w:rsid w:val="004B6F52"/>
    <w:rsid w:val="004C6EEE"/>
    <w:rsid w:val="004C702B"/>
    <w:rsid w:val="004D0033"/>
    <w:rsid w:val="004D016B"/>
    <w:rsid w:val="004D1B22"/>
    <w:rsid w:val="004D36F2"/>
    <w:rsid w:val="004D52D4"/>
    <w:rsid w:val="004E1106"/>
    <w:rsid w:val="004E138F"/>
    <w:rsid w:val="004E4649"/>
    <w:rsid w:val="004E5C2B"/>
    <w:rsid w:val="004F00DD"/>
    <w:rsid w:val="004F0529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374C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3510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71EE"/>
    <w:rsid w:val="00763139"/>
    <w:rsid w:val="00765FA8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7381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2DDC"/>
    <w:rsid w:val="0080587B"/>
    <w:rsid w:val="00806468"/>
    <w:rsid w:val="00811785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87EE8"/>
    <w:rsid w:val="00891853"/>
    <w:rsid w:val="0089270A"/>
    <w:rsid w:val="00893AF6"/>
    <w:rsid w:val="00894542"/>
    <w:rsid w:val="00894BC4"/>
    <w:rsid w:val="008A5B32"/>
    <w:rsid w:val="008B2EE4"/>
    <w:rsid w:val="008B4D3D"/>
    <w:rsid w:val="008B57C7"/>
    <w:rsid w:val="008C2F92"/>
    <w:rsid w:val="008C38EF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0A93"/>
    <w:rsid w:val="00924AE1"/>
    <w:rsid w:val="009269B1"/>
    <w:rsid w:val="0092724D"/>
    <w:rsid w:val="0093338F"/>
    <w:rsid w:val="00937BD9"/>
    <w:rsid w:val="00947730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0CE7"/>
    <w:rsid w:val="00991769"/>
    <w:rsid w:val="00994386"/>
    <w:rsid w:val="009A13D8"/>
    <w:rsid w:val="009A279E"/>
    <w:rsid w:val="009A6F2C"/>
    <w:rsid w:val="009B0A6F"/>
    <w:rsid w:val="009B0A94"/>
    <w:rsid w:val="009B5821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5FB1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4C2"/>
    <w:rsid w:val="00A54715"/>
    <w:rsid w:val="00A6061C"/>
    <w:rsid w:val="00A62D44"/>
    <w:rsid w:val="00A67263"/>
    <w:rsid w:val="00A7161C"/>
    <w:rsid w:val="00A731B2"/>
    <w:rsid w:val="00A77AA3"/>
    <w:rsid w:val="00A854EB"/>
    <w:rsid w:val="00A872E5"/>
    <w:rsid w:val="00A91406"/>
    <w:rsid w:val="00A927F9"/>
    <w:rsid w:val="00A96E65"/>
    <w:rsid w:val="00A97C72"/>
    <w:rsid w:val="00AA63D4"/>
    <w:rsid w:val="00AB06E8"/>
    <w:rsid w:val="00AB1CD3"/>
    <w:rsid w:val="00AB352F"/>
    <w:rsid w:val="00AC17E2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3B96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804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3FB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F7A"/>
    <w:rsid w:val="00C632D8"/>
    <w:rsid w:val="00C63B9C"/>
    <w:rsid w:val="00C6682F"/>
    <w:rsid w:val="00C7275E"/>
    <w:rsid w:val="00C74C5D"/>
    <w:rsid w:val="00C75963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D73D1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5F0F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95CFD"/>
    <w:rsid w:val="00DA2619"/>
    <w:rsid w:val="00DA4239"/>
    <w:rsid w:val="00DB0B61"/>
    <w:rsid w:val="00DB52FB"/>
    <w:rsid w:val="00DC090B"/>
    <w:rsid w:val="00DC1679"/>
    <w:rsid w:val="00DC259E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4AE9"/>
    <w:rsid w:val="00DF68C7"/>
    <w:rsid w:val="00DF731A"/>
    <w:rsid w:val="00E11332"/>
    <w:rsid w:val="00E11352"/>
    <w:rsid w:val="00E11503"/>
    <w:rsid w:val="00E170DC"/>
    <w:rsid w:val="00E2269A"/>
    <w:rsid w:val="00E26818"/>
    <w:rsid w:val="00E279AA"/>
    <w:rsid w:val="00E27FFC"/>
    <w:rsid w:val="00E30B15"/>
    <w:rsid w:val="00E40181"/>
    <w:rsid w:val="00E53920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01D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74E5"/>
    <w:rsid w:val="00EF109B"/>
    <w:rsid w:val="00EF36AF"/>
    <w:rsid w:val="00F00F9C"/>
    <w:rsid w:val="00F01C7D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67E33"/>
    <w:rsid w:val="00F72C2C"/>
    <w:rsid w:val="00F76CAB"/>
    <w:rsid w:val="00F772C6"/>
    <w:rsid w:val="00F815B5"/>
    <w:rsid w:val="00F83A6B"/>
    <w:rsid w:val="00F85195"/>
    <w:rsid w:val="00F938BA"/>
    <w:rsid w:val="00FA2C46"/>
    <w:rsid w:val="00FA3525"/>
    <w:rsid w:val="00FA5A53"/>
    <w:rsid w:val="00FA6BFE"/>
    <w:rsid w:val="00FB2DCD"/>
    <w:rsid w:val="00FB4769"/>
    <w:rsid w:val="00FB4CDA"/>
    <w:rsid w:val="00FC0F81"/>
    <w:rsid w:val="00FC395C"/>
    <w:rsid w:val="00FD3766"/>
    <w:rsid w:val="00FD47C4"/>
    <w:rsid w:val="00FE2DCF"/>
    <w:rsid w:val="00FE3FA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966B23"/>
  <w15:docId w15:val="{F8570ED5-1E61-4CA0-B2DB-22958D62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152239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D1931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4BC" w:themeColor="text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1D1931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4BC" w:themeColor="text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D1931"/>
    <w:rPr>
      <w:rFonts w:ascii="Arial" w:eastAsia="MS Gothic" w:hAnsi="Arial" w:cs="Arial"/>
      <w:bCs/>
      <w:color w:val="0074BC" w:themeColor="text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1D1931"/>
    <w:rPr>
      <w:rFonts w:ascii="Arial" w:hAnsi="Arial"/>
      <w:b/>
      <w:color w:val="0074BC" w:themeColor="text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2C4079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0074BC" w:themeFill="accent1"/>
      </w:tcPr>
    </w:tblStyle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D1931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1D1931"/>
    <w:rPr>
      <w:rFonts w:ascii="Arial" w:hAnsi="Arial"/>
      <w:b/>
      <w:color w:val="0074BC" w:themeColor="text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FA6BFE"/>
    <w:pPr>
      <w:spacing w:line="216" w:lineRule="auto"/>
    </w:pPr>
    <w:rPr>
      <w:rFonts w:ascii="Arial" w:hAnsi="Arial"/>
      <w:caps/>
      <w:color w:val="FFFFFF"/>
      <w:sz w:val="60"/>
      <w:szCs w:val="64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041A51"/>
    <w:pPr>
      <w:spacing w:before="80" w:after="60"/>
    </w:pPr>
    <w:rPr>
      <w:rFonts w:ascii="Arial" w:hAnsi="Arial"/>
      <w:b/>
      <w:color w:val="FFFFFF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2C4079"/>
    <w:rPr>
      <w:color w:val="0074BC"/>
      <w:u w:val="dotted"/>
    </w:rPr>
  </w:style>
  <w:style w:type="paragraph" w:customStyle="1" w:styleId="DHHSmainsubheading">
    <w:name w:val="DHHS main subheading"/>
    <w:uiPriority w:val="8"/>
    <w:rsid w:val="00EE74E5"/>
    <w:rPr>
      <w:rFonts w:ascii="Arial" w:hAnsi="Arial"/>
      <w:b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1C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1C"/>
    <w:rPr>
      <w:rFonts w:ascii="Segoe UI" w:hAnsi="Segoe UI" w:cs="Segoe UI"/>
      <w:sz w:val="18"/>
      <w:szCs w:val="18"/>
      <w:lang w:eastAsia="en-US"/>
    </w:rPr>
  </w:style>
  <w:style w:type="table" w:styleId="MediumGrid3-Accent4">
    <w:name w:val="Medium Grid 3 Accent 4"/>
    <w:basedOn w:val="TableNormal"/>
    <w:uiPriority w:val="60"/>
    <w:rsid w:val="001522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BF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BF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BF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BF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5F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5FA" w:themeFill="accent4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239"/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239"/>
    <w:rPr>
      <w:rFonts w:ascii="Cambria" w:hAnsi="Cambria"/>
      <w:lang w:eastAsia="en-US"/>
    </w:rPr>
  </w:style>
  <w:style w:type="character" w:styleId="Emphasis">
    <w:name w:val="Emphasis"/>
    <w:basedOn w:val="DefaultParagraphFont"/>
    <w:uiPriority w:val="20"/>
    <w:qFormat/>
    <w:rsid w:val="00887EE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4C2"/>
    <w:rPr>
      <w:rFonts w:ascii="Calibri" w:eastAsiaTheme="minorHAns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4C2"/>
    <w:rPr>
      <w:rFonts w:ascii="Calibri" w:eastAsiaTheme="minorHAnsi" w:hAnsi="Calibri" w:cs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17E2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C259E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2.health.vic.gov.au/hospitals-and-health-services/planning-infrastructure/sustainability/planning-reporting" TargetMode="External"/><Relationship Id="rId26" Type="http://schemas.openxmlformats.org/officeDocument/2006/relationships/hyperlink" Target="https://www.epa.vic.gov.au/our-work/publications/publication/2009/september/iwrg612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pital.health.vic.gov.au/Environmental_sustainability/Sustainability_in_healthcare_capital_works/Sustainability_guideline_2010/" TargetMode="External"/><Relationship Id="rId34" Type="http://schemas.openxmlformats.org/officeDocument/2006/relationships/hyperlink" Target="https://www2.health.vic.gov.au/hospitals-and-health-services/planning-infrastructure/sustainability/planning-reporting" TargetMode="Externa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yperlink" Target="https://www.dhhs.vic.gov.au/publications/policy-and-funding-guidelines-health-and-human-services" TargetMode="External"/><Relationship Id="rId25" Type="http://schemas.openxmlformats.org/officeDocument/2006/relationships/hyperlink" Target="https://www.environment.vic.gov.au/sustainability/e-waste-in-victoria" TargetMode="External"/><Relationship Id="rId33" Type="http://schemas.openxmlformats.org/officeDocument/2006/relationships/hyperlink" Target="https://www2.health.vic.gov.au/hospitals-and-health-services/planning-infrastructure/sustainability/planning-reportin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2.health.vic.gov.au/hospitals-and-health-services/planning-infrastructure/sustainability/planning-reporting" TargetMode="External"/><Relationship Id="rId20" Type="http://schemas.openxmlformats.org/officeDocument/2006/relationships/hyperlink" Target="https://www2.health.vic.gov.au/hospitals-and-health-services/funding-performance-accountability/statement-of-priorities" TargetMode="External"/><Relationship Id="rId29" Type="http://schemas.openxmlformats.org/officeDocument/2006/relationships/hyperlink" Target="https://www2.health.vic.gov.au/hospitals-and-health-services/planning-infrastructure/sustainability/waste/audit-guidel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cleanenergyregulator.gov.au/NGER/Forms-and-resources/Guides-and-factsheets" TargetMode="External"/><Relationship Id="rId32" Type="http://schemas.openxmlformats.org/officeDocument/2006/relationships/hyperlink" Target="mailto:sustainability@dhhs.vic.gov.a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2.health.vic.gov.au/hospitals-and-health-services/planning-infrastructure/sustainability/planning-reporting" TargetMode="External"/><Relationship Id="rId23" Type="http://schemas.openxmlformats.org/officeDocument/2006/relationships/hyperlink" Target="http://www.cleanenergyregulator.gov.au/NGER" TargetMode="External"/><Relationship Id="rId28" Type="http://schemas.openxmlformats.org/officeDocument/2006/relationships/hyperlink" Target="http://recyclinginhospitals.com.au/" TargetMode="External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2.health.vic.gov.au/hospitals-and-health-services/planning-infrastructure/sustainability/planning-reporting" TargetMode="External"/><Relationship Id="rId31" Type="http://schemas.openxmlformats.org/officeDocument/2006/relationships/hyperlink" Target="https://www2.health.vic.gov.au/hospitals-and-health-services/planning-infrastructure/sustainability/transpor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2.health.vic.gov.au/hospitals-and-health-services/planning-infrastructure/sustainability" TargetMode="External"/><Relationship Id="rId22" Type="http://schemas.openxmlformats.org/officeDocument/2006/relationships/hyperlink" Target="http://www.npi.gov.au/" TargetMode="External"/><Relationship Id="rId27" Type="http://schemas.openxmlformats.org/officeDocument/2006/relationships/hyperlink" Target="https://www.epa.vic.gov.au/business-and-industry/guidelines/waste-guidance/clinical-waste-guidance" TargetMode="External"/><Relationship Id="rId30" Type="http://schemas.openxmlformats.org/officeDocument/2006/relationships/hyperlink" Target="https://www.betterhealth.vic.gov.au/health/healthyliving/climate-change-and-health" TargetMode="External"/><Relationship Id="rId35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ustainability@dhhs.vic.gov.au" TargetMode="External"/></Relationships>
</file>

<file path=word/theme/theme1.xml><?xml version="1.0" encoding="utf-8"?>
<a:theme xmlns:a="http://schemas.openxmlformats.org/drawingml/2006/main" name="Office Theme">
  <a:themeElements>
    <a:clrScheme name="VHHSBA main">
      <a:dk1>
        <a:sysClr val="windowText" lastClr="000000"/>
      </a:dk1>
      <a:lt1>
        <a:sysClr val="window" lastClr="FFFFFF"/>
      </a:lt1>
      <a:dk2>
        <a:srgbClr val="0074BC"/>
      </a:dk2>
      <a:lt2>
        <a:srgbClr val="FFFFFF"/>
      </a:lt2>
      <a:accent1>
        <a:srgbClr val="0074BC"/>
      </a:accent1>
      <a:accent2>
        <a:srgbClr val="F1582E"/>
      </a:accent2>
      <a:accent3>
        <a:srgbClr val="414042"/>
      </a:accent3>
      <a:accent4>
        <a:srgbClr val="5BCBF5"/>
      </a:accent4>
      <a:accent5>
        <a:srgbClr val="D03061"/>
      </a:accent5>
      <a:accent6>
        <a:srgbClr val="6D9D31"/>
      </a:accent6>
      <a:hlink>
        <a:srgbClr val="0074BC"/>
      </a:hlink>
      <a:folHlink>
        <a:srgbClr val="8718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8159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requirements factsheet</vt:lpstr>
    </vt:vector>
  </TitlesOfParts>
  <Manager/>
  <Company>Department of Health and Human Services</Company>
  <LinksUpToDate>false</LinksUpToDate>
  <CharactersWithSpaces>8851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requirements factsheet</dc:title>
  <dc:subject>Environmental requirements for Victorian health services</dc:subject>
  <dc:creator>Victorian Health and Human Services Building Authority</dc:creator>
  <cp:keywords>environmental requirements, sustainability</cp:keywords>
  <dc:description/>
  <cp:lastModifiedBy>Sarah Luscombe (DHHS)</cp:lastModifiedBy>
  <cp:revision>2</cp:revision>
  <cp:lastPrinted>2019-12-03T00:27:00Z</cp:lastPrinted>
  <dcterms:created xsi:type="dcterms:W3CDTF">2020-01-20T03:38:00Z</dcterms:created>
  <dcterms:modified xsi:type="dcterms:W3CDTF">2020-01-20T03:38:00Z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