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45CC" w14:textId="77777777" w:rsidR="00306E5F" w:rsidRPr="004946F4" w:rsidRDefault="00C67CF1" w:rsidP="00DE6028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 wp14:anchorId="23BF26B8" wp14:editId="773D19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3" name="Picture 33" descr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corativ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85C47" w14:textId="77777777" w:rsidR="00A62D44" w:rsidRPr="004C6EEE" w:rsidRDefault="00A62D44" w:rsidP="004C6EEE">
      <w:pPr>
        <w:pStyle w:val="Sectionbreakfirstpage"/>
        <w:sectPr w:rsidR="00A62D44" w:rsidRPr="004C6EEE" w:rsidSect="002A30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425" w:right="851" w:bottom="851" w:left="851" w:header="510" w:footer="510" w:gutter="0"/>
          <w:cols w:space="708"/>
          <w:docGrid w:linePitch="360"/>
        </w:sectPr>
      </w:pPr>
    </w:p>
    <w:tbl>
      <w:tblPr>
        <w:tblpPr w:leftFromText="181" w:rightFromText="181" w:vertAnchor="page" w:tblpY="568"/>
        <w:tblOverlap w:val="never"/>
        <w:tblW w:w="1329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3291"/>
      </w:tblGrid>
      <w:tr w:rsidR="003A3438" w14:paraId="48DEB656" w14:textId="77777777" w:rsidTr="0051781E">
        <w:trPr>
          <w:trHeight w:val="1106"/>
        </w:trPr>
        <w:tc>
          <w:tcPr>
            <w:tcW w:w="13291" w:type="dxa"/>
            <w:shd w:val="clear" w:color="auto" w:fill="auto"/>
          </w:tcPr>
          <w:p w14:paraId="5E890055" w14:textId="424395FC" w:rsidR="003A3438" w:rsidRPr="00FE7C25" w:rsidRDefault="00FE7C25" w:rsidP="0051781E">
            <w:pPr>
              <w:pStyle w:val="DHHSmainheading"/>
              <w:rPr>
                <w:rFonts w:ascii="Times New Roman" w:hAnsi="Times New Roman"/>
                <w:lang w:eastAsia="zh-CN"/>
              </w:rPr>
            </w:pPr>
            <w:bookmarkStart w:id="0" w:name="_Toc410762195"/>
            <w:r>
              <w:t>Framework for promoting a positive workplace culture: </w:t>
            </w:r>
            <w:r w:rsidR="00354FC5">
              <w:br/>
            </w:r>
            <w:r>
              <w:t>preventing bullying, harassment and discrimination</w:t>
            </w:r>
          </w:p>
        </w:tc>
      </w:tr>
      <w:tr w:rsidR="003A3438" w14:paraId="71BA22C2" w14:textId="77777777" w:rsidTr="0051781E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14:paraId="2305EBF1" w14:textId="77777777" w:rsidR="00FE7C25" w:rsidRDefault="00FE7C25" w:rsidP="0051781E">
            <w:pPr>
              <w:pStyle w:val="DHHSmainsubheading"/>
              <w:rPr>
                <w:rFonts w:ascii="Times New Roman" w:hAnsi="Times New Roman"/>
                <w:lang w:eastAsia="zh-CN"/>
              </w:rPr>
            </w:pPr>
            <w:r>
              <w:t>Victorian health services</w:t>
            </w:r>
          </w:p>
          <w:p w14:paraId="35394934" w14:textId="77777777" w:rsidR="003A3438" w:rsidRDefault="003A3438" w:rsidP="0051781E">
            <w:pPr>
              <w:pStyle w:val="DHHSmainsubheading"/>
            </w:pPr>
          </w:p>
        </w:tc>
      </w:tr>
      <w:bookmarkEnd w:id="0"/>
    </w:tbl>
    <w:p w14:paraId="37FDFF5B" w14:textId="77777777" w:rsidR="002A30A5" w:rsidRDefault="002A30A5" w:rsidP="00E32D00">
      <w:pPr>
        <w:pStyle w:val="DHHStablecolhead"/>
        <w:spacing w:before="0" w:after="0"/>
        <w:ind w:left="113" w:right="113"/>
        <w:jc w:val="center"/>
        <w:rPr>
          <w:sz w:val="16"/>
          <w:szCs w:val="16"/>
        </w:rPr>
        <w:sectPr w:rsidR="002A30A5" w:rsidSect="00E32D00">
          <w:headerReference w:type="default" r:id="rId15"/>
          <w:footerReference w:type="default" r:id="rId16"/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14:paraId="1F090AAD" w14:textId="77777777" w:rsidR="002A30A5" w:rsidRDefault="002A30A5" w:rsidP="00E32D00">
      <w:pPr>
        <w:pStyle w:val="DHHStablecolhead"/>
        <w:spacing w:before="0" w:after="0"/>
        <w:ind w:left="113" w:right="113"/>
        <w:jc w:val="center"/>
        <w:rPr>
          <w:sz w:val="16"/>
          <w:szCs w:val="16"/>
        </w:rPr>
        <w:sectPr w:rsidR="002A30A5" w:rsidSect="00E32D00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tbl>
      <w:tblPr>
        <w:tblpPr w:leftFromText="181" w:rightFromText="181" w:vertAnchor="page" w:horzAnchor="margin" w:tblpY="1373"/>
        <w:tblOverlap w:val="never"/>
        <w:tblW w:w="15446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4" w:space="0" w:color="6DB5BB"/>
          <w:insideV w:val="single" w:sz="4" w:space="0" w:color="6DB5BB"/>
        </w:tblBorders>
        <w:tblLook w:val="04A0" w:firstRow="1" w:lastRow="0" w:firstColumn="1" w:lastColumn="0" w:noHBand="0" w:noVBand="1"/>
      </w:tblPr>
      <w:tblGrid>
        <w:gridCol w:w="409"/>
        <w:gridCol w:w="2183"/>
        <w:gridCol w:w="2648"/>
        <w:gridCol w:w="2126"/>
        <w:gridCol w:w="2367"/>
        <w:gridCol w:w="2028"/>
        <w:gridCol w:w="1984"/>
        <w:gridCol w:w="1701"/>
      </w:tblGrid>
      <w:tr w:rsidR="00E32D00" w:rsidRPr="004D3F95" w14:paraId="4DD93CBE" w14:textId="77777777" w:rsidTr="00E32D00">
        <w:trPr>
          <w:cantSplit/>
          <w:trHeight w:val="1134"/>
        </w:trPr>
        <w:tc>
          <w:tcPr>
            <w:tcW w:w="409" w:type="dxa"/>
            <w:shd w:val="clear" w:color="auto" w:fill="E2F0F1"/>
            <w:textDirection w:val="btLr"/>
          </w:tcPr>
          <w:p w14:paraId="5919AB8D" w14:textId="263A20CC" w:rsidR="00E32D00" w:rsidRPr="009F28AC" w:rsidRDefault="00E32D00" w:rsidP="00E32D00">
            <w:pPr>
              <w:pStyle w:val="DHHStablecolhead"/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  <w:r w:rsidRPr="009F28AC">
              <w:rPr>
                <w:sz w:val="16"/>
                <w:szCs w:val="16"/>
              </w:rPr>
              <w:t>Principles</w:t>
            </w:r>
          </w:p>
        </w:tc>
        <w:tc>
          <w:tcPr>
            <w:tcW w:w="2183" w:type="dxa"/>
            <w:shd w:val="clear" w:color="auto" w:fill="E2F0F1"/>
          </w:tcPr>
          <w:p w14:paraId="48D725D3" w14:textId="77777777" w:rsidR="00E32D00" w:rsidRPr="00460652" w:rsidRDefault="00E32D00" w:rsidP="00E32D00">
            <w:pPr>
              <w:pStyle w:val="DHHStablecolhead"/>
              <w:jc w:val="center"/>
              <w:rPr>
                <w:sz w:val="14"/>
                <w:szCs w:val="14"/>
              </w:rPr>
            </w:pPr>
            <w:r w:rsidRPr="00460652">
              <w:rPr>
                <w:sz w:val="14"/>
                <w:szCs w:val="14"/>
              </w:rPr>
              <w:t xml:space="preserve">Leaders demonstrate commitment to </w:t>
            </w:r>
            <w:r>
              <w:rPr>
                <w:sz w:val="14"/>
                <w:szCs w:val="14"/>
              </w:rPr>
              <w:t>a positive workplace culture.</w:t>
            </w:r>
          </w:p>
        </w:tc>
        <w:tc>
          <w:tcPr>
            <w:tcW w:w="2648" w:type="dxa"/>
            <w:shd w:val="clear" w:color="auto" w:fill="E2F0F1"/>
          </w:tcPr>
          <w:p w14:paraId="00D2F52F" w14:textId="77777777" w:rsidR="00E32D00" w:rsidRDefault="00E32D00" w:rsidP="00E32D00">
            <w:pPr>
              <w:pStyle w:val="DHHStablecolhead"/>
              <w:jc w:val="center"/>
              <w:rPr>
                <w:sz w:val="14"/>
                <w:szCs w:val="14"/>
              </w:rPr>
            </w:pPr>
            <w:r w:rsidRPr="00460652">
              <w:rPr>
                <w:sz w:val="14"/>
                <w:szCs w:val="14"/>
              </w:rPr>
              <w:t>The organisation and staff understand and manage risk</w:t>
            </w:r>
            <w:r>
              <w:rPr>
                <w:sz w:val="14"/>
                <w:szCs w:val="14"/>
              </w:rPr>
              <w:t>s relating to culture and inappropriate behaviour, including BHD.</w:t>
            </w:r>
            <w:r>
              <w:rPr>
                <w:rStyle w:val="FootnoteReference"/>
                <w:sz w:val="14"/>
                <w:szCs w:val="14"/>
              </w:rPr>
              <w:footnoteReference w:id="1"/>
            </w:r>
          </w:p>
        </w:tc>
        <w:tc>
          <w:tcPr>
            <w:tcW w:w="2126" w:type="dxa"/>
            <w:shd w:val="clear" w:color="auto" w:fill="E2F0F1"/>
          </w:tcPr>
          <w:p w14:paraId="3814C445" w14:textId="77777777" w:rsidR="00E32D00" w:rsidRPr="00460652" w:rsidRDefault="00E32D00" w:rsidP="00E32D00">
            <w:pPr>
              <w:pStyle w:val="DHHStablecolhea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Safe systems of work are in place that reduce </w:t>
            </w:r>
            <w:r w:rsidRPr="00460652">
              <w:rPr>
                <w:sz w:val="14"/>
                <w:szCs w:val="14"/>
              </w:rPr>
              <w:t>risk</w:t>
            </w:r>
            <w:r>
              <w:rPr>
                <w:sz w:val="14"/>
                <w:szCs w:val="14"/>
              </w:rPr>
              <w:t>s</w:t>
            </w:r>
            <w:r w:rsidRPr="00460652">
              <w:rPr>
                <w:sz w:val="14"/>
                <w:szCs w:val="14"/>
              </w:rPr>
              <w:t xml:space="preserve"> to health</w:t>
            </w:r>
            <w:r>
              <w:rPr>
                <w:sz w:val="14"/>
                <w:szCs w:val="14"/>
              </w:rPr>
              <w:t xml:space="preserve"> and safety associated with inappropriate behaviour, including BHD, and that promote staff wellbeing.</w:t>
            </w:r>
          </w:p>
        </w:tc>
        <w:tc>
          <w:tcPr>
            <w:tcW w:w="2367" w:type="dxa"/>
            <w:shd w:val="clear" w:color="auto" w:fill="E2F0F1"/>
          </w:tcPr>
          <w:p w14:paraId="0FBA6DC0" w14:textId="77777777" w:rsidR="00E32D00" w:rsidRPr="00460652" w:rsidRDefault="00E32D00" w:rsidP="00E32D00">
            <w:pPr>
              <w:pStyle w:val="DHHStablecolhea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o</w:t>
            </w:r>
            <w:r w:rsidRPr="00460652">
              <w:rPr>
                <w:sz w:val="14"/>
                <w:szCs w:val="14"/>
              </w:rPr>
              <w:t>rganisation h</w:t>
            </w:r>
            <w:r>
              <w:rPr>
                <w:sz w:val="14"/>
                <w:szCs w:val="14"/>
              </w:rPr>
              <w:t>as</w:t>
            </w:r>
            <w:r w:rsidRPr="00460652">
              <w:rPr>
                <w:sz w:val="14"/>
                <w:szCs w:val="14"/>
              </w:rPr>
              <w:t xml:space="preserve"> effective mechanisms for the management of people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28" w:type="dxa"/>
            <w:shd w:val="clear" w:color="auto" w:fill="E2F0F1"/>
          </w:tcPr>
          <w:p w14:paraId="7E112627" w14:textId="77777777" w:rsidR="00E32D00" w:rsidRPr="00460652" w:rsidRDefault="00E32D00" w:rsidP="00E32D00">
            <w:pPr>
              <w:pStyle w:val="DHHStablecolhead"/>
              <w:jc w:val="center"/>
              <w:rPr>
                <w:sz w:val="14"/>
                <w:szCs w:val="14"/>
              </w:rPr>
            </w:pPr>
            <w:r w:rsidRPr="00460652">
              <w:rPr>
                <w:sz w:val="14"/>
                <w:szCs w:val="14"/>
              </w:rPr>
              <w:t>Staff access appropriate</w:t>
            </w:r>
            <w:r>
              <w:rPr>
                <w:sz w:val="14"/>
                <w:szCs w:val="14"/>
              </w:rPr>
              <w:t>,</w:t>
            </w:r>
            <w:r w:rsidRPr="00460652">
              <w:rPr>
                <w:sz w:val="14"/>
                <w:szCs w:val="14"/>
              </w:rPr>
              <w:t xml:space="preserve"> consistent and effective training.</w:t>
            </w:r>
          </w:p>
        </w:tc>
        <w:tc>
          <w:tcPr>
            <w:tcW w:w="1984" w:type="dxa"/>
            <w:shd w:val="clear" w:color="auto" w:fill="E2F0F1"/>
          </w:tcPr>
          <w:p w14:paraId="72F1AA57" w14:textId="77777777" w:rsidR="00E32D00" w:rsidRPr="00460652" w:rsidRDefault="00E32D00" w:rsidP="00E32D00">
            <w:pPr>
              <w:pStyle w:val="DHHStablecolhead"/>
              <w:jc w:val="center"/>
              <w:rPr>
                <w:sz w:val="14"/>
                <w:szCs w:val="14"/>
              </w:rPr>
            </w:pPr>
            <w:r w:rsidRPr="00460652">
              <w:rPr>
                <w:sz w:val="14"/>
                <w:szCs w:val="14"/>
              </w:rPr>
              <w:t>Workplace relationships are respectful and built on trust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01" w:type="dxa"/>
            <w:shd w:val="clear" w:color="auto" w:fill="E2F0F1"/>
          </w:tcPr>
          <w:p w14:paraId="3C20B554" w14:textId="77777777" w:rsidR="00E32D00" w:rsidRPr="00460652" w:rsidRDefault="00E32D00" w:rsidP="00E32D00">
            <w:pPr>
              <w:pStyle w:val="DHHStablecolhead"/>
              <w:jc w:val="center"/>
              <w:rPr>
                <w:sz w:val="14"/>
                <w:szCs w:val="14"/>
              </w:rPr>
            </w:pPr>
            <w:r w:rsidRPr="00460652">
              <w:rPr>
                <w:sz w:val="14"/>
                <w:szCs w:val="14"/>
              </w:rPr>
              <w:t>The organisation embraces diversity and is committed to inclusion</w:t>
            </w:r>
            <w:r>
              <w:rPr>
                <w:sz w:val="14"/>
                <w:szCs w:val="14"/>
              </w:rPr>
              <w:t>.</w:t>
            </w:r>
          </w:p>
        </w:tc>
      </w:tr>
      <w:tr w:rsidR="00E32D00" w:rsidRPr="004D3F95" w14:paraId="6CC8BF12" w14:textId="77777777" w:rsidTr="00E32D00">
        <w:trPr>
          <w:cantSplit/>
          <w:trHeight w:val="5376"/>
        </w:trPr>
        <w:tc>
          <w:tcPr>
            <w:tcW w:w="409" w:type="dxa"/>
            <w:textDirection w:val="btLr"/>
          </w:tcPr>
          <w:p w14:paraId="21FC2E13" w14:textId="77777777" w:rsidR="00E32D00" w:rsidRPr="009F28AC" w:rsidRDefault="00E32D00" w:rsidP="00E32D00">
            <w:pPr>
              <w:pStyle w:val="DHHStablecolhead"/>
              <w:spacing w:before="0"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9F28AC">
              <w:rPr>
                <w:rFonts w:cs="Arial"/>
                <w:sz w:val="16"/>
                <w:szCs w:val="16"/>
              </w:rPr>
              <w:t>Minimum standards</w:t>
            </w:r>
          </w:p>
        </w:tc>
        <w:tc>
          <w:tcPr>
            <w:tcW w:w="2183" w:type="dxa"/>
          </w:tcPr>
          <w:p w14:paraId="62805BB4" w14:textId="35DDB086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before="60"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board, CEO and leaders demonstrate a commitment to building a positive workplace culture and preventing, identifying and responding to incidents of BHD.</w:t>
            </w:r>
          </w:p>
          <w:p w14:paraId="714AE932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>Leaders and managers model the organisational values.</w:t>
            </w:r>
          </w:p>
          <w:p w14:paraId="61E11714" w14:textId="77777777" w:rsidR="00E32D00" w:rsidRPr="00B64605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 xml:space="preserve">Leaders and managers ensure reports of inappropriate behaviour, including </w:t>
            </w:r>
            <w:r>
              <w:rPr>
                <w:rFonts w:ascii="Arial" w:hAnsi="Arial" w:cs="Arial"/>
                <w:sz w:val="14"/>
                <w:szCs w:val="14"/>
              </w:rPr>
              <w:t>BHD</w:t>
            </w:r>
            <w:r w:rsidRPr="00460652">
              <w:rPr>
                <w:rFonts w:ascii="Arial" w:hAnsi="Arial" w:cs="Arial"/>
                <w:sz w:val="14"/>
                <w:szCs w:val="14"/>
              </w:rPr>
              <w:t>, are taken seriously</w:t>
            </w:r>
            <w:r>
              <w:rPr>
                <w:rFonts w:ascii="Arial" w:hAnsi="Arial" w:cs="Arial"/>
                <w:sz w:val="14"/>
                <w:szCs w:val="14"/>
              </w:rPr>
              <w:t xml:space="preserve"> and are addressed </w:t>
            </w:r>
            <w:r w:rsidRPr="00B64605">
              <w:rPr>
                <w:rFonts w:ascii="Arial" w:hAnsi="Arial" w:cs="Arial"/>
                <w:sz w:val="14"/>
                <w:szCs w:val="14"/>
              </w:rPr>
              <w:t>sensitively, fairly, promptly and in a manner consistent with the organisation’s policies and procedures.</w:t>
            </w:r>
          </w:p>
          <w:p w14:paraId="133F341C" w14:textId="207899D5" w:rsidR="00E32D00" w:rsidRPr="007A129F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 xml:space="preserve">The board receives routine reports on relevant </w:t>
            </w:r>
            <w:r>
              <w:rPr>
                <w:rFonts w:ascii="Arial" w:hAnsi="Arial" w:cs="Arial"/>
                <w:sz w:val="14"/>
                <w:szCs w:val="14"/>
              </w:rPr>
              <w:t xml:space="preserve">lead and lag </w:t>
            </w:r>
            <w:r w:rsidRPr="00460652">
              <w:rPr>
                <w:rFonts w:ascii="Arial" w:hAnsi="Arial" w:cs="Arial"/>
                <w:sz w:val="14"/>
                <w:szCs w:val="14"/>
              </w:rPr>
              <w:t>indicators</w:t>
            </w:r>
            <w:r>
              <w:rPr>
                <w:rFonts w:ascii="Arial" w:hAnsi="Arial" w:cs="Arial"/>
                <w:sz w:val="14"/>
                <w:szCs w:val="14"/>
              </w:rPr>
              <w:t xml:space="preserve"> and themes relating to workplace culture and inappropriate behaviour (including BHD), and oversees the development of strategies to prevent and manage risks to the organisation and its staff.</w:t>
            </w:r>
          </w:p>
        </w:tc>
        <w:tc>
          <w:tcPr>
            <w:tcW w:w="2648" w:type="dxa"/>
          </w:tcPr>
          <w:p w14:paraId="7ABEC17A" w14:textId="77777777" w:rsidR="00E32D00" w:rsidRPr="006F2C4C" w:rsidRDefault="00E32D00" w:rsidP="00E32D00">
            <w:pPr>
              <w:pStyle w:val="ListParagraph"/>
              <w:numPr>
                <w:ilvl w:val="0"/>
                <w:numId w:val="15"/>
              </w:numPr>
              <w:spacing w:before="60"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6F2C4C">
              <w:rPr>
                <w:rFonts w:ascii="Arial" w:hAnsi="Arial" w:cs="Arial"/>
                <w:sz w:val="14"/>
                <w:szCs w:val="14"/>
              </w:rPr>
              <w:t>The organisation has a clear polic</w:t>
            </w:r>
            <w:r>
              <w:rPr>
                <w:rFonts w:ascii="Arial" w:hAnsi="Arial" w:cs="Arial"/>
                <w:sz w:val="14"/>
                <w:szCs w:val="14"/>
              </w:rPr>
              <w:t>y framework that links policies and</w:t>
            </w:r>
            <w:r w:rsidRPr="006F2C4C">
              <w:rPr>
                <w:rFonts w:ascii="Arial" w:hAnsi="Arial" w:cs="Arial"/>
                <w:sz w:val="14"/>
                <w:szCs w:val="14"/>
              </w:rPr>
              <w:t xml:space="preserve"> procedures with organisational expectations about behaviour.</w:t>
            </w:r>
          </w:p>
          <w:p w14:paraId="03116514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BHD is managed using a risk management framework and included on the organisational risk register.</w:t>
            </w:r>
          </w:p>
          <w:p w14:paraId="4D5F5834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6F2C4C">
              <w:rPr>
                <w:rFonts w:ascii="Arial" w:hAnsi="Arial" w:cs="Arial"/>
                <w:sz w:val="14"/>
                <w:szCs w:val="14"/>
              </w:rPr>
              <w:t xml:space="preserve">Risk is assessed regularly </w:t>
            </w:r>
            <w:r>
              <w:rPr>
                <w:rFonts w:ascii="Arial" w:hAnsi="Arial" w:cs="Arial"/>
                <w:sz w:val="14"/>
                <w:szCs w:val="14"/>
              </w:rPr>
              <w:t>in consultation with staff, managers and leaders, and appropriate controls and strategies are adopted.</w:t>
            </w:r>
          </w:p>
          <w:p w14:paraId="5DC7959D" w14:textId="77777777" w:rsidR="00E32D00" w:rsidRPr="00395888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Risks are</w:t>
            </w:r>
            <w:r w:rsidRPr="006F2C4C">
              <w:rPr>
                <w:rFonts w:ascii="Arial" w:hAnsi="Arial" w:cs="Arial"/>
                <w:sz w:val="14"/>
                <w:szCs w:val="14"/>
              </w:rPr>
              <w:t xml:space="preserve"> managed proactively, allowing for </w:t>
            </w:r>
            <w:r>
              <w:rPr>
                <w:rFonts w:ascii="Arial" w:hAnsi="Arial" w:cs="Arial"/>
                <w:sz w:val="14"/>
                <w:szCs w:val="14"/>
              </w:rPr>
              <w:t xml:space="preserve">prevention and </w:t>
            </w:r>
            <w:r w:rsidRPr="006F2C4C">
              <w:rPr>
                <w:rFonts w:ascii="Arial" w:hAnsi="Arial" w:cs="Arial"/>
                <w:sz w:val="14"/>
                <w:szCs w:val="14"/>
              </w:rPr>
              <w:t>early intervention.</w:t>
            </w:r>
          </w:p>
          <w:p w14:paraId="4CC386E5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 xml:space="preserve">The organisation analyses and reports against a suite of indicators </w:t>
            </w:r>
            <w:r>
              <w:rPr>
                <w:rFonts w:ascii="Arial" w:hAnsi="Arial" w:cs="Arial"/>
                <w:sz w:val="14"/>
                <w:szCs w:val="14"/>
              </w:rPr>
              <w:t xml:space="preserve">(including lead and lag indicators) </w:t>
            </w:r>
            <w:r w:rsidRPr="00460652">
              <w:rPr>
                <w:rFonts w:ascii="Arial" w:hAnsi="Arial" w:cs="Arial"/>
                <w:sz w:val="14"/>
                <w:szCs w:val="14"/>
              </w:rPr>
              <w:t>to benchmark culture, identify trends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60652">
              <w:rPr>
                <w:rFonts w:ascii="Arial" w:hAnsi="Arial" w:cs="Arial"/>
                <w:sz w:val="14"/>
                <w:szCs w:val="14"/>
              </w:rPr>
              <w:t xml:space="preserve"> and monitor and reduce risk.</w:t>
            </w:r>
          </w:p>
          <w:p w14:paraId="041AD763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>Staff understand how and when to report</w:t>
            </w:r>
            <w:r>
              <w:rPr>
                <w:rFonts w:ascii="Arial" w:hAnsi="Arial" w:cs="Arial"/>
                <w:sz w:val="14"/>
                <w:szCs w:val="14"/>
              </w:rPr>
              <w:t>, and are encouraged to do so</w:t>
            </w:r>
            <w:r w:rsidRPr="0046065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4C59C6D" w14:textId="77777777" w:rsidR="00E32D00" w:rsidRPr="006708E3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6708E3">
              <w:rPr>
                <w:rFonts w:ascii="Arial" w:hAnsi="Arial" w:cs="Arial"/>
                <w:sz w:val="14"/>
                <w:szCs w:val="14"/>
              </w:rPr>
              <w:t>Processes for managing incidents are transparent and based on best practice.</w:t>
            </w:r>
          </w:p>
          <w:p w14:paraId="7C0EC28F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>There is a continuous cycle of review, evaluation and improvement, with appropriate individual and organisational actions taken and feedback given.</w:t>
            </w:r>
          </w:p>
        </w:tc>
        <w:tc>
          <w:tcPr>
            <w:tcW w:w="2126" w:type="dxa"/>
            <w:shd w:val="clear" w:color="auto" w:fill="auto"/>
          </w:tcPr>
          <w:p w14:paraId="5D4AD44B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before="60"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organisation provides a safe workplace, complies with relevant legislative requirements, and considers BHD in the context of its strategies to address safety, wellbeing and culture.</w:t>
            </w:r>
          </w:p>
          <w:p w14:paraId="1ABF3443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Staff</w:t>
            </w:r>
            <w:r w:rsidRPr="00460652">
              <w:rPr>
                <w:rFonts w:ascii="Arial" w:hAnsi="Arial" w:cs="Arial"/>
                <w:sz w:val="14"/>
                <w:szCs w:val="14"/>
              </w:rPr>
              <w:t xml:space="preserve"> are provided with the resources, information and training they need to carry out their tasks safely and effectively.</w:t>
            </w:r>
          </w:p>
          <w:p w14:paraId="3444C136" w14:textId="4BD990F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Staff</w:t>
            </w:r>
            <w:r w:rsidRPr="006708E3">
              <w:rPr>
                <w:rFonts w:ascii="Arial" w:hAnsi="Arial" w:cs="Arial"/>
                <w:sz w:val="14"/>
                <w:szCs w:val="14"/>
              </w:rPr>
              <w:t xml:space="preserve"> understand their roles and responsibilities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708E3">
              <w:rPr>
                <w:rFonts w:ascii="Arial" w:hAnsi="Arial" w:cs="Arial"/>
                <w:sz w:val="14"/>
                <w:szCs w:val="14"/>
              </w:rPr>
              <w:t xml:space="preserve"> and have the opportunity to provide regular feedback on these.</w:t>
            </w:r>
          </w:p>
          <w:p w14:paraId="4CB50A69" w14:textId="77777777" w:rsidR="00E32D00" w:rsidRPr="006708E3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6708E3">
              <w:rPr>
                <w:rFonts w:ascii="Arial" w:hAnsi="Arial" w:cs="Arial"/>
                <w:sz w:val="14"/>
                <w:szCs w:val="14"/>
              </w:rPr>
              <w:t>The organisation regularly reviews and monitors staff workloads.</w:t>
            </w:r>
          </w:p>
          <w:p w14:paraId="585D3728" w14:textId="4D9AEF42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 xml:space="preserve">The organisation provides access </w:t>
            </w:r>
            <w:r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Pr="00460652">
              <w:rPr>
                <w:rFonts w:ascii="Arial" w:hAnsi="Arial" w:cs="Arial"/>
                <w:sz w:val="14"/>
                <w:szCs w:val="14"/>
              </w:rPr>
              <w:t xml:space="preserve">and information about supports to all </w:t>
            </w:r>
            <w:r>
              <w:rPr>
                <w:rFonts w:ascii="Arial" w:hAnsi="Arial" w:cs="Arial"/>
                <w:sz w:val="14"/>
                <w:szCs w:val="14"/>
              </w:rPr>
              <w:t>staff</w:t>
            </w:r>
            <w:r w:rsidRPr="0046065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19F1A5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sz w:val="14"/>
                <w:szCs w:val="14"/>
              </w:rPr>
            </w:pPr>
            <w:r w:rsidRPr="006708E3">
              <w:rPr>
                <w:rFonts w:ascii="Arial" w:hAnsi="Arial" w:cs="Arial"/>
                <w:sz w:val="14"/>
                <w:szCs w:val="14"/>
              </w:rPr>
              <w:t>The organisation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consults and</w:t>
            </w:r>
            <w:r w:rsidRPr="006708E3">
              <w:rPr>
                <w:rFonts w:ascii="Arial" w:hAnsi="Arial" w:cs="Arial"/>
                <w:sz w:val="14"/>
                <w:szCs w:val="14"/>
              </w:rPr>
              <w:t xml:space="preserve"> communicates effectively through periods of change, including restructuring.</w:t>
            </w:r>
          </w:p>
        </w:tc>
        <w:tc>
          <w:tcPr>
            <w:tcW w:w="2367" w:type="dxa"/>
          </w:tcPr>
          <w:p w14:paraId="7D5800EF" w14:textId="77777777" w:rsidR="00E32D00" w:rsidRPr="007A129F" w:rsidRDefault="00E32D00" w:rsidP="00E32D00">
            <w:pPr>
              <w:pStyle w:val="ListParagraph"/>
              <w:numPr>
                <w:ilvl w:val="0"/>
                <w:numId w:val="15"/>
              </w:numPr>
              <w:spacing w:before="60"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7A129F">
              <w:rPr>
                <w:rFonts w:ascii="Arial" w:hAnsi="Arial" w:cs="Arial"/>
                <w:sz w:val="14"/>
                <w:szCs w:val="14"/>
              </w:rPr>
              <w:t>People management frameworks cover the continuum of employment, from new starters through to those leaving the organisation.</w:t>
            </w:r>
          </w:p>
          <w:p w14:paraId="3428C14B" w14:textId="77777777" w:rsidR="00E32D00" w:rsidRPr="00357E3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357E30">
              <w:rPr>
                <w:rFonts w:ascii="Arial" w:hAnsi="Arial" w:cs="Arial"/>
                <w:sz w:val="14"/>
                <w:szCs w:val="14"/>
              </w:rPr>
              <w:t xml:space="preserve">People managers are </w:t>
            </w:r>
            <w:r>
              <w:rPr>
                <w:rFonts w:ascii="Arial" w:hAnsi="Arial" w:cs="Arial"/>
                <w:sz w:val="14"/>
                <w:szCs w:val="14"/>
              </w:rPr>
              <w:t xml:space="preserve">regularly </w:t>
            </w:r>
            <w:r w:rsidRPr="00357E30">
              <w:rPr>
                <w:rFonts w:ascii="Arial" w:hAnsi="Arial" w:cs="Arial"/>
                <w:sz w:val="14"/>
                <w:szCs w:val="14"/>
              </w:rPr>
              <w:t xml:space="preserve">trained in </w:t>
            </w:r>
            <w:r>
              <w:rPr>
                <w:rFonts w:ascii="Arial" w:hAnsi="Arial" w:cs="Arial"/>
                <w:sz w:val="14"/>
                <w:szCs w:val="14"/>
              </w:rPr>
              <w:t>effective</w:t>
            </w:r>
            <w:r w:rsidRPr="00357E30">
              <w:rPr>
                <w:rFonts w:ascii="Arial" w:hAnsi="Arial" w:cs="Arial"/>
                <w:sz w:val="14"/>
                <w:szCs w:val="14"/>
              </w:rPr>
              <w:t xml:space="preserve"> leadership styles and management skills.</w:t>
            </w:r>
          </w:p>
          <w:p w14:paraId="1A8C2673" w14:textId="4561941A" w:rsidR="00E32D00" w:rsidRPr="00464C1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>Policies and procedures for people management require fair and objective decision making that is merit based.</w:t>
            </w:r>
          </w:p>
          <w:p w14:paraId="0DABD934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>Performance management processes provide a robust framework for communicating about performance and providing constructive feedback.</w:t>
            </w:r>
          </w:p>
          <w:p w14:paraId="14B8680D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>Performance management processes reinforce organisational values and expectations.</w:t>
            </w:r>
          </w:p>
          <w:p w14:paraId="017C6B21" w14:textId="749B3356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Support mechanisms are in place for people managers, including new and acting managers.</w:t>
            </w:r>
          </w:p>
          <w:p w14:paraId="1D269181" w14:textId="77777777" w:rsidR="00E32D00" w:rsidRPr="00FC4D9E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4C10">
              <w:rPr>
                <w:rFonts w:ascii="Arial" w:hAnsi="Arial" w:cs="Arial"/>
                <w:sz w:val="14"/>
                <w:szCs w:val="14"/>
              </w:rPr>
              <w:t xml:space="preserve">All staff understand what constitutes reasonable management actions and how these should be </w:t>
            </w:r>
            <w:r>
              <w:rPr>
                <w:rFonts w:ascii="Arial" w:hAnsi="Arial" w:cs="Arial"/>
                <w:sz w:val="14"/>
                <w:szCs w:val="14"/>
              </w:rPr>
              <w:t xml:space="preserve">clearly </w:t>
            </w:r>
            <w:r w:rsidRPr="00464C10">
              <w:rPr>
                <w:rFonts w:ascii="Arial" w:hAnsi="Arial" w:cs="Arial"/>
                <w:sz w:val="14"/>
                <w:szCs w:val="14"/>
              </w:rPr>
              <w:t>communicated.</w:t>
            </w:r>
          </w:p>
        </w:tc>
        <w:tc>
          <w:tcPr>
            <w:tcW w:w="2028" w:type="dxa"/>
          </w:tcPr>
          <w:p w14:paraId="6BA8C466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before="60"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Training programs reinforce the organisation’s values.</w:t>
            </w:r>
          </w:p>
          <w:p w14:paraId="44836DC9" w14:textId="4B7B7A71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6F2C4C">
              <w:rPr>
                <w:rFonts w:ascii="Arial" w:hAnsi="Arial" w:cs="Arial"/>
                <w:sz w:val="14"/>
                <w:szCs w:val="14"/>
              </w:rPr>
              <w:t xml:space="preserve">All staff are trained in </w:t>
            </w:r>
            <w:r>
              <w:rPr>
                <w:rFonts w:ascii="Arial" w:hAnsi="Arial" w:cs="Arial"/>
                <w:sz w:val="14"/>
                <w:szCs w:val="14"/>
              </w:rPr>
              <w:t xml:space="preserve">what constitutes appropriate and inappropriate </w:t>
            </w:r>
            <w:r w:rsidRPr="006F2C4C">
              <w:rPr>
                <w:rFonts w:ascii="Arial" w:hAnsi="Arial" w:cs="Arial"/>
                <w:sz w:val="14"/>
                <w:szCs w:val="14"/>
              </w:rPr>
              <w:t>behaviours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F2C4C">
              <w:rPr>
                <w:rFonts w:ascii="Arial" w:hAnsi="Arial" w:cs="Arial"/>
                <w:sz w:val="14"/>
                <w:szCs w:val="14"/>
              </w:rPr>
              <w:t xml:space="preserve"> and how to report </w:t>
            </w:r>
            <w:r>
              <w:rPr>
                <w:rFonts w:ascii="Arial" w:hAnsi="Arial" w:cs="Arial"/>
                <w:sz w:val="14"/>
                <w:szCs w:val="14"/>
              </w:rPr>
              <w:t>inappropriate</w:t>
            </w:r>
            <w:r w:rsidRPr="006F2C4C">
              <w:rPr>
                <w:rFonts w:ascii="Arial" w:hAnsi="Arial" w:cs="Arial"/>
                <w:sz w:val="14"/>
                <w:szCs w:val="14"/>
              </w:rPr>
              <w:t xml:space="preserve"> behaviours in the workplace.</w:t>
            </w:r>
          </w:p>
          <w:p w14:paraId="01178979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staff are trained in what they can do to help build a positive workplace.</w:t>
            </w:r>
          </w:p>
          <w:p w14:paraId="7F018513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6F2C4C">
              <w:rPr>
                <w:rFonts w:ascii="Arial" w:hAnsi="Arial" w:cs="Arial"/>
                <w:sz w:val="14"/>
                <w:szCs w:val="14"/>
              </w:rPr>
              <w:t xml:space="preserve">BHD training programs </w:t>
            </w:r>
            <w:r>
              <w:rPr>
                <w:rFonts w:ascii="Arial" w:hAnsi="Arial" w:cs="Arial"/>
                <w:sz w:val="14"/>
                <w:szCs w:val="14"/>
              </w:rPr>
              <w:t xml:space="preserve">align with the department’s training principles (refer to </w:t>
            </w:r>
            <w:r>
              <w:rPr>
                <w:rFonts w:ascii="Arial" w:hAnsi="Arial" w:cs="Arial"/>
                <w:i/>
                <w:sz w:val="14"/>
                <w:szCs w:val="14"/>
              </w:rPr>
              <w:t>Workplace culture and bullying, harassment and discrimination training: guiding principles for Victorian health services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785B2ADA" w14:textId="5B152873" w:rsidR="00E32D00" w:rsidRPr="006F2C4C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organisation regularly reviews relevant training programs and assesses their content, quality and effectiveness.</w:t>
            </w:r>
          </w:p>
          <w:p w14:paraId="5C87E9CD" w14:textId="77777777" w:rsidR="00E32D00" w:rsidRPr="006F2C4C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Appropriate resources to support learning and development are available and accessible to all staff.</w:t>
            </w:r>
          </w:p>
        </w:tc>
        <w:tc>
          <w:tcPr>
            <w:tcW w:w="1984" w:type="dxa"/>
          </w:tcPr>
          <w:p w14:paraId="65213A02" w14:textId="77777777" w:rsidR="00E32D00" w:rsidRPr="006F2C4C" w:rsidRDefault="00E32D00" w:rsidP="00E32D00">
            <w:pPr>
              <w:pStyle w:val="ListParagraph"/>
              <w:numPr>
                <w:ilvl w:val="0"/>
                <w:numId w:val="15"/>
              </w:numPr>
              <w:spacing w:before="60"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6F2C4C">
              <w:rPr>
                <w:rFonts w:ascii="Arial" w:hAnsi="Arial" w:cs="Arial"/>
                <w:sz w:val="14"/>
                <w:szCs w:val="14"/>
              </w:rPr>
              <w:t>Expected standards of behaviour are clearly communicated</w:t>
            </w:r>
            <w:r>
              <w:rPr>
                <w:rFonts w:ascii="Arial" w:hAnsi="Arial" w:cs="Arial"/>
                <w:sz w:val="14"/>
                <w:szCs w:val="14"/>
              </w:rPr>
              <w:t xml:space="preserve"> and well understood</w:t>
            </w:r>
            <w:r w:rsidRPr="006F2C4C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6BB4514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61EB3">
              <w:rPr>
                <w:rFonts w:ascii="Arial" w:hAnsi="Arial" w:cs="Arial"/>
                <w:sz w:val="14"/>
                <w:szCs w:val="14"/>
              </w:rPr>
              <w:t>Policies and procedures</w:t>
            </w:r>
            <w:r>
              <w:rPr>
                <w:rFonts w:ascii="Arial" w:hAnsi="Arial" w:cs="Arial"/>
                <w:sz w:val="14"/>
                <w:szCs w:val="14"/>
              </w:rPr>
              <w:t xml:space="preserve">, including those relating to workplace behaviours and BHD, </w:t>
            </w:r>
            <w:r w:rsidRPr="00261EB3">
              <w:rPr>
                <w:rFonts w:ascii="Arial" w:hAnsi="Arial" w:cs="Arial"/>
                <w:sz w:val="14"/>
                <w:szCs w:val="14"/>
              </w:rPr>
              <w:t>are developed in consultation with all staff groups.</w:t>
            </w:r>
          </w:p>
          <w:p w14:paraId="1955EEC1" w14:textId="7777777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4C10">
              <w:rPr>
                <w:rFonts w:ascii="Arial" w:hAnsi="Arial" w:cs="Arial"/>
                <w:sz w:val="14"/>
                <w:szCs w:val="14"/>
              </w:rPr>
              <w:t>The organisation supports staff</w:t>
            </w:r>
            <w:r>
              <w:rPr>
                <w:rFonts w:ascii="Arial" w:hAnsi="Arial" w:cs="Arial"/>
                <w:sz w:val="14"/>
                <w:szCs w:val="14"/>
              </w:rPr>
              <w:t xml:space="preserve"> to</w:t>
            </w:r>
            <w:r w:rsidRPr="00464C1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live</w:t>
            </w:r>
            <w:r w:rsidRPr="00464C10">
              <w:rPr>
                <w:rFonts w:ascii="Arial" w:hAnsi="Arial" w:cs="Arial"/>
                <w:sz w:val="14"/>
                <w:szCs w:val="14"/>
              </w:rPr>
              <w:t xml:space="preserve"> the values and speak out against inappropriate behaviour.</w:t>
            </w:r>
          </w:p>
          <w:p w14:paraId="10B51777" w14:textId="55BDB717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4C10">
              <w:rPr>
                <w:rFonts w:ascii="Arial" w:hAnsi="Arial" w:cs="Arial"/>
                <w:sz w:val="14"/>
                <w:szCs w:val="14"/>
              </w:rPr>
              <w:t xml:space="preserve">The organisation’s People and Culture Committee </w:t>
            </w:r>
            <w:r>
              <w:rPr>
                <w:rFonts w:ascii="Arial" w:hAnsi="Arial" w:cs="Arial"/>
                <w:sz w:val="14"/>
                <w:szCs w:val="14"/>
              </w:rPr>
              <w:t xml:space="preserve">(or equivalent) </w:t>
            </w:r>
            <w:r w:rsidRPr="00464C10">
              <w:rPr>
                <w:rFonts w:ascii="Arial" w:hAnsi="Arial" w:cs="Arial"/>
                <w:sz w:val="14"/>
                <w:szCs w:val="14"/>
              </w:rPr>
              <w:t>comprises representatives from all staff groups</w:t>
            </w:r>
            <w:r>
              <w:rPr>
                <w:rFonts w:ascii="Arial" w:hAnsi="Arial" w:cs="Arial"/>
                <w:sz w:val="14"/>
                <w:szCs w:val="14"/>
              </w:rPr>
              <w:t xml:space="preserve"> and includes a health and safety representative,</w:t>
            </w:r>
            <w:r w:rsidRPr="00464C10">
              <w:rPr>
                <w:rFonts w:ascii="Arial" w:hAnsi="Arial" w:cs="Arial"/>
                <w:sz w:val="14"/>
                <w:szCs w:val="14"/>
              </w:rPr>
              <w:t xml:space="preserve"> and provides an avenue for regular consultation, communication and feedback.</w:t>
            </w:r>
          </w:p>
          <w:p w14:paraId="0E51F04C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sz w:val="14"/>
                <w:szCs w:val="14"/>
              </w:rPr>
            </w:pPr>
            <w:r w:rsidRPr="00464C10">
              <w:rPr>
                <w:rFonts w:ascii="Arial" w:hAnsi="Arial" w:cs="Arial"/>
                <w:sz w:val="14"/>
                <w:szCs w:val="14"/>
              </w:rPr>
              <w:t>The organisation promotes cooperation and collaboration a</w:t>
            </w:r>
            <w:r w:rsidRPr="005F446C">
              <w:rPr>
                <w:rFonts w:ascii="Arial" w:hAnsi="Arial" w:cs="Arial"/>
                <w:sz w:val="14"/>
                <w:szCs w:val="14"/>
              </w:rPr>
              <w:t>s the norm.</w:t>
            </w:r>
          </w:p>
        </w:tc>
        <w:tc>
          <w:tcPr>
            <w:tcW w:w="1701" w:type="dxa"/>
            <w:shd w:val="clear" w:color="auto" w:fill="auto"/>
          </w:tcPr>
          <w:p w14:paraId="787C52B2" w14:textId="77777777" w:rsidR="00E32D00" w:rsidRPr="00E34B05" w:rsidRDefault="00E32D00" w:rsidP="00E32D00">
            <w:pPr>
              <w:pStyle w:val="ListParagraph"/>
              <w:numPr>
                <w:ilvl w:val="0"/>
                <w:numId w:val="15"/>
              </w:numPr>
              <w:spacing w:before="60"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E34B05">
              <w:rPr>
                <w:rFonts w:ascii="Arial" w:hAnsi="Arial" w:cs="Arial"/>
                <w:sz w:val="14"/>
                <w:szCs w:val="14"/>
              </w:rPr>
              <w:t xml:space="preserve">The organisation actively promotes diversity </w:t>
            </w:r>
            <w:r>
              <w:rPr>
                <w:rFonts w:ascii="Arial" w:hAnsi="Arial" w:cs="Arial"/>
                <w:sz w:val="14"/>
                <w:szCs w:val="14"/>
              </w:rPr>
              <w:t xml:space="preserve">and inclusion, </w:t>
            </w:r>
            <w:r w:rsidRPr="00E34B05">
              <w:rPr>
                <w:rFonts w:ascii="Arial" w:hAnsi="Arial" w:cs="Arial"/>
                <w:sz w:val="14"/>
                <w:szCs w:val="14"/>
              </w:rPr>
              <w:t>and acknowledges the value of different perspectives.</w:t>
            </w:r>
          </w:p>
          <w:p w14:paraId="547D749E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460652">
              <w:rPr>
                <w:rFonts w:ascii="Arial" w:hAnsi="Arial" w:cs="Arial"/>
                <w:sz w:val="14"/>
                <w:szCs w:val="14"/>
              </w:rPr>
              <w:t xml:space="preserve">ecruitment and employment </w:t>
            </w:r>
            <w:r>
              <w:rPr>
                <w:rFonts w:ascii="Arial" w:hAnsi="Arial" w:cs="Arial"/>
                <w:sz w:val="14"/>
                <w:szCs w:val="14"/>
              </w:rPr>
              <w:t>processes</w:t>
            </w:r>
            <w:r w:rsidRPr="0046065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comply with </w:t>
            </w:r>
            <w:r w:rsidRPr="00460652">
              <w:rPr>
                <w:rFonts w:ascii="Arial" w:hAnsi="Arial" w:cs="Arial"/>
                <w:sz w:val="14"/>
                <w:szCs w:val="14"/>
              </w:rPr>
              <w:t>relevant legislation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and ensure that </w:t>
            </w:r>
            <w:r w:rsidRPr="006F2C4C">
              <w:rPr>
                <w:rFonts w:ascii="Arial" w:hAnsi="Arial" w:cs="Arial"/>
                <w:sz w:val="14"/>
                <w:szCs w:val="14"/>
              </w:rPr>
              <w:t xml:space="preserve">equal </w:t>
            </w:r>
            <w:r>
              <w:rPr>
                <w:rFonts w:ascii="Arial" w:hAnsi="Arial" w:cs="Arial"/>
                <w:sz w:val="14"/>
                <w:szCs w:val="14"/>
              </w:rPr>
              <w:t xml:space="preserve">employment </w:t>
            </w:r>
            <w:r w:rsidRPr="006F2C4C">
              <w:rPr>
                <w:rFonts w:ascii="Arial" w:hAnsi="Arial" w:cs="Arial"/>
                <w:sz w:val="14"/>
                <w:szCs w:val="14"/>
              </w:rPr>
              <w:t>opportunity</w:t>
            </w:r>
            <w:r>
              <w:rPr>
                <w:rFonts w:ascii="Arial" w:hAnsi="Arial" w:cs="Arial"/>
                <w:sz w:val="14"/>
                <w:szCs w:val="14"/>
              </w:rPr>
              <w:t xml:space="preserve"> is provided</w:t>
            </w:r>
            <w:r w:rsidRPr="0046065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BEFB846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460652">
              <w:rPr>
                <w:rFonts w:ascii="Arial" w:hAnsi="Arial" w:cs="Arial"/>
                <w:sz w:val="14"/>
                <w:szCs w:val="14"/>
              </w:rPr>
              <w:t>Employment decisions are based on fairness, equity and diversity.</w:t>
            </w:r>
          </w:p>
          <w:p w14:paraId="667D3E54" w14:textId="6A25DC19" w:rsidR="00E32D00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0E1BFB">
              <w:rPr>
                <w:rFonts w:ascii="Arial" w:hAnsi="Arial" w:cs="Arial"/>
                <w:sz w:val="14"/>
                <w:szCs w:val="14"/>
              </w:rPr>
              <w:t>All staff are provided with the opportunity to contribute to the workplace culture.</w:t>
            </w:r>
            <w:bookmarkStart w:id="1" w:name="_GoBack"/>
            <w:bookmarkEnd w:id="1"/>
          </w:p>
          <w:p w14:paraId="6DCD01BE" w14:textId="77777777" w:rsidR="00E32D00" w:rsidRPr="00460652" w:rsidRDefault="00E32D00" w:rsidP="00E32D00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76"/>
              <w:contextualSpacing w:val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The organisation </w:t>
            </w:r>
            <w:r w:rsidRPr="004E76E6">
              <w:rPr>
                <w:rFonts w:ascii="Arial" w:hAnsi="Arial" w:cs="Arial"/>
                <w:sz w:val="14"/>
                <w:szCs w:val="14"/>
              </w:rPr>
              <w:t>regularly</w:t>
            </w:r>
            <w:r>
              <w:rPr>
                <w:rFonts w:ascii="Arial" w:hAnsi="Arial" w:cs="Arial"/>
                <w:sz w:val="14"/>
                <w:szCs w:val="14"/>
              </w:rPr>
              <w:t xml:space="preserve"> measures equal employment opportunity data, and identifies strategies to increase diversity in its workforce.</w:t>
            </w:r>
          </w:p>
        </w:tc>
      </w:tr>
    </w:tbl>
    <w:p w14:paraId="6FB23C45" w14:textId="0D5CADAF" w:rsidR="00B2752E" w:rsidRDefault="00B2752E" w:rsidP="00E32D00">
      <w:pPr>
        <w:pStyle w:val="DHHSTOCheadingfactsheet"/>
      </w:pPr>
    </w:p>
    <w:tbl>
      <w:tblPr>
        <w:tblpPr w:leftFromText="180" w:rightFromText="180" w:horzAnchor="margin" w:tblpY="420"/>
        <w:tblW w:w="15304" w:type="dxa"/>
        <w:tblBorders>
          <w:top w:val="single" w:sz="4" w:space="0" w:color="1A0043"/>
          <w:left w:val="single" w:sz="4" w:space="0" w:color="1A0043"/>
          <w:bottom w:val="single" w:sz="4" w:space="0" w:color="1A0043"/>
          <w:right w:val="single" w:sz="4" w:space="0" w:color="1A0043"/>
          <w:insideH w:val="single" w:sz="4" w:space="0" w:color="1A0043"/>
          <w:insideV w:val="single" w:sz="4" w:space="0" w:color="1A0043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304"/>
      </w:tblGrid>
      <w:tr w:rsidR="00E24925" w:rsidRPr="002802E3" w14:paraId="4B9EB678" w14:textId="77777777" w:rsidTr="003470A3">
        <w:trPr>
          <w:cantSplit/>
        </w:trPr>
        <w:tc>
          <w:tcPr>
            <w:tcW w:w="5000" w:type="pct"/>
            <w:tcMar>
              <w:top w:w="170" w:type="dxa"/>
              <w:left w:w="170" w:type="dxa"/>
              <w:bottom w:w="113" w:type="dxa"/>
              <w:right w:w="170" w:type="dxa"/>
            </w:tcMar>
            <w:vAlign w:val="bottom"/>
          </w:tcPr>
          <w:p w14:paraId="3C5F0C93" w14:textId="77777777" w:rsidR="00E24925" w:rsidRPr="00017B72" w:rsidRDefault="00E24925" w:rsidP="000546AE">
            <w:pPr>
              <w:pStyle w:val="DHHSbody"/>
              <w:rPr>
                <w:sz w:val="24"/>
                <w:szCs w:val="24"/>
              </w:rPr>
            </w:pPr>
            <w:r w:rsidRPr="00017B72">
              <w:rPr>
                <w:sz w:val="24"/>
                <w:szCs w:val="24"/>
              </w:rPr>
              <w:t xml:space="preserve">To receive this publication in an accessible format </w:t>
            </w:r>
            <w:hyperlink r:id="rId17" w:history="1">
              <w:r w:rsidRPr="00017B72">
                <w:rPr>
                  <w:rStyle w:val="Hyperlink"/>
                  <w:sz w:val="24"/>
                  <w:szCs w:val="24"/>
                </w:rPr>
                <w:t>email Worker Wellbeing</w:t>
              </w:r>
            </w:hyperlink>
            <w:r w:rsidRPr="00017B72">
              <w:rPr>
                <w:sz w:val="24"/>
                <w:szCs w:val="24"/>
              </w:rPr>
              <w:t xml:space="preserve"> &lt;whwb@dhhs.vic.gov.au&gt;</w:t>
            </w:r>
          </w:p>
          <w:p w14:paraId="2572432A" w14:textId="77777777" w:rsidR="00E24925" w:rsidRPr="00254F58" w:rsidRDefault="00E24925" w:rsidP="000546A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2B875AFB" w14:textId="77777777" w:rsidR="00E24925" w:rsidRPr="00254F58" w:rsidRDefault="00E24925" w:rsidP="000546AE">
            <w:pPr>
              <w:pStyle w:val="DHHSbody"/>
            </w:pPr>
            <w:r w:rsidRPr="00254F58">
              <w:t>© State of Vic</w:t>
            </w:r>
            <w:r>
              <w:t>toria, Department of Health and</w:t>
            </w:r>
            <w:r w:rsidRPr="00254F58">
              <w:t xml:space="preserve"> Human Services</w:t>
            </w:r>
            <w:r>
              <w:t>, March 2019. (1901084)</w:t>
            </w:r>
          </w:p>
          <w:p w14:paraId="02BA15EC" w14:textId="77777777" w:rsidR="00E24925" w:rsidRPr="00254F58" w:rsidRDefault="00E24925" w:rsidP="000546AE">
            <w:pPr>
              <w:pStyle w:val="DHHSbody"/>
            </w:pPr>
            <w:r w:rsidRPr="00254F58">
              <w:t>ISBN</w:t>
            </w:r>
            <w:r w:rsidRPr="00F61A9F">
              <w:rPr>
                <w:color w:val="008950"/>
              </w:rPr>
              <w:t xml:space="preserve"> </w:t>
            </w:r>
            <w:r>
              <w:t>978-1-76069-858-4 (pdf/online/MS word)</w:t>
            </w:r>
          </w:p>
          <w:p w14:paraId="37E79DD5" w14:textId="77777777" w:rsidR="00E24925" w:rsidRPr="00FA637A" w:rsidRDefault="00E24925" w:rsidP="000546AE">
            <w:pPr>
              <w:pStyle w:val="DHHSbody"/>
              <w:rPr>
                <w:szCs w:val="19"/>
              </w:rPr>
            </w:pPr>
            <w:r w:rsidRPr="00EF7B85">
              <w:t xml:space="preserve">Available on the </w:t>
            </w:r>
            <w:hyperlink r:id="rId18" w:history="1">
              <w:r w:rsidRPr="00EF7B85">
                <w:rPr>
                  <w:rStyle w:val="Hyperlink"/>
                </w:rPr>
                <w:t>Worker Wellbeing webpage</w:t>
              </w:r>
            </w:hyperlink>
            <w:r w:rsidRPr="00EF7B85">
              <w:t xml:space="preserve"> at &lt;https://www2.health.vic.gov.au/health-workforce/worker-health-wellbeing/bullying-harrassment/framework&gt;</w:t>
            </w:r>
          </w:p>
        </w:tc>
      </w:tr>
    </w:tbl>
    <w:p w14:paraId="377FC96C" w14:textId="77777777" w:rsidR="00E24925" w:rsidRPr="00E24925" w:rsidRDefault="00E24925" w:rsidP="00E24925">
      <w:pPr>
        <w:pStyle w:val="DHHSbody"/>
      </w:pPr>
    </w:p>
    <w:sectPr w:rsidR="00E24925" w:rsidRPr="00E24925" w:rsidSect="00E32D00">
      <w:footnotePr>
        <w:numFmt w:val="chicago"/>
      </w:footnotePr>
      <w:type w:val="continuous"/>
      <w:pgSz w:w="16838" w:h="11906" w:orient="landscape"/>
      <w:pgMar w:top="851" w:right="851" w:bottom="851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72F7" w14:textId="77777777" w:rsidR="000C33F3" w:rsidRDefault="000C33F3">
      <w:r>
        <w:separator/>
      </w:r>
    </w:p>
  </w:endnote>
  <w:endnote w:type="continuationSeparator" w:id="0">
    <w:p w14:paraId="582BEDAC" w14:textId="77777777" w:rsidR="000C33F3" w:rsidRDefault="000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E05A" w14:textId="77777777" w:rsidR="002A30A5" w:rsidRDefault="002A3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7111" w14:textId="77777777" w:rsidR="009D70A4" w:rsidRPr="00F65AA9" w:rsidRDefault="00C67CF1" w:rsidP="007034E7">
    <w:pPr>
      <w:pStyle w:val="DHHSfooter"/>
    </w:pPr>
    <w:r>
      <w:rPr>
        <w:noProof/>
      </w:rPr>
      <w:drawing>
        <wp:anchor distT="0" distB="0" distL="114300" distR="114300" simplePos="0" relativeHeight="251657728" behindDoc="1" locked="1" layoutInCell="0" allowOverlap="1" wp14:anchorId="335D9DDF" wp14:editId="297E3A72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F166" w14:textId="77777777" w:rsidR="002A30A5" w:rsidRDefault="002A30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D900" w14:textId="2E44D762" w:rsidR="009D70A4" w:rsidRPr="00A11421" w:rsidRDefault="00E24925" w:rsidP="007034E7">
    <w:pPr>
      <w:pStyle w:val="DHHSfooter"/>
    </w:pPr>
    <w:r w:rsidRPr="00E24925">
      <w:t>Framework for promoting a positive workplace culture: preventing bullying, harassment and discrimination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1035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680E" w14:textId="77777777" w:rsidR="000C33F3" w:rsidRDefault="000C33F3" w:rsidP="002862F1">
      <w:pPr>
        <w:spacing w:before="120"/>
      </w:pPr>
    </w:p>
  </w:footnote>
  <w:footnote w:type="continuationSeparator" w:id="0">
    <w:p w14:paraId="1C0820BB" w14:textId="77777777" w:rsidR="000C33F3" w:rsidRDefault="000C33F3">
      <w:r>
        <w:continuationSeparator/>
      </w:r>
    </w:p>
  </w:footnote>
  <w:footnote w:id="1">
    <w:p w14:paraId="6C5708DA" w14:textId="77777777" w:rsidR="00E32D00" w:rsidRPr="00B06986" w:rsidRDefault="00E32D00" w:rsidP="00E32D00">
      <w:pPr>
        <w:pStyle w:val="DHHSfooter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B06986">
        <w:rPr>
          <w:sz w:val="14"/>
          <w:szCs w:val="14"/>
        </w:rPr>
        <w:t>BHD = bullying, harassment and discrimination</w:t>
      </w:r>
    </w:p>
    <w:p w14:paraId="61FB8203" w14:textId="77777777" w:rsidR="00E32D00" w:rsidRDefault="00E32D00" w:rsidP="00E32D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4D87" w14:textId="77777777" w:rsidR="002A30A5" w:rsidRDefault="002A3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87CF" w14:textId="77777777" w:rsidR="002A30A5" w:rsidRDefault="002A3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0DB0" w14:textId="77777777" w:rsidR="002A30A5" w:rsidRDefault="002A30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F1D0" w14:textId="77777777"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63E29EF"/>
    <w:multiLevelType w:val="hybridMultilevel"/>
    <w:tmpl w:val="3E98C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25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33F3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1B2C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5539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259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30A5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2F7F61"/>
    <w:rsid w:val="00302216"/>
    <w:rsid w:val="00303E53"/>
    <w:rsid w:val="003041C3"/>
    <w:rsid w:val="00305D25"/>
    <w:rsid w:val="00306E5F"/>
    <w:rsid w:val="00307E14"/>
    <w:rsid w:val="00310351"/>
    <w:rsid w:val="00314054"/>
    <w:rsid w:val="00316F27"/>
    <w:rsid w:val="00327870"/>
    <w:rsid w:val="0033259D"/>
    <w:rsid w:val="003406C6"/>
    <w:rsid w:val="003418CC"/>
    <w:rsid w:val="00344EBE"/>
    <w:rsid w:val="003459BD"/>
    <w:rsid w:val="003470A3"/>
    <w:rsid w:val="00350D38"/>
    <w:rsid w:val="00354FC5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1781E"/>
    <w:rsid w:val="0052216A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29D5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0E3B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43A4E"/>
    <w:rsid w:val="00950E2C"/>
    <w:rsid w:val="00951D50"/>
    <w:rsid w:val="009525EB"/>
    <w:rsid w:val="0095645E"/>
    <w:rsid w:val="00961400"/>
    <w:rsid w:val="00963646"/>
    <w:rsid w:val="0098473A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67CF1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4925"/>
    <w:rsid w:val="00E26818"/>
    <w:rsid w:val="00E27FFC"/>
    <w:rsid w:val="00E30B15"/>
    <w:rsid w:val="00E32D00"/>
    <w:rsid w:val="00E40181"/>
    <w:rsid w:val="00E43426"/>
    <w:rsid w:val="00E45931"/>
    <w:rsid w:val="00E53A79"/>
    <w:rsid w:val="00E629A1"/>
    <w:rsid w:val="00E82C55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E7C25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AAF2E"/>
  <w15:chartTrackingRefBased/>
  <w15:docId w15:val="{14F16A62-FF0A-4D4A-AE9A-3C534DB8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41ADB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41AD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41ADB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41ADB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41AD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41ADB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41ADB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ListParagraph">
    <w:name w:val="List Paragraph"/>
    <w:basedOn w:val="Normal"/>
    <w:uiPriority w:val="34"/>
    <w:qFormat/>
    <w:rsid w:val="00E32D00"/>
    <w:pPr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2.health.vic.gov.au/health-workforce/worker-health-wellbeing/bullying-harrassment/frame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whwb@dhhs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rellesullivan/++WORK/1901084_bullying_harassment_mar19/1901084_accessible_word/1901084_A_framework_bullying_harassment_ACCESSI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996E-414F-A840-ADDC-106DFA7A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1901084_A_framework_bullying_harassment_ACCESSIBLE.dot</Template>
  <TotalTime>11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6261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Sullivan</dc:creator>
  <cp:keywords/>
  <cp:lastModifiedBy>Narelle Sullivan</cp:lastModifiedBy>
  <cp:revision>9</cp:revision>
  <cp:lastPrinted>2015-01-28T03:08:00Z</cp:lastPrinted>
  <dcterms:created xsi:type="dcterms:W3CDTF">2019-03-26T03:00:00Z</dcterms:created>
  <dcterms:modified xsi:type="dcterms:W3CDTF">2019-03-26T03:35:00Z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