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03540D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1B6E47" w:rsidP="00A91406">
            <w:pPr>
              <w:pStyle w:val="DHHSmainheading"/>
            </w:pPr>
            <w:r>
              <w:t>Community health – Schedule of fees and income ranges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1B6E47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Effective July 201</w:t>
            </w:r>
            <w:r w:rsidR="001F1821">
              <w:rPr>
                <w:szCs w:val="28"/>
              </w:rPr>
              <w:t>9</w:t>
            </w:r>
          </w:p>
        </w:tc>
      </w:tr>
    </w:tbl>
    <w:p w:rsidR="007173CA" w:rsidRDefault="007173CA" w:rsidP="007173CA">
      <w:pPr>
        <w:pStyle w:val="DHHSbody"/>
      </w:pPr>
    </w:p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618"/>
        <w:gridCol w:w="1530"/>
        <w:gridCol w:w="1534"/>
        <w:gridCol w:w="1532"/>
      </w:tblGrid>
      <w:tr w:rsidR="00723905" w:rsidRPr="00F50D63" w:rsidTr="00723905">
        <w:trPr>
          <w:trHeight w:val="441"/>
          <w:tblHeader/>
        </w:trPr>
        <w:tc>
          <w:tcPr>
            <w:tcW w:w="1059" w:type="pct"/>
            <w:vMerge w:val="restart"/>
            <w:shd w:val="clear" w:color="auto" w:fill="auto"/>
          </w:tcPr>
          <w:p w:rsidR="00723905" w:rsidRPr="00F50D63" w:rsidRDefault="00723905" w:rsidP="0042118E">
            <w:pPr>
              <w:pStyle w:val="DHHStablecolhead"/>
            </w:pPr>
            <w:r w:rsidRPr="00F50D63">
              <w:t>Activity / Population Type</w:t>
            </w:r>
          </w:p>
        </w:tc>
        <w:tc>
          <w:tcPr>
            <w:tcW w:w="1736" w:type="pct"/>
            <w:vMerge w:val="restart"/>
            <w:shd w:val="clear" w:color="auto" w:fill="auto"/>
          </w:tcPr>
          <w:p w:rsidR="00723905" w:rsidRPr="00F50D63" w:rsidRDefault="00723905" w:rsidP="0042118E">
            <w:pPr>
              <w:pStyle w:val="DHHStablecolhead"/>
            </w:pPr>
            <w:r w:rsidRPr="00F50D63">
              <w:t>Policy</w:t>
            </w:r>
          </w:p>
        </w:tc>
        <w:tc>
          <w:tcPr>
            <w:tcW w:w="2205" w:type="pct"/>
            <w:gridSpan w:val="3"/>
          </w:tcPr>
          <w:p w:rsidR="00723905" w:rsidRPr="00F50D63" w:rsidRDefault="00723905" w:rsidP="0042118E">
            <w:pPr>
              <w:pStyle w:val="DHHStablecolhead"/>
            </w:pPr>
            <w:r w:rsidRPr="00F50D63">
              <w:t>Fee Payable</w:t>
            </w:r>
          </w:p>
        </w:tc>
      </w:tr>
      <w:tr w:rsidR="001B6E47" w:rsidRPr="00F50D63" w:rsidTr="00723905">
        <w:trPr>
          <w:tblHeader/>
        </w:trPr>
        <w:tc>
          <w:tcPr>
            <w:tcW w:w="1059" w:type="pct"/>
            <w:vMerge/>
            <w:shd w:val="clear" w:color="auto" w:fill="auto"/>
          </w:tcPr>
          <w:p w:rsidR="001B6E47" w:rsidRPr="00F50D63" w:rsidRDefault="001B6E47" w:rsidP="00EB77EA">
            <w:pPr>
              <w:pStyle w:val="DHHStablecolhead"/>
            </w:pPr>
          </w:p>
        </w:tc>
        <w:tc>
          <w:tcPr>
            <w:tcW w:w="1736" w:type="pct"/>
            <w:vMerge/>
            <w:shd w:val="clear" w:color="auto" w:fill="auto"/>
          </w:tcPr>
          <w:p w:rsidR="001B6E47" w:rsidRPr="00F50D63" w:rsidRDefault="001B6E47" w:rsidP="00EB77EA">
            <w:pPr>
              <w:pStyle w:val="DHHStablecolhead"/>
            </w:pPr>
          </w:p>
        </w:tc>
        <w:tc>
          <w:tcPr>
            <w:tcW w:w="734" w:type="pct"/>
          </w:tcPr>
          <w:p w:rsidR="001B6E47" w:rsidRPr="00F50D63" w:rsidRDefault="001B6E47" w:rsidP="00EB77EA">
            <w:pPr>
              <w:pStyle w:val="DHHStablecolhead"/>
            </w:pPr>
            <w:r w:rsidRPr="00F50D63">
              <w:t>Low Income</w:t>
            </w:r>
          </w:p>
        </w:tc>
        <w:tc>
          <w:tcPr>
            <w:tcW w:w="736" w:type="pct"/>
          </w:tcPr>
          <w:p w:rsidR="001B6E47" w:rsidRPr="00F50D63" w:rsidRDefault="001B6E47" w:rsidP="00EB77EA">
            <w:pPr>
              <w:pStyle w:val="DHHStablecolhead"/>
            </w:pPr>
            <w:r w:rsidRPr="00F50D63">
              <w:t>Medium Income</w:t>
            </w:r>
          </w:p>
        </w:tc>
        <w:tc>
          <w:tcPr>
            <w:tcW w:w="735" w:type="pct"/>
          </w:tcPr>
          <w:p w:rsidR="001B6E47" w:rsidRPr="00F50D63" w:rsidRDefault="001B6E47" w:rsidP="00EB77EA">
            <w:pPr>
              <w:pStyle w:val="DHHStablecolhead"/>
            </w:pPr>
            <w:r w:rsidRPr="00F50D63">
              <w:t>High Income</w:t>
            </w:r>
          </w:p>
        </w:tc>
      </w:tr>
      <w:tr w:rsidR="00B11B77" w:rsidTr="00723905">
        <w:tc>
          <w:tcPr>
            <w:tcW w:w="1059" w:type="pct"/>
            <w:shd w:val="clear" w:color="auto" w:fill="auto"/>
          </w:tcPr>
          <w:p w:rsidR="00B11B77" w:rsidRPr="00844B94" w:rsidRDefault="00B11B77" w:rsidP="00B11B77">
            <w:pPr>
              <w:pStyle w:val="DHHStabletext"/>
            </w:pPr>
            <w:r w:rsidRPr="00844B94">
              <w:t>Financially dependent children</w:t>
            </w:r>
          </w:p>
        </w:tc>
        <w:tc>
          <w:tcPr>
            <w:tcW w:w="1736" w:type="pct"/>
            <w:shd w:val="clear" w:color="auto" w:fill="auto"/>
          </w:tcPr>
          <w:p w:rsidR="00B11B77" w:rsidRPr="00844B94" w:rsidRDefault="00B11B77" w:rsidP="00B11B77">
            <w:pPr>
              <w:pStyle w:val="DHHStabletext"/>
            </w:pPr>
            <w:r w:rsidRPr="00844B94">
              <w:t>Parents of financially dependent children may be charged if they are not low income</w:t>
            </w:r>
          </w:p>
        </w:tc>
        <w:tc>
          <w:tcPr>
            <w:tcW w:w="734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Nil</w:t>
            </w:r>
          </w:p>
        </w:tc>
        <w:tc>
          <w:tcPr>
            <w:tcW w:w="736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15.60</w:t>
            </w:r>
          </w:p>
        </w:tc>
        <w:tc>
          <w:tcPr>
            <w:tcW w:w="735" w:type="pct"/>
            <w:vAlign w:val="center"/>
          </w:tcPr>
          <w:p w:rsidR="00B11B77" w:rsidRPr="00D53006" w:rsidRDefault="00B11B77" w:rsidP="00B11B77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Full cost recovery</w:t>
            </w:r>
          </w:p>
        </w:tc>
      </w:tr>
      <w:tr w:rsidR="00B11B77" w:rsidTr="00723905">
        <w:tc>
          <w:tcPr>
            <w:tcW w:w="1059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Health promotion and group activities</w:t>
            </w:r>
          </w:p>
        </w:tc>
        <w:tc>
          <w:tcPr>
            <w:tcW w:w="1736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Agencies may charge a fee for group activities</w:t>
            </w:r>
          </w:p>
        </w:tc>
        <w:tc>
          <w:tcPr>
            <w:tcW w:w="734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7.90</w:t>
            </w:r>
          </w:p>
        </w:tc>
        <w:tc>
          <w:tcPr>
            <w:tcW w:w="736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7.90</w:t>
            </w:r>
          </w:p>
        </w:tc>
        <w:tc>
          <w:tcPr>
            <w:tcW w:w="735" w:type="pct"/>
            <w:vAlign w:val="center"/>
          </w:tcPr>
          <w:p w:rsidR="00B11B77" w:rsidRPr="00D53006" w:rsidRDefault="00B11B77" w:rsidP="00B11B77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Full cost recovery</w:t>
            </w:r>
          </w:p>
        </w:tc>
      </w:tr>
      <w:tr w:rsidR="00B11B77" w:rsidTr="00723905">
        <w:tc>
          <w:tcPr>
            <w:tcW w:w="1059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Community Health Nursing</w:t>
            </w:r>
          </w:p>
        </w:tc>
        <w:tc>
          <w:tcPr>
            <w:tcW w:w="1736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Chargeable services</w:t>
            </w:r>
          </w:p>
        </w:tc>
        <w:tc>
          <w:tcPr>
            <w:tcW w:w="734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10.30</w:t>
            </w:r>
          </w:p>
        </w:tc>
        <w:tc>
          <w:tcPr>
            <w:tcW w:w="736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15.60</w:t>
            </w:r>
          </w:p>
        </w:tc>
        <w:tc>
          <w:tcPr>
            <w:tcW w:w="735" w:type="pct"/>
            <w:vAlign w:val="center"/>
          </w:tcPr>
          <w:p w:rsidR="00B11B77" w:rsidRPr="00D53006" w:rsidRDefault="00B11B77" w:rsidP="00B11B77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Full cost recovery</w:t>
            </w:r>
          </w:p>
        </w:tc>
      </w:tr>
      <w:tr w:rsidR="00B11B77" w:rsidTr="00723905">
        <w:tc>
          <w:tcPr>
            <w:tcW w:w="1059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Counselling/Casework Consultations</w:t>
            </w:r>
          </w:p>
        </w:tc>
        <w:tc>
          <w:tcPr>
            <w:tcW w:w="1736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</w:pPr>
            <w:r w:rsidRPr="006243CB">
              <w:t>No charge for low and medium income clients</w:t>
            </w:r>
          </w:p>
        </w:tc>
        <w:tc>
          <w:tcPr>
            <w:tcW w:w="734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Nil</w:t>
            </w:r>
          </w:p>
        </w:tc>
        <w:tc>
          <w:tcPr>
            <w:tcW w:w="736" w:type="pct"/>
            <w:vAlign w:val="center"/>
          </w:tcPr>
          <w:p w:rsidR="00B11B77" w:rsidRPr="00B11B77" w:rsidRDefault="00B11B77" w:rsidP="00B11B77">
            <w:pPr>
              <w:pStyle w:val="DHHStabletext"/>
              <w:jc w:val="center"/>
              <w:rPr>
                <w:rFonts w:cs="Arial"/>
                <w:color w:val="000000"/>
              </w:rPr>
            </w:pPr>
            <w:r w:rsidRPr="00B11B77">
              <w:rPr>
                <w:rFonts w:cs="Arial"/>
                <w:color w:val="000000"/>
              </w:rPr>
              <w:t>Nil</w:t>
            </w:r>
          </w:p>
        </w:tc>
        <w:tc>
          <w:tcPr>
            <w:tcW w:w="735" w:type="pct"/>
            <w:vAlign w:val="center"/>
          </w:tcPr>
          <w:p w:rsidR="00B11B77" w:rsidRPr="00D53006" w:rsidRDefault="00B11B77" w:rsidP="00B11B77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Full cost recovery</w:t>
            </w:r>
          </w:p>
        </w:tc>
      </w:tr>
      <w:tr w:rsidR="00B11B77" w:rsidTr="00723905">
        <w:tc>
          <w:tcPr>
            <w:tcW w:w="1059" w:type="pct"/>
            <w:shd w:val="clear" w:color="auto" w:fill="auto"/>
          </w:tcPr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>
              <w:t xml:space="preserve">Allied Health </w:t>
            </w:r>
            <w:r w:rsidRPr="006243CB">
              <w:t>Consultations</w:t>
            </w:r>
          </w:p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 w:rsidRPr="006243CB">
              <w:t>Podiatry</w:t>
            </w:r>
          </w:p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 w:rsidRPr="006243CB">
              <w:t>Physiotherapy</w:t>
            </w:r>
          </w:p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 w:rsidRPr="006243CB">
              <w:t>Speech Therapy</w:t>
            </w:r>
          </w:p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 w:rsidRPr="006243CB">
              <w:t>Dietetics</w:t>
            </w:r>
          </w:p>
          <w:p w:rsidR="00B11B77" w:rsidRPr="006243CB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</w:pPr>
            <w:r w:rsidRPr="006243CB">
              <w:t>Audiology</w:t>
            </w:r>
          </w:p>
          <w:p w:rsidR="00B11B77" w:rsidRPr="00E6530E" w:rsidRDefault="00B11B77" w:rsidP="00B11B77">
            <w:pPr>
              <w:pStyle w:val="DHHStabletext"/>
              <w:numPr>
                <w:ilvl w:val="0"/>
                <w:numId w:val="9"/>
              </w:numPr>
              <w:ind w:left="318" w:hanging="318"/>
              <w:rPr>
                <w:rFonts w:eastAsia="MS Mincho"/>
                <w:sz w:val="18"/>
                <w:szCs w:val="24"/>
              </w:rPr>
            </w:pPr>
            <w:r w:rsidRPr="006243CB">
              <w:t>Occupational Therapy</w:t>
            </w:r>
          </w:p>
        </w:tc>
        <w:tc>
          <w:tcPr>
            <w:tcW w:w="1736" w:type="pct"/>
            <w:shd w:val="clear" w:color="auto" w:fill="auto"/>
          </w:tcPr>
          <w:p w:rsidR="00B11B77" w:rsidRPr="00E6530E" w:rsidRDefault="00B11B77" w:rsidP="00B11B77">
            <w:pPr>
              <w:pStyle w:val="DHHStabletext"/>
              <w:rPr>
                <w:rFonts w:eastAsia="MS Mincho"/>
                <w:sz w:val="18"/>
                <w:szCs w:val="24"/>
              </w:rPr>
            </w:pPr>
            <w:r w:rsidRPr="006243CB">
              <w:t>Chargeable services</w:t>
            </w:r>
          </w:p>
        </w:tc>
        <w:tc>
          <w:tcPr>
            <w:tcW w:w="734" w:type="pct"/>
            <w:vAlign w:val="center"/>
          </w:tcPr>
          <w:p w:rsidR="00B11B77" w:rsidRPr="00B11B77" w:rsidRDefault="00B11B77" w:rsidP="00B11B77">
            <w:pPr>
              <w:jc w:val="center"/>
              <w:rPr>
                <w:rFonts w:ascii="Arial" w:hAnsi="Arial"/>
              </w:rPr>
            </w:pPr>
            <w:r w:rsidRPr="00B11B77">
              <w:rPr>
                <w:rFonts w:ascii="Arial" w:hAnsi="Arial"/>
              </w:rPr>
              <w:t>10.30</w:t>
            </w:r>
          </w:p>
        </w:tc>
        <w:tc>
          <w:tcPr>
            <w:tcW w:w="736" w:type="pct"/>
            <w:vAlign w:val="center"/>
          </w:tcPr>
          <w:p w:rsidR="00B11B77" w:rsidRPr="00B11B77" w:rsidRDefault="00B11B77" w:rsidP="00B11B77">
            <w:pPr>
              <w:jc w:val="center"/>
              <w:rPr>
                <w:rFonts w:ascii="Arial" w:hAnsi="Arial"/>
              </w:rPr>
            </w:pPr>
            <w:r w:rsidRPr="00B11B77">
              <w:rPr>
                <w:rFonts w:ascii="Arial" w:hAnsi="Arial"/>
              </w:rPr>
              <w:t>15.60</w:t>
            </w:r>
          </w:p>
        </w:tc>
        <w:tc>
          <w:tcPr>
            <w:tcW w:w="735" w:type="pct"/>
            <w:vAlign w:val="center"/>
          </w:tcPr>
          <w:p w:rsidR="00B11B77" w:rsidRPr="00D53006" w:rsidRDefault="00B11B77" w:rsidP="00B11B77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Full cost recovery</w:t>
            </w:r>
          </w:p>
        </w:tc>
      </w:tr>
      <w:tr w:rsidR="001B6E47" w:rsidTr="00723905">
        <w:tc>
          <w:tcPr>
            <w:tcW w:w="1059" w:type="pct"/>
            <w:shd w:val="clear" w:color="auto" w:fill="auto"/>
          </w:tcPr>
          <w:p w:rsidR="001B6E47" w:rsidRPr="006243CB" w:rsidRDefault="001B6E47" w:rsidP="00EB77EA">
            <w:pPr>
              <w:pStyle w:val="DHHStabletext"/>
            </w:pPr>
            <w:r w:rsidRPr="006243CB">
              <w:t>Interpreting</w:t>
            </w:r>
          </w:p>
        </w:tc>
        <w:tc>
          <w:tcPr>
            <w:tcW w:w="1736" w:type="pct"/>
            <w:shd w:val="clear" w:color="auto" w:fill="auto"/>
          </w:tcPr>
          <w:p w:rsidR="001B6E47" w:rsidRPr="00E6530E" w:rsidRDefault="001B6E47" w:rsidP="00EB77EA">
            <w:pPr>
              <w:pStyle w:val="DHHStabletext"/>
              <w:rPr>
                <w:rFonts w:eastAsia="MS Mincho"/>
                <w:sz w:val="18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B6E47" w:rsidRPr="00B11B77" w:rsidRDefault="001B6E47" w:rsidP="00B11B77">
            <w:pPr>
              <w:pStyle w:val="DHHStabletext"/>
              <w:jc w:val="center"/>
            </w:pPr>
            <w:r w:rsidRPr="00B11B77">
              <w:t>Nil</w:t>
            </w:r>
          </w:p>
        </w:tc>
        <w:tc>
          <w:tcPr>
            <w:tcW w:w="736" w:type="pct"/>
            <w:vAlign w:val="center"/>
          </w:tcPr>
          <w:p w:rsidR="001B6E47" w:rsidRPr="00B11B77" w:rsidRDefault="001B6E47" w:rsidP="00B11B77">
            <w:pPr>
              <w:pStyle w:val="DHHStabletext"/>
              <w:jc w:val="center"/>
            </w:pPr>
            <w:r w:rsidRPr="00B11B77">
              <w:t>Nil</w:t>
            </w:r>
          </w:p>
        </w:tc>
        <w:tc>
          <w:tcPr>
            <w:tcW w:w="735" w:type="pct"/>
            <w:vAlign w:val="center"/>
          </w:tcPr>
          <w:p w:rsidR="001B6E47" w:rsidRPr="00D53006" w:rsidRDefault="001B6E47" w:rsidP="00EB77EA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Nil</w:t>
            </w:r>
          </w:p>
        </w:tc>
      </w:tr>
      <w:tr w:rsidR="001B6E47" w:rsidTr="00723905">
        <w:tc>
          <w:tcPr>
            <w:tcW w:w="1059" w:type="pct"/>
            <w:shd w:val="clear" w:color="auto" w:fill="auto"/>
          </w:tcPr>
          <w:p w:rsidR="001B6E47" w:rsidRPr="006243CB" w:rsidRDefault="001B6E47" w:rsidP="00EB77EA">
            <w:pPr>
              <w:pStyle w:val="DHHStabletext"/>
            </w:pPr>
            <w:r w:rsidRPr="006243CB">
              <w:t>Initial Needs Identification</w:t>
            </w:r>
          </w:p>
        </w:tc>
        <w:tc>
          <w:tcPr>
            <w:tcW w:w="1736" w:type="pct"/>
            <w:shd w:val="clear" w:color="auto" w:fill="auto"/>
          </w:tcPr>
          <w:p w:rsidR="001B6E47" w:rsidRPr="00E6530E" w:rsidRDefault="001B6E47" w:rsidP="00EB77EA">
            <w:pPr>
              <w:pStyle w:val="DHHStabletext"/>
              <w:rPr>
                <w:rFonts w:eastAsia="MS Mincho"/>
                <w:sz w:val="18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B6E47" w:rsidRPr="00B11B77" w:rsidRDefault="001B6E47" w:rsidP="00B11B77">
            <w:pPr>
              <w:pStyle w:val="DHHStabletext"/>
              <w:jc w:val="center"/>
            </w:pPr>
            <w:r w:rsidRPr="00B11B77">
              <w:t>Nil</w:t>
            </w:r>
          </w:p>
        </w:tc>
        <w:tc>
          <w:tcPr>
            <w:tcW w:w="736" w:type="pct"/>
            <w:vAlign w:val="center"/>
          </w:tcPr>
          <w:p w:rsidR="001B6E47" w:rsidRPr="00B11B77" w:rsidRDefault="001B6E47" w:rsidP="00B11B77">
            <w:pPr>
              <w:pStyle w:val="DHHStabletext"/>
              <w:jc w:val="center"/>
            </w:pPr>
            <w:r w:rsidRPr="00B11B77">
              <w:t>Nil</w:t>
            </w:r>
          </w:p>
        </w:tc>
        <w:tc>
          <w:tcPr>
            <w:tcW w:w="735" w:type="pct"/>
            <w:vAlign w:val="center"/>
          </w:tcPr>
          <w:p w:rsidR="001B6E47" w:rsidRPr="00D53006" w:rsidRDefault="001B6E47" w:rsidP="00EB77EA">
            <w:pPr>
              <w:pStyle w:val="DHHStabletext"/>
              <w:rPr>
                <w:rFonts w:cs="Arial"/>
              </w:rPr>
            </w:pPr>
            <w:r w:rsidRPr="00D53006">
              <w:rPr>
                <w:rFonts w:cs="Arial"/>
              </w:rPr>
              <w:t>Nil</w:t>
            </w:r>
          </w:p>
        </w:tc>
      </w:tr>
      <w:tr w:rsidR="001B6E47" w:rsidTr="00723905">
        <w:tc>
          <w:tcPr>
            <w:tcW w:w="1059" w:type="pct"/>
            <w:shd w:val="clear" w:color="auto" w:fill="auto"/>
          </w:tcPr>
          <w:p w:rsidR="001B6E47" w:rsidRPr="006243CB" w:rsidRDefault="001B6E47" w:rsidP="00EB77EA">
            <w:pPr>
              <w:pStyle w:val="DHHStabletext"/>
            </w:pPr>
            <w:r>
              <w:t>Other services and i</w:t>
            </w:r>
            <w:r w:rsidRPr="006243CB">
              <w:t>tems</w:t>
            </w:r>
            <w:r>
              <w:t xml:space="preserve"> </w:t>
            </w:r>
            <w:r w:rsidRPr="006243CB">
              <w:t>(such as report writing, court attendance, orthotics, information material, secondary consultations)</w:t>
            </w:r>
          </w:p>
        </w:tc>
        <w:tc>
          <w:tcPr>
            <w:tcW w:w="1736" w:type="pct"/>
            <w:shd w:val="clear" w:color="auto" w:fill="auto"/>
          </w:tcPr>
          <w:p w:rsidR="001B6E47" w:rsidRPr="005F2960" w:rsidRDefault="001B6E47" w:rsidP="005F2960">
            <w:pPr>
              <w:pStyle w:val="DHHStabletext"/>
            </w:pPr>
            <w:r w:rsidRPr="005F2960">
              <w:t>Where appropriate such service fees may be charged even when associated with a service which does not attract a fee (e.g. counselling provided to a low-income person)</w:t>
            </w:r>
          </w:p>
          <w:p w:rsidR="001B6E47" w:rsidRPr="00E6530E" w:rsidRDefault="001B6E47" w:rsidP="005F2960">
            <w:pPr>
              <w:pStyle w:val="DHHStabletext"/>
              <w:rPr>
                <w:rFonts w:eastAsia="MS Mincho"/>
                <w:sz w:val="18"/>
                <w:szCs w:val="24"/>
              </w:rPr>
            </w:pPr>
            <w:r w:rsidRPr="005F2960">
              <w:t>Fees should be levied in a manner consistent with the exemptions and capping provisions included in this policy</w:t>
            </w:r>
          </w:p>
        </w:tc>
        <w:tc>
          <w:tcPr>
            <w:tcW w:w="734" w:type="pct"/>
            <w:vAlign w:val="center"/>
          </w:tcPr>
          <w:p w:rsidR="001B6E47" w:rsidRPr="00257BFF" w:rsidRDefault="001B6E47" w:rsidP="00B11B77">
            <w:pPr>
              <w:pStyle w:val="DHHStabletext"/>
              <w:jc w:val="center"/>
            </w:pPr>
            <w:r w:rsidRPr="00257BFF">
              <w:t>Agency may set fees</w:t>
            </w:r>
          </w:p>
        </w:tc>
        <w:tc>
          <w:tcPr>
            <w:tcW w:w="736" w:type="pct"/>
            <w:vAlign w:val="center"/>
          </w:tcPr>
          <w:p w:rsidR="001B6E47" w:rsidRPr="00257BFF" w:rsidRDefault="001B6E47" w:rsidP="00B11B77">
            <w:pPr>
              <w:pStyle w:val="DHHStabletext"/>
              <w:jc w:val="center"/>
            </w:pPr>
            <w:r w:rsidRPr="00257BFF">
              <w:t>Agency may set fees</w:t>
            </w:r>
          </w:p>
        </w:tc>
        <w:tc>
          <w:tcPr>
            <w:tcW w:w="735" w:type="pct"/>
            <w:vAlign w:val="center"/>
          </w:tcPr>
          <w:p w:rsidR="001B6E47" w:rsidRPr="006243CB" w:rsidRDefault="001B6E47" w:rsidP="00EB77EA">
            <w:pPr>
              <w:pStyle w:val="DHHStabletext"/>
            </w:pPr>
            <w:r w:rsidRPr="006243CB">
              <w:t>Agency may set fees</w:t>
            </w:r>
          </w:p>
        </w:tc>
      </w:tr>
    </w:tbl>
    <w:p w:rsidR="00723905" w:rsidRPr="00FC544B" w:rsidRDefault="00723905" w:rsidP="00FC544B">
      <w:pPr>
        <w:pStyle w:val="DHHSbody"/>
      </w:pPr>
      <w:r w:rsidRPr="00FC544B">
        <w:br w:type="page"/>
      </w:r>
    </w:p>
    <w:p w:rsidR="001B6E47" w:rsidRPr="0042118E" w:rsidRDefault="001B6E47" w:rsidP="0042118E">
      <w:pPr>
        <w:pStyle w:val="Heading1"/>
      </w:pPr>
      <w:r w:rsidRPr="0042118E">
        <w:lastRenderedPageBreak/>
        <w:t>Income ranges 201</w:t>
      </w:r>
      <w:r w:rsidR="001F1821" w:rsidRPr="0042118E">
        <w:t>9</w:t>
      </w:r>
    </w:p>
    <w:p w:rsidR="001B6E47" w:rsidRPr="00513883" w:rsidRDefault="001B6E47" w:rsidP="00D71D0F">
      <w:pPr>
        <w:pStyle w:val="DHHSbody"/>
      </w:pPr>
      <w:r w:rsidRPr="00513883">
        <w:t>The Community Health income ranges are based on the Centrelink Income Test for pensioners.</w:t>
      </w:r>
    </w:p>
    <w:tbl>
      <w:tblPr>
        <w:tblW w:w="4901" w:type="pct"/>
        <w:tblInd w:w="101" w:type="dxa"/>
        <w:tblLayout w:type="fixed"/>
        <w:tblLook w:val="04A0" w:firstRow="1" w:lastRow="0" w:firstColumn="1" w:lastColumn="0" w:noHBand="0" w:noVBand="1"/>
      </w:tblPr>
      <w:tblGrid>
        <w:gridCol w:w="1818"/>
        <w:gridCol w:w="2100"/>
        <w:gridCol w:w="2100"/>
        <w:gridCol w:w="2100"/>
        <w:gridCol w:w="2096"/>
      </w:tblGrid>
      <w:tr w:rsidR="00B11B77" w:rsidRPr="00513883" w:rsidTr="00B11B77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77" w:rsidRPr="00513883" w:rsidRDefault="00B11B77" w:rsidP="00EB77EA">
            <w:pPr>
              <w:pStyle w:val="DHHStablecolhead"/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7" w:rsidRPr="00513883" w:rsidRDefault="00B11B77" w:rsidP="00EB77EA">
            <w:pPr>
              <w:pStyle w:val="DHHStablecolhead"/>
            </w:pPr>
            <w:r w:rsidRPr="00513883">
              <w:t>Low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7" w:rsidRPr="00513883" w:rsidRDefault="00B11B77" w:rsidP="00EB77EA">
            <w:pPr>
              <w:pStyle w:val="DHHStablecolhead"/>
            </w:pPr>
            <w:r w:rsidRPr="00513883">
              <w:t>Medium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7" w:rsidRPr="00513883" w:rsidRDefault="00B11B77" w:rsidP="00EB77EA">
            <w:pPr>
              <w:pStyle w:val="DHHStablecolhead"/>
            </w:pPr>
            <w:r w:rsidRPr="00513883">
              <w:t>High</w:t>
            </w:r>
          </w:p>
        </w:tc>
      </w:tr>
      <w:tr w:rsidR="00B11B77" w:rsidRPr="00450EA2" w:rsidTr="00B11B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Individual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$39</w:t>
            </w:r>
            <w:r w:rsidR="00032AD1">
              <w:t>,</w:t>
            </w:r>
            <w:r w:rsidRPr="00D71D0F">
              <w:t>089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&gt; $39</w:t>
            </w:r>
            <w:r w:rsidR="00032AD1">
              <w:t>,</w:t>
            </w:r>
            <w:bookmarkStart w:id="1" w:name="_GoBack"/>
            <w:bookmarkEnd w:id="1"/>
            <w:r w:rsidRPr="00D71D0F">
              <w:t>089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$86,208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&gt; $86,208</w:t>
            </w:r>
          </w:p>
        </w:tc>
      </w:tr>
      <w:tr w:rsidR="00B11B77" w:rsidRPr="00450EA2" w:rsidTr="00B11B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Couple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$59,802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&gt; $59,802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$115,245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&gt; $115,245</w:t>
            </w:r>
          </w:p>
        </w:tc>
      </w:tr>
      <w:tr w:rsidR="00B11B77" w:rsidRPr="00450EA2" w:rsidTr="00B11B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Family (1 Child)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$66,009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&gt; $66,009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&lt; $118,546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 xml:space="preserve"> &gt; $118,546</w:t>
            </w:r>
          </w:p>
        </w:tc>
      </w:tr>
      <w:tr w:rsidR="00B11B77" w:rsidRPr="00450EA2" w:rsidTr="00B11B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 </w:t>
            </w:r>
          </w:p>
        </w:tc>
        <w:tc>
          <w:tcPr>
            <w:tcW w:w="41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B77" w:rsidRPr="00D71D0F" w:rsidRDefault="00B11B77" w:rsidP="00D71D0F">
            <w:pPr>
              <w:pStyle w:val="DHHStabletext"/>
            </w:pPr>
            <w:r w:rsidRPr="00D71D0F">
              <w:t>(plus $6,206 per additional child)</w:t>
            </w:r>
            <w:r w:rsidRPr="00D71D0F">
              <w:tab/>
            </w:r>
            <w:r w:rsidRPr="00D71D0F">
              <w:tab/>
            </w:r>
            <w:r w:rsidRPr="00D71D0F">
              <w:tab/>
            </w:r>
          </w:p>
        </w:tc>
      </w:tr>
    </w:tbl>
    <w:p w:rsidR="001B6E47" w:rsidRDefault="001B6E47" w:rsidP="001B6E47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1B6E47" w:rsidRPr="002802E3" w:rsidTr="0072390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E47" w:rsidRPr="00713E8C" w:rsidRDefault="001B6E47" w:rsidP="00EB77EA">
            <w:pPr>
              <w:pStyle w:val="DHHSbody"/>
            </w:pPr>
            <w:r w:rsidRPr="00713E8C">
              <w:t>To receive this publication in an accessible format email</w:t>
            </w:r>
            <w:r>
              <w:t xml:space="preserve"> </w:t>
            </w:r>
            <w:hyperlink r:id="rId11" w:history="1">
              <w:r w:rsidRPr="00713E8C">
                <w:rPr>
                  <w:rStyle w:val="Hyperlink"/>
                </w:rPr>
                <w:t>partnerships.primary@health.vic.gov.au</w:t>
              </w:r>
            </w:hyperlink>
            <w:r w:rsidRPr="00713E8C">
              <w:t xml:space="preserve"> or</w:t>
            </w:r>
            <w:r w:rsidRPr="00F50D63">
              <w:t xml:space="preserve"> </w:t>
            </w:r>
            <w:r w:rsidRPr="00713E8C">
              <w:t xml:space="preserve">phone using the National Relay Service 13 36 77 if required. </w:t>
            </w:r>
          </w:p>
          <w:p w:rsidR="001B6E47" w:rsidRPr="00713E8C" w:rsidRDefault="001B6E47" w:rsidP="00EB77EA">
            <w:pPr>
              <w:pStyle w:val="DHHSbody"/>
            </w:pPr>
            <w:r w:rsidRPr="00713E8C">
              <w:t xml:space="preserve">Authorised and published by the Victorian Government, 1 Treasury Place, Melbourne. </w:t>
            </w:r>
          </w:p>
          <w:p w:rsidR="001B6E47" w:rsidRPr="00254F58" w:rsidRDefault="001B6E47" w:rsidP="00EB77EA">
            <w:pPr>
              <w:pStyle w:val="DHHSbody"/>
            </w:pPr>
            <w:r w:rsidRPr="00713E8C">
              <w:t>© State of Victoria,</w:t>
            </w:r>
            <w:r>
              <w:t xml:space="preserve">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>
              <w:t>July 201</w:t>
            </w:r>
            <w:r w:rsidR="001F1821">
              <w:t>9</w:t>
            </w:r>
          </w:p>
          <w:p w:rsidR="001B6E47" w:rsidRPr="00F50D63" w:rsidRDefault="001B6E47" w:rsidP="00EB77EA">
            <w:pPr>
              <w:pStyle w:val="DHHSbody"/>
            </w:pPr>
            <w:r w:rsidRPr="00F50D63">
              <w:t xml:space="preserve">Available at </w:t>
            </w:r>
            <w:hyperlink r:id="rId12" w:history="1">
              <w:r w:rsidRPr="001544F8">
                <w:rPr>
                  <w:rStyle w:val="Hyperlink"/>
                </w:rPr>
                <w:t>https://www2.health.vic.gov.au/primary-and-community-health/community-health/community-health-program/community-health-fees-policy/fees-schedule-and-income-range</w:t>
              </w:r>
            </w:hyperlink>
            <w:r>
              <w:t>&gt;</w:t>
            </w:r>
          </w:p>
        </w:tc>
      </w:tr>
      <w:bookmarkEnd w:id="0"/>
    </w:tbl>
    <w:p w:rsidR="00B2752E" w:rsidRPr="001B6E47" w:rsidRDefault="00B2752E" w:rsidP="001B6E47">
      <w:pPr>
        <w:pStyle w:val="Heading1"/>
        <w:spacing w:before="0"/>
        <w:rPr>
          <w:rFonts w:eastAsia="Times" w:cs="Times New Roman"/>
          <w:bCs w:val="0"/>
          <w:color w:val="auto"/>
          <w:kern w:val="0"/>
          <w:sz w:val="20"/>
          <w:szCs w:val="20"/>
        </w:rPr>
      </w:pPr>
    </w:p>
    <w:sectPr w:rsidR="00B2752E" w:rsidRPr="001B6E47" w:rsidSect="00723905">
      <w:type w:val="continuous"/>
      <w:pgSz w:w="11906" w:h="16838" w:code="9"/>
      <w:pgMar w:top="993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0D" w:rsidRDefault="0003540D">
      <w:r>
        <w:separator/>
      </w:r>
    </w:p>
  </w:endnote>
  <w:endnote w:type="continuationSeparator" w:id="0">
    <w:p w:rsidR="0003540D" w:rsidRDefault="0003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3540D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1B6E47" w:rsidP="0051568D">
    <w:pPr>
      <w:pStyle w:val="DHHSfooter"/>
    </w:pPr>
    <w:r>
      <w:t>Community Health schedule of fees and income ranges</w:t>
    </w:r>
    <w:r>
      <w:br/>
      <w:t>Effective July 201</w:t>
    </w:r>
    <w:r w:rsidR="005B26A6">
      <w:t>9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06400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0D" w:rsidRDefault="0003540D" w:rsidP="002862F1">
      <w:pPr>
        <w:spacing w:before="120"/>
      </w:pPr>
      <w:r>
        <w:separator/>
      </w:r>
    </w:p>
  </w:footnote>
  <w:footnote w:type="continuationSeparator" w:id="0">
    <w:p w:rsidR="0003540D" w:rsidRDefault="0003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4214C1"/>
    <w:multiLevelType w:val="hybridMultilevel"/>
    <w:tmpl w:val="E314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0D"/>
    <w:rsid w:val="000072B6"/>
    <w:rsid w:val="0001021B"/>
    <w:rsid w:val="00011D89"/>
    <w:rsid w:val="00024D89"/>
    <w:rsid w:val="000250B6"/>
    <w:rsid w:val="00032AD1"/>
    <w:rsid w:val="00033D81"/>
    <w:rsid w:val="0003540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4B4D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B6E47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1821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26D8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590A"/>
    <w:rsid w:val="003A6B67"/>
    <w:rsid w:val="003B15E6"/>
    <w:rsid w:val="003B425C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18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41F"/>
    <w:rsid w:val="004E4649"/>
    <w:rsid w:val="004E5C2B"/>
    <w:rsid w:val="004F00DD"/>
    <w:rsid w:val="004F2133"/>
    <w:rsid w:val="004F55F1"/>
    <w:rsid w:val="004F6936"/>
    <w:rsid w:val="00503DC6"/>
    <w:rsid w:val="00506400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26A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2960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B6E9E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3905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1E39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75CF8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39D7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6FA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3B66"/>
    <w:rsid w:val="00AC4764"/>
    <w:rsid w:val="00AC6D36"/>
    <w:rsid w:val="00AD0CBA"/>
    <w:rsid w:val="00AD26E2"/>
    <w:rsid w:val="00AD3D9E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1B77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4E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1D0F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C544B"/>
    <w:rsid w:val="00FC71A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0666CF"/>
  <w15:docId w15:val="{62AC9FA6-002A-4C18-B971-3BCFB18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1B6E47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47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primary-and-community-health/community-health/community-health-program/community-health-fees-policy/fees-schedule-and-income-r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ships.primary@health.vic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148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schedule of fees and income ranges  effective 2018</vt:lpstr>
    </vt:vector>
  </TitlesOfParts>
  <Manager>Abbey Howe</Manager>
  <Company>Community Health Department of Health and Human Services</Company>
  <LinksUpToDate>false</LinksUpToDate>
  <CharactersWithSpaces>2381</CharactersWithSpaces>
  <SharedDoc>false</SharedDoc>
  <HyperlinkBase>https://www2.health.vic.gov.au/primary-and-community-health/community-health/community-health-program/community-health-fees-policy/fees-schedule-and-income-range</HyperlinkBase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schedule of fees and income ranges  effective 2018</dc:title>
  <dc:subject>Schedule of Fees and income ranges for  Community Health</dc:subject>
  <dc:creator>Community Health Program</dc:creator>
  <cp:keywords>Schedule of fees and income ranges for 2018, Community Health, Policy</cp:keywords>
  <cp:lastModifiedBy>Debbie Whiting (DHHS)</cp:lastModifiedBy>
  <cp:revision>20</cp:revision>
  <cp:lastPrinted>2015-08-21T04:17:00Z</cp:lastPrinted>
  <dcterms:created xsi:type="dcterms:W3CDTF">2018-07-20T01:27:00Z</dcterms:created>
  <dcterms:modified xsi:type="dcterms:W3CDTF">2019-08-26T21:52:00Z</dcterms:modified>
  <cp:category>Community Health Policy - schedule of fees and income ranges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