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9677A8"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8" name="Picture 98"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7668D0" w:rsidP="00E91933">
            <w:pPr>
              <w:pStyle w:val="DHHSreportmaintitlewhite"/>
            </w:pPr>
            <w:r>
              <w:t>Guidelines for CEO and Executive Business Expense Policy</w:t>
            </w:r>
          </w:p>
          <w:p w:rsidR="00444D82" w:rsidRPr="003072C6" w:rsidRDefault="009B7ADC" w:rsidP="00E91933">
            <w:pPr>
              <w:pStyle w:val="DHHSreportsubtitlewhite"/>
            </w:pPr>
            <w:r>
              <w:t>September</w:t>
            </w:r>
            <w:r w:rsidR="00C8233F">
              <w:t xml:space="preserve"> 2017</w:t>
            </w: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headerReference w:type="even" r:id="rId10"/>
          <w:headerReference w:type="default" r:id="rId11"/>
          <w:footerReference w:type="even" r:id="rId12"/>
          <w:footerReference w:type="default" r:id="rId13"/>
          <w:headerReference w:type="first" r:id="rId14"/>
          <w:footerReference w:type="first" r:id="rId15"/>
          <w:type w:val="oddPage"/>
          <w:pgSz w:w="11906" w:h="16838"/>
          <w:pgMar w:top="3969" w:right="1304" w:bottom="1134" w:left="1304" w:header="454" w:footer="567" w:gutter="0"/>
          <w:cols w:space="720"/>
          <w:docGrid w:linePitch="360"/>
        </w:sectPr>
      </w:pPr>
    </w:p>
    <w:p w:rsidR="00AC0C3B" w:rsidRPr="003072C6" w:rsidRDefault="009677A8"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72C18FAF" wp14:editId="06B224B0">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75F" w:rsidRDefault="00FB775F"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FB775F" w:rsidRDefault="00FB775F"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top w:w="113" w:type="dxa"/>
          <w:left w:w="0" w:type="dxa"/>
          <w:bottom w:w="57" w:type="dxa"/>
          <w:right w:w="0" w:type="dxa"/>
        </w:tblCellMar>
        <w:tblLook w:val="00A0" w:firstRow="1" w:lastRow="0" w:firstColumn="1" w:lastColumn="0" w:noHBand="0" w:noVBand="0"/>
      </w:tblPr>
      <w:tblGrid>
        <w:gridCol w:w="9026"/>
      </w:tblGrid>
      <w:tr w:rsidR="00564E8F" w:rsidRPr="003072C6" w:rsidTr="00564E8F">
        <w:trPr>
          <w:trHeight w:val="4313"/>
        </w:trPr>
        <w:tc>
          <w:tcPr>
            <w:tcW w:w="9401" w:type="dxa"/>
          </w:tcPr>
          <w:p w:rsidR="00564E8F" w:rsidRPr="00605B5B" w:rsidRDefault="00564E8F"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sidR="00713A5C">
              <w:rPr>
                <w:rFonts w:ascii="Arial" w:eastAsia="Times" w:hAnsi="Arial"/>
                <w:sz w:val="24"/>
                <w:szCs w:val="19"/>
              </w:rPr>
              <w:t xml:space="preserve"> 03 9096 1888</w:t>
            </w:r>
            <w:r w:rsidRPr="00605B5B">
              <w:rPr>
                <w:rFonts w:ascii="Arial" w:eastAsia="Times" w:hAnsi="Arial"/>
                <w:sz w:val="24"/>
                <w:szCs w:val="19"/>
              </w:rPr>
              <w:t>, using the National Relay Service 13 36 77 if required, or email</w:t>
            </w:r>
            <w:r w:rsidR="00713A5C">
              <w:rPr>
                <w:rFonts w:ascii="Arial" w:eastAsia="Times" w:hAnsi="Arial"/>
                <w:sz w:val="24"/>
                <w:szCs w:val="19"/>
              </w:rPr>
              <w:t xml:space="preserve"> ruralhealth@dhhs.vic.gov.au.</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Pr="00605B5B">
              <w:rPr>
                <w:rFonts w:ascii="Arial" w:eastAsia="Times" w:hAnsi="Arial"/>
                <w:color w:val="008950"/>
              </w:rPr>
              <w:t xml:space="preserve"> </w:t>
            </w:r>
            <w:r w:rsidR="00713A5C" w:rsidRPr="00713A5C">
              <w:rPr>
                <w:rFonts w:ascii="Arial" w:eastAsia="Times" w:hAnsi="Arial"/>
              </w:rPr>
              <w:t>July</w:t>
            </w:r>
            <w:r w:rsidRPr="00713A5C">
              <w:rPr>
                <w:rFonts w:ascii="Arial" w:eastAsia="Times" w:hAnsi="Arial"/>
              </w:rPr>
              <w:t xml:space="preserve">, </w:t>
            </w:r>
            <w:r w:rsidR="00713A5C" w:rsidRPr="00713A5C">
              <w:rPr>
                <w:rFonts w:ascii="Arial" w:eastAsia="Times" w:hAnsi="Arial"/>
              </w:rPr>
              <w:t>2017</w:t>
            </w:r>
            <w:r w:rsidRPr="00713A5C">
              <w:rPr>
                <w:rFonts w:ascii="Arial" w:eastAsia="Times" w:hAnsi="Arial"/>
              </w:rPr>
              <w:t>.</w:t>
            </w:r>
          </w:p>
          <w:p w:rsidR="00564E8F" w:rsidRPr="00713A5C" w:rsidRDefault="00605B5B" w:rsidP="007960E9">
            <w:pPr>
              <w:spacing w:after="120" w:line="270" w:lineRule="atLeast"/>
              <w:rPr>
                <w:rFonts w:ascii="Arial" w:eastAsia="Times" w:hAnsi="Arial"/>
                <w:szCs w:val="19"/>
              </w:rPr>
            </w:pPr>
            <w:r w:rsidRPr="00605B5B">
              <w:rPr>
                <w:rFonts w:ascii="Arial" w:eastAsia="Times" w:hAnsi="Arial"/>
                <w:szCs w:val="19"/>
              </w:rPr>
              <w:t xml:space="preserve">Available at </w:t>
            </w:r>
            <w:hyperlink r:id="rId16" w:history="1">
              <w:r w:rsidR="007960E9" w:rsidRPr="003A4E3A">
                <w:rPr>
                  <w:rStyle w:val="Hyperlink"/>
                  <w:rFonts w:ascii="Arial" w:eastAsia="Times" w:hAnsi="Arial"/>
                  <w:szCs w:val="19"/>
                </w:rPr>
                <w:t>https://preview-azure.health.vic.gov.au/hospitals-and-health-services/funding-performance-accountability/pricing-funding-framework/guidelines-for-ceo-and-executive-business</w:t>
              </w:r>
            </w:hyperlink>
            <w:r w:rsidR="007960E9">
              <w:rPr>
                <w:rFonts w:ascii="Arial" w:eastAsia="Times" w:hAnsi="Arial"/>
                <w:color w:val="D50032"/>
              </w:rPr>
              <w:t xml:space="preserve"> </w:t>
            </w:r>
            <w:bookmarkStart w:id="0" w:name="_GoBack"/>
            <w:bookmarkEnd w:id="0"/>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1E7A42" w:rsidRDefault="00AC0C3B" w:rsidP="004E1EDE">
      <w:pPr>
        <w:pStyle w:val="DHHSTOCheadingreport"/>
      </w:pPr>
      <w:r w:rsidRPr="001E7A42">
        <w:lastRenderedPageBreak/>
        <w:t>Contents</w:t>
      </w:r>
    </w:p>
    <w:p w:rsidR="00571BF3" w:rsidRDefault="00E15DA9">
      <w:pPr>
        <w:pStyle w:val="TOC1"/>
        <w:tabs>
          <w:tab w:val="left" w:pos="567"/>
        </w:tabs>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92897882" w:history="1">
        <w:r w:rsidR="00571BF3" w:rsidRPr="00F17835">
          <w:rPr>
            <w:rStyle w:val="Hyperlink"/>
          </w:rPr>
          <w:t>1.</w:t>
        </w:r>
        <w:r w:rsidR="00571BF3">
          <w:rPr>
            <w:rFonts w:asciiTheme="minorHAnsi" w:eastAsiaTheme="minorEastAsia" w:hAnsiTheme="minorHAnsi" w:cstheme="minorBidi"/>
            <w:b w:val="0"/>
            <w:sz w:val="22"/>
            <w:szCs w:val="22"/>
            <w:lang w:eastAsia="en-AU"/>
          </w:rPr>
          <w:tab/>
        </w:r>
        <w:r w:rsidR="00571BF3" w:rsidRPr="00F17835">
          <w:rPr>
            <w:rStyle w:val="Hyperlink"/>
            <w:rFonts w:cs="Arial"/>
          </w:rPr>
          <w:t>Introduction</w:t>
        </w:r>
        <w:r w:rsidR="00571BF3">
          <w:rPr>
            <w:webHidden/>
          </w:rPr>
          <w:tab/>
        </w:r>
        <w:r w:rsidR="00571BF3">
          <w:rPr>
            <w:webHidden/>
          </w:rPr>
          <w:fldChar w:fldCharType="begin"/>
        </w:r>
        <w:r w:rsidR="00571BF3">
          <w:rPr>
            <w:webHidden/>
          </w:rPr>
          <w:instrText xml:space="preserve"> PAGEREF _Toc492897882 \h </w:instrText>
        </w:r>
        <w:r w:rsidR="00571BF3">
          <w:rPr>
            <w:webHidden/>
          </w:rPr>
        </w:r>
        <w:r w:rsidR="00571BF3">
          <w:rPr>
            <w:webHidden/>
          </w:rPr>
          <w:fldChar w:fldCharType="separate"/>
        </w:r>
        <w:r w:rsidR="00571BF3">
          <w:rPr>
            <w:webHidden/>
          </w:rPr>
          <w:t>4</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83" w:history="1">
        <w:r w:rsidR="00571BF3" w:rsidRPr="00F17835">
          <w:rPr>
            <w:rStyle w:val="Hyperlink"/>
            <w:rFonts w:cs="Arial"/>
          </w:rPr>
          <w:t>1.1 Context</w:t>
        </w:r>
        <w:r w:rsidR="00571BF3">
          <w:rPr>
            <w:webHidden/>
          </w:rPr>
          <w:tab/>
        </w:r>
        <w:r w:rsidR="00571BF3">
          <w:rPr>
            <w:webHidden/>
          </w:rPr>
          <w:fldChar w:fldCharType="begin"/>
        </w:r>
        <w:r w:rsidR="00571BF3">
          <w:rPr>
            <w:webHidden/>
          </w:rPr>
          <w:instrText xml:space="preserve"> PAGEREF _Toc492897883 \h </w:instrText>
        </w:r>
        <w:r w:rsidR="00571BF3">
          <w:rPr>
            <w:webHidden/>
          </w:rPr>
        </w:r>
        <w:r w:rsidR="00571BF3">
          <w:rPr>
            <w:webHidden/>
          </w:rPr>
          <w:fldChar w:fldCharType="separate"/>
        </w:r>
        <w:r w:rsidR="00571BF3">
          <w:rPr>
            <w:webHidden/>
          </w:rPr>
          <w:t>4</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84" w:history="1">
        <w:r w:rsidR="00571BF3" w:rsidRPr="00F17835">
          <w:rPr>
            <w:rStyle w:val="Hyperlink"/>
            <w:rFonts w:cs="Arial"/>
          </w:rPr>
          <w:t>1.2 Scope</w:t>
        </w:r>
        <w:r w:rsidR="00571BF3">
          <w:rPr>
            <w:webHidden/>
          </w:rPr>
          <w:tab/>
        </w:r>
        <w:r w:rsidR="00571BF3">
          <w:rPr>
            <w:webHidden/>
          </w:rPr>
          <w:fldChar w:fldCharType="begin"/>
        </w:r>
        <w:r w:rsidR="00571BF3">
          <w:rPr>
            <w:webHidden/>
          </w:rPr>
          <w:instrText xml:space="preserve"> PAGEREF _Toc492897884 \h </w:instrText>
        </w:r>
        <w:r w:rsidR="00571BF3">
          <w:rPr>
            <w:webHidden/>
          </w:rPr>
        </w:r>
        <w:r w:rsidR="00571BF3">
          <w:rPr>
            <w:webHidden/>
          </w:rPr>
          <w:fldChar w:fldCharType="separate"/>
        </w:r>
        <w:r w:rsidR="00571BF3">
          <w:rPr>
            <w:webHidden/>
          </w:rPr>
          <w:t>4</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85" w:history="1">
        <w:r w:rsidR="00571BF3" w:rsidRPr="00F17835">
          <w:rPr>
            <w:rStyle w:val="Hyperlink"/>
            <w:rFonts w:cs="Arial"/>
          </w:rPr>
          <w:t>1.3 Objective</w:t>
        </w:r>
        <w:r w:rsidR="00571BF3">
          <w:rPr>
            <w:webHidden/>
          </w:rPr>
          <w:tab/>
        </w:r>
        <w:r w:rsidR="00571BF3">
          <w:rPr>
            <w:webHidden/>
          </w:rPr>
          <w:fldChar w:fldCharType="begin"/>
        </w:r>
        <w:r w:rsidR="00571BF3">
          <w:rPr>
            <w:webHidden/>
          </w:rPr>
          <w:instrText xml:space="preserve"> PAGEREF _Toc492897885 \h </w:instrText>
        </w:r>
        <w:r w:rsidR="00571BF3">
          <w:rPr>
            <w:webHidden/>
          </w:rPr>
        </w:r>
        <w:r w:rsidR="00571BF3">
          <w:rPr>
            <w:webHidden/>
          </w:rPr>
          <w:fldChar w:fldCharType="separate"/>
        </w:r>
        <w:r w:rsidR="00571BF3">
          <w:rPr>
            <w:webHidden/>
          </w:rPr>
          <w:t>4</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86" w:history="1">
        <w:r w:rsidR="00571BF3" w:rsidRPr="00F17835">
          <w:rPr>
            <w:rStyle w:val="Hyperlink"/>
            <w:rFonts w:cs="Arial"/>
          </w:rPr>
          <w:t>1.4 Disclaimer</w:t>
        </w:r>
        <w:r w:rsidR="00571BF3">
          <w:rPr>
            <w:webHidden/>
          </w:rPr>
          <w:tab/>
        </w:r>
        <w:r w:rsidR="00571BF3">
          <w:rPr>
            <w:webHidden/>
          </w:rPr>
          <w:fldChar w:fldCharType="begin"/>
        </w:r>
        <w:r w:rsidR="00571BF3">
          <w:rPr>
            <w:webHidden/>
          </w:rPr>
          <w:instrText xml:space="preserve"> PAGEREF _Toc492897886 \h </w:instrText>
        </w:r>
        <w:r w:rsidR="00571BF3">
          <w:rPr>
            <w:webHidden/>
          </w:rPr>
        </w:r>
        <w:r w:rsidR="00571BF3">
          <w:rPr>
            <w:webHidden/>
          </w:rPr>
          <w:fldChar w:fldCharType="separate"/>
        </w:r>
        <w:r w:rsidR="00571BF3">
          <w:rPr>
            <w:webHidden/>
          </w:rPr>
          <w:t>5</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87" w:history="1">
        <w:r w:rsidR="00571BF3" w:rsidRPr="00F17835">
          <w:rPr>
            <w:rStyle w:val="Hyperlink"/>
            <w:rFonts w:cs="Arial"/>
          </w:rPr>
          <w:t>1.5 Principles</w:t>
        </w:r>
        <w:r w:rsidR="00571BF3">
          <w:rPr>
            <w:webHidden/>
          </w:rPr>
          <w:tab/>
        </w:r>
        <w:r w:rsidR="00571BF3">
          <w:rPr>
            <w:webHidden/>
          </w:rPr>
          <w:fldChar w:fldCharType="begin"/>
        </w:r>
        <w:r w:rsidR="00571BF3">
          <w:rPr>
            <w:webHidden/>
          </w:rPr>
          <w:instrText xml:space="preserve"> PAGEREF _Toc492897887 \h </w:instrText>
        </w:r>
        <w:r w:rsidR="00571BF3">
          <w:rPr>
            <w:webHidden/>
          </w:rPr>
        </w:r>
        <w:r w:rsidR="00571BF3">
          <w:rPr>
            <w:webHidden/>
          </w:rPr>
          <w:fldChar w:fldCharType="separate"/>
        </w:r>
        <w:r w:rsidR="00571BF3">
          <w:rPr>
            <w:webHidden/>
          </w:rPr>
          <w:t>5</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88" w:history="1">
        <w:r w:rsidR="00571BF3" w:rsidRPr="00F17835">
          <w:rPr>
            <w:rStyle w:val="Hyperlink"/>
            <w:rFonts w:cs="Arial"/>
          </w:rPr>
          <w:t>1.6 Roles &amp; Responsibilities</w:t>
        </w:r>
        <w:r w:rsidR="00571BF3">
          <w:rPr>
            <w:webHidden/>
          </w:rPr>
          <w:tab/>
        </w:r>
        <w:r w:rsidR="00571BF3">
          <w:rPr>
            <w:webHidden/>
          </w:rPr>
          <w:fldChar w:fldCharType="begin"/>
        </w:r>
        <w:r w:rsidR="00571BF3">
          <w:rPr>
            <w:webHidden/>
          </w:rPr>
          <w:instrText xml:space="preserve"> PAGEREF _Toc492897888 \h </w:instrText>
        </w:r>
        <w:r w:rsidR="00571BF3">
          <w:rPr>
            <w:webHidden/>
          </w:rPr>
        </w:r>
        <w:r w:rsidR="00571BF3">
          <w:rPr>
            <w:webHidden/>
          </w:rPr>
          <w:fldChar w:fldCharType="separate"/>
        </w:r>
        <w:r w:rsidR="00571BF3">
          <w:rPr>
            <w:webHidden/>
          </w:rPr>
          <w:t>5</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89" w:history="1">
        <w:r w:rsidR="00571BF3" w:rsidRPr="00F17835">
          <w:rPr>
            <w:rStyle w:val="Hyperlink"/>
            <w:rFonts w:cs="Arial"/>
          </w:rPr>
          <w:t>1.7 Definitions and Glossary of Terms</w:t>
        </w:r>
        <w:r w:rsidR="00571BF3">
          <w:rPr>
            <w:webHidden/>
          </w:rPr>
          <w:tab/>
        </w:r>
        <w:r w:rsidR="00571BF3">
          <w:rPr>
            <w:webHidden/>
          </w:rPr>
          <w:fldChar w:fldCharType="begin"/>
        </w:r>
        <w:r w:rsidR="00571BF3">
          <w:rPr>
            <w:webHidden/>
          </w:rPr>
          <w:instrText xml:space="preserve"> PAGEREF _Toc492897889 \h </w:instrText>
        </w:r>
        <w:r w:rsidR="00571BF3">
          <w:rPr>
            <w:webHidden/>
          </w:rPr>
        </w:r>
        <w:r w:rsidR="00571BF3">
          <w:rPr>
            <w:webHidden/>
          </w:rPr>
          <w:fldChar w:fldCharType="separate"/>
        </w:r>
        <w:r w:rsidR="00571BF3">
          <w:rPr>
            <w:webHidden/>
          </w:rPr>
          <w:t>6</w:t>
        </w:r>
        <w:r w:rsidR="00571BF3">
          <w:rPr>
            <w:webHidden/>
          </w:rPr>
          <w:fldChar w:fldCharType="end"/>
        </w:r>
      </w:hyperlink>
    </w:p>
    <w:p w:rsidR="00571BF3" w:rsidRDefault="002A61AF">
      <w:pPr>
        <w:pStyle w:val="TOC1"/>
        <w:tabs>
          <w:tab w:val="left" w:pos="567"/>
        </w:tabs>
        <w:rPr>
          <w:rFonts w:asciiTheme="minorHAnsi" w:eastAsiaTheme="minorEastAsia" w:hAnsiTheme="minorHAnsi" w:cstheme="minorBidi"/>
          <w:b w:val="0"/>
          <w:sz w:val="22"/>
          <w:szCs w:val="22"/>
          <w:lang w:eastAsia="en-AU"/>
        </w:rPr>
      </w:pPr>
      <w:hyperlink w:anchor="_Toc492897890" w:history="1">
        <w:r w:rsidR="00571BF3" w:rsidRPr="00F17835">
          <w:rPr>
            <w:rStyle w:val="Hyperlink"/>
          </w:rPr>
          <w:t>2.</w:t>
        </w:r>
        <w:r w:rsidR="00571BF3">
          <w:rPr>
            <w:rFonts w:asciiTheme="minorHAnsi" w:eastAsiaTheme="minorEastAsia" w:hAnsiTheme="minorHAnsi" w:cstheme="minorBidi"/>
            <w:b w:val="0"/>
            <w:sz w:val="22"/>
            <w:szCs w:val="22"/>
            <w:lang w:eastAsia="en-AU"/>
          </w:rPr>
          <w:tab/>
        </w:r>
        <w:r w:rsidR="00571BF3" w:rsidRPr="00F17835">
          <w:rPr>
            <w:rStyle w:val="Hyperlink"/>
          </w:rPr>
          <w:t>Key Policy References</w:t>
        </w:r>
        <w:r w:rsidR="00571BF3">
          <w:rPr>
            <w:webHidden/>
          </w:rPr>
          <w:tab/>
        </w:r>
        <w:r w:rsidR="00571BF3">
          <w:rPr>
            <w:webHidden/>
          </w:rPr>
          <w:fldChar w:fldCharType="begin"/>
        </w:r>
        <w:r w:rsidR="00571BF3">
          <w:rPr>
            <w:webHidden/>
          </w:rPr>
          <w:instrText xml:space="preserve"> PAGEREF _Toc492897890 \h </w:instrText>
        </w:r>
        <w:r w:rsidR="00571BF3">
          <w:rPr>
            <w:webHidden/>
          </w:rPr>
        </w:r>
        <w:r w:rsidR="00571BF3">
          <w:rPr>
            <w:webHidden/>
          </w:rPr>
          <w:fldChar w:fldCharType="separate"/>
        </w:r>
        <w:r w:rsidR="00571BF3">
          <w:rPr>
            <w:webHidden/>
          </w:rPr>
          <w:t>8</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1" w:history="1">
        <w:r w:rsidR="00571BF3" w:rsidRPr="00F17835">
          <w:rPr>
            <w:rStyle w:val="Hyperlink"/>
            <w:rFonts w:cs="Arial"/>
          </w:rPr>
          <w:t>2.1 Code of Conduct</w:t>
        </w:r>
        <w:r w:rsidR="00571BF3">
          <w:rPr>
            <w:webHidden/>
          </w:rPr>
          <w:tab/>
        </w:r>
        <w:r w:rsidR="00571BF3">
          <w:rPr>
            <w:webHidden/>
          </w:rPr>
          <w:fldChar w:fldCharType="begin"/>
        </w:r>
        <w:r w:rsidR="00571BF3">
          <w:rPr>
            <w:webHidden/>
          </w:rPr>
          <w:instrText xml:space="preserve"> PAGEREF _Toc492897891 \h </w:instrText>
        </w:r>
        <w:r w:rsidR="00571BF3">
          <w:rPr>
            <w:webHidden/>
          </w:rPr>
        </w:r>
        <w:r w:rsidR="00571BF3">
          <w:rPr>
            <w:webHidden/>
          </w:rPr>
          <w:fldChar w:fldCharType="separate"/>
        </w:r>
        <w:r w:rsidR="00571BF3">
          <w:rPr>
            <w:webHidden/>
          </w:rPr>
          <w:t>8</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2" w:history="1">
        <w:r w:rsidR="00571BF3" w:rsidRPr="00F17835">
          <w:rPr>
            <w:rStyle w:val="Hyperlink"/>
            <w:rFonts w:cs="Arial"/>
          </w:rPr>
          <w:t>2.2 Standing Directions of the Minister for Finance (2016)</w:t>
        </w:r>
        <w:r w:rsidR="00571BF3">
          <w:rPr>
            <w:webHidden/>
          </w:rPr>
          <w:tab/>
        </w:r>
        <w:r w:rsidR="00571BF3">
          <w:rPr>
            <w:webHidden/>
          </w:rPr>
          <w:fldChar w:fldCharType="begin"/>
        </w:r>
        <w:r w:rsidR="00571BF3">
          <w:rPr>
            <w:webHidden/>
          </w:rPr>
          <w:instrText xml:space="preserve"> PAGEREF _Toc492897892 \h </w:instrText>
        </w:r>
        <w:r w:rsidR="00571BF3">
          <w:rPr>
            <w:webHidden/>
          </w:rPr>
        </w:r>
        <w:r w:rsidR="00571BF3">
          <w:rPr>
            <w:webHidden/>
          </w:rPr>
          <w:fldChar w:fldCharType="separate"/>
        </w:r>
        <w:r w:rsidR="00571BF3">
          <w:rPr>
            <w:webHidden/>
          </w:rPr>
          <w:t>8</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3" w:history="1">
        <w:r w:rsidR="00571BF3" w:rsidRPr="00F17835">
          <w:rPr>
            <w:rStyle w:val="Hyperlink"/>
            <w:rFonts w:cs="Arial"/>
          </w:rPr>
          <w:t>2.3 Australian Taxation Office</w:t>
        </w:r>
        <w:r w:rsidR="00571BF3">
          <w:rPr>
            <w:webHidden/>
          </w:rPr>
          <w:tab/>
        </w:r>
        <w:r w:rsidR="00571BF3">
          <w:rPr>
            <w:webHidden/>
          </w:rPr>
          <w:fldChar w:fldCharType="begin"/>
        </w:r>
        <w:r w:rsidR="00571BF3">
          <w:rPr>
            <w:webHidden/>
          </w:rPr>
          <w:instrText xml:space="preserve"> PAGEREF _Toc492897893 \h </w:instrText>
        </w:r>
        <w:r w:rsidR="00571BF3">
          <w:rPr>
            <w:webHidden/>
          </w:rPr>
        </w:r>
        <w:r w:rsidR="00571BF3">
          <w:rPr>
            <w:webHidden/>
          </w:rPr>
          <w:fldChar w:fldCharType="separate"/>
        </w:r>
        <w:r w:rsidR="00571BF3">
          <w:rPr>
            <w:webHidden/>
          </w:rPr>
          <w:t>9</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4" w:history="1">
        <w:r w:rsidR="00571BF3" w:rsidRPr="00F17835">
          <w:rPr>
            <w:rStyle w:val="Hyperlink"/>
            <w:rFonts w:cs="Arial"/>
          </w:rPr>
          <w:t>2.4 Independent Broad-based Anti-corruption Commission</w:t>
        </w:r>
        <w:r w:rsidR="00571BF3">
          <w:rPr>
            <w:webHidden/>
          </w:rPr>
          <w:tab/>
        </w:r>
        <w:r w:rsidR="00571BF3">
          <w:rPr>
            <w:webHidden/>
          </w:rPr>
          <w:fldChar w:fldCharType="begin"/>
        </w:r>
        <w:r w:rsidR="00571BF3">
          <w:rPr>
            <w:webHidden/>
          </w:rPr>
          <w:instrText xml:space="preserve"> PAGEREF _Toc492897894 \h </w:instrText>
        </w:r>
        <w:r w:rsidR="00571BF3">
          <w:rPr>
            <w:webHidden/>
          </w:rPr>
        </w:r>
        <w:r w:rsidR="00571BF3">
          <w:rPr>
            <w:webHidden/>
          </w:rPr>
          <w:fldChar w:fldCharType="separate"/>
        </w:r>
        <w:r w:rsidR="00571BF3">
          <w:rPr>
            <w:webHidden/>
          </w:rPr>
          <w:t>9</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5" w:history="1">
        <w:r w:rsidR="00571BF3" w:rsidRPr="00F17835">
          <w:rPr>
            <w:rStyle w:val="Hyperlink"/>
            <w:rFonts w:cs="Arial"/>
          </w:rPr>
          <w:t>2.5 Internal Audit and Compliance</w:t>
        </w:r>
        <w:r w:rsidR="00571BF3">
          <w:rPr>
            <w:webHidden/>
          </w:rPr>
          <w:tab/>
        </w:r>
        <w:r w:rsidR="00571BF3">
          <w:rPr>
            <w:webHidden/>
          </w:rPr>
          <w:fldChar w:fldCharType="begin"/>
        </w:r>
        <w:r w:rsidR="00571BF3">
          <w:rPr>
            <w:webHidden/>
          </w:rPr>
          <w:instrText xml:space="preserve"> PAGEREF _Toc492897895 \h </w:instrText>
        </w:r>
        <w:r w:rsidR="00571BF3">
          <w:rPr>
            <w:webHidden/>
          </w:rPr>
        </w:r>
        <w:r w:rsidR="00571BF3">
          <w:rPr>
            <w:webHidden/>
          </w:rPr>
          <w:fldChar w:fldCharType="separate"/>
        </w:r>
        <w:r w:rsidR="00571BF3">
          <w:rPr>
            <w:webHidden/>
          </w:rPr>
          <w:t>9</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6" w:history="1">
        <w:r w:rsidR="00571BF3" w:rsidRPr="00F17835">
          <w:rPr>
            <w:rStyle w:val="Hyperlink"/>
            <w:rFonts w:cs="Arial"/>
          </w:rPr>
          <w:t>2.6 Consequences for misuse of public funds</w:t>
        </w:r>
        <w:r w:rsidR="00571BF3">
          <w:rPr>
            <w:webHidden/>
          </w:rPr>
          <w:tab/>
        </w:r>
        <w:r w:rsidR="00571BF3">
          <w:rPr>
            <w:webHidden/>
          </w:rPr>
          <w:fldChar w:fldCharType="begin"/>
        </w:r>
        <w:r w:rsidR="00571BF3">
          <w:rPr>
            <w:webHidden/>
          </w:rPr>
          <w:instrText xml:space="preserve"> PAGEREF _Toc492897896 \h </w:instrText>
        </w:r>
        <w:r w:rsidR="00571BF3">
          <w:rPr>
            <w:webHidden/>
          </w:rPr>
        </w:r>
        <w:r w:rsidR="00571BF3">
          <w:rPr>
            <w:webHidden/>
          </w:rPr>
          <w:fldChar w:fldCharType="separate"/>
        </w:r>
        <w:r w:rsidR="00571BF3">
          <w:rPr>
            <w:webHidden/>
          </w:rPr>
          <w:t>9</w:t>
        </w:r>
        <w:r w:rsidR="00571BF3">
          <w:rPr>
            <w:webHidden/>
          </w:rPr>
          <w:fldChar w:fldCharType="end"/>
        </w:r>
      </w:hyperlink>
    </w:p>
    <w:p w:rsidR="00571BF3" w:rsidRDefault="002A61AF">
      <w:pPr>
        <w:pStyle w:val="TOC1"/>
        <w:tabs>
          <w:tab w:val="left" w:pos="567"/>
        </w:tabs>
        <w:rPr>
          <w:rFonts w:asciiTheme="minorHAnsi" w:eastAsiaTheme="minorEastAsia" w:hAnsiTheme="minorHAnsi" w:cstheme="minorBidi"/>
          <w:b w:val="0"/>
          <w:sz w:val="22"/>
          <w:szCs w:val="22"/>
          <w:lang w:eastAsia="en-AU"/>
        </w:rPr>
      </w:pPr>
      <w:hyperlink w:anchor="_Toc492897897" w:history="1">
        <w:r w:rsidR="00571BF3" w:rsidRPr="00F17835">
          <w:rPr>
            <w:rStyle w:val="Hyperlink"/>
          </w:rPr>
          <w:t>3.</w:t>
        </w:r>
        <w:r w:rsidR="00571BF3">
          <w:rPr>
            <w:rFonts w:asciiTheme="minorHAnsi" w:eastAsiaTheme="minorEastAsia" w:hAnsiTheme="minorHAnsi" w:cstheme="minorBidi"/>
            <w:b w:val="0"/>
            <w:sz w:val="22"/>
            <w:szCs w:val="22"/>
            <w:lang w:eastAsia="en-AU"/>
          </w:rPr>
          <w:tab/>
        </w:r>
        <w:r w:rsidR="00571BF3" w:rsidRPr="00F17835">
          <w:rPr>
            <w:rStyle w:val="Hyperlink"/>
          </w:rPr>
          <w:t>Guidelines</w:t>
        </w:r>
        <w:r w:rsidR="00571BF3">
          <w:rPr>
            <w:webHidden/>
          </w:rPr>
          <w:tab/>
        </w:r>
        <w:r w:rsidR="00571BF3">
          <w:rPr>
            <w:webHidden/>
          </w:rPr>
          <w:fldChar w:fldCharType="begin"/>
        </w:r>
        <w:r w:rsidR="00571BF3">
          <w:rPr>
            <w:webHidden/>
          </w:rPr>
          <w:instrText xml:space="preserve"> PAGEREF _Toc492897897 \h </w:instrText>
        </w:r>
        <w:r w:rsidR="00571BF3">
          <w:rPr>
            <w:webHidden/>
          </w:rPr>
        </w:r>
        <w:r w:rsidR="00571BF3">
          <w:rPr>
            <w:webHidden/>
          </w:rPr>
          <w:fldChar w:fldCharType="separate"/>
        </w:r>
        <w:r w:rsidR="00571BF3">
          <w:rPr>
            <w:webHidden/>
          </w:rPr>
          <w:t>11</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8" w:history="1">
        <w:r w:rsidR="00571BF3" w:rsidRPr="00F17835">
          <w:rPr>
            <w:rStyle w:val="Hyperlink"/>
            <w:rFonts w:cs="Arial"/>
          </w:rPr>
          <w:t>3.1 Administrative</w:t>
        </w:r>
        <w:r w:rsidR="00571BF3">
          <w:rPr>
            <w:webHidden/>
          </w:rPr>
          <w:tab/>
        </w:r>
        <w:r w:rsidR="00571BF3">
          <w:rPr>
            <w:webHidden/>
          </w:rPr>
          <w:fldChar w:fldCharType="begin"/>
        </w:r>
        <w:r w:rsidR="00571BF3">
          <w:rPr>
            <w:webHidden/>
          </w:rPr>
          <w:instrText xml:space="preserve"> PAGEREF _Toc492897898 \h </w:instrText>
        </w:r>
        <w:r w:rsidR="00571BF3">
          <w:rPr>
            <w:webHidden/>
          </w:rPr>
        </w:r>
        <w:r w:rsidR="00571BF3">
          <w:rPr>
            <w:webHidden/>
          </w:rPr>
          <w:fldChar w:fldCharType="separate"/>
        </w:r>
        <w:r w:rsidR="00571BF3">
          <w:rPr>
            <w:webHidden/>
          </w:rPr>
          <w:t>11</w:t>
        </w:r>
        <w:r w:rsidR="00571BF3">
          <w:rPr>
            <w:webHidden/>
          </w:rPr>
          <w:fldChar w:fldCharType="end"/>
        </w:r>
      </w:hyperlink>
    </w:p>
    <w:p w:rsidR="00571BF3" w:rsidRDefault="002A61AF">
      <w:pPr>
        <w:pStyle w:val="TOC2"/>
        <w:rPr>
          <w:rFonts w:asciiTheme="minorHAnsi" w:eastAsiaTheme="minorEastAsia" w:hAnsiTheme="minorHAnsi" w:cstheme="minorBidi"/>
          <w:sz w:val="22"/>
          <w:szCs w:val="22"/>
          <w:lang w:eastAsia="en-AU"/>
        </w:rPr>
      </w:pPr>
      <w:hyperlink w:anchor="_Toc492897899" w:history="1">
        <w:r w:rsidR="00571BF3" w:rsidRPr="00F17835">
          <w:rPr>
            <w:rStyle w:val="Hyperlink"/>
          </w:rPr>
          <w:t>3.2 Business Expenses</w:t>
        </w:r>
        <w:r w:rsidR="00571BF3">
          <w:rPr>
            <w:webHidden/>
          </w:rPr>
          <w:tab/>
        </w:r>
        <w:r w:rsidR="00571BF3">
          <w:rPr>
            <w:webHidden/>
          </w:rPr>
          <w:fldChar w:fldCharType="begin"/>
        </w:r>
        <w:r w:rsidR="00571BF3">
          <w:rPr>
            <w:webHidden/>
          </w:rPr>
          <w:instrText xml:space="preserve"> PAGEREF _Toc492897899 \h </w:instrText>
        </w:r>
        <w:r w:rsidR="00571BF3">
          <w:rPr>
            <w:webHidden/>
          </w:rPr>
        </w:r>
        <w:r w:rsidR="00571BF3">
          <w:rPr>
            <w:webHidden/>
          </w:rPr>
          <w:fldChar w:fldCharType="separate"/>
        </w:r>
        <w:r w:rsidR="00571BF3">
          <w:rPr>
            <w:webHidden/>
          </w:rPr>
          <w:t>13</w:t>
        </w:r>
        <w:r w:rsidR="00571BF3">
          <w:rPr>
            <w:webHidden/>
          </w:rPr>
          <w:fldChar w:fldCharType="end"/>
        </w:r>
      </w:hyperlink>
    </w:p>
    <w:p w:rsidR="003E2E12" w:rsidRPr="003072C6" w:rsidRDefault="00E15DA9" w:rsidP="00213772">
      <w:pPr>
        <w:pStyle w:val="TOC2"/>
        <w:rPr>
          <w:noProof w:val="0"/>
        </w:rPr>
      </w:pPr>
      <w:r w:rsidRPr="003072C6">
        <w:rPr>
          <w:noProof w:val="0"/>
        </w:rPr>
        <w:fldChar w:fldCharType="end"/>
      </w:r>
    </w:p>
    <w:p w:rsidR="007668D0" w:rsidRPr="000437FD" w:rsidRDefault="003E2E12" w:rsidP="00861D13">
      <w:pPr>
        <w:pStyle w:val="Heading1"/>
        <w:numPr>
          <w:ilvl w:val="0"/>
          <w:numId w:val="30"/>
        </w:numPr>
        <w:spacing w:after="240"/>
        <w:ind w:left="851" w:hanging="851"/>
        <w:rPr>
          <w:rFonts w:cs="Arial"/>
        </w:rPr>
      </w:pPr>
      <w:r w:rsidRPr="003072C6">
        <w:br w:type="page"/>
      </w:r>
      <w:bookmarkStart w:id="1" w:name="_Toc448845488"/>
      <w:bookmarkStart w:id="2" w:name="_Toc476565093"/>
      <w:bookmarkStart w:id="3" w:name="_Toc492897882"/>
      <w:r w:rsidR="007668D0" w:rsidRPr="000437FD">
        <w:rPr>
          <w:rFonts w:cs="Arial"/>
        </w:rPr>
        <w:lastRenderedPageBreak/>
        <w:t>Introduction</w:t>
      </w:r>
      <w:bookmarkEnd w:id="1"/>
      <w:bookmarkEnd w:id="2"/>
      <w:bookmarkEnd w:id="3"/>
    </w:p>
    <w:tbl>
      <w:tblPr>
        <w:tblStyle w:val="TableGrid"/>
        <w:tblpPr w:leftFromText="180" w:rightFromText="180" w:vertAnchor="text" w:horzAnchor="margin" w:tblpY="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912548" w:rsidRPr="000437FD" w:rsidTr="007871D5">
        <w:trPr>
          <w:trHeight w:val="1134"/>
        </w:trPr>
        <w:tc>
          <w:tcPr>
            <w:tcW w:w="8777" w:type="dxa"/>
            <w:shd w:val="clear" w:color="auto" w:fill="CCC0D9"/>
          </w:tcPr>
          <w:p w:rsidR="00B442BA" w:rsidRPr="00B442BA" w:rsidRDefault="00912548" w:rsidP="007871D5">
            <w:pPr>
              <w:spacing w:line="280" w:lineRule="atLeast"/>
              <w:jc w:val="both"/>
              <w:rPr>
                <w:rFonts w:ascii="Arial" w:hAnsi="Arial" w:cs="Arial"/>
                <w:b/>
                <w:sz w:val="19"/>
                <w:szCs w:val="19"/>
              </w:rPr>
            </w:pPr>
            <w:bookmarkStart w:id="4" w:name="_Toc476565094"/>
            <w:r w:rsidRPr="0030097C">
              <w:rPr>
                <w:rFonts w:ascii="Arial" w:hAnsi="Arial"/>
                <w:b/>
                <w:noProof/>
                <w:sz w:val="19"/>
                <w:szCs w:val="19"/>
                <w:lang w:eastAsia="en-AU"/>
              </w:rPr>
              <w:drawing>
                <wp:anchor distT="0" distB="0" distL="114300" distR="114300" simplePos="0" relativeHeight="251671552" behindDoc="0" locked="0" layoutInCell="1" allowOverlap="1" wp14:anchorId="0805C01A" wp14:editId="5FA7686E">
                  <wp:simplePos x="0" y="0"/>
                  <wp:positionH relativeFrom="column">
                    <wp:posOffset>-23495</wp:posOffset>
                  </wp:positionH>
                  <wp:positionV relativeFrom="paragraph">
                    <wp:posOffset>52705</wp:posOffset>
                  </wp:positionV>
                  <wp:extent cx="357505" cy="315595"/>
                  <wp:effectExtent l="0" t="0" r="4445" b="8255"/>
                  <wp:wrapThrough wrapText="bothSides">
                    <wp:wrapPolygon edited="0">
                      <wp:start x="6906" y="0"/>
                      <wp:lineTo x="0" y="16950"/>
                      <wp:lineTo x="0" y="20861"/>
                      <wp:lineTo x="20718" y="20861"/>
                      <wp:lineTo x="20718" y="16950"/>
                      <wp:lineTo x="13812" y="0"/>
                      <wp:lineTo x="6906" y="0"/>
                    </wp:wrapPolygon>
                  </wp:wrapThrough>
                  <wp:docPr id="7" name="Picture 315" descr="C:\Users\maylissa.ollivier\AppData\Local\Microsoft\Windows\Temporary Internet Files\Content.IE5\IYXJULP0\563px-South_Africa_-_General_Warn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Users\maylissa.ollivier\AppData\Local\Microsoft\Windows\Temporary Internet Files\Content.IE5\IYXJULP0\563px-South_Africa_-_General_Warning_sign.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7FD">
              <w:rPr>
                <w:rFonts w:ascii="Arial" w:hAnsi="Arial" w:cs="Arial"/>
                <w:sz w:val="19"/>
                <w:szCs w:val="19"/>
              </w:rPr>
              <w:t xml:space="preserve"> </w:t>
            </w:r>
            <w:r w:rsidR="00B442BA">
              <w:rPr>
                <w:rFonts w:ascii="Arial" w:hAnsi="Arial" w:cs="Arial"/>
                <w:b/>
                <w:sz w:val="19"/>
                <w:szCs w:val="19"/>
              </w:rPr>
              <w:t>The 4 Key Factors</w:t>
            </w:r>
          </w:p>
          <w:p w:rsidR="00912548" w:rsidRDefault="00912548" w:rsidP="007871D5">
            <w:pPr>
              <w:spacing w:line="280" w:lineRule="atLeast"/>
              <w:jc w:val="both"/>
              <w:rPr>
                <w:rFonts w:ascii="Arial" w:hAnsi="Arial" w:cs="Arial"/>
                <w:sz w:val="19"/>
                <w:szCs w:val="19"/>
              </w:rPr>
            </w:pPr>
            <w:r w:rsidRPr="000437FD">
              <w:rPr>
                <w:rFonts w:ascii="Arial" w:hAnsi="Arial" w:cs="Arial"/>
                <w:sz w:val="19"/>
                <w:szCs w:val="19"/>
              </w:rPr>
              <w:t xml:space="preserve">Business expenses </w:t>
            </w:r>
            <w:r>
              <w:rPr>
                <w:rFonts w:ascii="Arial" w:hAnsi="Arial" w:cs="Arial"/>
                <w:sz w:val="19"/>
                <w:szCs w:val="19"/>
              </w:rPr>
              <w:t>must</w:t>
            </w:r>
            <w:r w:rsidR="00B442BA">
              <w:rPr>
                <w:rFonts w:ascii="Arial" w:hAnsi="Arial" w:cs="Arial"/>
                <w:sz w:val="19"/>
                <w:szCs w:val="19"/>
              </w:rPr>
              <w:t xml:space="preserve"> be </w:t>
            </w:r>
            <w:r w:rsidR="00B442BA" w:rsidRPr="00B442BA">
              <w:rPr>
                <w:rFonts w:ascii="Arial" w:hAnsi="Arial" w:cs="Arial"/>
                <w:b/>
                <w:caps/>
                <w:sz w:val="19"/>
                <w:szCs w:val="19"/>
              </w:rPr>
              <w:t>all</w:t>
            </w:r>
            <w:r w:rsidR="00B442BA">
              <w:rPr>
                <w:rFonts w:ascii="Arial" w:hAnsi="Arial" w:cs="Arial"/>
                <w:sz w:val="19"/>
                <w:szCs w:val="19"/>
              </w:rPr>
              <w:t xml:space="preserve"> of the following factors</w:t>
            </w:r>
            <w:r w:rsidRPr="000437FD">
              <w:rPr>
                <w:rFonts w:ascii="Arial" w:hAnsi="Arial" w:cs="Arial"/>
                <w:sz w:val="19"/>
                <w:szCs w:val="19"/>
              </w:rPr>
              <w:t>:</w:t>
            </w:r>
          </w:p>
          <w:p w:rsidR="00BF2C21" w:rsidRPr="000437FD" w:rsidRDefault="00BF2C21" w:rsidP="007871D5">
            <w:pPr>
              <w:spacing w:line="280" w:lineRule="atLeast"/>
              <w:jc w:val="both"/>
              <w:rPr>
                <w:rFonts w:ascii="Arial" w:hAnsi="Arial" w:cs="Arial"/>
                <w:sz w:val="19"/>
                <w:szCs w:val="19"/>
              </w:rPr>
            </w:pPr>
          </w:p>
          <w:p w:rsidR="00912548" w:rsidRPr="000437FD" w:rsidRDefault="00912548" w:rsidP="00861D13">
            <w:pPr>
              <w:pStyle w:val="ListParagraph"/>
              <w:numPr>
                <w:ilvl w:val="0"/>
                <w:numId w:val="31"/>
              </w:numPr>
              <w:spacing w:line="280" w:lineRule="atLeast"/>
              <w:jc w:val="both"/>
              <w:rPr>
                <w:rFonts w:ascii="Arial" w:hAnsi="Arial"/>
                <w:sz w:val="19"/>
                <w:szCs w:val="19"/>
              </w:rPr>
            </w:pPr>
            <w:r>
              <w:rPr>
                <w:rFonts w:ascii="Arial" w:hAnsi="Arial"/>
                <w:sz w:val="19"/>
                <w:szCs w:val="19"/>
              </w:rPr>
              <w:t>b</w:t>
            </w:r>
            <w:r w:rsidRPr="000437FD">
              <w:rPr>
                <w:rFonts w:ascii="Arial" w:hAnsi="Arial"/>
                <w:sz w:val="19"/>
                <w:szCs w:val="19"/>
              </w:rPr>
              <w:t xml:space="preserve">e for the benefit of the </w:t>
            </w:r>
            <w:r>
              <w:rPr>
                <w:rFonts w:ascii="Arial" w:hAnsi="Arial"/>
                <w:sz w:val="19"/>
                <w:szCs w:val="19"/>
              </w:rPr>
              <w:t>health s</w:t>
            </w:r>
            <w:r w:rsidRPr="000437FD">
              <w:rPr>
                <w:rFonts w:ascii="Arial" w:hAnsi="Arial"/>
                <w:sz w:val="19"/>
                <w:szCs w:val="19"/>
              </w:rPr>
              <w:t>ervice;</w:t>
            </w:r>
          </w:p>
          <w:p w:rsidR="00912548" w:rsidRPr="000437FD" w:rsidRDefault="00912548" w:rsidP="00861D13">
            <w:pPr>
              <w:pStyle w:val="ListParagraph"/>
              <w:numPr>
                <w:ilvl w:val="0"/>
                <w:numId w:val="31"/>
              </w:numPr>
              <w:spacing w:line="280" w:lineRule="atLeast"/>
              <w:jc w:val="both"/>
              <w:rPr>
                <w:rFonts w:ascii="Arial" w:hAnsi="Arial"/>
                <w:sz w:val="19"/>
                <w:szCs w:val="19"/>
              </w:rPr>
            </w:pPr>
            <w:r>
              <w:rPr>
                <w:rFonts w:ascii="Arial" w:hAnsi="Arial"/>
                <w:sz w:val="19"/>
                <w:szCs w:val="19"/>
              </w:rPr>
              <w:t xml:space="preserve">be modest, appropriate and </w:t>
            </w:r>
            <w:r w:rsidRPr="000437FD">
              <w:rPr>
                <w:rFonts w:ascii="Arial" w:hAnsi="Arial"/>
                <w:sz w:val="19"/>
                <w:szCs w:val="19"/>
              </w:rPr>
              <w:t>reasonable;</w:t>
            </w:r>
          </w:p>
          <w:p w:rsidR="00912548" w:rsidRPr="000437FD" w:rsidRDefault="00912548" w:rsidP="00861D13">
            <w:pPr>
              <w:pStyle w:val="ListParagraph"/>
              <w:numPr>
                <w:ilvl w:val="0"/>
                <w:numId w:val="31"/>
              </w:numPr>
              <w:spacing w:line="280" w:lineRule="atLeast"/>
              <w:jc w:val="both"/>
              <w:rPr>
                <w:rFonts w:ascii="Arial" w:hAnsi="Arial"/>
                <w:sz w:val="19"/>
                <w:szCs w:val="19"/>
              </w:rPr>
            </w:pPr>
            <w:r>
              <w:rPr>
                <w:rFonts w:ascii="Arial" w:hAnsi="Arial"/>
                <w:sz w:val="19"/>
                <w:szCs w:val="19"/>
              </w:rPr>
              <w:t>e</w:t>
            </w:r>
            <w:r w:rsidRPr="000437FD">
              <w:rPr>
                <w:rFonts w:ascii="Arial" w:hAnsi="Arial"/>
                <w:sz w:val="19"/>
                <w:szCs w:val="19"/>
              </w:rPr>
              <w:t xml:space="preserve">nsure value for money; </w:t>
            </w:r>
            <w:r w:rsidRPr="00B442BA">
              <w:rPr>
                <w:rFonts w:ascii="Arial" w:hAnsi="Arial"/>
                <w:b/>
                <w:sz w:val="19"/>
                <w:szCs w:val="19"/>
              </w:rPr>
              <w:t>and</w:t>
            </w:r>
          </w:p>
          <w:p w:rsidR="00912548" w:rsidRDefault="00912548" w:rsidP="00861D13">
            <w:pPr>
              <w:pStyle w:val="ListParagraph"/>
              <w:numPr>
                <w:ilvl w:val="0"/>
                <w:numId w:val="31"/>
              </w:numPr>
              <w:spacing w:line="280" w:lineRule="atLeast"/>
              <w:jc w:val="both"/>
              <w:rPr>
                <w:rFonts w:ascii="Arial" w:hAnsi="Arial"/>
                <w:sz w:val="19"/>
                <w:szCs w:val="19"/>
              </w:rPr>
            </w:pPr>
            <w:r>
              <w:rPr>
                <w:rFonts w:ascii="Arial" w:hAnsi="Arial"/>
                <w:sz w:val="19"/>
                <w:szCs w:val="19"/>
              </w:rPr>
              <w:t>b</w:t>
            </w:r>
            <w:r w:rsidRPr="000437FD">
              <w:rPr>
                <w:rFonts w:ascii="Arial" w:hAnsi="Arial"/>
                <w:sz w:val="19"/>
                <w:szCs w:val="19"/>
              </w:rPr>
              <w:t>e supported by the appropriate approvals and supporting documentation.</w:t>
            </w:r>
          </w:p>
          <w:p w:rsidR="00404F63" w:rsidRPr="00404F63" w:rsidRDefault="00404F63" w:rsidP="00404F63">
            <w:pPr>
              <w:pStyle w:val="ListParagraph"/>
              <w:spacing w:line="280" w:lineRule="atLeast"/>
              <w:ind w:left="1245"/>
              <w:jc w:val="both"/>
              <w:rPr>
                <w:rFonts w:ascii="Arial" w:hAnsi="Arial"/>
                <w:sz w:val="19"/>
                <w:szCs w:val="19"/>
              </w:rPr>
            </w:pPr>
          </w:p>
        </w:tc>
      </w:tr>
    </w:tbl>
    <w:p w:rsidR="006C531D" w:rsidRDefault="006C531D" w:rsidP="006C531D">
      <w:pPr>
        <w:pStyle w:val="Heading2"/>
        <w:spacing w:before="0" w:after="0" w:line="240" w:lineRule="auto"/>
        <w:rPr>
          <w:rFonts w:cs="Arial"/>
        </w:rPr>
      </w:pPr>
    </w:p>
    <w:p w:rsidR="007668D0" w:rsidRPr="000437FD" w:rsidRDefault="00713A5C" w:rsidP="000437FD">
      <w:pPr>
        <w:pStyle w:val="Heading2"/>
        <w:rPr>
          <w:rFonts w:cs="Arial"/>
        </w:rPr>
      </w:pPr>
      <w:bookmarkStart w:id="5" w:name="_Toc492897883"/>
      <w:r>
        <w:rPr>
          <w:rFonts w:cs="Arial"/>
        </w:rPr>
        <w:t xml:space="preserve">1.1 </w:t>
      </w:r>
      <w:r w:rsidR="007668D0" w:rsidRPr="000437FD">
        <w:rPr>
          <w:rFonts w:cs="Arial"/>
        </w:rPr>
        <w:t>Context</w:t>
      </w:r>
      <w:bookmarkEnd w:id="4"/>
      <w:bookmarkEnd w:id="5"/>
      <w:r w:rsidR="007668D0" w:rsidRPr="000437FD">
        <w:rPr>
          <w:rFonts w:cs="Arial"/>
        </w:rPr>
        <w:t xml:space="preserve"> </w:t>
      </w:r>
    </w:p>
    <w:p w:rsidR="007668D0" w:rsidRDefault="007E00CC" w:rsidP="00D52275">
      <w:pPr>
        <w:spacing w:line="280" w:lineRule="atLeast"/>
        <w:jc w:val="both"/>
        <w:rPr>
          <w:rFonts w:ascii="Arial" w:hAnsi="Arial" w:cs="Arial"/>
          <w:sz w:val="19"/>
          <w:szCs w:val="19"/>
        </w:rPr>
      </w:pPr>
      <w:r>
        <w:rPr>
          <w:rFonts w:ascii="Arial" w:hAnsi="Arial" w:cs="Arial"/>
          <w:sz w:val="19"/>
          <w:szCs w:val="19"/>
        </w:rPr>
        <w:t>All public officials have a duty to conduct themselves in accordance with the highest standard of integrity, impartiality and accountability.</w:t>
      </w:r>
      <w:r w:rsidR="00C87485">
        <w:rPr>
          <w:rFonts w:ascii="Arial" w:hAnsi="Arial" w:cs="Arial"/>
          <w:sz w:val="19"/>
          <w:szCs w:val="19"/>
        </w:rPr>
        <w:t xml:space="preserve"> The expenditure of public monies attracts </w:t>
      </w:r>
      <w:r w:rsidR="007668D0" w:rsidRPr="000437FD">
        <w:rPr>
          <w:rFonts w:ascii="Arial" w:hAnsi="Arial" w:cs="Arial"/>
          <w:sz w:val="19"/>
          <w:szCs w:val="19"/>
        </w:rPr>
        <w:t xml:space="preserve">great scrutiny and </w:t>
      </w:r>
      <w:r w:rsidR="00C87485">
        <w:rPr>
          <w:rFonts w:ascii="Arial" w:hAnsi="Arial" w:cs="Arial"/>
          <w:sz w:val="19"/>
          <w:szCs w:val="19"/>
        </w:rPr>
        <w:t xml:space="preserve">it is imperative that officers are able to demonstrate, through effective processes and record keeping, that monies have been spent in line with the public interest. </w:t>
      </w:r>
      <w:r w:rsidR="007668D0" w:rsidRPr="000437FD">
        <w:rPr>
          <w:rFonts w:ascii="Arial" w:hAnsi="Arial" w:cs="Arial"/>
          <w:sz w:val="19"/>
          <w:szCs w:val="19"/>
        </w:rPr>
        <w:t xml:space="preserve">Given this, </w:t>
      </w:r>
      <w:r w:rsidR="00E363FC">
        <w:rPr>
          <w:rFonts w:ascii="Arial" w:hAnsi="Arial" w:cs="Arial"/>
          <w:sz w:val="19"/>
          <w:szCs w:val="19"/>
        </w:rPr>
        <w:t>health s</w:t>
      </w:r>
      <w:r w:rsidR="007668D0" w:rsidRPr="000437FD">
        <w:rPr>
          <w:rFonts w:ascii="Arial" w:hAnsi="Arial" w:cs="Arial"/>
          <w:sz w:val="19"/>
          <w:szCs w:val="19"/>
        </w:rPr>
        <w:t xml:space="preserve">ervices should have a business expense policy that </w:t>
      </w:r>
      <w:r w:rsidR="002A370A">
        <w:rPr>
          <w:rFonts w:ascii="Arial" w:hAnsi="Arial" w:cs="Arial"/>
          <w:sz w:val="19"/>
          <w:szCs w:val="19"/>
        </w:rPr>
        <w:t xml:space="preserve">has </w:t>
      </w:r>
      <w:r w:rsidR="007668D0" w:rsidRPr="000437FD">
        <w:rPr>
          <w:rFonts w:ascii="Arial" w:hAnsi="Arial" w:cs="Arial"/>
          <w:sz w:val="19"/>
          <w:szCs w:val="19"/>
        </w:rPr>
        <w:t>well-defined procedures for</w:t>
      </w:r>
      <w:r w:rsidR="002A370A">
        <w:rPr>
          <w:rFonts w:ascii="Arial" w:hAnsi="Arial" w:cs="Arial"/>
          <w:sz w:val="19"/>
          <w:szCs w:val="19"/>
        </w:rPr>
        <w:t xml:space="preserve"> the authorisation of reasonable </w:t>
      </w:r>
      <w:r w:rsidR="007668D0" w:rsidRPr="000437FD">
        <w:rPr>
          <w:rFonts w:ascii="Arial" w:hAnsi="Arial" w:cs="Arial"/>
          <w:sz w:val="19"/>
          <w:szCs w:val="19"/>
        </w:rPr>
        <w:t xml:space="preserve">business expenses. </w:t>
      </w:r>
      <w:r w:rsidR="008303DF">
        <w:rPr>
          <w:rFonts w:ascii="Arial" w:hAnsi="Arial" w:cs="Arial"/>
          <w:sz w:val="19"/>
          <w:szCs w:val="19"/>
        </w:rPr>
        <w:t>E</w:t>
      </w:r>
      <w:r w:rsidR="00C87485">
        <w:rPr>
          <w:rFonts w:ascii="Arial" w:hAnsi="Arial" w:cs="Arial"/>
          <w:sz w:val="19"/>
          <w:szCs w:val="19"/>
        </w:rPr>
        <w:t xml:space="preserve">ffective policies and controls </w:t>
      </w:r>
      <w:r w:rsidR="008303DF">
        <w:rPr>
          <w:rFonts w:ascii="Arial" w:hAnsi="Arial" w:cs="Arial"/>
          <w:sz w:val="19"/>
          <w:szCs w:val="19"/>
        </w:rPr>
        <w:t xml:space="preserve">also </w:t>
      </w:r>
      <w:r w:rsidR="00C87485">
        <w:rPr>
          <w:rFonts w:ascii="Arial" w:hAnsi="Arial" w:cs="Arial"/>
          <w:sz w:val="19"/>
          <w:szCs w:val="19"/>
        </w:rPr>
        <w:t>act to prevent unauthorised or inappropriate use of public funding.</w:t>
      </w:r>
    </w:p>
    <w:p w:rsidR="00EB2A7D" w:rsidRDefault="00EB2A7D"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There are a variety of policies and proce</w:t>
      </w:r>
      <w:r w:rsidR="00912548">
        <w:rPr>
          <w:rFonts w:ascii="Arial" w:hAnsi="Arial" w:cs="Arial"/>
          <w:sz w:val="19"/>
          <w:szCs w:val="19"/>
        </w:rPr>
        <w:t>sses currently in place within h</w:t>
      </w:r>
      <w:r w:rsidRPr="000437FD">
        <w:rPr>
          <w:rFonts w:ascii="Arial" w:hAnsi="Arial" w:cs="Arial"/>
          <w:sz w:val="19"/>
          <w:szCs w:val="19"/>
        </w:rPr>
        <w:t xml:space="preserve">ealth </w:t>
      </w:r>
      <w:r w:rsidR="00912548">
        <w:rPr>
          <w:rFonts w:ascii="Arial" w:hAnsi="Arial" w:cs="Arial"/>
          <w:sz w:val="19"/>
          <w:szCs w:val="19"/>
        </w:rPr>
        <w:t>s</w:t>
      </w:r>
      <w:r w:rsidRPr="000437FD">
        <w:rPr>
          <w:rFonts w:ascii="Arial" w:hAnsi="Arial" w:cs="Arial"/>
          <w:sz w:val="19"/>
          <w:szCs w:val="19"/>
        </w:rPr>
        <w:t>ervices in Victoria relating to business expenditure. The Department of Health and Human Services</w:t>
      </w:r>
      <w:r w:rsidR="00912548">
        <w:rPr>
          <w:rFonts w:ascii="Arial" w:hAnsi="Arial" w:cs="Arial"/>
          <w:sz w:val="19"/>
          <w:szCs w:val="19"/>
        </w:rPr>
        <w:t xml:space="preserve"> (“the Department”) encourages health s</w:t>
      </w:r>
      <w:r w:rsidRPr="000437FD">
        <w:rPr>
          <w:rFonts w:ascii="Arial" w:hAnsi="Arial" w:cs="Arial"/>
          <w:sz w:val="19"/>
          <w:szCs w:val="19"/>
        </w:rPr>
        <w:t xml:space="preserve">ervices to develop policies </w:t>
      </w:r>
      <w:r w:rsidR="00CE0940">
        <w:rPr>
          <w:rFonts w:ascii="Arial" w:hAnsi="Arial" w:cs="Arial"/>
          <w:sz w:val="19"/>
          <w:szCs w:val="19"/>
        </w:rPr>
        <w:t>that are</w:t>
      </w:r>
      <w:r w:rsidRPr="000437FD">
        <w:rPr>
          <w:rFonts w:ascii="Arial" w:hAnsi="Arial" w:cs="Arial"/>
          <w:sz w:val="19"/>
          <w:szCs w:val="19"/>
        </w:rPr>
        <w:t xml:space="preserve"> clear, defensible and administered with consistency.</w:t>
      </w:r>
    </w:p>
    <w:p w:rsidR="007668D0" w:rsidRPr="000437FD" w:rsidRDefault="00713A5C" w:rsidP="00D52275">
      <w:pPr>
        <w:pStyle w:val="Heading2"/>
        <w:jc w:val="both"/>
        <w:rPr>
          <w:rFonts w:cs="Arial"/>
        </w:rPr>
      </w:pPr>
      <w:bookmarkStart w:id="6" w:name="_Toc476565095"/>
      <w:bookmarkStart w:id="7" w:name="_Toc492897884"/>
      <w:r>
        <w:rPr>
          <w:rFonts w:cs="Arial"/>
        </w:rPr>
        <w:t xml:space="preserve">1.2 </w:t>
      </w:r>
      <w:r w:rsidR="007668D0" w:rsidRPr="000437FD">
        <w:rPr>
          <w:rFonts w:cs="Arial"/>
        </w:rPr>
        <w:t>Scope</w:t>
      </w:r>
      <w:bookmarkEnd w:id="6"/>
      <w:bookmarkEnd w:id="7"/>
      <w:r w:rsidR="007668D0" w:rsidRPr="000437FD">
        <w:rPr>
          <w:rFonts w:cs="Arial"/>
        </w:rPr>
        <w:t xml:space="preserve"> </w:t>
      </w:r>
    </w:p>
    <w:p w:rsidR="007668D0" w:rsidRPr="000437FD" w:rsidRDefault="00E363FC" w:rsidP="00D52275">
      <w:pPr>
        <w:spacing w:line="280" w:lineRule="atLeast"/>
        <w:jc w:val="both"/>
        <w:rPr>
          <w:rFonts w:ascii="Arial" w:hAnsi="Arial" w:cs="Arial"/>
          <w:sz w:val="19"/>
          <w:szCs w:val="19"/>
        </w:rPr>
      </w:pPr>
      <w:r>
        <w:rPr>
          <w:rFonts w:ascii="Arial" w:hAnsi="Arial" w:cs="Arial"/>
          <w:sz w:val="19"/>
          <w:szCs w:val="19"/>
        </w:rPr>
        <w:t>The purpose of this guide i</w:t>
      </w:r>
      <w:r w:rsidR="00912548">
        <w:rPr>
          <w:rFonts w:ascii="Arial" w:hAnsi="Arial" w:cs="Arial"/>
          <w:sz w:val="19"/>
          <w:szCs w:val="19"/>
        </w:rPr>
        <w:t>s to provide health s</w:t>
      </w:r>
      <w:r w:rsidR="007668D0" w:rsidRPr="000437FD">
        <w:rPr>
          <w:rFonts w:ascii="Arial" w:hAnsi="Arial" w:cs="Arial"/>
          <w:sz w:val="19"/>
          <w:szCs w:val="19"/>
        </w:rPr>
        <w:t xml:space="preserve">ervices with guidance on the development of </w:t>
      </w:r>
      <w:r w:rsidR="00CE0940">
        <w:rPr>
          <w:rFonts w:ascii="Arial" w:hAnsi="Arial" w:cs="Arial"/>
          <w:sz w:val="19"/>
          <w:szCs w:val="19"/>
        </w:rPr>
        <w:t xml:space="preserve">best practice </w:t>
      </w:r>
      <w:r w:rsidR="007668D0" w:rsidRPr="000437FD">
        <w:rPr>
          <w:rFonts w:ascii="Arial" w:hAnsi="Arial" w:cs="Arial"/>
          <w:sz w:val="19"/>
          <w:szCs w:val="19"/>
        </w:rPr>
        <w:t xml:space="preserve">policies and processes </w:t>
      </w:r>
      <w:r w:rsidR="00CE0940">
        <w:rPr>
          <w:rFonts w:ascii="Arial" w:hAnsi="Arial" w:cs="Arial"/>
          <w:sz w:val="19"/>
          <w:szCs w:val="19"/>
        </w:rPr>
        <w:t>addressing</w:t>
      </w:r>
      <w:r w:rsidR="00CE0940" w:rsidRPr="000437FD">
        <w:rPr>
          <w:rFonts w:ascii="Arial" w:hAnsi="Arial" w:cs="Arial"/>
          <w:sz w:val="19"/>
          <w:szCs w:val="19"/>
        </w:rPr>
        <w:t xml:space="preserve"> </w:t>
      </w:r>
      <w:r w:rsidR="007668D0" w:rsidRPr="000437FD">
        <w:rPr>
          <w:rFonts w:ascii="Arial" w:hAnsi="Arial" w:cs="Arial"/>
          <w:sz w:val="19"/>
          <w:szCs w:val="19"/>
        </w:rPr>
        <w:t>business expenditure</w:t>
      </w:r>
      <w:r w:rsidR="00CE0940">
        <w:rPr>
          <w:rFonts w:ascii="Arial" w:hAnsi="Arial" w:cs="Arial"/>
          <w:sz w:val="19"/>
          <w:szCs w:val="19"/>
        </w:rPr>
        <w:t>.</w:t>
      </w:r>
      <w:r w:rsidR="007668D0" w:rsidRPr="000437FD">
        <w:rPr>
          <w:rFonts w:ascii="Arial" w:hAnsi="Arial" w:cs="Arial"/>
          <w:sz w:val="19"/>
          <w:szCs w:val="19"/>
        </w:rPr>
        <w:t xml:space="preserve"> </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This document focuses on two major areas:</w:t>
      </w:r>
    </w:p>
    <w:p w:rsidR="007668D0" w:rsidRPr="000437FD" w:rsidRDefault="00CE0940" w:rsidP="00D52275">
      <w:pPr>
        <w:pStyle w:val="ListParagraph"/>
        <w:numPr>
          <w:ilvl w:val="0"/>
          <w:numId w:val="20"/>
        </w:numPr>
        <w:spacing w:line="280" w:lineRule="atLeast"/>
        <w:jc w:val="both"/>
        <w:rPr>
          <w:rFonts w:ascii="Arial" w:hAnsi="Arial"/>
          <w:sz w:val="19"/>
          <w:szCs w:val="19"/>
        </w:rPr>
      </w:pPr>
      <w:r>
        <w:rPr>
          <w:rFonts w:ascii="Arial" w:hAnsi="Arial"/>
          <w:sz w:val="19"/>
          <w:szCs w:val="19"/>
        </w:rPr>
        <w:t>t</w:t>
      </w:r>
      <w:r w:rsidRPr="000437FD">
        <w:rPr>
          <w:rFonts w:ascii="Arial" w:hAnsi="Arial"/>
          <w:sz w:val="19"/>
          <w:szCs w:val="19"/>
        </w:rPr>
        <w:t xml:space="preserve">he </w:t>
      </w:r>
      <w:r w:rsidR="007668D0" w:rsidRPr="000437FD">
        <w:rPr>
          <w:rFonts w:ascii="Arial" w:hAnsi="Arial"/>
          <w:sz w:val="19"/>
          <w:szCs w:val="19"/>
        </w:rPr>
        <w:t xml:space="preserve">administration </w:t>
      </w:r>
      <w:r w:rsidR="00E363FC">
        <w:rPr>
          <w:rFonts w:ascii="Arial" w:hAnsi="Arial"/>
          <w:sz w:val="19"/>
          <w:szCs w:val="19"/>
        </w:rPr>
        <w:t xml:space="preserve">of business expenses at </w:t>
      </w:r>
      <w:r w:rsidR="00912548">
        <w:rPr>
          <w:rFonts w:ascii="Arial" w:hAnsi="Arial"/>
          <w:sz w:val="19"/>
          <w:szCs w:val="19"/>
        </w:rPr>
        <w:t>h</w:t>
      </w:r>
      <w:r w:rsidR="00E363FC">
        <w:rPr>
          <w:rFonts w:ascii="Arial" w:hAnsi="Arial"/>
          <w:sz w:val="19"/>
          <w:szCs w:val="19"/>
        </w:rPr>
        <w:t>ealth s</w:t>
      </w:r>
      <w:r w:rsidR="007668D0" w:rsidRPr="000437FD">
        <w:rPr>
          <w:rFonts w:ascii="Arial" w:hAnsi="Arial"/>
          <w:sz w:val="19"/>
          <w:szCs w:val="19"/>
        </w:rPr>
        <w:t>ervice level; and</w:t>
      </w:r>
    </w:p>
    <w:p w:rsidR="007668D0" w:rsidRPr="000437FD" w:rsidRDefault="00CE0940" w:rsidP="00D52275">
      <w:pPr>
        <w:pStyle w:val="ListParagraph"/>
        <w:numPr>
          <w:ilvl w:val="0"/>
          <w:numId w:val="20"/>
        </w:numPr>
        <w:spacing w:line="280" w:lineRule="atLeast"/>
        <w:jc w:val="both"/>
        <w:rPr>
          <w:rFonts w:ascii="Arial" w:hAnsi="Arial"/>
          <w:sz w:val="19"/>
          <w:szCs w:val="19"/>
        </w:rPr>
      </w:pPr>
      <w:r>
        <w:rPr>
          <w:rFonts w:ascii="Arial" w:hAnsi="Arial"/>
          <w:sz w:val="19"/>
          <w:szCs w:val="19"/>
        </w:rPr>
        <w:t>t</w:t>
      </w:r>
      <w:r w:rsidRPr="000437FD">
        <w:rPr>
          <w:rFonts w:ascii="Arial" w:hAnsi="Arial"/>
          <w:sz w:val="19"/>
          <w:szCs w:val="19"/>
        </w:rPr>
        <w:t xml:space="preserve">he </w:t>
      </w:r>
      <w:r w:rsidR="007668D0" w:rsidRPr="000437FD">
        <w:rPr>
          <w:rFonts w:ascii="Arial" w:hAnsi="Arial"/>
          <w:sz w:val="19"/>
          <w:szCs w:val="19"/>
        </w:rPr>
        <w:t>occurrence of business expenses by individuals.</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It is important to note that this guide does not address operational expenses incurred by the </w:t>
      </w:r>
      <w:r w:rsidR="00912548">
        <w:rPr>
          <w:rFonts w:ascii="Arial" w:hAnsi="Arial" w:cs="Arial"/>
          <w:sz w:val="19"/>
          <w:szCs w:val="19"/>
        </w:rPr>
        <w:t>health s</w:t>
      </w:r>
      <w:r w:rsidRPr="000437FD">
        <w:rPr>
          <w:rFonts w:ascii="Arial" w:hAnsi="Arial" w:cs="Arial"/>
          <w:sz w:val="19"/>
          <w:szCs w:val="19"/>
        </w:rPr>
        <w:t>ervice for the provision of services.</w:t>
      </w:r>
    </w:p>
    <w:p w:rsidR="007668D0" w:rsidRPr="000437FD" w:rsidRDefault="00713A5C" w:rsidP="00D52275">
      <w:pPr>
        <w:pStyle w:val="Heading2"/>
        <w:jc w:val="both"/>
        <w:rPr>
          <w:rFonts w:cs="Arial"/>
        </w:rPr>
      </w:pPr>
      <w:bookmarkStart w:id="8" w:name="_Toc476565096"/>
      <w:bookmarkStart w:id="9" w:name="_Toc492897885"/>
      <w:r>
        <w:rPr>
          <w:rFonts w:cs="Arial"/>
        </w:rPr>
        <w:t xml:space="preserve">1.3 </w:t>
      </w:r>
      <w:r w:rsidR="007668D0" w:rsidRPr="000437FD">
        <w:rPr>
          <w:rFonts w:cs="Arial"/>
        </w:rPr>
        <w:t>Objective</w:t>
      </w:r>
      <w:bookmarkEnd w:id="8"/>
      <w:bookmarkEnd w:id="9"/>
    </w:p>
    <w:p w:rsidR="00380DF8" w:rsidRDefault="00912548" w:rsidP="004E0A4C">
      <w:pPr>
        <w:spacing w:line="280" w:lineRule="atLeast"/>
        <w:jc w:val="both"/>
        <w:rPr>
          <w:rFonts w:ascii="Arial" w:hAnsi="Arial" w:cs="Arial"/>
          <w:sz w:val="19"/>
          <w:szCs w:val="19"/>
        </w:rPr>
      </w:pPr>
      <w:r>
        <w:rPr>
          <w:rFonts w:ascii="Arial" w:hAnsi="Arial" w:cs="Arial"/>
          <w:sz w:val="19"/>
          <w:szCs w:val="19"/>
        </w:rPr>
        <w:t>This guide is designed to help health s</w:t>
      </w:r>
      <w:r w:rsidR="007668D0" w:rsidRPr="004E0A4C">
        <w:rPr>
          <w:rFonts w:ascii="Arial" w:hAnsi="Arial" w:cs="Arial"/>
          <w:sz w:val="19"/>
          <w:szCs w:val="19"/>
        </w:rPr>
        <w:t xml:space="preserve">ervices develop and implement business expense policies that are in line with the standards expected of publicly funded institutions. </w:t>
      </w:r>
      <w:r w:rsidR="001B3233" w:rsidRPr="004E0A4C">
        <w:rPr>
          <w:rFonts w:ascii="Arial" w:hAnsi="Arial" w:cs="Arial"/>
          <w:sz w:val="19"/>
          <w:szCs w:val="19"/>
        </w:rPr>
        <w:t>Business expenses are reasonable work</w:t>
      </w:r>
      <w:r w:rsidR="003E5912" w:rsidRPr="004E0A4C">
        <w:rPr>
          <w:rFonts w:ascii="Arial" w:hAnsi="Arial" w:cs="Arial"/>
          <w:sz w:val="19"/>
          <w:szCs w:val="19"/>
        </w:rPr>
        <w:t>-</w:t>
      </w:r>
      <w:r w:rsidR="001B3233" w:rsidRPr="004E0A4C">
        <w:rPr>
          <w:rFonts w:ascii="Arial" w:hAnsi="Arial" w:cs="Arial"/>
          <w:sz w:val="19"/>
          <w:szCs w:val="19"/>
        </w:rPr>
        <w:t xml:space="preserve">related expenses incurred by staff in the course of performing their official duties. </w:t>
      </w:r>
      <w:r w:rsidR="007668D0" w:rsidRPr="004E0A4C">
        <w:rPr>
          <w:rFonts w:ascii="Arial" w:hAnsi="Arial" w:cs="Arial"/>
          <w:sz w:val="19"/>
          <w:szCs w:val="19"/>
        </w:rPr>
        <w:t>However, it is important to recognise that the usefulness and applicability of any business expense policy is determined by the manner in which it is applied and adhered to in the workplace. Theref</w:t>
      </w:r>
      <w:r>
        <w:rPr>
          <w:rFonts w:ascii="Arial" w:hAnsi="Arial" w:cs="Arial"/>
          <w:sz w:val="19"/>
          <w:szCs w:val="19"/>
        </w:rPr>
        <w:t>ore, the Department encourages health s</w:t>
      </w:r>
      <w:r w:rsidR="007668D0" w:rsidRPr="004E0A4C">
        <w:rPr>
          <w:rFonts w:ascii="Arial" w:hAnsi="Arial" w:cs="Arial"/>
          <w:sz w:val="19"/>
          <w:szCs w:val="19"/>
        </w:rPr>
        <w:t>ervices to pay particular attention to the consistent and effective application of business expenses policies in order to ensure their efficacy.</w:t>
      </w:r>
      <w:bookmarkStart w:id="10" w:name="_Toc476565097"/>
    </w:p>
    <w:p w:rsidR="008411CE" w:rsidRDefault="008411CE" w:rsidP="004E0A4C">
      <w:pPr>
        <w:spacing w:line="280" w:lineRule="atLeast"/>
        <w:jc w:val="both"/>
        <w:rPr>
          <w:rFonts w:ascii="Arial" w:hAnsi="Arial" w:cs="Arial"/>
          <w:sz w:val="19"/>
          <w:szCs w:val="19"/>
        </w:rPr>
      </w:pPr>
    </w:p>
    <w:p w:rsidR="009D366F" w:rsidRPr="00B442BA" w:rsidRDefault="008411CE" w:rsidP="00B442BA">
      <w:pPr>
        <w:spacing w:line="280" w:lineRule="atLeast"/>
        <w:jc w:val="both"/>
        <w:rPr>
          <w:rFonts w:cs="Arial"/>
          <w:sz w:val="19"/>
          <w:szCs w:val="19"/>
        </w:rPr>
      </w:pPr>
      <w:r>
        <w:rPr>
          <w:rFonts w:ascii="Arial" w:hAnsi="Arial" w:cs="Arial"/>
          <w:sz w:val="19"/>
          <w:szCs w:val="19"/>
        </w:rPr>
        <w:t>In conjunction with these guidelines template Business Expense and Travel Expense policies have also been released to assist health services in d</w:t>
      </w:r>
      <w:r w:rsidR="00C4617F">
        <w:rPr>
          <w:rFonts w:ascii="Arial" w:hAnsi="Arial" w:cs="Arial"/>
          <w:sz w:val="19"/>
          <w:szCs w:val="19"/>
        </w:rPr>
        <w:t>eveloping and implementing best practice policies.</w:t>
      </w:r>
    </w:p>
    <w:p w:rsidR="00E363FC" w:rsidRPr="000437FD" w:rsidRDefault="00E363FC" w:rsidP="00E363FC">
      <w:pPr>
        <w:pStyle w:val="Heading2"/>
        <w:jc w:val="both"/>
        <w:rPr>
          <w:rFonts w:cs="Arial"/>
        </w:rPr>
      </w:pPr>
      <w:bookmarkStart w:id="11" w:name="_Toc476565100"/>
      <w:bookmarkStart w:id="12" w:name="_Toc492897886"/>
      <w:r>
        <w:rPr>
          <w:rFonts w:cs="Arial"/>
        </w:rPr>
        <w:lastRenderedPageBreak/>
        <w:t xml:space="preserve">1.4 </w:t>
      </w:r>
      <w:r w:rsidRPr="000437FD">
        <w:rPr>
          <w:rFonts w:cs="Arial"/>
        </w:rPr>
        <w:t>Disclaimer</w:t>
      </w:r>
      <w:bookmarkEnd w:id="11"/>
      <w:bookmarkEnd w:id="12"/>
    </w:p>
    <w:p w:rsidR="00E363FC" w:rsidRDefault="00E363FC" w:rsidP="00E363FC">
      <w:pPr>
        <w:spacing w:line="280" w:lineRule="atLeast"/>
        <w:jc w:val="both"/>
        <w:rPr>
          <w:rFonts w:ascii="Arial" w:hAnsi="Arial" w:cs="Arial"/>
          <w:sz w:val="19"/>
          <w:szCs w:val="19"/>
        </w:rPr>
      </w:pPr>
      <w:r w:rsidRPr="000437FD">
        <w:rPr>
          <w:rFonts w:ascii="Arial" w:hAnsi="Arial" w:cs="Arial"/>
          <w:sz w:val="19"/>
          <w:szCs w:val="19"/>
        </w:rPr>
        <w:t xml:space="preserve">The </w:t>
      </w:r>
      <w:r w:rsidRPr="000437FD">
        <w:rPr>
          <w:rFonts w:ascii="Arial" w:hAnsi="Arial" w:cs="Arial"/>
          <w:i/>
          <w:sz w:val="19"/>
          <w:szCs w:val="19"/>
        </w:rPr>
        <w:t>Guidelines for CEO and Executive Business Expense Policy</w:t>
      </w:r>
      <w:r w:rsidR="00912548">
        <w:rPr>
          <w:rFonts w:ascii="Arial" w:hAnsi="Arial" w:cs="Arial"/>
          <w:sz w:val="19"/>
          <w:szCs w:val="19"/>
        </w:rPr>
        <w:t xml:space="preserve"> are intended to assist health s</w:t>
      </w:r>
      <w:r w:rsidRPr="000437FD">
        <w:rPr>
          <w:rFonts w:ascii="Arial" w:hAnsi="Arial" w:cs="Arial"/>
          <w:sz w:val="19"/>
          <w:szCs w:val="19"/>
        </w:rPr>
        <w:t>ervices with their business expense policies, and do not c</w:t>
      </w:r>
      <w:r w:rsidR="00912548">
        <w:rPr>
          <w:rFonts w:ascii="Arial" w:hAnsi="Arial" w:cs="Arial"/>
          <w:sz w:val="19"/>
          <w:szCs w:val="19"/>
        </w:rPr>
        <w:t>onstitute legal advice. Health s</w:t>
      </w:r>
      <w:r w:rsidRPr="000437FD">
        <w:rPr>
          <w:rFonts w:ascii="Arial" w:hAnsi="Arial" w:cs="Arial"/>
          <w:sz w:val="19"/>
          <w:szCs w:val="19"/>
        </w:rPr>
        <w:t>ervices are strongly encouraged to consult their legal counsel when developing or updating their business expense-related policies.</w:t>
      </w:r>
    </w:p>
    <w:p w:rsidR="007668D0" w:rsidRPr="000437FD" w:rsidRDefault="00E363FC" w:rsidP="00D52275">
      <w:pPr>
        <w:pStyle w:val="Heading2"/>
        <w:jc w:val="both"/>
        <w:rPr>
          <w:rFonts w:cs="Arial"/>
        </w:rPr>
      </w:pPr>
      <w:bookmarkStart w:id="13" w:name="_Toc492897887"/>
      <w:r>
        <w:rPr>
          <w:rFonts w:cs="Arial"/>
        </w:rPr>
        <w:t>1.5</w:t>
      </w:r>
      <w:r w:rsidR="00713A5C">
        <w:rPr>
          <w:rFonts w:cs="Arial"/>
        </w:rPr>
        <w:t xml:space="preserve"> </w:t>
      </w:r>
      <w:r w:rsidR="007668D0" w:rsidRPr="000437FD">
        <w:rPr>
          <w:rFonts w:cs="Arial"/>
        </w:rPr>
        <w:t>Principles</w:t>
      </w:r>
      <w:bookmarkEnd w:id="10"/>
      <w:bookmarkEnd w:id="13"/>
    </w:p>
    <w:p w:rsidR="007668D0" w:rsidRDefault="007668D0" w:rsidP="00D52275">
      <w:pPr>
        <w:spacing w:line="280" w:lineRule="atLeast"/>
        <w:jc w:val="both"/>
        <w:rPr>
          <w:rFonts w:ascii="Arial" w:hAnsi="Arial" w:cs="Arial"/>
          <w:sz w:val="19"/>
          <w:szCs w:val="19"/>
        </w:rPr>
      </w:pPr>
      <w:r w:rsidRPr="000437FD">
        <w:rPr>
          <w:rFonts w:ascii="Arial" w:hAnsi="Arial" w:cs="Arial"/>
          <w:sz w:val="19"/>
          <w:szCs w:val="19"/>
        </w:rPr>
        <w:t>A principle-based approach ensures that all decisions regarding business expenses using public funds are spent justly and for the good</w:t>
      </w:r>
      <w:r w:rsidR="00F033A2">
        <w:rPr>
          <w:rFonts w:ascii="Arial" w:hAnsi="Arial" w:cs="Arial"/>
          <w:sz w:val="19"/>
          <w:szCs w:val="19"/>
        </w:rPr>
        <w:t xml:space="preserve"> of the Victorian people. This guide has considered the Victorian</w:t>
      </w:r>
      <w:r w:rsidR="003E5912" w:rsidRPr="00E363FC">
        <w:rPr>
          <w:rFonts w:ascii="Arial" w:hAnsi="Arial" w:cs="Arial"/>
          <w:sz w:val="19"/>
          <w:szCs w:val="19"/>
        </w:rPr>
        <w:t xml:space="preserve"> Public Sector Values</w:t>
      </w:r>
      <w:r w:rsidR="003E5912" w:rsidRPr="00E363FC">
        <w:rPr>
          <w:rStyle w:val="FootnoteReference"/>
          <w:rFonts w:ascii="Arial" w:hAnsi="Arial" w:cs="Arial"/>
          <w:sz w:val="19"/>
          <w:szCs w:val="19"/>
        </w:rPr>
        <w:footnoteReference w:id="1"/>
      </w:r>
      <w:r w:rsidR="003E5912" w:rsidRPr="000437FD">
        <w:rPr>
          <w:rFonts w:ascii="Arial" w:hAnsi="Arial" w:cs="Arial"/>
          <w:sz w:val="19"/>
          <w:szCs w:val="19"/>
        </w:rPr>
        <w:t xml:space="preserve"> </w:t>
      </w:r>
      <w:r w:rsidR="00F96AF8">
        <w:rPr>
          <w:rFonts w:ascii="Arial" w:hAnsi="Arial" w:cs="Arial"/>
          <w:sz w:val="19"/>
          <w:szCs w:val="19"/>
        </w:rPr>
        <w:t>established</w:t>
      </w:r>
      <w:r w:rsidR="00F96AF8" w:rsidRPr="000437FD">
        <w:rPr>
          <w:rFonts w:ascii="Arial" w:hAnsi="Arial" w:cs="Arial"/>
          <w:sz w:val="19"/>
          <w:szCs w:val="19"/>
        </w:rPr>
        <w:t xml:space="preserve"> </w:t>
      </w:r>
      <w:r w:rsidR="003E5912" w:rsidRPr="000437FD">
        <w:rPr>
          <w:rFonts w:ascii="Arial" w:hAnsi="Arial" w:cs="Arial"/>
          <w:sz w:val="19"/>
          <w:szCs w:val="19"/>
        </w:rPr>
        <w:t xml:space="preserve">in the </w:t>
      </w:r>
      <w:r w:rsidR="003E5912" w:rsidRPr="000437FD">
        <w:rPr>
          <w:rFonts w:ascii="Arial" w:hAnsi="Arial" w:cs="Arial"/>
          <w:i/>
          <w:sz w:val="19"/>
          <w:szCs w:val="19"/>
        </w:rPr>
        <w:t xml:space="preserve">Public Administration Act </w:t>
      </w:r>
      <w:r w:rsidR="003E5912" w:rsidRPr="00912548">
        <w:rPr>
          <w:rFonts w:ascii="Arial" w:hAnsi="Arial" w:cs="Arial"/>
          <w:i/>
          <w:sz w:val="19"/>
          <w:szCs w:val="19"/>
        </w:rPr>
        <w:t>2004</w:t>
      </w:r>
      <w:r w:rsidR="00F96AF8" w:rsidRPr="00912548">
        <w:rPr>
          <w:rFonts w:ascii="Arial" w:hAnsi="Arial" w:cs="Arial"/>
          <w:i/>
          <w:sz w:val="19"/>
          <w:szCs w:val="19"/>
        </w:rPr>
        <w:t xml:space="preserve"> (Vic)</w:t>
      </w:r>
      <w:r w:rsidRPr="00912548">
        <w:rPr>
          <w:rFonts w:ascii="Arial" w:hAnsi="Arial" w:cs="Arial"/>
          <w:i/>
          <w:sz w:val="19"/>
          <w:szCs w:val="19"/>
        </w:rPr>
        <w:t>:</w:t>
      </w:r>
      <w:r w:rsidR="00F033A2">
        <w:rPr>
          <w:rFonts w:ascii="Arial" w:hAnsi="Arial" w:cs="Arial"/>
          <w:sz w:val="19"/>
          <w:szCs w:val="19"/>
        </w:rPr>
        <w:t xml:space="preserve"> Health services should consider these principles when developing or updating their business expenditure policies and procedures</w:t>
      </w:r>
    </w:p>
    <w:p w:rsidR="000437FD" w:rsidRPr="000437FD" w:rsidRDefault="000437FD" w:rsidP="00D52275">
      <w:pPr>
        <w:spacing w:line="280" w:lineRule="atLeast"/>
        <w:jc w:val="both"/>
        <w:rPr>
          <w:rFonts w:ascii="Arial" w:hAnsi="Arial" w:cs="Arial"/>
          <w:sz w:val="19"/>
          <w:szCs w:val="19"/>
        </w:rPr>
      </w:pPr>
    </w:p>
    <w:p w:rsidR="007668D0" w:rsidRPr="000437FD" w:rsidRDefault="007668D0" w:rsidP="00D52275">
      <w:pPr>
        <w:pStyle w:val="ListParagraph"/>
        <w:numPr>
          <w:ilvl w:val="0"/>
          <w:numId w:val="21"/>
        </w:numPr>
        <w:spacing w:line="280" w:lineRule="atLeast"/>
        <w:jc w:val="both"/>
        <w:rPr>
          <w:rFonts w:ascii="Arial" w:hAnsi="Arial"/>
          <w:b/>
          <w:sz w:val="19"/>
          <w:szCs w:val="19"/>
        </w:rPr>
      </w:pPr>
      <w:r w:rsidRPr="000437FD">
        <w:rPr>
          <w:rFonts w:ascii="Arial" w:hAnsi="Arial"/>
          <w:b/>
          <w:sz w:val="19"/>
          <w:szCs w:val="19"/>
        </w:rPr>
        <w:t xml:space="preserve">Accountability: </w:t>
      </w:r>
      <w:r w:rsidRPr="000437FD">
        <w:rPr>
          <w:rFonts w:ascii="Arial" w:hAnsi="Arial"/>
          <w:sz w:val="19"/>
          <w:szCs w:val="19"/>
        </w:rPr>
        <w:t xml:space="preserve">Health </w:t>
      </w:r>
      <w:r w:rsidR="000437FD">
        <w:rPr>
          <w:rFonts w:ascii="Arial" w:hAnsi="Arial"/>
          <w:sz w:val="19"/>
          <w:szCs w:val="19"/>
        </w:rPr>
        <w:t>s</w:t>
      </w:r>
      <w:r w:rsidRPr="000437FD">
        <w:rPr>
          <w:rFonts w:ascii="Arial" w:hAnsi="Arial"/>
          <w:sz w:val="19"/>
          <w:szCs w:val="19"/>
        </w:rPr>
        <w:t>ervices should seek to ensure value for money is achieved when incurring business expenses and subject themselves to appropriate scrutiny from relevant bodies by keeping an audit trail of documentation;</w:t>
      </w:r>
    </w:p>
    <w:p w:rsidR="007668D0" w:rsidRPr="000437FD" w:rsidRDefault="007668D0" w:rsidP="00D52275">
      <w:pPr>
        <w:pStyle w:val="ListParagraph"/>
        <w:numPr>
          <w:ilvl w:val="0"/>
          <w:numId w:val="21"/>
        </w:numPr>
        <w:spacing w:line="280" w:lineRule="atLeast"/>
        <w:jc w:val="both"/>
        <w:rPr>
          <w:rFonts w:ascii="Arial" w:hAnsi="Arial"/>
          <w:b/>
          <w:sz w:val="19"/>
          <w:szCs w:val="19"/>
        </w:rPr>
      </w:pPr>
      <w:r w:rsidRPr="000437FD">
        <w:rPr>
          <w:rFonts w:ascii="Arial" w:hAnsi="Arial"/>
          <w:b/>
          <w:sz w:val="19"/>
          <w:szCs w:val="19"/>
        </w:rPr>
        <w:t xml:space="preserve">Impartiality: </w:t>
      </w:r>
      <w:r w:rsidRPr="000437FD">
        <w:rPr>
          <w:rFonts w:ascii="Arial" w:hAnsi="Arial"/>
          <w:sz w:val="19"/>
          <w:szCs w:val="19"/>
        </w:rPr>
        <w:t>Motivations for incurring business expenses should be based on merit and without bias and should be applied consistently and with fairness; and</w:t>
      </w:r>
    </w:p>
    <w:p w:rsidR="007668D0" w:rsidRPr="000437FD" w:rsidRDefault="007668D0" w:rsidP="00D52275">
      <w:pPr>
        <w:pStyle w:val="ListParagraph"/>
        <w:numPr>
          <w:ilvl w:val="0"/>
          <w:numId w:val="21"/>
        </w:numPr>
        <w:spacing w:line="280" w:lineRule="atLeast"/>
        <w:jc w:val="both"/>
        <w:rPr>
          <w:rFonts w:ascii="Arial" w:hAnsi="Arial"/>
          <w:sz w:val="19"/>
          <w:szCs w:val="19"/>
        </w:rPr>
      </w:pPr>
      <w:r w:rsidRPr="000437FD">
        <w:rPr>
          <w:rFonts w:ascii="Arial" w:hAnsi="Arial"/>
          <w:b/>
          <w:sz w:val="19"/>
          <w:szCs w:val="19"/>
        </w:rPr>
        <w:t>Integrity:</w:t>
      </w:r>
      <w:r w:rsidR="009827BF">
        <w:rPr>
          <w:rFonts w:ascii="Arial" w:hAnsi="Arial"/>
          <w:sz w:val="19"/>
          <w:szCs w:val="19"/>
        </w:rPr>
        <w:t xml:space="preserve"> Health s</w:t>
      </w:r>
      <w:r w:rsidRPr="000437FD">
        <w:rPr>
          <w:rFonts w:ascii="Arial" w:hAnsi="Arial"/>
          <w:sz w:val="19"/>
          <w:szCs w:val="19"/>
        </w:rPr>
        <w:t>ervices should use public funds responsibly and ensure business expenses incurred support the objectives of the organisation in order to earn and sustain public trust.</w:t>
      </w:r>
    </w:p>
    <w:p w:rsidR="007668D0" w:rsidRPr="000437FD" w:rsidRDefault="007668D0" w:rsidP="00D52275">
      <w:pPr>
        <w:spacing w:line="280" w:lineRule="atLeast"/>
        <w:jc w:val="both"/>
        <w:rPr>
          <w:rFonts w:ascii="Arial" w:hAnsi="Arial" w:cs="Arial"/>
          <w:sz w:val="19"/>
          <w:szCs w:val="19"/>
        </w:rPr>
      </w:pPr>
    </w:p>
    <w:p w:rsidR="007668D0" w:rsidRPr="000437FD" w:rsidRDefault="00E363FC" w:rsidP="00D52275">
      <w:pPr>
        <w:pStyle w:val="Heading2"/>
        <w:jc w:val="both"/>
        <w:rPr>
          <w:rFonts w:cs="Arial"/>
        </w:rPr>
      </w:pPr>
      <w:bookmarkStart w:id="14" w:name="_Toc476565098"/>
      <w:bookmarkStart w:id="15" w:name="_Toc492897888"/>
      <w:r>
        <w:rPr>
          <w:rFonts w:cs="Arial"/>
        </w:rPr>
        <w:t>1.6</w:t>
      </w:r>
      <w:r w:rsidR="00713A5C">
        <w:rPr>
          <w:rFonts w:cs="Arial"/>
        </w:rPr>
        <w:t xml:space="preserve"> </w:t>
      </w:r>
      <w:r w:rsidR="007668D0" w:rsidRPr="000437FD">
        <w:rPr>
          <w:rFonts w:cs="Arial"/>
        </w:rPr>
        <w:t>Roles &amp; Responsibilities</w:t>
      </w:r>
      <w:bookmarkEnd w:id="14"/>
      <w:bookmarkEnd w:id="15"/>
      <w:r w:rsidR="007668D0" w:rsidRPr="000437FD">
        <w:rPr>
          <w:rFonts w:cs="Arial"/>
        </w:rPr>
        <w:t xml:space="preserve"> </w:t>
      </w:r>
    </w:p>
    <w:p w:rsidR="007668D0" w:rsidRPr="000437FD" w:rsidRDefault="000437FD" w:rsidP="00D52275">
      <w:pPr>
        <w:spacing w:line="280" w:lineRule="atLeast"/>
        <w:jc w:val="both"/>
        <w:rPr>
          <w:rFonts w:ascii="Arial" w:hAnsi="Arial" w:cs="Arial"/>
          <w:sz w:val="19"/>
          <w:szCs w:val="19"/>
        </w:rPr>
      </w:pPr>
      <w:r>
        <w:rPr>
          <w:rFonts w:ascii="Arial" w:hAnsi="Arial" w:cs="Arial"/>
          <w:sz w:val="19"/>
          <w:szCs w:val="19"/>
        </w:rPr>
        <w:t xml:space="preserve">In order to provide </w:t>
      </w:r>
      <w:r w:rsidR="007668D0" w:rsidRPr="000437FD">
        <w:rPr>
          <w:rFonts w:ascii="Arial" w:hAnsi="Arial" w:cs="Arial"/>
          <w:sz w:val="19"/>
          <w:szCs w:val="19"/>
        </w:rPr>
        <w:t>serv</w:t>
      </w:r>
      <w:r>
        <w:rPr>
          <w:rFonts w:ascii="Arial" w:hAnsi="Arial" w:cs="Arial"/>
          <w:sz w:val="19"/>
          <w:szCs w:val="19"/>
        </w:rPr>
        <w:t xml:space="preserve">ices to the population, </w:t>
      </w:r>
      <w:r w:rsidR="00E363FC">
        <w:rPr>
          <w:rFonts w:ascii="Arial" w:hAnsi="Arial" w:cs="Arial"/>
          <w:sz w:val="19"/>
          <w:szCs w:val="19"/>
        </w:rPr>
        <w:t>h</w:t>
      </w:r>
      <w:r>
        <w:rPr>
          <w:rFonts w:ascii="Arial" w:hAnsi="Arial" w:cs="Arial"/>
          <w:sz w:val="19"/>
          <w:szCs w:val="19"/>
        </w:rPr>
        <w:t>ealth s</w:t>
      </w:r>
      <w:r w:rsidR="007668D0" w:rsidRPr="000437FD">
        <w:rPr>
          <w:rFonts w:ascii="Arial" w:hAnsi="Arial" w:cs="Arial"/>
          <w:sz w:val="19"/>
          <w:szCs w:val="19"/>
        </w:rPr>
        <w:t>ervices are awarded public funds which need to be spent in accordance with the above principles.</w:t>
      </w:r>
      <w:r w:rsidR="00E6758F">
        <w:rPr>
          <w:rFonts w:ascii="Arial" w:hAnsi="Arial" w:cs="Arial"/>
          <w:sz w:val="19"/>
          <w:szCs w:val="19"/>
        </w:rPr>
        <w:t xml:space="preserve"> The principles are reflected in the r</w:t>
      </w:r>
      <w:r w:rsidR="007668D0" w:rsidRPr="000437FD">
        <w:rPr>
          <w:rFonts w:ascii="Arial" w:hAnsi="Arial" w:cs="Arial"/>
          <w:sz w:val="19"/>
          <w:szCs w:val="19"/>
        </w:rPr>
        <w:t xml:space="preserve">oles and responsibilities of key stakeholders in the business expenditure process </w:t>
      </w:r>
      <w:r w:rsidR="00E6758F">
        <w:rPr>
          <w:rFonts w:ascii="Arial" w:hAnsi="Arial" w:cs="Arial"/>
          <w:sz w:val="19"/>
          <w:szCs w:val="19"/>
        </w:rPr>
        <w:t>as</w:t>
      </w:r>
      <w:r w:rsidR="007668D0" w:rsidRPr="000437FD">
        <w:rPr>
          <w:rFonts w:ascii="Arial" w:hAnsi="Arial" w:cs="Arial"/>
          <w:sz w:val="19"/>
          <w:szCs w:val="19"/>
        </w:rPr>
        <w:t xml:space="preserve"> listed below:</w:t>
      </w:r>
    </w:p>
    <w:p w:rsidR="007668D0" w:rsidRPr="000437FD" w:rsidRDefault="007668D0" w:rsidP="00D52275">
      <w:pPr>
        <w:spacing w:line="280" w:lineRule="atLeast"/>
        <w:jc w:val="both"/>
        <w:rPr>
          <w:rFonts w:ascii="Arial" w:hAnsi="Arial" w:cs="Arial"/>
          <w:sz w:val="21"/>
          <w:szCs w:val="21"/>
          <w:lang w:eastAsia="en-GB"/>
        </w:rPr>
      </w:pPr>
    </w:p>
    <w:tbl>
      <w:tblPr>
        <w:tblW w:w="492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2"/>
        <w:gridCol w:w="7313"/>
      </w:tblGrid>
      <w:tr w:rsidR="007668D0" w:rsidRPr="000437FD" w:rsidTr="007668D0">
        <w:trPr>
          <w:tblHeader/>
        </w:trPr>
        <w:tc>
          <w:tcPr>
            <w:tcW w:w="984" w:type="pct"/>
            <w:shd w:val="clear" w:color="auto" w:fill="4F2D7F"/>
          </w:tcPr>
          <w:p w:rsidR="007668D0" w:rsidRPr="000437FD" w:rsidRDefault="007668D0" w:rsidP="00D52275">
            <w:pPr>
              <w:pStyle w:val="TableHeading"/>
              <w:spacing w:before="60" w:after="60" w:line="280" w:lineRule="atLeast"/>
              <w:jc w:val="both"/>
              <w:rPr>
                <w:color w:val="FFFFFF"/>
              </w:rPr>
            </w:pPr>
            <w:r w:rsidRPr="000437FD">
              <w:rPr>
                <w:color w:val="FFFFFF"/>
              </w:rPr>
              <w:t>Roles</w:t>
            </w:r>
          </w:p>
        </w:tc>
        <w:tc>
          <w:tcPr>
            <w:tcW w:w="4016" w:type="pct"/>
            <w:shd w:val="clear" w:color="auto" w:fill="4F2D7F"/>
          </w:tcPr>
          <w:p w:rsidR="007668D0" w:rsidRPr="000437FD" w:rsidRDefault="007668D0" w:rsidP="00F96AF8">
            <w:pPr>
              <w:pStyle w:val="TableHeading"/>
              <w:spacing w:before="60" w:after="60" w:line="280" w:lineRule="atLeast"/>
              <w:jc w:val="both"/>
              <w:rPr>
                <w:color w:val="FFFFFF"/>
              </w:rPr>
            </w:pPr>
            <w:r w:rsidRPr="000437FD">
              <w:rPr>
                <w:color w:val="FFFFFF"/>
              </w:rPr>
              <w:t xml:space="preserve">Responsibility regarding CEO &amp; </w:t>
            </w:r>
            <w:r w:rsidR="00F96AF8">
              <w:rPr>
                <w:color w:val="FFFFFF"/>
              </w:rPr>
              <w:t>e</w:t>
            </w:r>
            <w:r w:rsidRPr="000437FD">
              <w:rPr>
                <w:color w:val="FFFFFF"/>
              </w:rPr>
              <w:t>xecutive business expenses</w:t>
            </w:r>
          </w:p>
        </w:tc>
      </w:tr>
      <w:tr w:rsidR="007668D0" w:rsidRPr="000437FD" w:rsidTr="007668D0">
        <w:tc>
          <w:tcPr>
            <w:tcW w:w="984" w:type="pct"/>
            <w:shd w:val="clear" w:color="auto" w:fill="B2A1C7"/>
          </w:tcPr>
          <w:p w:rsidR="007668D0" w:rsidRPr="000437FD" w:rsidRDefault="007668D0" w:rsidP="00E363FC">
            <w:pPr>
              <w:pStyle w:val="TableText"/>
              <w:spacing w:before="40" w:after="40" w:line="280" w:lineRule="atLeast"/>
              <w:ind w:right="48"/>
              <w:rPr>
                <w:b/>
                <w:color w:val="FFFFFF"/>
                <w:lang w:val="en-AU"/>
              </w:rPr>
            </w:pPr>
            <w:r w:rsidRPr="000437FD">
              <w:rPr>
                <w:b/>
                <w:color w:val="FFFFFF"/>
                <w:lang w:val="en-AU"/>
              </w:rPr>
              <w:t xml:space="preserve">Health </w:t>
            </w:r>
            <w:r w:rsidR="00F96AF8">
              <w:rPr>
                <w:b/>
                <w:color w:val="FFFFFF"/>
                <w:lang w:val="en-AU"/>
              </w:rPr>
              <w:t>s</w:t>
            </w:r>
            <w:r w:rsidRPr="000437FD">
              <w:rPr>
                <w:b/>
                <w:color w:val="FFFFFF"/>
                <w:lang w:val="en-AU"/>
              </w:rPr>
              <w:t xml:space="preserve">ervice </w:t>
            </w:r>
            <w:r w:rsidR="00F96AF8">
              <w:rPr>
                <w:b/>
                <w:color w:val="FFFFFF"/>
                <w:lang w:val="en-AU"/>
              </w:rPr>
              <w:t>b</w:t>
            </w:r>
            <w:r w:rsidRPr="000437FD">
              <w:rPr>
                <w:b/>
                <w:color w:val="FFFFFF"/>
                <w:lang w:val="en-AU"/>
              </w:rPr>
              <w:t xml:space="preserve">oard of </w:t>
            </w:r>
            <w:r w:rsidR="00F96AF8">
              <w:rPr>
                <w:b/>
                <w:color w:val="FFFFFF"/>
                <w:lang w:val="en-AU"/>
              </w:rPr>
              <w:t>d</w:t>
            </w:r>
            <w:r w:rsidRPr="000437FD">
              <w:rPr>
                <w:b/>
                <w:color w:val="FFFFFF"/>
                <w:lang w:val="en-AU"/>
              </w:rPr>
              <w:t>irectors</w:t>
            </w:r>
          </w:p>
        </w:tc>
        <w:tc>
          <w:tcPr>
            <w:tcW w:w="4016" w:type="pct"/>
            <w:shd w:val="clear" w:color="auto" w:fill="auto"/>
            <w:vAlign w:val="center"/>
          </w:tcPr>
          <w:p w:rsidR="007668D0" w:rsidRPr="000437FD" w:rsidRDefault="007668D0" w:rsidP="00F96AF8">
            <w:pPr>
              <w:pStyle w:val="TableText"/>
              <w:spacing w:before="40" w:after="40" w:line="280" w:lineRule="atLeast"/>
              <w:ind w:right="154"/>
              <w:jc w:val="both"/>
            </w:pPr>
            <w:r w:rsidRPr="000437FD">
              <w:t xml:space="preserve">The </w:t>
            </w:r>
            <w:r w:rsidR="00F96AF8">
              <w:t>b</w:t>
            </w:r>
            <w:r w:rsidRPr="000437FD">
              <w:t xml:space="preserve">oard of </w:t>
            </w:r>
            <w:r w:rsidR="00F96AF8">
              <w:t>d</w:t>
            </w:r>
            <w:r w:rsidRPr="000437FD">
              <w:t>irectors are ultimately responsible for the overall financia</w:t>
            </w:r>
            <w:r w:rsidR="000437FD">
              <w:t xml:space="preserve">l accountability of the </w:t>
            </w:r>
            <w:r w:rsidR="00F96AF8">
              <w:t>h</w:t>
            </w:r>
            <w:r w:rsidR="000437FD">
              <w:t>ealth s</w:t>
            </w:r>
            <w:r w:rsidRPr="000437FD">
              <w:t>ervice</w:t>
            </w:r>
            <w:r w:rsidR="00F96AF8">
              <w:t>.</w:t>
            </w:r>
          </w:p>
        </w:tc>
      </w:tr>
      <w:tr w:rsidR="007668D0" w:rsidRPr="000437FD" w:rsidTr="007668D0">
        <w:tc>
          <w:tcPr>
            <w:tcW w:w="984" w:type="pct"/>
            <w:shd w:val="clear" w:color="auto" w:fill="B2A1C7"/>
          </w:tcPr>
          <w:p w:rsidR="007668D0" w:rsidRPr="000437FD" w:rsidRDefault="007668D0" w:rsidP="00E363FC">
            <w:pPr>
              <w:pStyle w:val="TableText"/>
              <w:spacing w:before="40" w:after="40" w:line="280" w:lineRule="atLeast"/>
              <w:ind w:right="48"/>
              <w:rPr>
                <w:b/>
                <w:color w:val="FFFFFF"/>
                <w:lang w:val="en-AU"/>
              </w:rPr>
            </w:pPr>
            <w:r w:rsidRPr="000437FD">
              <w:rPr>
                <w:b/>
                <w:color w:val="FFFFFF"/>
                <w:lang w:val="en-AU"/>
              </w:rPr>
              <w:t xml:space="preserve">Board </w:t>
            </w:r>
            <w:r w:rsidR="00F96AF8">
              <w:rPr>
                <w:b/>
                <w:color w:val="FFFFFF"/>
                <w:lang w:val="en-AU"/>
              </w:rPr>
              <w:t>c</w:t>
            </w:r>
            <w:r w:rsidRPr="000437FD">
              <w:rPr>
                <w:b/>
                <w:color w:val="FFFFFF"/>
                <w:lang w:val="en-AU"/>
              </w:rPr>
              <w:t xml:space="preserve">hair </w:t>
            </w:r>
            <w:r w:rsidR="00F96AF8">
              <w:rPr>
                <w:b/>
                <w:color w:val="FFFFFF"/>
                <w:lang w:val="en-AU"/>
              </w:rPr>
              <w:t>OR</w:t>
            </w:r>
            <w:r w:rsidR="00F96AF8" w:rsidRPr="000437FD">
              <w:rPr>
                <w:b/>
                <w:color w:val="FFFFFF"/>
                <w:lang w:val="en-AU"/>
              </w:rPr>
              <w:t xml:space="preserve"> </w:t>
            </w:r>
            <w:r w:rsidR="00F96AF8">
              <w:rPr>
                <w:b/>
                <w:color w:val="FFFFFF"/>
                <w:lang w:val="en-AU"/>
              </w:rPr>
              <w:t>c</w:t>
            </w:r>
            <w:r w:rsidRPr="000437FD">
              <w:rPr>
                <w:b/>
                <w:color w:val="FFFFFF"/>
                <w:lang w:val="en-AU"/>
              </w:rPr>
              <w:t>hair of the Audit &amp; Risk Committee</w:t>
            </w:r>
          </w:p>
        </w:tc>
        <w:tc>
          <w:tcPr>
            <w:tcW w:w="4016" w:type="pct"/>
            <w:shd w:val="clear" w:color="auto" w:fill="auto"/>
            <w:vAlign w:val="center"/>
          </w:tcPr>
          <w:p w:rsidR="007668D0" w:rsidRPr="000437FD" w:rsidRDefault="007668D0" w:rsidP="00F96AF8">
            <w:pPr>
              <w:pStyle w:val="TableText"/>
              <w:spacing w:before="40" w:after="40" w:line="280" w:lineRule="atLeast"/>
              <w:ind w:right="154"/>
              <w:jc w:val="both"/>
            </w:pPr>
            <w:r w:rsidRPr="000437FD">
              <w:t xml:space="preserve">The </w:t>
            </w:r>
            <w:r w:rsidR="00F96AF8">
              <w:t>b</w:t>
            </w:r>
            <w:r w:rsidRPr="000437FD">
              <w:t xml:space="preserve">oard </w:t>
            </w:r>
            <w:r w:rsidR="00F96AF8">
              <w:t>c</w:t>
            </w:r>
            <w:r w:rsidRPr="000437FD">
              <w:t xml:space="preserve">hair </w:t>
            </w:r>
            <w:r w:rsidR="00F96AF8">
              <w:t>OR</w:t>
            </w:r>
            <w:r w:rsidR="00F96AF8" w:rsidRPr="000437FD">
              <w:t xml:space="preserve"> </w:t>
            </w:r>
            <w:r w:rsidR="00F96AF8">
              <w:t>c</w:t>
            </w:r>
            <w:r w:rsidRPr="000437FD">
              <w:t xml:space="preserve">hair of the Audit &amp; Risk Committee is responsible for approving CEO business expenses, ensuring </w:t>
            </w:r>
            <w:r w:rsidR="00E363FC">
              <w:t>expenditure is reasonable,</w:t>
            </w:r>
            <w:r w:rsidRPr="000437FD">
              <w:t xml:space="preserve"> relevant </w:t>
            </w:r>
            <w:r w:rsidR="00390684">
              <w:t xml:space="preserve">to the business </w:t>
            </w:r>
            <w:r w:rsidRPr="000437FD">
              <w:t>and that sufficient supporting documentation has been provided</w:t>
            </w:r>
            <w:r w:rsidR="004E4F45">
              <w:t>.</w:t>
            </w:r>
          </w:p>
        </w:tc>
      </w:tr>
      <w:tr w:rsidR="007668D0" w:rsidRPr="000437FD" w:rsidTr="000437FD">
        <w:trPr>
          <w:cantSplit/>
        </w:trPr>
        <w:tc>
          <w:tcPr>
            <w:tcW w:w="984" w:type="pct"/>
            <w:shd w:val="clear" w:color="auto" w:fill="B2A1C7"/>
          </w:tcPr>
          <w:p w:rsidR="007668D0" w:rsidRPr="000437FD" w:rsidRDefault="007668D0" w:rsidP="00F033A2">
            <w:pPr>
              <w:pStyle w:val="TableText"/>
              <w:spacing w:before="40" w:after="40" w:line="280" w:lineRule="atLeast"/>
              <w:ind w:right="48"/>
              <w:rPr>
                <w:b/>
                <w:color w:val="FFFFFF"/>
                <w:lang w:val="en-AU"/>
              </w:rPr>
            </w:pPr>
            <w:r w:rsidRPr="000437FD">
              <w:rPr>
                <w:b/>
                <w:color w:val="FFFFFF"/>
                <w:lang w:val="en-AU"/>
              </w:rPr>
              <w:t xml:space="preserve">Chief </w:t>
            </w:r>
            <w:r w:rsidR="00F96AF8">
              <w:rPr>
                <w:b/>
                <w:color w:val="FFFFFF"/>
                <w:lang w:val="en-AU"/>
              </w:rPr>
              <w:t>E</w:t>
            </w:r>
            <w:r w:rsidRPr="000437FD">
              <w:rPr>
                <w:b/>
                <w:color w:val="FFFFFF"/>
                <w:lang w:val="en-AU"/>
              </w:rPr>
              <w:t xml:space="preserve">xecutive </w:t>
            </w:r>
            <w:r w:rsidR="00F96AF8">
              <w:rPr>
                <w:b/>
                <w:color w:val="FFFFFF"/>
                <w:lang w:val="en-AU"/>
              </w:rPr>
              <w:t>O</w:t>
            </w:r>
            <w:r w:rsidRPr="000437FD">
              <w:rPr>
                <w:b/>
                <w:color w:val="FFFFFF"/>
                <w:lang w:val="en-AU"/>
              </w:rPr>
              <w:t>fficer (CEO)</w:t>
            </w:r>
          </w:p>
        </w:tc>
        <w:tc>
          <w:tcPr>
            <w:tcW w:w="4016" w:type="pct"/>
            <w:shd w:val="clear" w:color="auto" w:fill="auto"/>
            <w:vAlign w:val="center"/>
          </w:tcPr>
          <w:p w:rsidR="007668D0" w:rsidRPr="000437FD" w:rsidRDefault="007668D0" w:rsidP="004E4F45">
            <w:pPr>
              <w:pStyle w:val="TableText"/>
              <w:spacing w:before="40" w:after="40" w:line="280" w:lineRule="atLeast"/>
              <w:ind w:right="154"/>
              <w:jc w:val="both"/>
            </w:pPr>
            <w:r w:rsidRPr="000437FD">
              <w:t xml:space="preserve">The CEO is responsible for approving the </w:t>
            </w:r>
            <w:r w:rsidR="004E4F45">
              <w:t>e</w:t>
            </w:r>
            <w:r w:rsidRPr="000437FD">
              <w:t>xecutive business expenses, ensuring</w:t>
            </w:r>
            <w:r w:rsidR="00D64254">
              <w:t xml:space="preserve"> expenditure is reasonable, relevant to the business </w:t>
            </w:r>
            <w:r w:rsidRPr="000437FD">
              <w:t>and that sufficient supporting documentation has been provided. As the CEO may also incur business expenses</w:t>
            </w:r>
            <w:r w:rsidR="004E4F45">
              <w:t xml:space="preserve"> themselves</w:t>
            </w:r>
            <w:r w:rsidRPr="000437FD">
              <w:t xml:space="preserve">, </w:t>
            </w:r>
            <w:r w:rsidR="004E4F45">
              <w:t xml:space="preserve">they </w:t>
            </w:r>
            <w:r w:rsidR="004E4F45" w:rsidRPr="000437FD">
              <w:t xml:space="preserve">are responsible for ensuring that all business expenses they incur are </w:t>
            </w:r>
            <w:r w:rsidR="004E4F45">
              <w:t xml:space="preserve">reasonable, </w:t>
            </w:r>
            <w:r w:rsidR="004E4F45" w:rsidRPr="000437FD">
              <w:t xml:space="preserve">aimed at benefitting the </w:t>
            </w:r>
            <w:r w:rsidR="004E4F45">
              <w:t>h</w:t>
            </w:r>
            <w:r w:rsidR="004E4F45" w:rsidRPr="000437FD">
              <w:t xml:space="preserve">ealth </w:t>
            </w:r>
            <w:r w:rsidR="004E4F45">
              <w:t>s</w:t>
            </w:r>
            <w:r w:rsidR="004E4F45" w:rsidRPr="000437FD">
              <w:t>ervice and enabling the organisation to achieve its objectives</w:t>
            </w:r>
            <w:r w:rsidR="004E4F45">
              <w:t xml:space="preserve">. </w:t>
            </w:r>
          </w:p>
        </w:tc>
      </w:tr>
      <w:tr w:rsidR="007668D0" w:rsidRPr="000437FD" w:rsidTr="007668D0">
        <w:tc>
          <w:tcPr>
            <w:tcW w:w="984" w:type="pct"/>
            <w:shd w:val="clear" w:color="auto" w:fill="B2A1C7"/>
          </w:tcPr>
          <w:p w:rsidR="007668D0" w:rsidRPr="000437FD" w:rsidRDefault="007668D0" w:rsidP="00F033A2">
            <w:pPr>
              <w:pStyle w:val="TableText"/>
              <w:spacing w:before="40" w:after="40" w:line="280" w:lineRule="atLeast"/>
              <w:ind w:right="48"/>
              <w:rPr>
                <w:b/>
                <w:color w:val="FFFFFF"/>
                <w:lang w:val="en-AU"/>
              </w:rPr>
            </w:pPr>
            <w:r w:rsidRPr="000437FD">
              <w:rPr>
                <w:b/>
                <w:color w:val="FFFFFF"/>
                <w:lang w:val="en-AU"/>
              </w:rPr>
              <w:t xml:space="preserve">Chief Financial Officer (CFO) </w:t>
            </w:r>
          </w:p>
        </w:tc>
        <w:tc>
          <w:tcPr>
            <w:tcW w:w="4016" w:type="pct"/>
            <w:shd w:val="clear" w:color="auto" w:fill="auto"/>
            <w:vAlign w:val="center"/>
          </w:tcPr>
          <w:p w:rsidR="007668D0" w:rsidRPr="000437FD" w:rsidRDefault="007668D0" w:rsidP="00D52275">
            <w:pPr>
              <w:pStyle w:val="TableText"/>
              <w:spacing w:before="40" w:after="40" w:line="280" w:lineRule="atLeast"/>
              <w:ind w:right="154"/>
              <w:jc w:val="both"/>
            </w:pPr>
            <w:r w:rsidRPr="000437FD">
              <w:t>The CFO is responsible for ensuring that all business expenses are appr</w:t>
            </w:r>
            <w:r w:rsidR="009827BF">
              <w:t>opriately accounted for in the health s</w:t>
            </w:r>
            <w:r w:rsidRPr="000437FD">
              <w:t xml:space="preserve">ervice’s business expense accounts and that all documentation is </w:t>
            </w:r>
            <w:r w:rsidR="009827BF">
              <w:t>properly recorded. Some health s</w:t>
            </w:r>
            <w:r w:rsidRPr="000437FD">
              <w:t>ervices may not have this function in place and therefore these responsibilities are bestowed upon the CEO, Director of Corporate Services or a contracted accounting firm, depending on the arrangement that is in place</w:t>
            </w:r>
            <w:r w:rsidR="004E4F45">
              <w:t>.</w:t>
            </w:r>
          </w:p>
        </w:tc>
      </w:tr>
      <w:tr w:rsidR="007668D0" w:rsidRPr="000437FD" w:rsidTr="008411CE">
        <w:trPr>
          <w:cantSplit/>
        </w:trPr>
        <w:tc>
          <w:tcPr>
            <w:tcW w:w="984" w:type="pct"/>
            <w:shd w:val="clear" w:color="auto" w:fill="B2A1C7"/>
          </w:tcPr>
          <w:p w:rsidR="007668D0" w:rsidRPr="000437FD" w:rsidRDefault="00912548" w:rsidP="00E363FC">
            <w:pPr>
              <w:pStyle w:val="TableText"/>
              <w:spacing w:before="40" w:after="40" w:line="280" w:lineRule="atLeast"/>
              <w:ind w:right="48"/>
              <w:rPr>
                <w:b/>
                <w:color w:val="FFFFFF"/>
                <w:lang w:val="en-AU"/>
              </w:rPr>
            </w:pPr>
            <w:r>
              <w:rPr>
                <w:b/>
                <w:color w:val="FFFFFF"/>
                <w:lang w:val="en-AU"/>
              </w:rPr>
              <w:lastRenderedPageBreak/>
              <w:t>Health service e</w:t>
            </w:r>
            <w:r w:rsidR="007668D0" w:rsidRPr="000437FD">
              <w:rPr>
                <w:b/>
                <w:color w:val="FFFFFF"/>
                <w:lang w:val="en-AU"/>
              </w:rPr>
              <w:t>xecutives</w:t>
            </w:r>
          </w:p>
        </w:tc>
        <w:tc>
          <w:tcPr>
            <w:tcW w:w="4016" w:type="pct"/>
            <w:shd w:val="clear" w:color="auto" w:fill="auto"/>
            <w:vAlign w:val="center"/>
          </w:tcPr>
          <w:p w:rsidR="007668D0" w:rsidRDefault="007668D0" w:rsidP="004E4F45">
            <w:pPr>
              <w:pStyle w:val="TableText"/>
              <w:spacing w:before="40" w:after="40" w:line="280" w:lineRule="atLeast"/>
              <w:ind w:right="154"/>
              <w:jc w:val="both"/>
            </w:pPr>
            <w:r w:rsidRPr="000437FD">
              <w:t xml:space="preserve">The </w:t>
            </w:r>
            <w:r w:rsidR="004E4F45">
              <w:t>h</w:t>
            </w:r>
            <w:r w:rsidRPr="000437FD">
              <w:t xml:space="preserve">ealth </w:t>
            </w:r>
            <w:r w:rsidR="004E4F45">
              <w:t>s</w:t>
            </w:r>
            <w:r w:rsidRPr="000437FD">
              <w:t xml:space="preserve">ervice </w:t>
            </w:r>
            <w:r w:rsidR="004E4F45">
              <w:t>e</w:t>
            </w:r>
            <w:r w:rsidRPr="000437FD">
              <w:t xml:space="preserve">xecutives </w:t>
            </w:r>
            <w:r w:rsidR="004E4F45">
              <w:t xml:space="preserve">have the same responsibilities regarding incurring and claiming business expenses as set out above for CEOs; reasonable, benefits the health service and enables the organisation to achieve its objectives. </w:t>
            </w:r>
          </w:p>
          <w:p w:rsidR="00912548" w:rsidRDefault="00912548" w:rsidP="004E4F45">
            <w:pPr>
              <w:pStyle w:val="TableText"/>
              <w:spacing w:before="40" w:after="40" w:line="280" w:lineRule="atLeast"/>
              <w:ind w:right="154"/>
              <w:jc w:val="both"/>
            </w:pPr>
          </w:p>
          <w:p w:rsidR="00912548" w:rsidRPr="000437FD" w:rsidRDefault="00912548" w:rsidP="00912548">
            <w:pPr>
              <w:pStyle w:val="TableText"/>
              <w:spacing w:before="40" w:after="40" w:line="280" w:lineRule="atLeast"/>
              <w:ind w:right="154"/>
              <w:jc w:val="both"/>
            </w:pPr>
            <w:r>
              <w:t>In addition to the CEO and CFO, health service executives include other senior managers such as Director of Nursing, Director of Medical Services and Corporate Council etc</w:t>
            </w:r>
            <w:r w:rsidR="006C531D">
              <w:t>.</w:t>
            </w:r>
          </w:p>
        </w:tc>
      </w:tr>
    </w:tbl>
    <w:p w:rsidR="007668D0" w:rsidRPr="000437FD" w:rsidRDefault="00E363FC" w:rsidP="00D52275">
      <w:pPr>
        <w:pStyle w:val="Heading2"/>
        <w:jc w:val="both"/>
        <w:rPr>
          <w:rFonts w:cs="Arial"/>
        </w:rPr>
      </w:pPr>
      <w:bookmarkStart w:id="16" w:name="_Toc476565099"/>
      <w:bookmarkStart w:id="17" w:name="_Toc492897889"/>
      <w:r>
        <w:rPr>
          <w:rFonts w:cs="Arial"/>
        </w:rPr>
        <w:t>1.7</w:t>
      </w:r>
      <w:r w:rsidR="00713A5C">
        <w:rPr>
          <w:rFonts w:cs="Arial"/>
        </w:rPr>
        <w:t xml:space="preserve"> </w:t>
      </w:r>
      <w:r w:rsidR="007668D0" w:rsidRPr="000437FD">
        <w:rPr>
          <w:rFonts w:cs="Arial"/>
        </w:rPr>
        <w:t>Definitions and Glossary of Terms</w:t>
      </w:r>
      <w:bookmarkEnd w:id="16"/>
      <w:bookmarkEnd w:id="17"/>
      <w:r w:rsidR="007668D0" w:rsidRPr="000437FD">
        <w:rPr>
          <w:rFonts w:cs="Arial"/>
        </w:rPr>
        <w:t xml:space="preserve"> </w:t>
      </w: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Definitions for commonly used terms are listed below:</w:t>
      </w:r>
    </w:p>
    <w:p w:rsidR="007668D0" w:rsidRPr="000437FD" w:rsidRDefault="007668D0" w:rsidP="00D52275">
      <w:pPr>
        <w:spacing w:line="280" w:lineRule="atLeast"/>
        <w:jc w:val="both"/>
        <w:rPr>
          <w:rFonts w:ascii="Arial" w:hAnsi="Arial" w:cs="Arial"/>
          <w:sz w:val="19"/>
          <w:szCs w:val="19"/>
        </w:rPr>
      </w:pPr>
    </w:p>
    <w:tbl>
      <w:tblPr>
        <w:tblW w:w="492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95"/>
        <w:gridCol w:w="6610"/>
      </w:tblGrid>
      <w:tr w:rsidR="007668D0" w:rsidRPr="000437FD" w:rsidTr="007668D0">
        <w:trPr>
          <w:tblHeader/>
        </w:trPr>
        <w:tc>
          <w:tcPr>
            <w:tcW w:w="1370" w:type="pct"/>
            <w:shd w:val="clear" w:color="auto" w:fill="4F2D7F"/>
          </w:tcPr>
          <w:p w:rsidR="007668D0" w:rsidRPr="000437FD" w:rsidRDefault="007668D0" w:rsidP="00D52275">
            <w:pPr>
              <w:pStyle w:val="TableHeading"/>
              <w:spacing w:before="60" w:after="60" w:line="280" w:lineRule="atLeast"/>
              <w:jc w:val="both"/>
              <w:rPr>
                <w:color w:val="FFFFFF"/>
              </w:rPr>
            </w:pPr>
            <w:r w:rsidRPr="000437FD">
              <w:rPr>
                <w:color w:val="FFFFFF"/>
              </w:rPr>
              <w:t>Term</w:t>
            </w:r>
          </w:p>
        </w:tc>
        <w:tc>
          <w:tcPr>
            <w:tcW w:w="3630" w:type="pct"/>
            <w:shd w:val="clear" w:color="auto" w:fill="4F2D7F"/>
          </w:tcPr>
          <w:p w:rsidR="007668D0" w:rsidRPr="000437FD" w:rsidRDefault="007668D0" w:rsidP="00D52275">
            <w:pPr>
              <w:pStyle w:val="TableHeading"/>
              <w:spacing w:before="60" w:after="60" w:line="280" w:lineRule="atLeast"/>
              <w:jc w:val="both"/>
              <w:rPr>
                <w:color w:val="FFFFFF"/>
              </w:rPr>
            </w:pPr>
            <w:r w:rsidRPr="000437FD">
              <w:rPr>
                <w:color w:val="FFFFFF"/>
              </w:rPr>
              <w:t>Definition</w:t>
            </w:r>
          </w:p>
        </w:tc>
      </w:tr>
      <w:tr w:rsidR="007668D0" w:rsidRPr="000437FD" w:rsidTr="007668D0">
        <w:tc>
          <w:tcPr>
            <w:tcW w:w="1370" w:type="pct"/>
            <w:shd w:val="clear" w:color="auto" w:fill="B2A1C7"/>
          </w:tcPr>
          <w:p w:rsidR="007668D0" w:rsidRPr="000437FD" w:rsidRDefault="00122FA6" w:rsidP="00F033A2">
            <w:pPr>
              <w:pStyle w:val="TableText"/>
              <w:spacing w:before="40" w:after="40" w:line="280" w:lineRule="atLeast"/>
              <w:ind w:right="48"/>
              <w:rPr>
                <w:b/>
                <w:color w:val="FFFFFF"/>
                <w:lang w:val="en-AU"/>
              </w:rPr>
            </w:pPr>
            <w:r>
              <w:rPr>
                <w:b/>
                <w:color w:val="FFFFFF"/>
                <w:lang w:val="en-AU"/>
              </w:rPr>
              <w:t>Appropriate a</w:t>
            </w:r>
            <w:r w:rsidR="007668D0" w:rsidRPr="000437FD">
              <w:rPr>
                <w:b/>
                <w:color w:val="FFFFFF"/>
                <w:lang w:val="en-AU"/>
              </w:rPr>
              <w:t xml:space="preserve">pproval </w:t>
            </w:r>
          </w:p>
        </w:tc>
        <w:tc>
          <w:tcPr>
            <w:tcW w:w="3630" w:type="pct"/>
            <w:shd w:val="clear" w:color="auto" w:fill="auto"/>
            <w:vAlign w:val="center"/>
          </w:tcPr>
          <w:p w:rsidR="007668D0" w:rsidRPr="000437FD" w:rsidRDefault="007668D0" w:rsidP="003A3844">
            <w:pPr>
              <w:pStyle w:val="TableText"/>
              <w:spacing w:before="40" w:after="40" w:line="280" w:lineRule="atLeast"/>
              <w:ind w:right="154"/>
              <w:jc w:val="both"/>
            </w:pPr>
            <w:r w:rsidRPr="000437FD">
              <w:t xml:space="preserve">The approval </w:t>
            </w:r>
            <w:r w:rsidR="003A3844" w:rsidRPr="000437FD">
              <w:t xml:space="preserve">by the appropriate person with appropriate delegations of authority and segregation of duties </w:t>
            </w:r>
            <w:r w:rsidRPr="000437FD">
              <w:t xml:space="preserve">of a business expense, travel or purchasing card statement </w:t>
            </w:r>
            <w:r w:rsidR="003A3844">
              <w:t>claim.</w:t>
            </w:r>
          </w:p>
        </w:tc>
      </w:tr>
      <w:tr w:rsidR="00F136FF" w:rsidRPr="000437FD" w:rsidTr="007668D0">
        <w:tc>
          <w:tcPr>
            <w:tcW w:w="1370" w:type="pct"/>
            <w:shd w:val="clear" w:color="auto" w:fill="B2A1C7"/>
          </w:tcPr>
          <w:p w:rsidR="00F136FF" w:rsidRPr="000437FD" w:rsidRDefault="00F136FF" w:rsidP="00F033A2">
            <w:pPr>
              <w:pStyle w:val="TableText"/>
              <w:spacing w:before="40" w:after="40" w:line="280" w:lineRule="atLeast"/>
              <w:ind w:right="48"/>
              <w:rPr>
                <w:b/>
                <w:color w:val="FFFFFF"/>
                <w:lang w:val="en-AU"/>
              </w:rPr>
            </w:pPr>
            <w:r>
              <w:rPr>
                <w:b/>
                <w:color w:val="FFFFFF"/>
                <w:lang w:val="en-AU"/>
              </w:rPr>
              <w:t>Approver</w:t>
            </w:r>
          </w:p>
        </w:tc>
        <w:tc>
          <w:tcPr>
            <w:tcW w:w="3630" w:type="pct"/>
            <w:shd w:val="clear" w:color="auto" w:fill="auto"/>
            <w:vAlign w:val="center"/>
          </w:tcPr>
          <w:p w:rsidR="00F136FF" w:rsidRPr="000437FD" w:rsidRDefault="00F136FF" w:rsidP="00F136FF">
            <w:pPr>
              <w:pStyle w:val="TableText"/>
              <w:spacing w:before="40" w:after="40" w:line="280" w:lineRule="atLeast"/>
              <w:ind w:right="154"/>
              <w:jc w:val="both"/>
              <w:rPr>
                <w:lang w:val="en-AU"/>
              </w:rPr>
            </w:pPr>
            <w:r>
              <w:rPr>
                <w:lang w:val="en-AU"/>
              </w:rPr>
              <w:t>Refers to the person authorised to approve a personal expense claim on behalf of the health service. This could be the board chair, CEO or other staff member depending on the relevant Delegations of Authority.</w:t>
            </w:r>
          </w:p>
        </w:tc>
      </w:tr>
      <w:tr w:rsidR="007668D0" w:rsidRPr="000437FD" w:rsidTr="007668D0">
        <w:tc>
          <w:tcPr>
            <w:tcW w:w="1370" w:type="pct"/>
            <w:shd w:val="clear" w:color="auto" w:fill="B2A1C7"/>
          </w:tcPr>
          <w:p w:rsidR="007668D0" w:rsidRPr="000437FD" w:rsidRDefault="007668D0" w:rsidP="00F033A2">
            <w:pPr>
              <w:pStyle w:val="TableText"/>
              <w:spacing w:before="40" w:after="40" w:line="280" w:lineRule="atLeast"/>
              <w:ind w:right="48"/>
              <w:rPr>
                <w:b/>
                <w:color w:val="FFFFFF"/>
                <w:lang w:val="en-AU"/>
              </w:rPr>
            </w:pPr>
            <w:r w:rsidRPr="000437FD">
              <w:rPr>
                <w:b/>
                <w:color w:val="FFFFFF"/>
                <w:lang w:val="en-AU"/>
              </w:rPr>
              <w:t>Business expenses</w:t>
            </w:r>
          </w:p>
        </w:tc>
        <w:tc>
          <w:tcPr>
            <w:tcW w:w="3630" w:type="pct"/>
            <w:shd w:val="clear" w:color="auto" w:fill="auto"/>
            <w:vAlign w:val="center"/>
          </w:tcPr>
          <w:p w:rsidR="007668D0" w:rsidRPr="000437FD" w:rsidRDefault="007668D0" w:rsidP="00D52275">
            <w:pPr>
              <w:pStyle w:val="TableText"/>
              <w:spacing w:before="40" w:after="40" w:line="280" w:lineRule="atLeast"/>
              <w:ind w:right="154"/>
              <w:jc w:val="both"/>
              <w:rPr>
                <w:lang w:val="en-AU"/>
              </w:rPr>
            </w:pPr>
            <w:r w:rsidRPr="000437FD">
              <w:rPr>
                <w:lang w:val="en-AU"/>
              </w:rPr>
              <w:t xml:space="preserve">Reasonable </w:t>
            </w:r>
            <w:r w:rsidR="003E5912">
              <w:rPr>
                <w:lang w:val="en-AU"/>
              </w:rPr>
              <w:t>work-related</w:t>
            </w:r>
            <w:r w:rsidRPr="000437FD">
              <w:rPr>
                <w:lang w:val="en-AU"/>
              </w:rPr>
              <w:t xml:space="preserve"> expenses incurred by staff in the course of performing their official duties. These can include travel, meals, accommodation, hospitality, etc.</w:t>
            </w:r>
          </w:p>
        </w:tc>
      </w:tr>
      <w:tr w:rsidR="007668D0" w:rsidRPr="000437FD" w:rsidTr="007668D0">
        <w:tc>
          <w:tcPr>
            <w:tcW w:w="1370" w:type="pct"/>
            <w:shd w:val="clear" w:color="auto" w:fill="B2A1C7"/>
          </w:tcPr>
          <w:p w:rsidR="007668D0" w:rsidRPr="000437FD" w:rsidRDefault="007668D0" w:rsidP="00F033A2">
            <w:pPr>
              <w:pStyle w:val="TableText"/>
              <w:spacing w:before="40" w:after="40" w:line="280" w:lineRule="atLeast"/>
              <w:ind w:right="48"/>
              <w:rPr>
                <w:b/>
                <w:color w:val="FFFFFF"/>
                <w:lang w:val="en-AU"/>
              </w:rPr>
            </w:pPr>
            <w:r w:rsidRPr="000437FD">
              <w:rPr>
                <w:b/>
                <w:color w:val="FFFFFF"/>
                <w:lang w:val="en-AU"/>
              </w:rPr>
              <w:t>Business travel</w:t>
            </w:r>
          </w:p>
        </w:tc>
        <w:tc>
          <w:tcPr>
            <w:tcW w:w="3630" w:type="pct"/>
            <w:shd w:val="clear" w:color="auto" w:fill="auto"/>
            <w:vAlign w:val="center"/>
          </w:tcPr>
          <w:p w:rsidR="007668D0" w:rsidRPr="000437FD" w:rsidRDefault="007668D0" w:rsidP="009827BF">
            <w:pPr>
              <w:pStyle w:val="TableText"/>
              <w:spacing w:before="40" w:after="40" w:line="280" w:lineRule="atLeast"/>
              <w:ind w:right="154"/>
              <w:jc w:val="both"/>
              <w:rPr>
                <w:lang w:val="en-AU"/>
              </w:rPr>
            </w:pPr>
            <w:r w:rsidRPr="000437FD">
              <w:rPr>
                <w:lang w:val="en-AU"/>
              </w:rPr>
              <w:t xml:space="preserve">Travel required for the </w:t>
            </w:r>
            <w:r w:rsidR="009827BF">
              <w:rPr>
                <w:lang w:val="en-AU"/>
              </w:rPr>
              <w:t>health s</w:t>
            </w:r>
            <w:r w:rsidRPr="000437FD">
              <w:rPr>
                <w:lang w:val="en-AU"/>
              </w:rPr>
              <w:t>ervice business and authorised by a person with appropriate delegations of authority and segregation of duties</w:t>
            </w:r>
            <w:r w:rsidR="003A3844">
              <w:rPr>
                <w:lang w:val="en-AU"/>
              </w:rPr>
              <w:t>.</w:t>
            </w:r>
          </w:p>
        </w:tc>
      </w:tr>
      <w:tr w:rsidR="007668D0" w:rsidRPr="000437FD" w:rsidTr="007668D0">
        <w:tc>
          <w:tcPr>
            <w:tcW w:w="1370" w:type="pct"/>
            <w:shd w:val="clear" w:color="auto" w:fill="B2A1C7"/>
          </w:tcPr>
          <w:p w:rsidR="007668D0" w:rsidRPr="000437FD" w:rsidRDefault="007668D0" w:rsidP="00F033A2">
            <w:pPr>
              <w:pStyle w:val="TableText"/>
              <w:spacing w:before="40" w:after="40" w:line="280" w:lineRule="atLeast"/>
              <w:ind w:right="48"/>
              <w:rPr>
                <w:b/>
                <w:color w:val="FFFFFF"/>
                <w:lang w:val="en-AU"/>
              </w:rPr>
            </w:pPr>
            <w:r w:rsidRPr="000437FD">
              <w:rPr>
                <w:b/>
                <w:color w:val="FFFFFF"/>
                <w:lang w:val="en-AU"/>
              </w:rPr>
              <w:t>Hospitality</w:t>
            </w:r>
          </w:p>
        </w:tc>
        <w:tc>
          <w:tcPr>
            <w:tcW w:w="3630" w:type="pct"/>
            <w:shd w:val="clear" w:color="auto" w:fill="auto"/>
            <w:vAlign w:val="center"/>
          </w:tcPr>
          <w:p w:rsidR="007668D0" w:rsidRPr="000437FD" w:rsidRDefault="007668D0" w:rsidP="00D52275">
            <w:pPr>
              <w:pStyle w:val="TableText"/>
              <w:spacing w:before="40" w:after="40" w:line="280" w:lineRule="atLeast"/>
              <w:ind w:right="154"/>
              <w:jc w:val="both"/>
              <w:rPr>
                <w:lang w:val="en-AU"/>
              </w:rPr>
            </w:pPr>
            <w:r w:rsidRPr="000437FD">
              <w:rPr>
                <w:lang w:val="en-AU"/>
              </w:rPr>
              <w:t>The provision of food, beverage, accommodation, transportat</w:t>
            </w:r>
            <w:r w:rsidR="009827BF">
              <w:rPr>
                <w:lang w:val="en-AU"/>
              </w:rPr>
              <w:t>ion and other amenities at the health s</w:t>
            </w:r>
            <w:r w:rsidRPr="000437FD">
              <w:rPr>
                <w:lang w:val="en-AU"/>
              </w:rPr>
              <w:t>ervice’s expense to perso</w:t>
            </w:r>
            <w:r w:rsidR="009827BF">
              <w:rPr>
                <w:lang w:val="en-AU"/>
              </w:rPr>
              <w:t>ns who are not employed by the health s</w:t>
            </w:r>
            <w:r w:rsidRPr="000437FD">
              <w:rPr>
                <w:lang w:val="en-AU"/>
              </w:rPr>
              <w:t>ervice</w:t>
            </w:r>
            <w:r w:rsidR="003A3844">
              <w:rPr>
                <w:lang w:val="en-AU"/>
              </w:rPr>
              <w:t>.</w:t>
            </w:r>
          </w:p>
        </w:tc>
      </w:tr>
      <w:tr w:rsidR="007668D0" w:rsidRPr="000437FD" w:rsidTr="007668D0">
        <w:tc>
          <w:tcPr>
            <w:tcW w:w="1370" w:type="pct"/>
            <w:shd w:val="clear" w:color="auto" w:fill="B2A1C7"/>
          </w:tcPr>
          <w:p w:rsidR="007668D0" w:rsidRPr="000437FD" w:rsidRDefault="007668D0" w:rsidP="00F033A2">
            <w:pPr>
              <w:pStyle w:val="TableText"/>
              <w:spacing w:before="40" w:after="40" w:line="280" w:lineRule="atLeast"/>
              <w:ind w:right="48"/>
              <w:rPr>
                <w:b/>
                <w:color w:val="FFFFFF"/>
                <w:lang w:val="en-AU"/>
              </w:rPr>
            </w:pPr>
            <w:r w:rsidRPr="000437FD">
              <w:rPr>
                <w:b/>
                <w:color w:val="FFFFFF"/>
                <w:lang w:val="en-AU"/>
              </w:rPr>
              <w:t>International travel</w:t>
            </w:r>
          </w:p>
        </w:tc>
        <w:tc>
          <w:tcPr>
            <w:tcW w:w="3630" w:type="pct"/>
            <w:shd w:val="clear" w:color="auto" w:fill="auto"/>
            <w:vAlign w:val="center"/>
          </w:tcPr>
          <w:p w:rsidR="007668D0" w:rsidRPr="000437FD" w:rsidRDefault="007668D0" w:rsidP="00D52275">
            <w:pPr>
              <w:pStyle w:val="TableText"/>
              <w:spacing w:before="40" w:after="40" w:line="280" w:lineRule="atLeast"/>
              <w:ind w:right="154"/>
              <w:jc w:val="both"/>
              <w:rPr>
                <w:lang w:val="en-AU"/>
              </w:rPr>
            </w:pPr>
            <w:r w:rsidRPr="000437FD">
              <w:rPr>
                <w:lang w:val="en-AU"/>
              </w:rPr>
              <w:t>Refers to travel to countries outside Australia</w:t>
            </w:r>
            <w:r w:rsidR="003A3844">
              <w:rPr>
                <w:lang w:val="en-AU"/>
              </w:rPr>
              <w:t>.</w:t>
            </w:r>
          </w:p>
        </w:tc>
      </w:tr>
      <w:tr w:rsidR="007668D0" w:rsidRPr="000437FD" w:rsidTr="007668D0">
        <w:tc>
          <w:tcPr>
            <w:tcW w:w="1370" w:type="pct"/>
            <w:shd w:val="clear" w:color="auto" w:fill="B2A1C7"/>
          </w:tcPr>
          <w:p w:rsidR="007668D0" w:rsidRPr="000437FD" w:rsidRDefault="007668D0" w:rsidP="00F033A2">
            <w:pPr>
              <w:pStyle w:val="TableText"/>
              <w:spacing w:before="40" w:after="40" w:line="280" w:lineRule="atLeast"/>
              <w:ind w:right="48"/>
              <w:rPr>
                <w:b/>
                <w:color w:val="FFFFFF"/>
                <w:lang w:val="en-AU"/>
              </w:rPr>
            </w:pPr>
            <w:r w:rsidRPr="000437FD">
              <w:rPr>
                <w:b/>
                <w:color w:val="FFFFFF"/>
                <w:lang w:val="en-AU"/>
              </w:rPr>
              <w:t>Interstate travel</w:t>
            </w:r>
          </w:p>
        </w:tc>
        <w:tc>
          <w:tcPr>
            <w:tcW w:w="3630" w:type="pct"/>
            <w:shd w:val="clear" w:color="auto" w:fill="auto"/>
            <w:vAlign w:val="center"/>
          </w:tcPr>
          <w:p w:rsidR="007668D0" w:rsidRPr="000437FD" w:rsidRDefault="007668D0" w:rsidP="00D52275">
            <w:pPr>
              <w:pStyle w:val="TableText"/>
              <w:spacing w:before="40" w:after="40" w:line="280" w:lineRule="atLeast"/>
              <w:ind w:right="154"/>
              <w:jc w:val="both"/>
              <w:rPr>
                <w:lang w:val="en-AU"/>
              </w:rPr>
            </w:pPr>
            <w:r w:rsidRPr="000437FD">
              <w:rPr>
                <w:lang w:val="en-AU"/>
              </w:rPr>
              <w:t>Refers to travel within Australia which is outside of Victoria</w:t>
            </w:r>
            <w:r w:rsidR="003A3844">
              <w:rPr>
                <w:lang w:val="en-AU"/>
              </w:rPr>
              <w:t>.</w:t>
            </w:r>
          </w:p>
        </w:tc>
      </w:tr>
      <w:tr w:rsidR="007668D0" w:rsidRPr="000437FD" w:rsidTr="007668D0">
        <w:tc>
          <w:tcPr>
            <w:tcW w:w="1370" w:type="pct"/>
            <w:shd w:val="clear" w:color="auto" w:fill="B2A1C7"/>
          </w:tcPr>
          <w:p w:rsidR="007668D0" w:rsidRPr="000437FD" w:rsidRDefault="007668D0" w:rsidP="00E363FC">
            <w:pPr>
              <w:pStyle w:val="TableText"/>
              <w:spacing w:before="40" w:after="40" w:line="280" w:lineRule="atLeast"/>
              <w:ind w:right="48"/>
              <w:rPr>
                <w:b/>
                <w:color w:val="FFFFFF"/>
                <w:lang w:val="en-AU"/>
              </w:rPr>
            </w:pPr>
            <w:r w:rsidRPr="000437FD">
              <w:rPr>
                <w:b/>
                <w:color w:val="FFFFFF"/>
                <w:lang w:val="en-AU"/>
              </w:rPr>
              <w:t xml:space="preserve">Ground </w:t>
            </w:r>
            <w:r w:rsidR="003A3844">
              <w:rPr>
                <w:b/>
                <w:color w:val="FFFFFF"/>
                <w:lang w:val="en-AU"/>
              </w:rPr>
              <w:t>t</w:t>
            </w:r>
            <w:r w:rsidRPr="000437FD">
              <w:rPr>
                <w:b/>
                <w:color w:val="FFFFFF"/>
                <w:lang w:val="en-AU"/>
              </w:rPr>
              <w:t>ravel</w:t>
            </w:r>
          </w:p>
        </w:tc>
        <w:tc>
          <w:tcPr>
            <w:tcW w:w="3630" w:type="pct"/>
            <w:shd w:val="clear" w:color="auto" w:fill="auto"/>
            <w:vAlign w:val="center"/>
          </w:tcPr>
          <w:p w:rsidR="007668D0" w:rsidRPr="000437FD" w:rsidRDefault="007668D0" w:rsidP="00D52275">
            <w:pPr>
              <w:pStyle w:val="TableText"/>
              <w:spacing w:before="40" w:after="40" w:line="280" w:lineRule="atLeast"/>
              <w:ind w:right="154"/>
              <w:jc w:val="both"/>
              <w:rPr>
                <w:lang w:val="en-AU"/>
              </w:rPr>
            </w:pPr>
            <w:r w:rsidRPr="000437FD">
              <w:rPr>
                <w:lang w:val="en-AU"/>
              </w:rPr>
              <w:t>Refers to travel by road or rail</w:t>
            </w:r>
            <w:r w:rsidR="003A3844">
              <w:rPr>
                <w:lang w:val="en-AU"/>
              </w:rPr>
              <w:t>.</w:t>
            </w:r>
            <w:r w:rsidRPr="000437FD">
              <w:rPr>
                <w:lang w:val="en-AU"/>
              </w:rPr>
              <w:t xml:space="preserve"> </w:t>
            </w:r>
          </w:p>
        </w:tc>
      </w:tr>
      <w:tr w:rsidR="007668D0" w:rsidRPr="000437FD" w:rsidTr="007668D0">
        <w:tc>
          <w:tcPr>
            <w:tcW w:w="1370" w:type="pct"/>
            <w:shd w:val="clear" w:color="auto" w:fill="B2A1C7"/>
          </w:tcPr>
          <w:p w:rsidR="007668D0" w:rsidRPr="000437FD" w:rsidRDefault="007668D0" w:rsidP="00E363FC">
            <w:pPr>
              <w:pStyle w:val="TableText"/>
              <w:spacing w:before="40" w:after="40" w:line="280" w:lineRule="atLeast"/>
              <w:ind w:right="48"/>
              <w:rPr>
                <w:b/>
                <w:color w:val="FFFFFF"/>
                <w:lang w:val="en-AU"/>
              </w:rPr>
            </w:pPr>
            <w:r w:rsidRPr="000437FD">
              <w:rPr>
                <w:b/>
                <w:color w:val="FFFFFF"/>
                <w:lang w:val="en-AU"/>
              </w:rPr>
              <w:t xml:space="preserve">Receipt or </w:t>
            </w:r>
            <w:r w:rsidR="003A3844">
              <w:rPr>
                <w:b/>
                <w:color w:val="FFFFFF"/>
                <w:lang w:val="en-AU"/>
              </w:rPr>
              <w:t>t</w:t>
            </w:r>
            <w:r w:rsidRPr="000437FD">
              <w:rPr>
                <w:b/>
                <w:color w:val="FFFFFF"/>
                <w:lang w:val="en-AU"/>
              </w:rPr>
              <w:t xml:space="preserve">ax </w:t>
            </w:r>
            <w:r w:rsidR="003A3844">
              <w:rPr>
                <w:b/>
                <w:color w:val="FFFFFF"/>
                <w:lang w:val="en-AU"/>
              </w:rPr>
              <w:t>i</w:t>
            </w:r>
            <w:r w:rsidRPr="000437FD">
              <w:rPr>
                <w:b/>
                <w:color w:val="FFFFFF"/>
                <w:lang w:val="en-AU"/>
              </w:rPr>
              <w:t>nvoice</w:t>
            </w:r>
          </w:p>
        </w:tc>
        <w:tc>
          <w:tcPr>
            <w:tcW w:w="3630" w:type="pct"/>
            <w:shd w:val="clear" w:color="auto" w:fill="auto"/>
            <w:vAlign w:val="center"/>
          </w:tcPr>
          <w:p w:rsidR="007668D0" w:rsidRPr="000437FD" w:rsidRDefault="007668D0" w:rsidP="00D52275">
            <w:pPr>
              <w:pStyle w:val="TableText"/>
              <w:spacing w:before="40" w:after="40" w:line="280" w:lineRule="atLeast"/>
              <w:ind w:right="154"/>
              <w:jc w:val="both"/>
              <w:rPr>
                <w:lang w:val="en-AU"/>
              </w:rPr>
            </w:pPr>
            <w:r w:rsidRPr="000437FD">
              <w:rPr>
                <w:lang w:val="en-AU"/>
              </w:rPr>
              <w:t>An original document which includes details of the issuer, the expenditure, amount (inclusive or exclusive of GST), date and indication of proof of payment</w:t>
            </w:r>
            <w:r w:rsidR="003A3844">
              <w:rPr>
                <w:lang w:val="en-AU"/>
              </w:rPr>
              <w:t>.</w:t>
            </w:r>
          </w:p>
        </w:tc>
      </w:tr>
    </w:tbl>
    <w:p w:rsidR="00861D13" w:rsidRDefault="004E0A4C">
      <w:pPr>
        <w:rPr>
          <w:rFonts w:ascii="Arial" w:hAnsi="Arial" w:cs="Arial"/>
          <w:sz w:val="19"/>
          <w:szCs w:val="19"/>
        </w:rPr>
      </w:pPr>
      <w:r>
        <w:rPr>
          <w:rFonts w:ascii="Arial" w:hAnsi="Arial" w:cs="Arial"/>
          <w:sz w:val="19"/>
          <w:szCs w:val="19"/>
        </w:rPr>
        <w:br w:type="page"/>
      </w:r>
    </w:p>
    <w:tbl>
      <w:tblPr>
        <w:tblStyle w:val="TableGrid"/>
        <w:tblpPr w:leftFromText="180" w:rightFromText="180" w:vertAnchor="text" w:horzAnchor="margin" w:tblpXSpec="center" w:tblpY="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861D13" w:rsidRPr="000437FD" w:rsidTr="00861D13">
        <w:trPr>
          <w:trHeight w:val="1134"/>
        </w:trPr>
        <w:tc>
          <w:tcPr>
            <w:tcW w:w="8777" w:type="dxa"/>
            <w:shd w:val="clear" w:color="auto" w:fill="CCC0D9"/>
          </w:tcPr>
          <w:p w:rsidR="00861D13" w:rsidRPr="008A465D" w:rsidRDefault="00861D13" w:rsidP="00FB775F">
            <w:pPr>
              <w:spacing w:line="280" w:lineRule="atLeast"/>
              <w:jc w:val="both"/>
              <w:rPr>
                <w:rFonts w:ascii="Arial" w:hAnsi="Arial"/>
                <w:b/>
                <w:sz w:val="19"/>
                <w:szCs w:val="19"/>
              </w:rPr>
            </w:pPr>
            <w:r w:rsidRPr="0030097C">
              <w:rPr>
                <w:rFonts w:ascii="Arial" w:hAnsi="Arial"/>
                <w:b/>
                <w:noProof/>
                <w:sz w:val="19"/>
                <w:szCs w:val="19"/>
                <w:lang w:eastAsia="en-AU"/>
              </w:rPr>
              <w:lastRenderedPageBreak/>
              <w:drawing>
                <wp:anchor distT="0" distB="0" distL="114300" distR="114300" simplePos="0" relativeHeight="251673600" behindDoc="0" locked="0" layoutInCell="1" allowOverlap="1" wp14:anchorId="6BCC9147" wp14:editId="21EE36D9">
                  <wp:simplePos x="0" y="0"/>
                  <wp:positionH relativeFrom="column">
                    <wp:posOffset>-23495</wp:posOffset>
                  </wp:positionH>
                  <wp:positionV relativeFrom="paragraph">
                    <wp:posOffset>52705</wp:posOffset>
                  </wp:positionV>
                  <wp:extent cx="357505" cy="315595"/>
                  <wp:effectExtent l="0" t="0" r="4445" b="8255"/>
                  <wp:wrapThrough wrapText="bothSides">
                    <wp:wrapPolygon edited="0">
                      <wp:start x="6906" y="0"/>
                      <wp:lineTo x="0" y="16950"/>
                      <wp:lineTo x="0" y="20861"/>
                      <wp:lineTo x="20718" y="20861"/>
                      <wp:lineTo x="20718" y="16950"/>
                      <wp:lineTo x="13812" y="0"/>
                      <wp:lineTo x="6906" y="0"/>
                    </wp:wrapPolygon>
                  </wp:wrapThrough>
                  <wp:docPr id="2" name="Picture 315" descr="C:\Users\maylissa.ollivier\AppData\Local\Microsoft\Windows\Temporary Internet Files\Content.IE5\IYXJULP0\563px-South_Africa_-_General_Warn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Users\maylissa.ollivier\AppData\Local\Microsoft\Windows\Temporary Internet Files\Content.IE5\IYXJULP0\563px-South_Africa_-_General_Warning_sign.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19"/>
                <w:szCs w:val="19"/>
              </w:rPr>
              <w:t>Reasonable expense</w:t>
            </w:r>
          </w:p>
          <w:p w:rsidR="00861D13" w:rsidRDefault="00861D13" w:rsidP="00FB775F">
            <w:pPr>
              <w:spacing w:line="280" w:lineRule="atLeast"/>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r>
              <w:rPr>
                <w:rFonts w:ascii="Arial" w:hAnsi="Arial"/>
                <w:sz w:val="19"/>
                <w:szCs w:val="19"/>
              </w:rPr>
              <w:t>When determining if an expense is appropriate, an approver must consider the 4 Key Points.</w:t>
            </w: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r w:rsidRPr="00B62996">
              <w:rPr>
                <w:rFonts w:ascii="Arial" w:hAnsi="Arial"/>
                <w:noProof/>
                <w:sz w:val="19"/>
                <w:szCs w:val="19"/>
                <w:lang w:eastAsia="en-AU"/>
              </w:rPr>
              <mc:AlternateContent>
                <mc:Choice Requires="wps">
                  <w:drawing>
                    <wp:anchor distT="0" distB="0" distL="114300" distR="114300" simplePos="0" relativeHeight="251674624" behindDoc="0" locked="0" layoutInCell="1" allowOverlap="1" wp14:anchorId="4ABAE571" wp14:editId="7F010C3E">
                      <wp:simplePos x="0" y="0"/>
                      <wp:positionH relativeFrom="column">
                        <wp:align>center</wp:align>
                      </wp:positionH>
                      <wp:positionV relativeFrom="paragraph">
                        <wp:posOffset>0</wp:posOffset>
                      </wp:positionV>
                      <wp:extent cx="3991555" cy="1391478"/>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555" cy="1391478"/>
                              </a:xfrm>
                              <a:prstGeom prst="rect">
                                <a:avLst/>
                              </a:prstGeom>
                              <a:solidFill>
                                <a:schemeClr val="accent4">
                                  <a:lumMod val="20000"/>
                                  <a:lumOff val="80000"/>
                                </a:schemeClr>
                              </a:solidFill>
                              <a:ln w="9525">
                                <a:solidFill>
                                  <a:srgbClr val="000000"/>
                                </a:solidFill>
                                <a:miter lim="800000"/>
                                <a:headEnd/>
                                <a:tailEnd/>
                              </a:ln>
                            </wps:spPr>
                            <wps:txbx>
                              <w:txbxContent>
                                <w:p w:rsidR="00FB775F" w:rsidRDefault="00FB775F" w:rsidP="00861D13">
                                  <w:pPr>
                                    <w:spacing w:line="280" w:lineRule="atLeast"/>
                                    <w:jc w:val="both"/>
                                    <w:rPr>
                                      <w:rFonts w:ascii="Arial" w:hAnsi="Arial" w:cs="Arial"/>
                                      <w:sz w:val="19"/>
                                      <w:szCs w:val="19"/>
                                    </w:rPr>
                                  </w:pPr>
                                  <w:r w:rsidRPr="000437FD">
                                    <w:rPr>
                                      <w:rFonts w:ascii="Arial" w:hAnsi="Arial" w:cs="Arial"/>
                                      <w:sz w:val="19"/>
                                      <w:szCs w:val="19"/>
                                    </w:rPr>
                                    <w:t xml:space="preserve">Business expenses </w:t>
                                  </w:r>
                                  <w:r>
                                    <w:rPr>
                                      <w:rFonts w:ascii="Arial" w:hAnsi="Arial" w:cs="Arial"/>
                                      <w:sz w:val="19"/>
                                      <w:szCs w:val="19"/>
                                    </w:rPr>
                                    <w:t xml:space="preserve">must be </w:t>
                                  </w:r>
                                  <w:r w:rsidRPr="00B442BA">
                                    <w:rPr>
                                      <w:rFonts w:ascii="Arial" w:hAnsi="Arial" w:cs="Arial"/>
                                      <w:b/>
                                      <w:caps/>
                                      <w:sz w:val="19"/>
                                      <w:szCs w:val="19"/>
                                    </w:rPr>
                                    <w:t>all</w:t>
                                  </w:r>
                                  <w:r>
                                    <w:rPr>
                                      <w:rFonts w:ascii="Arial" w:hAnsi="Arial" w:cs="Arial"/>
                                      <w:sz w:val="19"/>
                                      <w:szCs w:val="19"/>
                                    </w:rPr>
                                    <w:t xml:space="preserve"> of the following factors</w:t>
                                  </w:r>
                                  <w:r w:rsidRPr="000437FD">
                                    <w:rPr>
                                      <w:rFonts w:ascii="Arial" w:hAnsi="Arial" w:cs="Arial"/>
                                      <w:sz w:val="19"/>
                                      <w:szCs w:val="19"/>
                                    </w:rPr>
                                    <w:t>:</w:t>
                                  </w:r>
                                </w:p>
                                <w:p w:rsidR="00FB775F" w:rsidRDefault="00FB775F" w:rsidP="00861D13">
                                  <w:pPr>
                                    <w:spacing w:line="280" w:lineRule="atLeast"/>
                                    <w:jc w:val="both"/>
                                    <w:rPr>
                                      <w:rFonts w:ascii="Arial" w:hAnsi="Arial" w:cs="Arial"/>
                                      <w:sz w:val="19"/>
                                      <w:szCs w:val="19"/>
                                    </w:rPr>
                                  </w:pPr>
                                </w:p>
                                <w:p w:rsidR="00FB775F" w:rsidRPr="000437FD"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b</w:t>
                                  </w:r>
                                  <w:r w:rsidRPr="000437FD">
                                    <w:rPr>
                                      <w:rFonts w:ascii="Arial" w:hAnsi="Arial"/>
                                      <w:sz w:val="19"/>
                                      <w:szCs w:val="19"/>
                                    </w:rPr>
                                    <w:t xml:space="preserve">e for the benefit of the </w:t>
                                  </w:r>
                                  <w:r>
                                    <w:rPr>
                                      <w:rFonts w:ascii="Arial" w:hAnsi="Arial"/>
                                      <w:sz w:val="19"/>
                                      <w:szCs w:val="19"/>
                                    </w:rPr>
                                    <w:t>health s</w:t>
                                  </w:r>
                                  <w:r w:rsidRPr="000437FD">
                                    <w:rPr>
                                      <w:rFonts w:ascii="Arial" w:hAnsi="Arial"/>
                                      <w:sz w:val="19"/>
                                      <w:szCs w:val="19"/>
                                    </w:rPr>
                                    <w:t>ervice;</w:t>
                                  </w:r>
                                </w:p>
                                <w:p w:rsidR="00FB775F" w:rsidRPr="000437FD"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 xml:space="preserve">be modest, appropriate and </w:t>
                                  </w:r>
                                  <w:r w:rsidRPr="000437FD">
                                    <w:rPr>
                                      <w:rFonts w:ascii="Arial" w:hAnsi="Arial"/>
                                      <w:sz w:val="19"/>
                                      <w:szCs w:val="19"/>
                                    </w:rPr>
                                    <w:t>reasonable;</w:t>
                                  </w:r>
                                </w:p>
                                <w:p w:rsidR="00FB775F" w:rsidRPr="000437FD"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e</w:t>
                                  </w:r>
                                  <w:r w:rsidRPr="000437FD">
                                    <w:rPr>
                                      <w:rFonts w:ascii="Arial" w:hAnsi="Arial"/>
                                      <w:sz w:val="19"/>
                                      <w:szCs w:val="19"/>
                                    </w:rPr>
                                    <w:t xml:space="preserve">nsure value for money; </w:t>
                                  </w:r>
                                  <w:r w:rsidRPr="00B442BA">
                                    <w:rPr>
                                      <w:rFonts w:ascii="Arial" w:hAnsi="Arial"/>
                                      <w:b/>
                                      <w:sz w:val="19"/>
                                      <w:szCs w:val="19"/>
                                    </w:rPr>
                                    <w:t>and</w:t>
                                  </w:r>
                                </w:p>
                                <w:p w:rsidR="00FB775F"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b</w:t>
                                  </w:r>
                                  <w:r w:rsidRPr="000437FD">
                                    <w:rPr>
                                      <w:rFonts w:ascii="Arial" w:hAnsi="Arial"/>
                                      <w:sz w:val="19"/>
                                      <w:szCs w:val="19"/>
                                    </w:rPr>
                                    <w:t>e supported by the appropriate approvals and supporting documentation.</w:t>
                                  </w:r>
                                </w:p>
                                <w:p w:rsidR="00FB775F" w:rsidRDefault="00FB775F" w:rsidP="00861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0;width:314.3pt;height:109.5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" fillcolor="#e5dfec [663]">
                      <v:textbox>
                        <w:txbxContent>
                          <w:p w:rsidR="00FB775F" w:rsidRDefault="00FB775F" w:rsidP="00861D13">
                            <w:pPr>
                              <w:spacing w:line="280" w:lineRule="atLeast"/>
                              <w:jc w:val="both"/>
                              <w:rPr>
                                <w:rFonts w:ascii="Arial" w:hAnsi="Arial" w:cs="Arial"/>
                                <w:sz w:val="19"/>
                                <w:szCs w:val="19"/>
                              </w:rPr>
                            </w:pPr>
                            <w:r w:rsidRPr="000437FD">
                              <w:rPr>
                                <w:rFonts w:ascii="Arial" w:hAnsi="Arial" w:cs="Arial"/>
                                <w:sz w:val="19"/>
                                <w:szCs w:val="19"/>
                              </w:rPr>
                              <w:t xml:space="preserve">Business expenses </w:t>
                            </w:r>
                            <w:r>
                              <w:rPr>
                                <w:rFonts w:ascii="Arial" w:hAnsi="Arial" w:cs="Arial"/>
                                <w:sz w:val="19"/>
                                <w:szCs w:val="19"/>
                              </w:rPr>
                              <w:t xml:space="preserve">must be </w:t>
                            </w:r>
                            <w:r w:rsidRPr="00B442BA">
                              <w:rPr>
                                <w:rFonts w:ascii="Arial" w:hAnsi="Arial" w:cs="Arial"/>
                                <w:b/>
                                <w:caps/>
                                <w:sz w:val="19"/>
                                <w:szCs w:val="19"/>
                              </w:rPr>
                              <w:t>all</w:t>
                            </w:r>
                            <w:r>
                              <w:rPr>
                                <w:rFonts w:ascii="Arial" w:hAnsi="Arial" w:cs="Arial"/>
                                <w:sz w:val="19"/>
                                <w:szCs w:val="19"/>
                              </w:rPr>
                              <w:t xml:space="preserve"> of the following factors</w:t>
                            </w:r>
                            <w:r w:rsidRPr="000437FD">
                              <w:rPr>
                                <w:rFonts w:ascii="Arial" w:hAnsi="Arial" w:cs="Arial"/>
                                <w:sz w:val="19"/>
                                <w:szCs w:val="19"/>
                              </w:rPr>
                              <w:t>:</w:t>
                            </w:r>
                          </w:p>
                          <w:p w:rsidR="00FB775F" w:rsidRDefault="00FB775F" w:rsidP="00861D13">
                            <w:pPr>
                              <w:spacing w:line="280" w:lineRule="atLeast"/>
                              <w:jc w:val="both"/>
                              <w:rPr>
                                <w:rFonts w:ascii="Arial" w:hAnsi="Arial" w:cs="Arial"/>
                                <w:sz w:val="19"/>
                                <w:szCs w:val="19"/>
                              </w:rPr>
                            </w:pPr>
                          </w:p>
                          <w:p w:rsidR="00FB775F" w:rsidRPr="000437FD"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b</w:t>
                            </w:r>
                            <w:r w:rsidRPr="000437FD">
                              <w:rPr>
                                <w:rFonts w:ascii="Arial" w:hAnsi="Arial"/>
                                <w:sz w:val="19"/>
                                <w:szCs w:val="19"/>
                              </w:rPr>
                              <w:t xml:space="preserve">e for the benefit of the </w:t>
                            </w:r>
                            <w:r>
                              <w:rPr>
                                <w:rFonts w:ascii="Arial" w:hAnsi="Arial"/>
                                <w:sz w:val="19"/>
                                <w:szCs w:val="19"/>
                              </w:rPr>
                              <w:t>health s</w:t>
                            </w:r>
                            <w:r w:rsidRPr="000437FD">
                              <w:rPr>
                                <w:rFonts w:ascii="Arial" w:hAnsi="Arial"/>
                                <w:sz w:val="19"/>
                                <w:szCs w:val="19"/>
                              </w:rPr>
                              <w:t>ervice;</w:t>
                            </w:r>
                          </w:p>
                          <w:p w:rsidR="00FB775F" w:rsidRPr="000437FD"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 xml:space="preserve">be modest, appropriate and </w:t>
                            </w:r>
                            <w:r w:rsidRPr="000437FD">
                              <w:rPr>
                                <w:rFonts w:ascii="Arial" w:hAnsi="Arial"/>
                                <w:sz w:val="19"/>
                                <w:szCs w:val="19"/>
                              </w:rPr>
                              <w:t>reasonable;</w:t>
                            </w:r>
                          </w:p>
                          <w:p w:rsidR="00FB775F" w:rsidRPr="000437FD"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e</w:t>
                            </w:r>
                            <w:r w:rsidRPr="000437FD">
                              <w:rPr>
                                <w:rFonts w:ascii="Arial" w:hAnsi="Arial"/>
                                <w:sz w:val="19"/>
                                <w:szCs w:val="19"/>
                              </w:rPr>
                              <w:t xml:space="preserve">nsure value for money; </w:t>
                            </w:r>
                            <w:r w:rsidRPr="00B442BA">
                              <w:rPr>
                                <w:rFonts w:ascii="Arial" w:hAnsi="Arial"/>
                                <w:b/>
                                <w:sz w:val="19"/>
                                <w:szCs w:val="19"/>
                              </w:rPr>
                              <w:t>and</w:t>
                            </w:r>
                          </w:p>
                          <w:p w:rsidR="00FB775F" w:rsidRDefault="00FB775F" w:rsidP="00861D13">
                            <w:pPr>
                              <w:pStyle w:val="ListParagraph"/>
                              <w:numPr>
                                <w:ilvl w:val="0"/>
                                <w:numId w:val="31"/>
                              </w:numPr>
                              <w:spacing w:line="280" w:lineRule="atLeast"/>
                              <w:ind w:left="284" w:hanging="284"/>
                              <w:jc w:val="both"/>
                              <w:rPr>
                                <w:rFonts w:ascii="Arial" w:hAnsi="Arial"/>
                                <w:sz w:val="19"/>
                                <w:szCs w:val="19"/>
                              </w:rPr>
                            </w:pPr>
                            <w:r>
                              <w:rPr>
                                <w:rFonts w:ascii="Arial" w:hAnsi="Arial"/>
                                <w:sz w:val="19"/>
                                <w:szCs w:val="19"/>
                              </w:rPr>
                              <w:t>b</w:t>
                            </w:r>
                            <w:r w:rsidRPr="000437FD">
                              <w:rPr>
                                <w:rFonts w:ascii="Arial" w:hAnsi="Arial"/>
                                <w:sz w:val="19"/>
                                <w:szCs w:val="19"/>
                              </w:rPr>
                              <w:t>e supported by the appropriate approvals and supporting documentation.</w:t>
                            </w:r>
                          </w:p>
                          <w:p w:rsidR="00FB775F" w:rsidRDefault="00FB775F" w:rsidP="00861D13"/>
                        </w:txbxContent>
                      </v:textbox>
                    </v:shape>
                  </w:pict>
                </mc:Fallback>
              </mc:AlternateContent>
            </w: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r>
              <w:rPr>
                <w:rFonts w:ascii="Arial" w:hAnsi="Arial"/>
                <w:sz w:val="19"/>
                <w:szCs w:val="19"/>
              </w:rPr>
              <w:t>Whether an expense is reasonable is dependent on the circumstances. The below scenarios are offered as guidance in the application of these guidelines;</w:t>
            </w:r>
          </w:p>
          <w:p w:rsidR="00861D13" w:rsidRDefault="00861D13" w:rsidP="00FB775F">
            <w:pPr>
              <w:spacing w:line="280" w:lineRule="atLeast"/>
              <w:ind w:left="601"/>
              <w:jc w:val="both"/>
              <w:rPr>
                <w:rFonts w:ascii="Arial" w:hAnsi="Arial"/>
                <w:b/>
                <w:sz w:val="19"/>
                <w:szCs w:val="19"/>
              </w:rPr>
            </w:pPr>
          </w:p>
          <w:p w:rsidR="00861D13" w:rsidRDefault="00861D13" w:rsidP="00FB775F">
            <w:pPr>
              <w:spacing w:line="280" w:lineRule="atLeast"/>
              <w:ind w:left="601"/>
              <w:jc w:val="both"/>
              <w:rPr>
                <w:rFonts w:ascii="Arial" w:hAnsi="Arial"/>
                <w:b/>
                <w:sz w:val="19"/>
                <w:szCs w:val="19"/>
              </w:rPr>
            </w:pPr>
            <w:r w:rsidRPr="008A465D">
              <w:rPr>
                <w:rFonts w:ascii="Arial" w:hAnsi="Arial"/>
                <w:b/>
                <w:sz w:val="19"/>
                <w:szCs w:val="19"/>
              </w:rPr>
              <w:t xml:space="preserve">Accommodation </w:t>
            </w:r>
            <w:r>
              <w:rPr>
                <w:rFonts w:ascii="Arial" w:hAnsi="Arial"/>
                <w:b/>
                <w:sz w:val="19"/>
                <w:szCs w:val="19"/>
              </w:rPr>
              <w:t>before or after a</w:t>
            </w:r>
            <w:r w:rsidRPr="008A465D">
              <w:rPr>
                <w:rFonts w:ascii="Arial" w:hAnsi="Arial"/>
                <w:b/>
                <w:sz w:val="19"/>
                <w:szCs w:val="19"/>
              </w:rPr>
              <w:t xml:space="preserve"> part day event</w:t>
            </w:r>
          </w:p>
          <w:p w:rsidR="00861D13" w:rsidRDefault="00861D13" w:rsidP="00FB775F">
            <w:pPr>
              <w:spacing w:line="280" w:lineRule="atLeast"/>
              <w:ind w:left="601"/>
              <w:jc w:val="both"/>
              <w:rPr>
                <w:rFonts w:ascii="Arial" w:hAnsi="Arial"/>
                <w:sz w:val="19"/>
                <w:szCs w:val="19"/>
              </w:rPr>
            </w:pPr>
            <w:r>
              <w:rPr>
                <w:rFonts w:ascii="Arial" w:hAnsi="Arial"/>
                <w:sz w:val="19"/>
                <w:szCs w:val="19"/>
              </w:rPr>
              <w:t>The CEO of a health service is travelling less than two hours for a CEO forum commencing at 11am and concluding at 1:30pm. The CEO chooses to travel the night before and stay close to the location of the forum.</w:t>
            </w: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r>
              <w:rPr>
                <w:rFonts w:ascii="Arial" w:hAnsi="Arial"/>
                <w:sz w:val="19"/>
                <w:szCs w:val="19"/>
              </w:rPr>
              <w:t xml:space="preserve">In this circumstance accommodation before, or after the event, would not be reasonable, as the event commences at a time where the CEO would not have had to travel at an unreasonable time or distance in order to arrive at the event on time. </w:t>
            </w: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r>
              <w:rPr>
                <w:rFonts w:ascii="Arial" w:hAnsi="Arial"/>
                <w:sz w:val="19"/>
                <w:szCs w:val="19"/>
              </w:rPr>
              <w:t>If the forum was;</w:t>
            </w:r>
          </w:p>
          <w:p w:rsidR="00861D13" w:rsidRDefault="00861D13" w:rsidP="00861D13">
            <w:pPr>
              <w:pStyle w:val="ListParagraph"/>
              <w:numPr>
                <w:ilvl w:val="0"/>
                <w:numId w:val="32"/>
              </w:numPr>
              <w:spacing w:line="280" w:lineRule="atLeast"/>
              <w:jc w:val="both"/>
              <w:rPr>
                <w:rFonts w:ascii="Arial" w:hAnsi="Arial"/>
                <w:sz w:val="19"/>
                <w:szCs w:val="19"/>
              </w:rPr>
            </w:pPr>
            <w:r>
              <w:rPr>
                <w:rFonts w:ascii="Arial" w:hAnsi="Arial"/>
                <w:sz w:val="19"/>
                <w:szCs w:val="19"/>
              </w:rPr>
              <w:t>a full day event;</w:t>
            </w:r>
          </w:p>
          <w:p w:rsidR="00861D13" w:rsidRDefault="00861D13" w:rsidP="00861D13">
            <w:pPr>
              <w:pStyle w:val="ListParagraph"/>
              <w:numPr>
                <w:ilvl w:val="0"/>
                <w:numId w:val="32"/>
              </w:numPr>
              <w:spacing w:line="280" w:lineRule="atLeast"/>
              <w:jc w:val="both"/>
              <w:rPr>
                <w:rFonts w:ascii="Arial" w:hAnsi="Arial"/>
                <w:sz w:val="19"/>
                <w:szCs w:val="19"/>
              </w:rPr>
            </w:pPr>
            <w:r>
              <w:rPr>
                <w:rFonts w:ascii="Arial" w:hAnsi="Arial"/>
                <w:sz w:val="19"/>
                <w:szCs w:val="19"/>
              </w:rPr>
              <w:t>required extended travel (more than 350km in one day with no relief driver); and/or</w:t>
            </w:r>
          </w:p>
          <w:p w:rsidR="00861D13" w:rsidRDefault="00861D13" w:rsidP="00861D13">
            <w:pPr>
              <w:pStyle w:val="ListParagraph"/>
              <w:numPr>
                <w:ilvl w:val="0"/>
                <w:numId w:val="32"/>
              </w:numPr>
              <w:spacing w:line="280" w:lineRule="atLeast"/>
              <w:jc w:val="both"/>
              <w:rPr>
                <w:rFonts w:ascii="Arial" w:hAnsi="Arial"/>
                <w:sz w:val="19"/>
                <w:szCs w:val="19"/>
              </w:rPr>
            </w:pPr>
            <w:r>
              <w:rPr>
                <w:rFonts w:ascii="Arial" w:hAnsi="Arial"/>
                <w:sz w:val="19"/>
                <w:szCs w:val="19"/>
              </w:rPr>
              <w:t>accompanied a formal dinner or function at the conclusion of the day;</w:t>
            </w:r>
          </w:p>
          <w:p w:rsidR="00861D13" w:rsidRDefault="00861D13" w:rsidP="00FB775F">
            <w:pPr>
              <w:spacing w:line="280" w:lineRule="atLeast"/>
              <w:ind w:left="651"/>
              <w:jc w:val="both"/>
              <w:rPr>
                <w:rFonts w:ascii="Arial" w:hAnsi="Arial"/>
                <w:sz w:val="19"/>
                <w:szCs w:val="19"/>
              </w:rPr>
            </w:pPr>
          </w:p>
          <w:p w:rsidR="00861D13" w:rsidRPr="00B62996" w:rsidRDefault="00861D13" w:rsidP="00FB775F">
            <w:pPr>
              <w:spacing w:line="280" w:lineRule="atLeast"/>
              <w:ind w:left="651"/>
              <w:jc w:val="both"/>
              <w:rPr>
                <w:rFonts w:ascii="Arial" w:hAnsi="Arial"/>
                <w:sz w:val="19"/>
                <w:szCs w:val="19"/>
                <w:lang w:eastAsia="en-AU"/>
              </w:rPr>
            </w:pPr>
            <w:r>
              <w:rPr>
                <w:rFonts w:ascii="Arial" w:hAnsi="Arial"/>
                <w:sz w:val="19"/>
                <w:szCs w:val="19"/>
              </w:rPr>
              <w:t>Then these factors would be considered in determining if accommodation is reasonable</w:t>
            </w:r>
          </w:p>
          <w:p w:rsidR="00861D13" w:rsidRDefault="00861D13" w:rsidP="00FB775F">
            <w:pPr>
              <w:spacing w:line="280" w:lineRule="atLeast"/>
              <w:ind w:left="601"/>
              <w:jc w:val="both"/>
              <w:rPr>
                <w:rFonts w:ascii="Arial" w:hAnsi="Arial"/>
                <w:sz w:val="19"/>
                <w:szCs w:val="19"/>
              </w:rPr>
            </w:pPr>
          </w:p>
          <w:p w:rsidR="00861D13" w:rsidRPr="002D3EF8" w:rsidRDefault="00861D13" w:rsidP="00FB775F">
            <w:pPr>
              <w:spacing w:line="280" w:lineRule="atLeast"/>
              <w:ind w:left="601"/>
              <w:jc w:val="both"/>
              <w:rPr>
                <w:rFonts w:ascii="Arial" w:hAnsi="Arial"/>
                <w:b/>
                <w:sz w:val="19"/>
                <w:szCs w:val="19"/>
              </w:rPr>
            </w:pPr>
            <w:r>
              <w:rPr>
                <w:rFonts w:ascii="Arial" w:hAnsi="Arial"/>
                <w:b/>
                <w:sz w:val="19"/>
                <w:szCs w:val="19"/>
              </w:rPr>
              <w:t>Meals &amp; Hospitality</w:t>
            </w:r>
          </w:p>
          <w:p w:rsidR="00861D13" w:rsidRDefault="00861D13" w:rsidP="00FB775F">
            <w:pPr>
              <w:spacing w:line="280" w:lineRule="atLeast"/>
              <w:ind w:left="601"/>
              <w:jc w:val="both"/>
              <w:rPr>
                <w:rFonts w:ascii="Arial" w:hAnsi="Arial"/>
                <w:sz w:val="19"/>
                <w:szCs w:val="19"/>
              </w:rPr>
            </w:pPr>
            <w:r>
              <w:rPr>
                <w:rFonts w:ascii="Arial" w:hAnsi="Arial"/>
                <w:sz w:val="19"/>
                <w:szCs w:val="19"/>
              </w:rPr>
              <w:t>A meeting attended by health service executives from a number of services is concluding at 5:00pm. The CFO’s of two health services have arranged to go to dinner after the event, the cost of both attendees is paid for using a credit card issued by the health service of one of the CFOs.</w:t>
            </w: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r>
              <w:rPr>
                <w:rFonts w:ascii="Arial" w:hAnsi="Arial"/>
                <w:sz w:val="19"/>
                <w:szCs w:val="19"/>
              </w:rPr>
              <w:t>When considering the approval of this type of claim, the approver would need to consider the 4 key points.</w:t>
            </w:r>
          </w:p>
          <w:p w:rsidR="00861D13" w:rsidRDefault="00861D13" w:rsidP="00FB775F">
            <w:pPr>
              <w:spacing w:line="280" w:lineRule="atLeast"/>
              <w:ind w:left="601"/>
              <w:jc w:val="both"/>
              <w:rPr>
                <w:rFonts w:ascii="Arial" w:hAnsi="Arial"/>
                <w:sz w:val="19"/>
                <w:szCs w:val="19"/>
              </w:rPr>
            </w:pPr>
          </w:p>
          <w:p w:rsidR="00861D13" w:rsidRDefault="00861D13" w:rsidP="00FB775F">
            <w:pPr>
              <w:spacing w:line="280" w:lineRule="atLeast"/>
              <w:ind w:left="601"/>
              <w:jc w:val="both"/>
              <w:rPr>
                <w:rFonts w:ascii="Arial" w:hAnsi="Arial"/>
                <w:sz w:val="19"/>
                <w:szCs w:val="19"/>
              </w:rPr>
            </w:pPr>
            <w:r>
              <w:rPr>
                <w:rFonts w:ascii="Arial" w:hAnsi="Arial"/>
                <w:sz w:val="19"/>
                <w:szCs w:val="19"/>
              </w:rPr>
              <w:t xml:space="preserve">To determine if this expense was reasonable, the approver would need to assure themselves there is a legitimate business benefit relating to the expense, that is, does it further the conduct of official business or legitimate goals of the organisation? If there is no business benefit to the meeting than the claim for reimbursement should not be accepted.  </w:t>
            </w:r>
          </w:p>
          <w:p w:rsidR="00861D13" w:rsidRPr="008A465D" w:rsidRDefault="00861D13" w:rsidP="00FB775F">
            <w:pPr>
              <w:spacing w:line="280" w:lineRule="atLeast"/>
              <w:ind w:left="601"/>
              <w:jc w:val="both"/>
              <w:rPr>
                <w:rFonts w:ascii="Arial" w:hAnsi="Arial"/>
                <w:sz w:val="19"/>
                <w:szCs w:val="19"/>
              </w:rPr>
            </w:pPr>
          </w:p>
          <w:p w:rsidR="00861D13" w:rsidRPr="008A465D" w:rsidRDefault="00861D13" w:rsidP="00FB775F">
            <w:pPr>
              <w:spacing w:line="280" w:lineRule="atLeast"/>
              <w:ind w:left="601"/>
              <w:jc w:val="both"/>
              <w:rPr>
                <w:rFonts w:ascii="Arial" w:hAnsi="Arial"/>
                <w:sz w:val="19"/>
                <w:szCs w:val="19"/>
              </w:rPr>
            </w:pPr>
          </w:p>
        </w:tc>
      </w:tr>
    </w:tbl>
    <w:p w:rsidR="004E0A4C" w:rsidRDefault="004E0A4C">
      <w:pPr>
        <w:rPr>
          <w:rFonts w:ascii="Arial" w:hAnsi="Arial" w:cs="Arial"/>
          <w:sz w:val="19"/>
          <w:szCs w:val="19"/>
        </w:rPr>
      </w:pPr>
    </w:p>
    <w:p w:rsidR="007668D0" w:rsidRPr="006400EB" w:rsidRDefault="007668D0" w:rsidP="00861D13">
      <w:pPr>
        <w:pStyle w:val="Heading1"/>
        <w:numPr>
          <w:ilvl w:val="0"/>
          <w:numId w:val="30"/>
        </w:numPr>
        <w:ind w:left="851" w:hanging="851"/>
      </w:pPr>
      <w:bookmarkStart w:id="18" w:name="_Toc476565101"/>
      <w:bookmarkStart w:id="19" w:name="_Toc492897890"/>
      <w:r w:rsidRPr="006400EB">
        <w:lastRenderedPageBreak/>
        <w:t>Key Policy References</w:t>
      </w:r>
      <w:bookmarkEnd w:id="18"/>
      <w:bookmarkEnd w:id="19"/>
    </w:p>
    <w:p w:rsidR="00563E7E" w:rsidRDefault="00D52275" w:rsidP="00D52275">
      <w:pPr>
        <w:pStyle w:val="Heading2"/>
        <w:jc w:val="both"/>
        <w:rPr>
          <w:rFonts w:cs="Arial"/>
        </w:rPr>
      </w:pPr>
      <w:bookmarkStart w:id="20" w:name="_Toc492897891"/>
      <w:bookmarkStart w:id="21" w:name="_Toc476565102"/>
      <w:r>
        <w:rPr>
          <w:rFonts w:cs="Arial"/>
        </w:rPr>
        <w:t xml:space="preserve">2.1 </w:t>
      </w:r>
      <w:r w:rsidR="00563E7E">
        <w:rPr>
          <w:rFonts w:cs="Arial"/>
        </w:rPr>
        <w:t>Code of Conduct</w:t>
      </w:r>
      <w:bookmarkEnd w:id="20"/>
    </w:p>
    <w:p w:rsidR="00563E7E" w:rsidRPr="003E5912" w:rsidRDefault="00563E7E" w:rsidP="00D52275">
      <w:pPr>
        <w:pStyle w:val="DHHSbody"/>
        <w:spacing w:after="0" w:line="280" w:lineRule="atLeast"/>
        <w:jc w:val="both"/>
        <w:rPr>
          <w:sz w:val="19"/>
          <w:szCs w:val="19"/>
        </w:rPr>
      </w:pPr>
      <w:r w:rsidRPr="003E5912">
        <w:rPr>
          <w:sz w:val="19"/>
          <w:szCs w:val="19"/>
        </w:rPr>
        <w:t>All public sector employees are required to adhere to the relevant Code of Conduct.</w:t>
      </w:r>
    </w:p>
    <w:p w:rsidR="00563E7E" w:rsidRPr="003E5912" w:rsidRDefault="00563E7E" w:rsidP="00D52275">
      <w:pPr>
        <w:pStyle w:val="DHHSbody"/>
        <w:spacing w:after="0" w:line="280" w:lineRule="atLeast"/>
        <w:jc w:val="both"/>
        <w:rPr>
          <w:sz w:val="19"/>
          <w:szCs w:val="19"/>
        </w:rPr>
      </w:pPr>
    </w:p>
    <w:p w:rsidR="00563E7E" w:rsidRPr="003E5912" w:rsidRDefault="00563E7E" w:rsidP="00D52275">
      <w:pPr>
        <w:pStyle w:val="DHHSbody"/>
        <w:spacing w:after="0" w:line="280" w:lineRule="atLeast"/>
        <w:jc w:val="both"/>
        <w:rPr>
          <w:sz w:val="19"/>
          <w:szCs w:val="19"/>
        </w:rPr>
      </w:pPr>
      <w:r w:rsidRPr="003E5912">
        <w:rPr>
          <w:sz w:val="19"/>
          <w:szCs w:val="19"/>
        </w:rPr>
        <w:t>The Victorian Public Sector Commission (VPSC) has issued two binding Codes of Conduct relevant to health service staff</w:t>
      </w:r>
      <w:r w:rsidR="001552EE">
        <w:rPr>
          <w:sz w:val="19"/>
          <w:szCs w:val="19"/>
        </w:rPr>
        <w:t>:</w:t>
      </w:r>
    </w:p>
    <w:p w:rsidR="00563E7E" w:rsidRPr="003E5912" w:rsidRDefault="00563E7E" w:rsidP="00D52275">
      <w:pPr>
        <w:pStyle w:val="DHHSbody"/>
        <w:spacing w:after="0" w:line="280" w:lineRule="atLeast"/>
        <w:jc w:val="both"/>
        <w:rPr>
          <w:sz w:val="19"/>
          <w:szCs w:val="19"/>
        </w:rPr>
      </w:pPr>
    </w:p>
    <w:p w:rsidR="00563E7E" w:rsidRPr="003E5912" w:rsidRDefault="00563E7E" w:rsidP="00861D13">
      <w:pPr>
        <w:pStyle w:val="DHHSbody"/>
        <w:numPr>
          <w:ilvl w:val="0"/>
          <w:numId w:val="29"/>
        </w:numPr>
        <w:spacing w:after="0" w:line="280" w:lineRule="atLeast"/>
        <w:jc w:val="both"/>
        <w:rPr>
          <w:sz w:val="19"/>
          <w:szCs w:val="19"/>
        </w:rPr>
      </w:pPr>
      <w:r w:rsidRPr="003E5912">
        <w:rPr>
          <w:sz w:val="19"/>
          <w:szCs w:val="19"/>
        </w:rPr>
        <w:t>Code of Conduct for Victorian Public Sector Employees;</w:t>
      </w:r>
      <w:r w:rsidR="003A7235" w:rsidRPr="003E5912">
        <w:rPr>
          <w:sz w:val="19"/>
          <w:szCs w:val="19"/>
        </w:rPr>
        <w:t xml:space="preserve"> </w:t>
      </w:r>
      <w:r w:rsidRPr="003E5912">
        <w:rPr>
          <w:sz w:val="19"/>
          <w:szCs w:val="19"/>
        </w:rPr>
        <w:t>and</w:t>
      </w:r>
    </w:p>
    <w:p w:rsidR="00563E7E" w:rsidRPr="003E5912" w:rsidRDefault="00563E7E" w:rsidP="00861D13">
      <w:pPr>
        <w:pStyle w:val="DHHSbody"/>
        <w:numPr>
          <w:ilvl w:val="0"/>
          <w:numId w:val="29"/>
        </w:numPr>
        <w:spacing w:after="0" w:line="280" w:lineRule="atLeast"/>
        <w:jc w:val="both"/>
        <w:rPr>
          <w:sz w:val="19"/>
          <w:szCs w:val="19"/>
        </w:rPr>
      </w:pPr>
      <w:r w:rsidRPr="003E5912">
        <w:rPr>
          <w:sz w:val="19"/>
          <w:szCs w:val="19"/>
        </w:rPr>
        <w:t>Code of Conduct for Directors of Victorian Public Entities</w:t>
      </w:r>
      <w:r w:rsidR="00D4374C">
        <w:rPr>
          <w:sz w:val="19"/>
          <w:szCs w:val="19"/>
        </w:rPr>
        <w:t>.</w:t>
      </w:r>
    </w:p>
    <w:p w:rsidR="00563E7E" w:rsidRPr="003E5912" w:rsidRDefault="00563E7E" w:rsidP="00D52275">
      <w:pPr>
        <w:pStyle w:val="DHHSbody"/>
        <w:spacing w:line="240" w:lineRule="auto"/>
        <w:jc w:val="both"/>
        <w:rPr>
          <w:sz w:val="19"/>
          <w:szCs w:val="19"/>
        </w:rPr>
      </w:pPr>
    </w:p>
    <w:p w:rsidR="009266E1" w:rsidRPr="003E5912" w:rsidRDefault="009266E1" w:rsidP="00D52275">
      <w:pPr>
        <w:pStyle w:val="DHHSbody"/>
        <w:spacing w:line="240" w:lineRule="auto"/>
        <w:jc w:val="both"/>
        <w:rPr>
          <w:sz w:val="19"/>
          <w:szCs w:val="19"/>
        </w:rPr>
      </w:pPr>
      <w:r w:rsidRPr="003E5912">
        <w:rPr>
          <w:sz w:val="19"/>
          <w:szCs w:val="19"/>
        </w:rPr>
        <w:t xml:space="preserve">These codes reinforce the Victorian public sector values and outline expected standards of </w:t>
      </w:r>
      <w:r w:rsidR="00380DF8" w:rsidRPr="003E5912">
        <w:rPr>
          <w:sz w:val="19"/>
          <w:szCs w:val="19"/>
        </w:rPr>
        <w:t>behaviour</w:t>
      </w:r>
      <w:r w:rsidRPr="003E5912">
        <w:rPr>
          <w:sz w:val="19"/>
          <w:szCs w:val="19"/>
        </w:rPr>
        <w:t xml:space="preserve">. All public sector employees must adhere to the requirements of these codes. </w:t>
      </w:r>
    </w:p>
    <w:p w:rsidR="009266E1" w:rsidRPr="003E5912" w:rsidRDefault="009266E1" w:rsidP="00D52275">
      <w:pPr>
        <w:pStyle w:val="DHHSbody"/>
        <w:spacing w:line="240" w:lineRule="auto"/>
        <w:jc w:val="both"/>
        <w:rPr>
          <w:sz w:val="19"/>
          <w:szCs w:val="19"/>
        </w:rPr>
      </w:pPr>
    </w:p>
    <w:p w:rsidR="009266E1" w:rsidRPr="003E5912" w:rsidRDefault="009266E1" w:rsidP="00D52275">
      <w:pPr>
        <w:pStyle w:val="DHHSbody"/>
        <w:spacing w:line="240" w:lineRule="auto"/>
        <w:jc w:val="both"/>
        <w:rPr>
          <w:sz w:val="19"/>
          <w:szCs w:val="19"/>
        </w:rPr>
      </w:pPr>
      <w:r w:rsidRPr="003E5912">
        <w:rPr>
          <w:sz w:val="19"/>
          <w:szCs w:val="19"/>
        </w:rPr>
        <w:t xml:space="preserve">Health services must implement policies and procedures to supplement the requirements of the Code. </w:t>
      </w:r>
    </w:p>
    <w:p w:rsidR="00563E7E" w:rsidRDefault="00563E7E" w:rsidP="00D52275">
      <w:pPr>
        <w:pStyle w:val="DHHSbody"/>
        <w:jc w:val="both"/>
      </w:pPr>
    </w:p>
    <w:p w:rsidR="007668D0" w:rsidRPr="000437FD" w:rsidRDefault="00D52275" w:rsidP="00D52275">
      <w:pPr>
        <w:pStyle w:val="Heading2"/>
        <w:jc w:val="both"/>
        <w:rPr>
          <w:rFonts w:cs="Arial"/>
        </w:rPr>
      </w:pPr>
      <w:bookmarkStart w:id="22" w:name="_Toc492897892"/>
      <w:r>
        <w:rPr>
          <w:rFonts w:cs="Arial"/>
        </w:rPr>
        <w:t xml:space="preserve">2.2 </w:t>
      </w:r>
      <w:r w:rsidR="007668D0" w:rsidRPr="000437FD">
        <w:rPr>
          <w:rFonts w:cs="Arial"/>
        </w:rPr>
        <w:t>Standing Directions of the Minister for Finance (2016)</w:t>
      </w:r>
      <w:bookmarkEnd w:id="21"/>
      <w:bookmarkEnd w:id="22"/>
    </w:p>
    <w:p w:rsidR="007668D0" w:rsidRPr="003A7235" w:rsidRDefault="007668D0" w:rsidP="00D52275">
      <w:pPr>
        <w:spacing w:line="280" w:lineRule="atLeast"/>
        <w:jc w:val="both"/>
        <w:rPr>
          <w:rFonts w:ascii="Arial" w:hAnsi="Arial" w:cs="Arial"/>
          <w:sz w:val="19"/>
          <w:szCs w:val="19"/>
        </w:rPr>
      </w:pPr>
      <w:r w:rsidRPr="003A7235">
        <w:rPr>
          <w:rFonts w:ascii="Arial" w:hAnsi="Arial" w:cs="Arial"/>
          <w:sz w:val="19"/>
          <w:szCs w:val="19"/>
        </w:rPr>
        <w:t xml:space="preserve">The </w:t>
      </w:r>
      <w:r w:rsidRPr="003A7235">
        <w:rPr>
          <w:rFonts w:ascii="Arial" w:hAnsi="Arial" w:cs="Arial"/>
          <w:i/>
          <w:sz w:val="19"/>
          <w:szCs w:val="19"/>
        </w:rPr>
        <w:t xml:space="preserve">Standing Directions of the Minister for Finance 2016 </w:t>
      </w:r>
      <w:r w:rsidRPr="00F033A2">
        <w:rPr>
          <w:rFonts w:ascii="Arial" w:hAnsi="Arial" w:cs="Arial"/>
          <w:sz w:val="19"/>
          <w:szCs w:val="19"/>
        </w:rPr>
        <w:t>(2016 Directions)</w:t>
      </w:r>
      <w:r w:rsidRPr="00F033A2">
        <w:rPr>
          <w:rStyle w:val="FootnoteReference"/>
          <w:rFonts w:ascii="Arial" w:hAnsi="Arial" w:cs="Arial"/>
          <w:sz w:val="19"/>
          <w:szCs w:val="19"/>
        </w:rPr>
        <w:footnoteReference w:id="2"/>
      </w:r>
      <w:r w:rsidRPr="003A7235">
        <w:rPr>
          <w:rFonts w:ascii="Arial" w:hAnsi="Arial" w:cs="Arial"/>
          <w:sz w:val="19"/>
          <w:szCs w:val="19"/>
        </w:rPr>
        <w:t xml:space="preserve"> set the standards for public financial management and accountability by Victorian </w:t>
      </w:r>
      <w:r w:rsidR="00D4374C">
        <w:rPr>
          <w:rFonts w:ascii="Arial" w:hAnsi="Arial" w:cs="Arial"/>
          <w:sz w:val="19"/>
          <w:szCs w:val="19"/>
        </w:rPr>
        <w:t>g</w:t>
      </w:r>
      <w:r w:rsidRPr="003A7235">
        <w:rPr>
          <w:rFonts w:ascii="Arial" w:hAnsi="Arial" w:cs="Arial"/>
          <w:sz w:val="19"/>
          <w:szCs w:val="19"/>
        </w:rPr>
        <w:t xml:space="preserve">overnment </w:t>
      </w:r>
      <w:r w:rsidR="00D4374C">
        <w:rPr>
          <w:rFonts w:ascii="Arial" w:hAnsi="Arial" w:cs="Arial"/>
          <w:sz w:val="19"/>
          <w:szCs w:val="19"/>
        </w:rPr>
        <w:t>a</w:t>
      </w:r>
      <w:r w:rsidRPr="003A7235">
        <w:rPr>
          <w:rFonts w:ascii="Arial" w:hAnsi="Arial" w:cs="Arial"/>
          <w:sz w:val="19"/>
          <w:szCs w:val="19"/>
        </w:rPr>
        <w:t>g</w:t>
      </w:r>
      <w:r w:rsidR="009827BF">
        <w:rPr>
          <w:rFonts w:ascii="Arial" w:hAnsi="Arial" w:cs="Arial"/>
          <w:sz w:val="19"/>
          <w:szCs w:val="19"/>
        </w:rPr>
        <w:t>encies. Health s</w:t>
      </w:r>
      <w:r w:rsidRPr="003A7235">
        <w:rPr>
          <w:rFonts w:ascii="Arial" w:hAnsi="Arial" w:cs="Arial"/>
          <w:sz w:val="19"/>
          <w:szCs w:val="19"/>
        </w:rPr>
        <w:t xml:space="preserve">ervices are considered to be </w:t>
      </w:r>
      <w:r w:rsidR="00D4374C">
        <w:rPr>
          <w:rFonts w:ascii="Arial" w:hAnsi="Arial" w:cs="Arial"/>
          <w:sz w:val="19"/>
          <w:szCs w:val="19"/>
        </w:rPr>
        <w:t>a</w:t>
      </w:r>
      <w:r w:rsidRPr="003A7235">
        <w:rPr>
          <w:rFonts w:ascii="Arial" w:hAnsi="Arial" w:cs="Arial"/>
          <w:sz w:val="19"/>
          <w:szCs w:val="19"/>
        </w:rPr>
        <w:t xml:space="preserve">gencies under the </w:t>
      </w:r>
      <w:r w:rsidRPr="00E363FC">
        <w:rPr>
          <w:rFonts w:ascii="Arial" w:hAnsi="Arial" w:cs="Arial"/>
          <w:sz w:val="19"/>
          <w:szCs w:val="19"/>
        </w:rPr>
        <w:t>2016 Directions</w:t>
      </w:r>
      <w:r w:rsidRPr="003A7235">
        <w:rPr>
          <w:rFonts w:ascii="Arial" w:hAnsi="Arial" w:cs="Arial"/>
          <w:sz w:val="19"/>
          <w:szCs w:val="19"/>
        </w:rPr>
        <w:t xml:space="preserve"> and therefore obligated to comply with its requirements. </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The requirements under the </w:t>
      </w:r>
      <w:r w:rsidRPr="00E363FC">
        <w:rPr>
          <w:rFonts w:ascii="Arial" w:hAnsi="Arial" w:cs="Arial"/>
          <w:sz w:val="19"/>
          <w:szCs w:val="19"/>
        </w:rPr>
        <w:t>2016 Directions</w:t>
      </w:r>
      <w:r w:rsidRPr="000437FD">
        <w:rPr>
          <w:rFonts w:ascii="Arial" w:hAnsi="Arial" w:cs="Arial"/>
          <w:sz w:val="19"/>
          <w:szCs w:val="19"/>
        </w:rPr>
        <w:t xml:space="preserve"> </w:t>
      </w:r>
      <w:r w:rsidR="00D4374C">
        <w:rPr>
          <w:rFonts w:ascii="Arial" w:hAnsi="Arial" w:cs="Arial"/>
          <w:sz w:val="19"/>
          <w:szCs w:val="19"/>
        </w:rPr>
        <w:t>are</w:t>
      </w:r>
      <w:r w:rsidRPr="000437FD">
        <w:rPr>
          <w:rFonts w:ascii="Arial" w:hAnsi="Arial" w:cs="Arial"/>
          <w:sz w:val="19"/>
          <w:szCs w:val="19"/>
        </w:rPr>
        <w:t xml:space="preserve"> appli</w:t>
      </w:r>
      <w:r w:rsidR="00D4374C">
        <w:rPr>
          <w:rFonts w:ascii="Arial" w:hAnsi="Arial" w:cs="Arial"/>
          <w:sz w:val="19"/>
          <w:szCs w:val="19"/>
        </w:rPr>
        <w:t>cable</w:t>
      </w:r>
      <w:r w:rsidRPr="000437FD">
        <w:rPr>
          <w:rFonts w:ascii="Arial" w:hAnsi="Arial" w:cs="Arial"/>
          <w:sz w:val="19"/>
          <w:szCs w:val="19"/>
        </w:rPr>
        <w:t xml:space="preserve"> to business expenses. The following instructions are relevant to business expenses and</w:t>
      </w:r>
      <w:r w:rsidR="009827BF">
        <w:rPr>
          <w:rFonts w:ascii="Arial" w:hAnsi="Arial" w:cs="Arial"/>
          <w:sz w:val="19"/>
          <w:szCs w:val="19"/>
        </w:rPr>
        <w:t xml:space="preserve"> must be applied by the health s</w:t>
      </w:r>
      <w:r w:rsidRPr="000437FD">
        <w:rPr>
          <w:rFonts w:ascii="Arial" w:hAnsi="Arial" w:cs="Arial"/>
          <w:sz w:val="19"/>
          <w:szCs w:val="19"/>
        </w:rPr>
        <w:t>ervices:</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u w:val="single"/>
        </w:rPr>
        <w:t>Instruction 3.4 – Internal Control System</w:t>
      </w:r>
      <w:r w:rsidRPr="000437FD">
        <w:rPr>
          <w:rFonts w:ascii="Arial" w:hAnsi="Arial"/>
          <w:sz w:val="19"/>
          <w:szCs w:val="19"/>
        </w:rPr>
        <w:t>: Agencies must ensure that they have appropriate policies and procedures in place for the management of expenditure, which include</w:t>
      </w:r>
      <w:r w:rsidR="00D4374C">
        <w:rPr>
          <w:rFonts w:ascii="Arial" w:hAnsi="Arial"/>
          <w:sz w:val="19"/>
          <w:szCs w:val="19"/>
        </w:rPr>
        <w:t>s</w:t>
      </w:r>
      <w:r w:rsidRPr="000437FD">
        <w:rPr>
          <w:rFonts w:ascii="Arial" w:hAnsi="Arial"/>
          <w:sz w:val="19"/>
          <w:szCs w:val="19"/>
        </w:rPr>
        <w:t xml:space="preserve"> business expenses. Agencies must also ensure that these policies and procedures are appropriately managed and followed by staff;</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u w:val="single"/>
        </w:rPr>
        <w:t>Instruction 3.5 – Fraud, Corruption and Other Losses</w:t>
      </w:r>
      <w:r w:rsidRPr="000437FD">
        <w:rPr>
          <w:rFonts w:ascii="Arial" w:hAnsi="Arial"/>
          <w:sz w:val="19"/>
          <w:szCs w:val="19"/>
        </w:rPr>
        <w:t xml:space="preserve">: Agencies are required to put measures in place to prevent, investigate and monitor instances of fraud and corruption, which will include having appropriate processes for </w:t>
      </w:r>
      <w:r w:rsidR="0051357C">
        <w:rPr>
          <w:rFonts w:ascii="Arial" w:hAnsi="Arial"/>
          <w:sz w:val="19"/>
          <w:szCs w:val="19"/>
        </w:rPr>
        <w:t>p</w:t>
      </w:r>
      <w:r w:rsidR="0051357C" w:rsidRPr="000437FD">
        <w:rPr>
          <w:rFonts w:ascii="Arial" w:hAnsi="Arial"/>
          <w:sz w:val="19"/>
          <w:szCs w:val="19"/>
        </w:rPr>
        <w:t xml:space="preserve">rotected </w:t>
      </w:r>
      <w:r w:rsidR="0051357C">
        <w:rPr>
          <w:rFonts w:ascii="Arial" w:hAnsi="Arial"/>
          <w:sz w:val="19"/>
          <w:szCs w:val="19"/>
        </w:rPr>
        <w:t>d</w:t>
      </w:r>
      <w:r w:rsidR="0051357C" w:rsidRPr="000437FD">
        <w:rPr>
          <w:rFonts w:ascii="Arial" w:hAnsi="Arial"/>
          <w:sz w:val="19"/>
          <w:szCs w:val="19"/>
        </w:rPr>
        <w:t>isclosure</w:t>
      </w:r>
      <w:r w:rsidR="0051357C">
        <w:rPr>
          <w:rFonts w:ascii="Arial" w:hAnsi="Arial"/>
          <w:sz w:val="19"/>
          <w:szCs w:val="19"/>
        </w:rPr>
        <w:t>s</w:t>
      </w:r>
      <w:r w:rsidRPr="000437FD">
        <w:rPr>
          <w:rFonts w:ascii="Arial" w:hAnsi="Arial"/>
          <w:sz w:val="19"/>
          <w:szCs w:val="19"/>
        </w:rPr>
        <w:t>; and</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u w:val="single"/>
        </w:rPr>
        <w:t>Instruction 3.6 – Purchasing and Prepaid Debit Cards</w:t>
      </w:r>
      <w:r w:rsidRPr="000437FD">
        <w:rPr>
          <w:rFonts w:ascii="Arial" w:hAnsi="Arial"/>
          <w:sz w:val="19"/>
          <w:szCs w:val="19"/>
        </w:rPr>
        <w:t xml:space="preserve">: </w:t>
      </w:r>
      <w:r w:rsidR="005E7E50">
        <w:rPr>
          <w:rFonts w:ascii="Arial" w:hAnsi="Arial"/>
          <w:sz w:val="19"/>
          <w:szCs w:val="19"/>
        </w:rPr>
        <w:t xml:space="preserve">Agencies must establish policies and procedures to ensure appropriate use and administration of purchasing and prepaid debit cards. </w:t>
      </w:r>
      <w:r w:rsidRPr="000437FD">
        <w:rPr>
          <w:rFonts w:ascii="Arial" w:hAnsi="Arial"/>
          <w:sz w:val="19"/>
          <w:szCs w:val="19"/>
        </w:rPr>
        <w:t>This instruction provide</w:t>
      </w:r>
      <w:r w:rsidR="003E5912">
        <w:rPr>
          <w:rFonts w:ascii="Arial" w:hAnsi="Arial"/>
          <w:sz w:val="19"/>
          <w:szCs w:val="19"/>
        </w:rPr>
        <w:t>s</w:t>
      </w:r>
      <w:r w:rsidRPr="000437FD">
        <w:rPr>
          <w:rFonts w:ascii="Arial" w:hAnsi="Arial"/>
          <w:sz w:val="19"/>
          <w:szCs w:val="19"/>
        </w:rPr>
        <w:t xml:space="preserve"> guidance on how </w:t>
      </w:r>
      <w:r w:rsidR="00D4374C">
        <w:rPr>
          <w:rFonts w:ascii="Arial" w:hAnsi="Arial"/>
          <w:sz w:val="19"/>
          <w:szCs w:val="19"/>
        </w:rPr>
        <w:t>a</w:t>
      </w:r>
      <w:r w:rsidRPr="000437FD">
        <w:rPr>
          <w:rFonts w:ascii="Arial" w:hAnsi="Arial"/>
          <w:sz w:val="19"/>
          <w:szCs w:val="19"/>
        </w:rPr>
        <w:t>gencies should administer the issue, use and withdrawal of purchasing cards to staff as well as the roles and responsibilities for the staff that have been issued a card.</w:t>
      </w:r>
    </w:p>
    <w:p w:rsidR="007668D0" w:rsidRPr="000437FD" w:rsidRDefault="007668D0" w:rsidP="00D52275">
      <w:pPr>
        <w:spacing w:line="280" w:lineRule="atLeast"/>
        <w:jc w:val="both"/>
        <w:rPr>
          <w:rFonts w:ascii="Arial" w:hAnsi="Arial" w:cs="Arial"/>
          <w:sz w:val="19"/>
          <w:szCs w:val="19"/>
        </w:rPr>
      </w:pPr>
    </w:p>
    <w:p w:rsidR="007668D0" w:rsidRDefault="007668D0" w:rsidP="00D52275">
      <w:pPr>
        <w:spacing w:line="280" w:lineRule="atLeast"/>
        <w:jc w:val="both"/>
        <w:rPr>
          <w:rFonts w:ascii="Arial" w:hAnsi="Arial" w:cs="Arial"/>
          <w:sz w:val="19"/>
          <w:szCs w:val="19"/>
        </w:rPr>
      </w:pPr>
    </w:p>
    <w:p w:rsidR="004E0A4C" w:rsidRDefault="004E0A4C" w:rsidP="00D52275">
      <w:pPr>
        <w:spacing w:line="280" w:lineRule="atLeast"/>
        <w:jc w:val="both"/>
        <w:rPr>
          <w:rFonts w:ascii="Arial" w:hAnsi="Arial" w:cs="Arial"/>
          <w:sz w:val="19"/>
          <w:szCs w:val="19"/>
        </w:rPr>
      </w:pPr>
    </w:p>
    <w:p w:rsidR="004E0A4C" w:rsidRPr="000437FD" w:rsidRDefault="004E0A4C" w:rsidP="00D52275">
      <w:pPr>
        <w:spacing w:line="280" w:lineRule="atLeast"/>
        <w:jc w:val="both"/>
        <w:rPr>
          <w:rFonts w:ascii="Arial" w:hAnsi="Arial" w:cs="Arial"/>
          <w:sz w:val="19"/>
          <w:szCs w:val="19"/>
        </w:rPr>
      </w:pPr>
    </w:p>
    <w:p w:rsidR="007668D0" w:rsidRPr="000437FD" w:rsidRDefault="00D52275" w:rsidP="00D52275">
      <w:pPr>
        <w:pStyle w:val="Heading2"/>
        <w:jc w:val="both"/>
        <w:rPr>
          <w:rFonts w:cs="Arial"/>
        </w:rPr>
      </w:pPr>
      <w:bookmarkStart w:id="23" w:name="_Toc476565103"/>
      <w:bookmarkStart w:id="24" w:name="_Toc492897893"/>
      <w:r>
        <w:rPr>
          <w:rFonts w:cs="Arial"/>
        </w:rPr>
        <w:lastRenderedPageBreak/>
        <w:t xml:space="preserve">2.3 </w:t>
      </w:r>
      <w:r w:rsidR="007668D0" w:rsidRPr="000437FD">
        <w:rPr>
          <w:rFonts w:cs="Arial"/>
        </w:rPr>
        <w:t>Australian Taxation Office</w:t>
      </w:r>
      <w:bookmarkEnd w:id="23"/>
      <w:bookmarkEnd w:id="24"/>
    </w:p>
    <w:p w:rsidR="007668D0" w:rsidRPr="000437FD" w:rsidRDefault="007668D0" w:rsidP="00D52275">
      <w:pPr>
        <w:pStyle w:val="BodyText"/>
        <w:spacing w:after="0"/>
        <w:jc w:val="both"/>
        <w:rPr>
          <w:rFonts w:ascii="Arial" w:hAnsi="Arial"/>
          <w:color w:val="FF0000"/>
          <w:sz w:val="19"/>
          <w:szCs w:val="19"/>
        </w:rPr>
      </w:pPr>
      <w:r w:rsidRPr="000437FD">
        <w:rPr>
          <w:rFonts w:ascii="Arial" w:hAnsi="Arial"/>
          <w:sz w:val="19"/>
          <w:szCs w:val="19"/>
        </w:rPr>
        <w:t xml:space="preserve">The Australian Taxation Office’s </w:t>
      </w:r>
      <w:r w:rsidRPr="000437FD">
        <w:rPr>
          <w:rFonts w:ascii="Arial" w:hAnsi="Arial"/>
          <w:i/>
          <w:sz w:val="19"/>
          <w:szCs w:val="19"/>
        </w:rPr>
        <w:t>Taxation Determination (TD 2016/13)</w:t>
      </w:r>
      <w:r w:rsidRPr="000437FD">
        <w:rPr>
          <w:rStyle w:val="FootnoteReference"/>
          <w:rFonts w:ascii="Arial" w:hAnsi="Arial"/>
          <w:sz w:val="19"/>
          <w:szCs w:val="19"/>
        </w:rPr>
        <w:footnoteReference w:id="3"/>
      </w:r>
      <w:r w:rsidRPr="000437FD">
        <w:rPr>
          <w:rFonts w:ascii="Arial" w:hAnsi="Arial"/>
          <w:sz w:val="19"/>
          <w:szCs w:val="19"/>
        </w:rPr>
        <w:t xml:space="preserve"> provides guidance on reasonable amounts for the payment of travel expenses when these are incurred for business purposes. Although this public ruling by the Commissioner </w:t>
      </w:r>
      <w:r w:rsidR="00D4374C">
        <w:rPr>
          <w:rFonts w:ascii="Arial" w:hAnsi="Arial"/>
          <w:sz w:val="19"/>
          <w:szCs w:val="19"/>
        </w:rPr>
        <w:t xml:space="preserve">of Taxation </w:t>
      </w:r>
      <w:r w:rsidRPr="000437FD">
        <w:rPr>
          <w:rFonts w:ascii="Arial" w:hAnsi="Arial"/>
          <w:sz w:val="19"/>
          <w:szCs w:val="19"/>
        </w:rPr>
        <w:t xml:space="preserve">is not prescriptive, it is recommended that all organisations use these as guidance. Additionally, referring and adhering to the </w:t>
      </w:r>
      <w:r w:rsidR="00D4374C">
        <w:rPr>
          <w:rFonts w:ascii="Arial" w:hAnsi="Arial"/>
          <w:sz w:val="19"/>
          <w:szCs w:val="19"/>
        </w:rPr>
        <w:t xml:space="preserve">above </w:t>
      </w:r>
      <w:r w:rsidRPr="000437FD">
        <w:rPr>
          <w:rFonts w:ascii="Arial" w:hAnsi="Arial"/>
          <w:i/>
          <w:sz w:val="19"/>
          <w:szCs w:val="19"/>
        </w:rPr>
        <w:t>Taxation Determination</w:t>
      </w:r>
      <w:r w:rsidRPr="000437FD">
        <w:rPr>
          <w:rFonts w:ascii="Arial" w:hAnsi="Arial"/>
          <w:sz w:val="19"/>
          <w:szCs w:val="19"/>
        </w:rPr>
        <w:t xml:space="preserve"> could be beneficial to ensure fair and equitable treatment of staff and strengthen the positive public perception of the </w:t>
      </w:r>
      <w:r w:rsidR="00D4374C">
        <w:rPr>
          <w:rFonts w:ascii="Arial" w:hAnsi="Arial"/>
          <w:sz w:val="19"/>
          <w:szCs w:val="19"/>
        </w:rPr>
        <w:t>health service</w:t>
      </w:r>
      <w:r w:rsidRPr="000437FD">
        <w:rPr>
          <w:rFonts w:ascii="Arial" w:hAnsi="Arial"/>
          <w:sz w:val="19"/>
          <w:szCs w:val="19"/>
        </w:rPr>
        <w:t xml:space="preserve">. </w:t>
      </w:r>
    </w:p>
    <w:p w:rsidR="007668D0" w:rsidRPr="000437FD" w:rsidRDefault="007668D0" w:rsidP="00D52275">
      <w:pPr>
        <w:spacing w:line="280" w:lineRule="atLeast"/>
        <w:jc w:val="both"/>
        <w:rPr>
          <w:rFonts w:ascii="Arial" w:hAnsi="Arial" w:cs="Arial"/>
          <w:color w:val="FF0000"/>
          <w:sz w:val="19"/>
          <w:szCs w:val="19"/>
        </w:rPr>
      </w:pPr>
    </w:p>
    <w:p w:rsidR="007668D0" w:rsidRPr="000437FD" w:rsidRDefault="00D52275" w:rsidP="00D52275">
      <w:pPr>
        <w:pStyle w:val="Heading2"/>
        <w:jc w:val="both"/>
        <w:rPr>
          <w:rFonts w:cs="Arial"/>
        </w:rPr>
      </w:pPr>
      <w:bookmarkStart w:id="25" w:name="_Toc476565104"/>
      <w:bookmarkStart w:id="26" w:name="_Toc492897894"/>
      <w:r>
        <w:rPr>
          <w:rFonts w:cs="Arial"/>
        </w:rPr>
        <w:t xml:space="preserve">2.4 </w:t>
      </w:r>
      <w:r w:rsidR="007668D0" w:rsidRPr="000437FD">
        <w:rPr>
          <w:rFonts w:cs="Arial"/>
        </w:rPr>
        <w:t>Independent Broad-based Anti-corruption Commission</w:t>
      </w:r>
      <w:bookmarkEnd w:id="25"/>
      <w:bookmarkEnd w:id="26"/>
    </w:p>
    <w:p w:rsidR="005E7E50" w:rsidRDefault="00AF425F" w:rsidP="00D52275">
      <w:pPr>
        <w:pStyle w:val="BodyText"/>
        <w:spacing w:after="0"/>
        <w:jc w:val="both"/>
        <w:rPr>
          <w:rFonts w:ascii="Arial" w:hAnsi="Arial"/>
          <w:sz w:val="19"/>
          <w:szCs w:val="19"/>
        </w:rPr>
      </w:pPr>
      <w:r>
        <w:rPr>
          <w:rFonts w:ascii="Arial" w:hAnsi="Arial"/>
          <w:sz w:val="19"/>
          <w:szCs w:val="19"/>
        </w:rPr>
        <w:t xml:space="preserve">All </w:t>
      </w:r>
      <w:r w:rsidR="00C36249">
        <w:rPr>
          <w:rFonts w:ascii="Arial" w:hAnsi="Arial"/>
          <w:sz w:val="19"/>
          <w:szCs w:val="19"/>
        </w:rPr>
        <w:t xml:space="preserve">Victorian </w:t>
      </w:r>
      <w:r>
        <w:rPr>
          <w:rFonts w:ascii="Arial" w:hAnsi="Arial"/>
          <w:sz w:val="19"/>
          <w:szCs w:val="19"/>
        </w:rPr>
        <w:t xml:space="preserve">public bodies are required to comply with the </w:t>
      </w:r>
      <w:r w:rsidRPr="005E7E50">
        <w:rPr>
          <w:rFonts w:ascii="Arial" w:hAnsi="Arial"/>
          <w:i/>
          <w:sz w:val="19"/>
          <w:szCs w:val="19"/>
        </w:rPr>
        <w:t>Protected Disclosure Act 2012</w:t>
      </w:r>
      <w:r w:rsidR="00C36249" w:rsidRPr="005E7E50">
        <w:rPr>
          <w:rFonts w:ascii="Arial" w:hAnsi="Arial"/>
          <w:i/>
          <w:sz w:val="19"/>
          <w:szCs w:val="19"/>
        </w:rPr>
        <w:t xml:space="preserve"> </w:t>
      </w:r>
      <w:r w:rsidR="00C36249">
        <w:rPr>
          <w:rFonts w:ascii="Arial" w:hAnsi="Arial"/>
          <w:sz w:val="19"/>
          <w:szCs w:val="19"/>
        </w:rPr>
        <w:t>(Vic)</w:t>
      </w:r>
      <w:r w:rsidR="009F31D3">
        <w:rPr>
          <w:rFonts w:ascii="Arial" w:hAnsi="Arial"/>
          <w:sz w:val="19"/>
          <w:szCs w:val="19"/>
        </w:rPr>
        <w:t>,</w:t>
      </w:r>
      <w:r>
        <w:rPr>
          <w:rFonts w:ascii="Arial" w:hAnsi="Arial"/>
          <w:sz w:val="19"/>
          <w:szCs w:val="19"/>
        </w:rPr>
        <w:t xml:space="preserve"> which is administered by the Independent Broad-based Anti-Corruption Commission (IBAC). The </w:t>
      </w:r>
      <w:r w:rsidRPr="00357DAF">
        <w:rPr>
          <w:rFonts w:ascii="Arial" w:hAnsi="Arial"/>
          <w:i/>
          <w:sz w:val="19"/>
          <w:szCs w:val="19"/>
        </w:rPr>
        <w:t xml:space="preserve">Protected Disclosure </w:t>
      </w:r>
      <w:r w:rsidR="00C36249" w:rsidRPr="00357DAF">
        <w:rPr>
          <w:rFonts w:ascii="Arial" w:hAnsi="Arial"/>
          <w:i/>
          <w:sz w:val="19"/>
          <w:szCs w:val="19"/>
        </w:rPr>
        <w:t>A</w:t>
      </w:r>
      <w:r w:rsidRPr="00357DAF">
        <w:rPr>
          <w:rFonts w:ascii="Arial" w:hAnsi="Arial"/>
          <w:i/>
          <w:sz w:val="19"/>
          <w:szCs w:val="19"/>
        </w:rPr>
        <w:t>ct</w:t>
      </w:r>
      <w:r>
        <w:rPr>
          <w:rFonts w:ascii="Arial" w:hAnsi="Arial"/>
          <w:sz w:val="19"/>
          <w:szCs w:val="19"/>
        </w:rPr>
        <w:t xml:space="preserve"> provides protection for people making complaints about improper conduct or detrimental action by public </w:t>
      </w:r>
      <w:r w:rsidR="00C36249">
        <w:rPr>
          <w:rFonts w:ascii="Arial" w:hAnsi="Arial"/>
          <w:sz w:val="19"/>
          <w:szCs w:val="19"/>
        </w:rPr>
        <w:t>officers</w:t>
      </w:r>
      <w:r>
        <w:rPr>
          <w:rFonts w:ascii="Arial" w:hAnsi="Arial"/>
          <w:sz w:val="19"/>
          <w:szCs w:val="19"/>
        </w:rPr>
        <w:t xml:space="preserve"> or </w:t>
      </w:r>
      <w:r w:rsidR="00C36249">
        <w:rPr>
          <w:rFonts w:ascii="Arial" w:hAnsi="Arial"/>
          <w:sz w:val="19"/>
          <w:szCs w:val="19"/>
        </w:rPr>
        <w:t>bodies</w:t>
      </w:r>
      <w:r>
        <w:rPr>
          <w:rFonts w:ascii="Arial" w:hAnsi="Arial"/>
          <w:sz w:val="19"/>
          <w:szCs w:val="19"/>
        </w:rPr>
        <w:t>. Complaints that may be protected disclosures must be confidential</w:t>
      </w:r>
      <w:r w:rsidR="009F31D3">
        <w:rPr>
          <w:rFonts w:ascii="Arial" w:hAnsi="Arial"/>
          <w:sz w:val="19"/>
          <w:szCs w:val="19"/>
        </w:rPr>
        <w:t>l</w:t>
      </w:r>
      <w:r>
        <w:rPr>
          <w:rFonts w:ascii="Arial" w:hAnsi="Arial"/>
          <w:sz w:val="19"/>
          <w:szCs w:val="19"/>
        </w:rPr>
        <w:t xml:space="preserve">y handled and referred to IBAC. </w:t>
      </w:r>
      <w:r w:rsidR="007668D0" w:rsidRPr="000437FD">
        <w:rPr>
          <w:rFonts w:ascii="Arial" w:hAnsi="Arial"/>
          <w:sz w:val="19"/>
          <w:szCs w:val="19"/>
        </w:rPr>
        <w:t>IBAC</w:t>
      </w:r>
      <w:r>
        <w:rPr>
          <w:rFonts w:ascii="Arial" w:hAnsi="Arial"/>
          <w:sz w:val="19"/>
          <w:szCs w:val="19"/>
        </w:rPr>
        <w:t xml:space="preserve"> </w:t>
      </w:r>
      <w:r w:rsidR="009F31D3">
        <w:rPr>
          <w:rFonts w:ascii="Arial" w:hAnsi="Arial"/>
          <w:sz w:val="19"/>
          <w:szCs w:val="19"/>
        </w:rPr>
        <w:t xml:space="preserve">has published </w:t>
      </w:r>
      <w:r w:rsidR="007668D0" w:rsidRPr="000437FD">
        <w:rPr>
          <w:rFonts w:ascii="Arial" w:hAnsi="Arial"/>
          <w:i/>
          <w:sz w:val="19"/>
          <w:szCs w:val="19"/>
        </w:rPr>
        <w:t>Guidelines for Making or Handling Protected Disclosures</w:t>
      </w:r>
      <w:r w:rsidR="009F31D3" w:rsidRPr="00F033A2">
        <w:rPr>
          <w:rFonts w:ascii="Arial" w:hAnsi="Arial"/>
          <w:sz w:val="19"/>
          <w:szCs w:val="19"/>
        </w:rPr>
        <w:t>.</w:t>
      </w:r>
      <w:r w:rsidR="007668D0" w:rsidRPr="000437FD">
        <w:rPr>
          <w:rStyle w:val="FootnoteReference"/>
          <w:rFonts w:ascii="Arial" w:hAnsi="Arial"/>
          <w:sz w:val="19"/>
          <w:szCs w:val="19"/>
        </w:rPr>
        <w:footnoteReference w:id="4"/>
      </w:r>
      <w:r w:rsidR="007668D0" w:rsidRPr="000437FD">
        <w:rPr>
          <w:rFonts w:ascii="Arial" w:hAnsi="Arial"/>
          <w:sz w:val="19"/>
          <w:szCs w:val="19"/>
        </w:rPr>
        <w:t xml:space="preserve"> Health Services must have a </w:t>
      </w:r>
      <w:r w:rsidR="00C36249">
        <w:rPr>
          <w:rFonts w:ascii="Arial" w:hAnsi="Arial"/>
          <w:sz w:val="19"/>
          <w:szCs w:val="19"/>
        </w:rPr>
        <w:t xml:space="preserve">protected disclosure </w:t>
      </w:r>
      <w:r w:rsidR="007668D0" w:rsidRPr="000437FD">
        <w:rPr>
          <w:rFonts w:ascii="Arial" w:hAnsi="Arial"/>
          <w:sz w:val="19"/>
          <w:szCs w:val="19"/>
        </w:rPr>
        <w:t xml:space="preserve">policy in place and should refer to the IBAC guidelines for more detailed information </w:t>
      </w:r>
      <w:r w:rsidR="00C36249">
        <w:rPr>
          <w:rFonts w:ascii="Arial" w:hAnsi="Arial"/>
          <w:sz w:val="19"/>
          <w:szCs w:val="19"/>
        </w:rPr>
        <w:t xml:space="preserve">about the development of </w:t>
      </w:r>
      <w:r w:rsidR="00106421">
        <w:rPr>
          <w:rFonts w:ascii="Arial" w:hAnsi="Arial"/>
          <w:sz w:val="19"/>
          <w:szCs w:val="19"/>
        </w:rPr>
        <w:t xml:space="preserve">a protected disclosure </w:t>
      </w:r>
      <w:r w:rsidR="00C36249">
        <w:rPr>
          <w:rFonts w:ascii="Arial" w:hAnsi="Arial"/>
          <w:sz w:val="19"/>
          <w:szCs w:val="19"/>
        </w:rPr>
        <w:t>policy and associated processes</w:t>
      </w:r>
      <w:r w:rsidR="007668D0" w:rsidRPr="000437FD">
        <w:rPr>
          <w:rFonts w:ascii="Arial" w:hAnsi="Arial"/>
          <w:sz w:val="19"/>
          <w:szCs w:val="19"/>
        </w:rPr>
        <w:t>.</w:t>
      </w:r>
    </w:p>
    <w:p w:rsidR="005E7E50" w:rsidRDefault="005E7E50" w:rsidP="00D52275">
      <w:pPr>
        <w:pStyle w:val="BodyText"/>
        <w:spacing w:after="0"/>
        <w:jc w:val="both"/>
        <w:rPr>
          <w:rFonts w:ascii="Arial" w:hAnsi="Arial"/>
          <w:sz w:val="19"/>
          <w:szCs w:val="19"/>
        </w:rPr>
      </w:pPr>
    </w:p>
    <w:p w:rsidR="007668D0" w:rsidRDefault="009827BF" w:rsidP="00D52275">
      <w:pPr>
        <w:pStyle w:val="BodyText"/>
        <w:spacing w:after="0"/>
        <w:jc w:val="both"/>
        <w:rPr>
          <w:rFonts w:ascii="Arial" w:hAnsi="Arial"/>
          <w:sz w:val="19"/>
          <w:szCs w:val="19"/>
        </w:rPr>
      </w:pPr>
      <w:r>
        <w:rPr>
          <w:rFonts w:ascii="Arial" w:hAnsi="Arial"/>
          <w:sz w:val="19"/>
          <w:szCs w:val="19"/>
        </w:rPr>
        <w:t>Health s</w:t>
      </w:r>
      <w:r w:rsidR="007668D0" w:rsidRPr="000437FD">
        <w:rPr>
          <w:rFonts w:ascii="Arial" w:hAnsi="Arial"/>
          <w:sz w:val="19"/>
          <w:szCs w:val="19"/>
        </w:rPr>
        <w:t xml:space="preserve">ervices </w:t>
      </w:r>
      <w:r w:rsidR="00153498">
        <w:rPr>
          <w:rFonts w:ascii="Arial" w:hAnsi="Arial"/>
          <w:sz w:val="19"/>
          <w:szCs w:val="19"/>
        </w:rPr>
        <w:t>must</w:t>
      </w:r>
      <w:r w:rsidR="007668D0" w:rsidRPr="000437FD">
        <w:rPr>
          <w:rFonts w:ascii="Arial" w:hAnsi="Arial"/>
          <w:sz w:val="19"/>
          <w:szCs w:val="19"/>
        </w:rPr>
        <w:t xml:space="preserve"> ensure that all staff are aware of the protected disclosure policy and </w:t>
      </w:r>
      <w:r w:rsidR="00CF3530" w:rsidRPr="000437FD">
        <w:rPr>
          <w:rFonts w:ascii="Arial" w:hAnsi="Arial"/>
          <w:sz w:val="19"/>
          <w:szCs w:val="19"/>
        </w:rPr>
        <w:t>proce</w:t>
      </w:r>
      <w:r w:rsidR="00CF3530">
        <w:rPr>
          <w:rFonts w:ascii="Arial" w:hAnsi="Arial"/>
          <w:sz w:val="19"/>
          <w:szCs w:val="19"/>
        </w:rPr>
        <w:t>sses</w:t>
      </w:r>
      <w:r w:rsidR="00CF3530" w:rsidRPr="000437FD">
        <w:rPr>
          <w:rFonts w:ascii="Arial" w:hAnsi="Arial"/>
          <w:sz w:val="19"/>
          <w:szCs w:val="19"/>
        </w:rPr>
        <w:t xml:space="preserve"> </w:t>
      </w:r>
      <w:r w:rsidR="007668D0" w:rsidRPr="000437FD">
        <w:rPr>
          <w:rFonts w:ascii="Arial" w:hAnsi="Arial"/>
          <w:sz w:val="19"/>
          <w:szCs w:val="19"/>
        </w:rPr>
        <w:t xml:space="preserve">and that they feel comfortable and supported </w:t>
      </w:r>
      <w:r w:rsidR="00AF425F">
        <w:rPr>
          <w:rFonts w:ascii="Arial" w:hAnsi="Arial"/>
          <w:sz w:val="19"/>
          <w:szCs w:val="19"/>
        </w:rPr>
        <w:t xml:space="preserve">to make complaints in accordance with the </w:t>
      </w:r>
      <w:r w:rsidR="007668D0" w:rsidRPr="000437FD">
        <w:rPr>
          <w:rFonts w:ascii="Arial" w:hAnsi="Arial"/>
          <w:sz w:val="19"/>
          <w:szCs w:val="19"/>
        </w:rPr>
        <w:t xml:space="preserve">protected disclosure </w:t>
      </w:r>
      <w:r w:rsidR="00AF425F">
        <w:rPr>
          <w:rFonts w:ascii="Arial" w:hAnsi="Arial"/>
          <w:sz w:val="19"/>
          <w:szCs w:val="19"/>
        </w:rPr>
        <w:t>regime.</w:t>
      </w:r>
    </w:p>
    <w:p w:rsidR="00AF425F" w:rsidRDefault="00AF425F" w:rsidP="00D52275">
      <w:pPr>
        <w:pStyle w:val="BodyText"/>
        <w:spacing w:after="0"/>
        <w:jc w:val="both"/>
        <w:rPr>
          <w:rFonts w:ascii="Arial" w:hAnsi="Arial"/>
          <w:sz w:val="19"/>
          <w:szCs w:val="19"/>
        </w:rPr>
      </w:pPr>
    </w:p>
    <w:p w:rsidR="00AF425F" w:rsidRPr="000437FD" w:rsidRDefault="00AF425F" w:rsidP="00D52275">
      <w:pPr>
        <w:pStyle w:val="BodyText"/>
        <w:spacing w:after="0"/>
        <w:jc w:val="both"/>
        <w:rPr>
          <w:rFonts w:ascii="Arial" w:hAnsi="Arial"/>
          <w:sz w:val="19"/>
          <w:szCs w:val="19"/>
        </w:rPr>
      </w:pPr>
      <w:r>
        <w:rPr>
          <w:rFonts w:ascii="Arial" w:hAnsi="Arial"/>
          <w:sz w:val="19"/>
          <w:szCs w:val="19"/>
        </w:rPr>
        <w:t xml:space="preserve">Where a matter is not a protected disclosure but </w:t>
      </w:r>
      <w:r w:rsidR="00671582">
        <w:rPr>
          <w:rFonts w:ascii="Arial" w:hAnsi="Arial"/>
          <w:sz w:val="19"/>
          <w:szCs w:val="19"/>
        </w:rPr>
        <w:t xml:space="preserve">an individual </w:t>
      </w:r>
      <w:r>
        <w:rPr>
          <w:rFonts w:ascii="Arial" w:hAnsi="Arial"/>
          <w:sz w:val="19"/>
          <w:szCs w:val="19"/>
        </w:rPr>
        <w:t>susp</w:t>
      </w:r>
      <w:r w:rsidR="00671582">
        <w:rPr>
          <w:rFonts w:ascii="Arial" w:hAnsi="Arial"/>
          <w:sz w:val="19"/>
          <w:szCs w:val="19"/>
        </w:rPr>
        <w:t>ects</w:t>
      </w:r>
      <w:r>
        <w:rPr>
          <w:rFonts w:ascii="Arial" w:hAnsi="Arial"/>
          <w:sz w:val="19"/>
          <w:szCs w:val="19"/>
        </w:rPr>
        <w:t xml:space="preserve"> </w:t>
      </w:r>
      <w:r w:rsidR="00106421">
        <w:rPr>
          <w:rFonts w:ascii="Arial" w:hAnsi="Arial"/>
          <w:sz w:val="19"/>
          <w:szCs w:val="19"/>
        </w:rPr>
        <w:t xml:space="preserve">on reasonable grounds </w:t>
      </w:r>
      <w:r w:rsidR="00651F57">
        <w:rPr>
          <w:rFonts w:ascii="Arial" w:hAnsi="Arial"/>
          <w:sz w:val="19"/>
          <w:szCs w:val="19"/>
        </w:rPr>
        <w:t>corrupt</w:t>
      </w:r>
      <w:r w:rsidR="00722289">
        <w:rPr>
          <w:rFonts w:ascii="Arial" w:hAnsi="Arial"/>
          <w:sz w:val="19"/>
          <w:szCs w:val="19"/>
        </w:rPr>
        <w:t xml:space="preserve"> conduct </w:t>
      </w:r>
      <w:r w:rsidR="00671582">
        <w:rPr>
          <w:rFonts w:ascii="Arial" w:hAnsi="Arial"/>
          <w:sz w:val="19"/>
          <w:szCs w:val="19"/>
        </w:rPr>
        <w:t>is occurring or has occurred, of any matter</w:t>
      </w:r>
      <w:r w:rsidR="00651F57">
        <w:rPr>
          <w:rFonts w:ascii="Arial" w:hAnsi="Arial"/>
          <w:sz w:val="19"/>
          <w:szCs w:val="19"/>
        </w:rPr>
        <w:t xml:space="preserve">, </w:t>
      </w:r>
      <w:r w:rsidR="008A61BA">
        <w:rPr>
          <w:rFonts w:ascii="Arial" w:hAnsi="Arial"/>
          <w:sz w:val="19"/>
          <w:szCs w:val="19"/>
        </w:rPr>
        <w:t xml:space="preserve">IBAC </w:t>
      </w:r>
      <w:r w:rsidR="00671582">
        <w:rPr>
          <w:rFonts w:ascii="Arial" w:hAnsi="Arial"/>
          <w:sz w:val="19"/>
          <w:szCs w:val="19"/>
        </w:rPr>
        <w:t xml:space="preserve">must be notified </w:t>
      </w:r>
      <w:r w:rsidR="008A61BA">
        <w:rPr>
          <w:rFonts w:ascii="Arial" w:hAnsi="Arial"/>
          <w:sz w:val="19"/>
          <w:szCs w:val="19"/>
        </w:rPr>
        <w:t xml:space="preserve">in accordance with section 57 of the </w:t>
      </w:r>
      <w:r w:rsidR="008A61BA" w:rsidRPr="005E7E50">
        <w:rPr>
          <w:rFonts w:ascii="Arial" w:hAnsi="Arial"/>
          <w:i/>
          <w:sz w:val="19"/>
          <w:szCs w:val="19"/>
        </w:rPr>
        <w:t>Independent Broad-based Anti-Corruption Commission Act 2011</w:t>
      </w:r>
      <w:r w:rsidR="008A61BA">
        <w:rPr>
          <w:rFonts w:ascii="Arial" w:hAnsi="Arial"/>
          <w:sz w:val="19"/>
          <w:szCs w:val="19"/>
        </w:rPr>
        <w:t xml:space="preserve"> (Vic). </w:t>
      </w:r>
    </w:p>
    <w:p w:rsidR="007668D0" w:rsidRPr="000437FD" w:rsidRDefault="007668D0" w:rsidP="00D52275">
      <w:pPr>
        <w:pStyle w:val="BodyText"/>
        <w:spacing w:after="0"/>
        <w:jc w:val="both"/>
        <w:rPr>
          <w:rFonts w:ascii="Arial" w:hAnsi="Arial"/>
          <w:sz w:val="19"/>
          <w:szCs w:val="19"/>
        </w:rPr>
      </w:pPr>
    </w:p>
    <w:p w:rsidR="007668D0" w:rsidRPr="000437FD" w:rsidRDefault="00D52275" w:rsidP="00D52275">
      <w:pPr>
        <w:pStyle w:val="Heading2"/>
        <w:jc w:val="both"/>
        <w:rPr>
          <w:rFonts w:cs="Arial"/>
        </w:rPr>
      </w:pPr>
      <w:bookmarkStart w:id="27" w:name="_Toc476565105"/>
      <w:bookmarkStart w:id="28" w:name="_Toc492897895"/>
      <w:r>
        <w:rPr>
          <w:rFonts w:cs="Arial"/>
        </w:rPr>
        <w:t xml:space="preserve">2.5 </w:t>
      </w:r>
      <w:r w:rsidR="007668D0" w:rsidRPr="000437FD">
        <w:rPr>
          <w:rFonts w:cs="Arial"/>
        </w:rPr>
        <w:t>Internal Audit and Compliance</w:t>
      </w:r>
      <w:bookmarkEnd w:id="27"/>
      <w:bookmarkEnd w:id="28"/>
    </w:p>
    <w:p w:rsidR="007668D0" w:rsidRPr="000437FD" w:rsidRDefault="007668D0" w:rsidP="00D52275">
      <w:pPr>
        <w:pStyle w:val="BodyText"/>
        <w:spacing w:after="0"/>
        <w:jc w:val="both"/>
        <w:rPr>
          <w:rFonts w:ascii="Arial" w:hAnsi="Arial"/>
          <w:sz w:val="19"/>
          <w:szCs w:val="19"/>
        </w:rPr>
      </w:pPr>
      <w:r w:rsidRPr="000437FD">
        <w:rPr>
          <w:rFonts w:ascii="Arial" w:hAnsi="Arial"/>
          <w:sz w:val="19"/>
          <w:szCs w:val="19"/>
        </w:rPr>
        <w:t xml:space="preserve">Business expenses made by </w:t>
      </w:r>
      <w:r w:rsidR="00122FA6">
        <w:rPr>
          <w:rFonts w:ascii="Arial" w:hAnsi="Arial"/>
          <w:sz w:val="19"/>
          <w:szCs w:val="19"/>
        </w:rPr>
        <w:t>staff</w:t>
      </w:r>
      <w:r w:rsidRPr="000437FD">
        <w:rPr>
          <w:rFonts w:ascii="Arial" w:hAnsi="Arial"/>
          <w:sz w:val="19"/>
          <w:szCs w:val="19"/>
        </w:rPr>
        <w:t xml:space="preserve"> can be subject to </w:t>
      </w:r>
      <w:r w:rsidR="005E7E50">
        <w:rPr>
          <w:rFonts w:ascii="Arial" w:hAnsi="Arial"/>
          <w:sz w:val="19"/>
          <w:szCs w:val="19"/>
        </w:rPr>
        <w:t>i</w:t>
      </w:r>
      <w:r w:rsidRPr="000437FD">
        <w:rPr>
          <w:rFonts w:ascii="Arial" w:hAnsi="Arial"/>
          <w:sz w:val="19"/>
          <w:szCs w:val="19"/>
        </w:rPr>
        <w:t>n</w:t>
      </w:r>
      <w:r w:rsidR="005E7E50">
        <w:rPr>
          <w:rFonts w:ascii="Arial" w:hAnsi="Arial"/>
          <w:sz w:val="19"/>
          <w:szCs w:val="19"/>
        </w:rPr>
        <w:t>ternal a</w:t>
      </w:r>
      <w:r w:rsidRPr="000437FD">
        <w:rPr>
          <w:rFonts w:ascii="Arial" w:hAnsi="Arial"/>
          <w:sz w:val="19"/>
          <w:szCs w:val="19"/>
        </w:rPr>
        <w:t>udit reviews on a regular basis. The outcome</w:t>
      </w:r>
      <w:r w:rsidR="005E7E50">
        <w:rPr>
          <w:rFonts w:ascii="Arial" w:hAnsi="Arial"/>
          <w:sz w:val="19"/>
          <w:szCs w:val="19"/>
        </w:rPr>
        <w:t xml:space="preserve">s of the </w:t>
      </w:r>
      <w:r w:rsidR="00671582">
        <w:rPr>
          <w:rFonts w:ascii="Arial" w:hAnsi="Arial"/>
          <w:sz w:val="19"/>
          <w:szCs w:val="19"/>
        </w:rPr>
        <w:t>i</w:t>
      </w:r>
      <w:r w:rsidR="005E7E50">
        <w:rPr>
          <w:rFonts w:ascii="Arial" w:hAnsi="Arial"/>
          <w:sz w:val="19"/>
          <w:szCs w:val="19"/>
        </w:rPr>
        <w:t xml:space="preserve">nternal </w:t>
      </w:r>
      <w:r w:rsidR="00671582">
        <w:rPr>
          <w:rFonts w:ascii="Arial" w:hAnsi="Arial"/>
          <w:sz w:val="19"/>
          <w:szCs w:val="19"/>
        </w:rPr>
        <w:t>a</w:t>
      </w:r>
      <w:r w:rsidR="005E7E50">
        <w:rPr>
          <w:rFonts w:ascii="Arial" w:hAnsi="Arial"/>
          <w:sz w:val="19"/>
          <w:szCs w:val="19"/>
        </w:rPr>
        <w:t xml:space="preserve">udit reviews </w:t>
      </w:r>
      <w:r w:rsidRPr="000437FD">
        <w:rPr>
          <w:rFonts w:ascii="Arial" w:hAnsi="Arial"/>
          <w:sz w:val="19"/>
          <w:szCs w:val="19"/>
        </w:rPr>
        <w:t>are reported to the Audit &amp;</w:t>
      </w:r>
      <w:r w:rsidR="009827BF">
        <w:rPr>
          <w:rFonts w:ascii="Arial" w:hAnsi="Arial"/>
          <w:sz w:val="19"/>
          <w:szCs w:val="19"/>
        </w:rPr>
        <w:t xml:space="preserve"> Risk Committee of the health s</w:t>
      </w:r>
      <w:r w:rsidRPr="000437FD">
        <w:rPr>
          <w:rFonts w:ascii="Arial" w:hAnsi="Arial"/>
          <w:sz w:val="19"/>
          <w:szCs w:val="19"/>
        </w:rPr>
        <w:t xml:space="preserve">ervice’s </w:t>
      </w:r>
      <w:r w:rsidR="00671582">
        <w:rPr>
          <w:rFonts w:ascii="Arial" w:hAnsi="Arial"/>
          <w:sz w:val="19"/>
          <w:szCs w:val="19"/>
        </w:rPr>
        <w:t>b</w:t>
      </w:r>
      <w:r w:rsidRPr="000437FD">
        <w:rPr>
          <w:rFonts w:ascii="Arial" w:hAnsi="Arial"/>
          <w:sz w:val="19"/>
          <w:szCs w:val="19"/>
        </w:rPr>
        <w:t xml:space="preserve">oard of </w:t>
      </w:r>
      <w:r w:rsidR="00671582">
        <w:rPr>
          <w:rFonts w:ascii="Arial" w:hAnsi="Arial"/>
          <w:sz w:val="19"/>
          <w:szCs w:val="19"/>
        </w:rPr>
        <w:t>d</w:t>
      </w:r>
      <w:r w:rsidRPr="000437FD">
        <w:rPr>
          <w:rFonts w:ascii="Arial" w:hAnsi="Arial"/>
          <w:sz w:val="19"/>
          <w:szCs w:val="19"/>
        </w:rPr>
        <w:t xml:space="preserve">irectors regarding compliance (or non-compliance). External reviews can also be performed </w:t>
      </w:r>
      <w:r w:rsidR="00671582">
        <w:rPr>
          <w:rFonts w:ascii="Arial" w:hAnsi="Arial"/>
          <w:sz w:val="19"/>
          <w:szCs w:val="19"/>
        </w:rPr>
        <w:t xml:space="preserve">by or </w:t>
      </w:r>
      <w:r w:rsidRPr="000437FD">
        <w:rPr>
          <w:rFonts w:ascii="Arial" w:hAnsi="Arial"/>
          <w:sz w:val="19"/>
          <w:szCs w:val="19"/>
        </w:rPr>
        <w:t>on behalf of the Department.</w:t>
      </w:r>
    </w:p>
    <w:p w:rsidR="007668D0" w:rsidRPr="000437FD" w:rsidRDefault="007668D0" w:rsidP="00D52275">
      <w:pPr>
        <w:pStyle w:val="BodyText"/>
        <w:spacing w:after="0"/>
        <w:jc w:val="both"/>
        <w:rPr>
          <w:rFonts w:ascii="Arial" w:hAnsi="Arial"/>
          <w:sz w:val="19"/>
          <w:szCs w:val="19"/>
        </w:rPr>
      </w:pPr>
    </w:p>
    <w:p w:rsidR="005F09F0" w:rsidRPr="005E7E50" w:rsidRDefault="00D52275" w:rsidP="00D52275">
      <w:pPr>
        <w:pStyle w:val="Heading2"/>
        <w:jc w:val="both"/>
      </w:pPr>
      <w:bookmarkStart w:id="29" w:name="_Toc492897896"/>
      <w:r>
        <w:rPr>
          <w:rFonts w:cs="Arial"/>
        </w:rPr>
        <w:t xml:space="preserve">2.6 </w:t>
      </w:r>
      <w:r w:rsidR="005F09F0" w:rsidRPr="005E7E50">
        <w:rPr>
          <w:rFonts w:cs="Arial"/>
        </w:rPr>
        <w:t>Consequences for misuse of public funds</w:t>
      </w:r>
      <w:bookmarkEnd w:id="29"/>
      <w:r w:rsidR="005F09F0" w:rsidRPr="005E7E50">
        <w:rPr>
          <w:rFonts w:cs="Arial"/>
        </w:rPr>
        <w:t xml:space="preserve"> </w:t>
      </w:r>
    </w:p>
    <w:p w:rsidR="007668D0" w:rsidRPr="000437FD" w:rsidRDefault="005F09F0" w:rsidP="00D52275">
      <w:pPr>
        <w:pStyle w:val="BodyText"/>
        <w:spacing w:after="0"/>
        <w:jc w:val="both"/>
        <w:rPr>
          <w:rFonts w:ascii="Arial" w:hAnsi="Arial"/>
          <w:sz w:val="19"/>
          <w:szCs w:val="19"/>
        </w:rPr>
      </w:pPr>
      <w:r>
        <w:rPr>
          <w:rFonts w:ascii="Arial" w:hAnsi="Arial"/>
          <w:sz w:val="19"/>
          <w:szCs w:val="19"/>
        </w:rPr>
        <w:t>M</w:t>
      </w:r>
      <w:r w:rsidRPr="000437FD">
        <w:rPr>
          <w:rFonts w:ascii="Arial" w:hAnsi="Arial"/>
          <w:sz w:val="19"/>
          <w:szCs w:val="19"/>
        </w:rPr>
        <w:t>i</w:t>
      </w:r>
      <w:r w:rsidR="00912548">
        <w:rPr>
          <w:rFonts w:ascii="Arial" w:hAnsi="Arial"/>
          <w:sz w:val="19"/>
          <w:szCs w:val="19"/>
        </w:rPr>
        <w:t>suse of public funds by health s</w:t>
      </w:r>
      <w:r w:rsidRPr="000437FD">
        <w:rPr>
          <w:rFonts w:ascii="Arial" w:hAnsi="Arial"/>
          <w:sz w:val="19"/>
          <w:szCs w:val="19"/>
        </w:rPr>
        <w:t xml:space="preserve">ervices </w:t>
      </w:r>
      <w:r w:rsidR="00912548">
        <w:rPr>
          <w:rFonts w:ascii="Arial" w:hAnsi="Arial"/>
          <w:sz w:val="19"/>
          <w:szCs w:val="19"/>
        </w:rPr>
        <w:t>e</w:t>
      </w:r>
      <w:r>
        <w:rPr>
          <w:rFonts w:ascii="Arial" w:hAnsi="Arial"/>
          <w:sz w:val="19"/>
          <w:szCs w:val="19"/>
        </w:rPr>
        <w:t xml:space="preserve">xecutives </w:t>
      </w:r>
      <w:r w:rsidR="00662FDD">
        <w:rPr>
          <w:rFonts w:ascii="Arial" w:hAnsi="Arial"/>
          <w:sz w:val="19"/>
          <w:szCs w:val="19"/>
        </w:rPr>
        <w:t>and within health s</w:t>
      </w:r>
      <w:r>
        <w:rPr>
          <w:rFonts w:ascii="Arial" w:hAnsi="Arial"/>
          <w:sz w:val="19"/>
          <w:szCs w:val="19"/>
        </w:rPr>
        <w:t xml:space="preserve">ervices more broadly </w:t>
      </w:r>
      <w:r w:rsidR="009D658B">
        <w:rPr>
          <w:rFonts w:ascii="Arial" w:hAnsi="Arial"/>
          <w:sz w:val="19"/>
          <w:szCs w:val="19"/>
        </w:rPr>
        <w:t xml:space="preserve">has </w:t>
      </w:r>
      <w:r>
        <w:rPr>
          <w:rFonts w:ascii="Arial" w:hAnsi="Arial"/>
          <w:sz w:val="19"/>
          <w:szCs w:val="19"/>
        </w:rPr>
        <w:t xml:space="preserve">significant adverse consequences. </w:t>
      </w:r>
      <w:r w:rsidR="00F65066">
        <w:rPr>
          <w:rFonts w:ascii="Arial" w:hAnsi="Arial"/>
          <w:sz w:val="19"/>
          <w:szCs w:val="19"/>
        </w:rPr>
        <w:t>Depending on the nature of the conduct, misuse of public funds</w:t>
      </w:r>
      <w:r w:rsidR="007668D0" w:rsidRPr="000437FD">
        <w:rPr>
          <w:rFonts w:ascii="Arial" w:hAnsi="Arial"/>
          <w:sz w:val="19"/>
          <w:szCs w:val="19"/>
        </w:rPr>
        <w:t xml:space="preserve"> may result </w:t>
      </w:r>
      <w:r w:rsidR="0020041A" w:rsidRPr="000437FD">
        <w:rPr>
          <w:rFonts w:ascii="Arial" w:hAnsi="Arial"/>
          <w:sz w:val="19"/>
          <w:szCs w:val="19"/>
        </w:rPr>
        <w:t xml:space="preserve">in internal </w:t>
      </w:r>
      <w:r w:rsidR="00557F30">
        <w:rPr>
          <w:rFonts w:ascii="Arial" w:hAnsi="Arial"/>
          <w:sz w:val="19"/>
          <w:szCs w:val="19"/>
        </w:rPr>
        <w:t xml:space="preserve">investigations </w:t>
      </w:r>
      <w:r w:rsidR="0020041A" w:rsidRPr="000437FD">
        <w:rPr>
          <w:rFonts w:ascii="Arial" w:hAnsi="Arial"/>
          <w:sz w:val="19"/>
          <w:szCs w:val="19"/>
        </w:rPr>
        <w:t>and/or investigations</w:t>
      </w:r>
      <w:r>
        <w:rPr>
          <w:rFonts w:ascii="Arial" w:hAnsi="Arial"/>
          <w:sz w:val="19"/>
          <w:szCs w:val="19"/>
        </w:rPr>
        <w:t xml:space="preserve"> conducted by external entities</w:t>
      </w:r>
      <w:r w:rsidR="00557F30">
        <w:rPr>
          <w:rFonts w:ascii="Arial" w:hAnsi="Arial"/>
          <w:sz w:val="19"/>
          <w:szCs w:val="19"/>
        </w:rPr>
        <w:t xml:space="preserve">, such as </w:t>
      </w:r>
      <w:r w:rsidR="00F65066">
        <w:rPr>
          <w:rFonts w:ascii="Arial" w:hAnsi="Arial"/>
          <w:sz w:val="19"/>
          <w:szCs w:val="19"/>
        </w:rPr>
        <w:t xml:space="preserve">IBAC, </w:t>
      </w:r>
      <w:r w:rsidR="0020041A">
        <w:rPr>
          <w:rFonts w:ascii="Arial" w:hAnsi="Arial"/>
          <w:sz w:val="19"/>
          <w:szCs w:val="19"/>
        </w:rPr>
        <w:t xml:space="preserve">the Victorian Ombudsman, </w:t>
      </w:r>
      <w:r w:rsidR="00EF5C85">
        <w:rPr>
          <w:rFonts w:ascii="Arial" w:hAnsi="Arial"/>
          <w:sz w:val="19"/>
          <w:szCs w:val="19"/>
        </w:rPr>
        <w:t>Victoria P</w:t>
      </w:r>
      <w:r w:rsidR="00557F30">
        <w:rPr>
          <w:rFonts w:ascii="Arial" w:hAnsi="Arial"/>
          <w:sz w:val="19"/>
          <w:szCs w:val="19"/>
        </w:rPr>
        <w:t>olice</w:t>
      </w:r>
      <w:r w:rsidR="00F65066">
        <w:rPr>
          <w:rFonts w:ascii="Arial" w:hAnsi="Arial"/>
          <w:sz w:val="19"/>
          <w:szCs w:val="19"/>
        </w:rPr>
        <w:t xml:space="preserve"> or the </w:t>
      </w:r>
      <w:r w:rsidR="0020041A">
        <w:rPr>
          <w:rFonts w:ascii="Arial" w:hAnsi="Arial"/>
          <w:sz w:val="19"/>
          <w:szCs w:val="19"/>
        </w:rPr>
        <w:t>D</w:t>
      </w:r>
      <w:r w:rsidR="00F65066">
        <w:rPr>
          <w:rFonts w:ascii="Arial" w:hAnsi="Arial"/>
          <w:sz w:val="19"/>
          <w:szCs w:val="19"/>
        </w:rPr>
        <w:t>epartment</w:t>
      </w:r>
      <w:r w:rsidR="0020041A">
        <w:rPr>
          <w:rFonts w:ascii="Arial" w:hAnsi="Arial"/>
          <w:sz w:val="19"/>
          <w:szCs w:val="19"/>
        </w:rPr>
        <w:t xml:space="preserve">. The </w:t>
      </w:r>
      <w:r w:rsidR="007668D0" w:rsidRPr="000437FD">
        <w:rPr>
          <w:rFonts w:ascii="Arial" w:hAnsi="Arial"/>
          <w:sz w:val="19"/>
          <w:szCs w:val="19"/>
        </w:rPr>
        <w:t>consequences</w:t>
      </w:r>
      <w:r w:rsidR="0020041A">
        <w:rPr>
          <w:rFonts w:ascii="Arial" w:hAnsi="Arial"/>
          <w:sz w:val="19"/>
          <w:szCs w:val="19"/>
        </w:rPr>
        <w:t xml:space="preserve"> for misuse of public funds can include</w:t>
      </w:r>
      <w:r w:rsidR="007668D0" w:rsidRPr="000437FD">
        <w:rPr>
          <w:rFonts w:ascii="Arial" w:hAnsi="Arial"/>
          <w:sz w:val="19"/>
          <w:szCs w:val="19"/>
        </w:rPr>
        <w:t>:</w:t>
      </w:r>
    </w:p>
    <w:p w:rsidR="007668D0" w:rsidRPr="000437FD" w:rsidRDefault="0020041A" w:rsidP="00861D13">
      <w:pPr>
        <w:pStyle w:val="BodyText"/>
        <w:numPr>
          <w:ilvl w:val="0"/>
          <w:numId w:val="27"/>
        </w:numPr>
        <w:spacing w:after="0"/>
        <w:jc w:val="both"/>
        <w:rPr>
          <w:rFonts w:ascii="Arial" w:hAnsi="Arial"/>
          <w:sz w:val="19"/>
          <w:szCs w:val="19"/>
        </w:rPr>
      </w:pPr>
      <w:r>
        <w:rPr>
          <w:rFonts w:ascii="Arial" w:hAnsi="Arial"/>
          <w:sz w:val="19"/>
          <w:szCs w:val="19"/>
        </w:rPr>
        <w:t>f</w:t>
      </w:r>
      <w:r w:rsidRPr="000437FD">
        <w:rPr>
          <w:rFonts w:ascii="Arial" w:hAnsi="Arial"/>
          <w:sz w:val="19"/>
          <w:szCs w:val="19"/>
        </w:rPr>
        <w:t xml:space="preserve">inancial </w:t>
      </w:r>
      <w:r w:rsidR="007668D0" w:rsidRPr="000437FD">
        <w:rPr>
          <w:rFonts w:ascii="Arial" w:hAnsi="Arial"/>
          <w:sz w:val="19"/>
          <w:szCs w:val="19"/>
        </w:rPr>
        <w:t>penalties;</w:t>
      </w:r>
    </w:p>
    <w:p w:rsidR="0020041A" w:rsidRDefault="0020041A" w:rsidP="00861D13">
      <w:pPr>
        <w:pStyle w:val="BodyText"/>
        <w:numPr>
          <w:ilvl w:val="0"/>
          <w:numId w:val="27"/>
        </w:numPr>
        <w:spacing w:after="0"/>
        <w:jc w:val="both"/>
        <w:rPr>
          <w:rFonts w:ascii="Arial" w:hAnsi="Arial"/>
          <w:sz w:val="19"/>
          <w:szCs w:val="19"/>
        </w:rPr>
      </w:pPr>
      <w:r>
        <w:rPr>
          <w:rFonts w:ascii="Arial" w:hAnsi="Arial"/>
          <w:sz w:val="19"/>
          <w:szCs w:val="19"/>
        </w:rPr>
        <w:t>d</w:t>
      </w:r>
      <w:r w:rsidRPr="000437FD">
        <w:rPr>
          <w:rFonts w:ascii="Arial" w:hAnsi="Arial"/>
          <w:sz w:val="19"/>
          <w:szCs w:val="19"/>
        </w:rPr>
        <w:t xml:space="preserve">isciplinary </w:t>
      </w:r>
      <w:r w:rsidR="007668D0" w:rsidRPr="000437FD">
        <w:rPr>
          <w:rFonts w:ascii="Arial" w:hAnsi="Arial"/>
          <w:sz w:val="19"/>
          <w:szCs w:val="19"/>
        </w:rPr>
        <w:t>action</w:t>
      </w:r>
      <w:r w:rsidR="00F65066">
        <w:rPr>
          <w:rFonts w:ascii="Arial" w:hAnsi="Arial"/>
          <w:sz w:val="19"/>
          <w:szCs w:val="19"/>
        </w:rPr>
        <w:t>, such as demotion  or termination of employment</w:t>
      </w:r>
      <w:r>
        <w:rPr>
          <w:rFonts w:ascii="Arial" w:hAnsi="Arial"/>
          <w:sz w:val="19"/>
          <w:szCs w:val="19"/>
        </w:rPr>
        <w:t xml:space="preserve"> for persons found to have engaged in </w:t>
      </w:r>
      <w:r w:rsidR="009D658B">
        <w:rPr>
          <w:rFonts w:ascii="Arial" w:hAnsi="Arial"/>
          <w:sz w:val="19"/>
          <w:szCs w:val="19"/>
        </w:rPr>
        <w:t xml:space="preserve">criminal conduct, </w:t>
      </w:r>
      <w:r>
        <w:rPr>
          <w:rFonts w:ascii="Arial" w:hAnsi="Arial"/>
          <w:sz w:val="19"/>
          <w:szCs w:val="19"/>
        </w:rPr>
        <w:t>improper conduct</w:t>
      </w:r>
      <w:r w:rsidRPr="005E7E50">
        <w:rPr>
          <w:rFonts w:ascii="Arial" w:hAnsi="Arial"/>
          <w:i/>
          <w:sz w:val="19"/>
          <w:szCs w:val="19"/>
        </w:rPr>
        <w:t xml:space="preserve"> or</w:t>
      </w:r>
      <w:r>
        <w:rPr>
          <w:rFonts w:ascii="Arial" w:hAnsi="Arial"/>
          <w:sz w:val="19"/>
          <w:szCs w:val="19"/>
        </w:rPr>
        <w:t xml:space="preserve"> misconduct</w:t>
      </w:r>
      <w:r w:rsidR="007668D0" w:rsidRPr="000437FD">
        <w:rPr>
          <w:rFonts w:ascii="Arial" w:hAnsi="Arial"/>
          <w:sz w:val="19"/>
          <w:szCs w:val="19"/>
        </w:rPr>
        <w:t>;</w:t>
      </w:r>
      <w:r w:rsidR="00F65066">
        <w:rPr>
          <w:rFonts w:ascii="Arial" w:hAnsi="Arial"/>
          <w:sz w:val="19"/>
          <w:szCs w:val="19"/>
        </w:rPr>
        <w:t xml:space="preserve"> </w:t>
      </w:r>
    </w:p>
    <w:p w:rsidR="007668D0" w:rsidRPr="000437FD" w:rsidRDefault="0020041A" w:rsidP="00861D13">
      <w:pPr>
        <w:pStyle w:val="BodyText"/>
        <w:numPr>
          <w:ilvl w:val="0"/>
          <w:numId w:val="27"/>
        </w:numPr>
        <w:spacing w:after="0"/>
        <w:jc w:val="both"/>
        <w:rPr>
          <w:rFonts w:ascii="Arial" w:hAnsi="Arial"/>
          <w:sz w:val="19"/>
          <w:szCs w:val="19"/>
        </w:rPr>
      </w:pPr>
      <w:r>
        <w:rPr>
          <w:rFonts w:ascii="Arial" w:hAnsi="Arial"/>
          <w:sz w:val="19"/>
          <w:szCs w:val="19"/>
        </w:rPr>
        <w:t xml:space="preserve">the tabling of an IBAC or Victorian Ombudsman report to Parliament about the conduct; </w:t>
      </w:r>
    </w:p>
    <w:p w:rsidR="0020041A" w:rsidRDefault="0020041A" w:rsidP="00861D13">
      <w:pPr>
        <w:pStyle w:val="BodyText"/>
        <w:numPr>
          <w:ilvl w:val="0"/>
          <w:numId w:val="27"/>
        </w:numPr>
        <w:spacing w:after="0"/>
        <w:jc w:val="both"/>
        <w:rPr>
          <w:rFonts w:ascii="Arial" w:hAnsi="Arial"/>
          <w:sz w:val="19"/>
          <w:szCs w:val="19"/>
        </w:rPr>
      </w:pPr>
      <w:r>
        <w:rPr>
          <w:rFonts w:ascii="Arial" w:hAnsi="Arial"/>
          <w:sz w:val="19"/>
          <w:szCs w:val="19"/>
        </w:rPr>
        <w:t>c</w:t>
      </w:r>
      <w:r w:rsidR="007668D0" w:rsidRPr="000437FD">
        <w:rPr>
          <w:rFonts w:ascii="Arial" w:hAnsi="Arial"/>
          <w:sz w:val="19"/>
          <w:szCs w:val="19"/>
        </w:rPr>
        <w:t>riminal charges</w:t>
      </w:r>
      <w:r w:rsidR="00F65066">
        <w:rPr>
          <w:rFonts w:ascii="Arial" w:hAnsi="Arial"/>
          <w:sz w:val="19"/>
          <w:szCs w:val="19"/>
        </w:rPr>
        <w:t xml:space="preserve"> and convictions</w:t>
      </w:r>
      <w:r>
        <w:rPr>
          <w:rFonts w:ascii="Arial" w:hAnsi="Arial"/>
          <w:sz w:val="19"/>
          <w:szCs w:val="19"/>
        </w:rPr>
        <w:t>;</w:t>
      </w:r>
    </w:p>
    <w:p w:rsidR="0020041A" w:rsidRDefault="0020041A" w:rsidP="00861D13">
      <w:pPr>
        <w:pStyle w:val="BodyText"/>
        <w:numPr>
          <w:ilvl w:val="0"/>
          <w:numId w:val="27"/>
        </w:numPr>
        <w:spacing w:after="0"/>
        <w:jc w:val="both"/>
        <w:rPr>
          <w:rFonts w:ascii="Arial" w:hAnsi="Arial"/>
          <w:sz w:val="19"/>
          <w:szCs w:val="19"/>
        </w:rPr>
      </w:pPr>
      <w:r>
        <w:rPr>
          <w:rFonts w:ascii="Arial" w:hAnsi="Arial"/>
          <w:sz w:val="19"/>
          <w:szCs w:val="19"/>
        </w:rPr>
        <w:lastRenderedPageBreak/>
        <w:t>an adverse impact on staff morale within the organisation;</w:t>
      </w:r>
      <w:r w:rsidRPr="0020041A">
        <w:rPr>
          <w:rFonts w:ascii="Arial" w:hAnsi="Arial"/>
          <w:sz w:val="19"/>
          <w:szCs w:val="19"/>
        </w:rPr>
        <w:t xml:space="preserve"> </w:t>
      </w:r>
      <w:r>
        <w:rPr>
          <w:rFonts w:ascii="Arial" w:hAnsi="Arial"/>
          <w:sz w:val="19"/>
          <w:szCs w:val="19"/>
        </w:rPr>
        <w:t>and</w:t>
      </w:r>
    </w:p>
    <w:p w:rsidR="007668D0" w:rsidRPr="000437FD" w:rsidRDefault="0020041A" w:rsidP="00861D13">
      <w:pPr>
        <w:pStyle w:val="BodyText"/>
        <w:numPr>
          <w:ilvl w:val="0"/>
          <w:numId w:val="27"/>
        </w:numPr>
        <w:spacing w:after="0"/>
        <w:jc w:val="both"/>
        <w:rPr>
          <w:rFonts w:ascii="Arial" w:hAnsi="Arial"/>
          <w:sz w:val="19"/>
          <w:szCs w:val="19"/>
        </w:rPr>
      </w:pPr>
      <w:r>
        <w:rPr>
          <w:rFonts w:ascii="Arial" w:hAnsi="Arial"/>
          <w:sz w:val="19"/>
          <w:szCs w:val="19"/>
        </w:rPr>
        <w:t xml:space="preserve">a poor </w:t>
      </w:r>
      <w:r w:rsidR="00083E29">
        <w:rPr>
          <w:rFonts w:ascii="Arial" w:hAnsi="Arial"/>
          <w:sz w:val="19"/>
          <w:szCs w:val="19"/>
        </w:rPr>
        <w:t xml:space="preserve">public </w:t>
      </w:r>
      <w:r>
        <w:rPr>
          <w:rFonts w:ascii="Arial" w:hAnsi="Arial"/>
          <w:sz w:val="19"/>
          <w:szCs w:val="19"/>
        </w:rPr>
        <w:t xml:space="preserve">perception of the organisation. </w:t>
      </w:r>
    </w:p>
    <w:p w:rsidR="007668D0" w:rsidRDefault="007668D0" w:rsidP="00D52275">
      <w:pPr>
        <w:pStyle w:val="BodyText"/>
        <w:spacing w:after="0"/>
        <w:jc w:val="both"/>
        <w:rPr>
          <w:rFonts w:ascii="Arial" w:hAnsi="Arial"/>
          <w:sz w:val="19"/>
          <w:szCs w:val="19"/>
        </w:rPr>
      </w:pPr>
    </w:p>
    <w:p w:rsidR="00C4617F" w:rsidRPr="000437FD" w:rsidRDefault="00C4617F" w:rsidP="00D52275">
      <w:pPr>
        <w:pStyle w:val="BodyText"/>
        <w:spacing w:after="0"/>
        <w:jc w:val="both"/>
        <w:rPr>
          <w:rFonts w:ascii="Arial" w:hAnsi="Arial"/>
          <w:sz w:val="19"/>
          <w:szCs w:val="19"/>
        </w:rPr>
      </w:pPr>
    </w:p>
    <w:tbl>
      <w:tblPr>
        <w:tblStyle w:val="TableGrid"/>
        <w:tblpPr w:leftFromText="180" w:rightFromText="180" w:vertAnchor="text" w:horzAnchor="margin" w:tblpY="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7668D0" w:rsidRPr="000437FD" w:rsidTr="007668D0">
        <w:trPr>
          <w:trHeight w:val="1134"/>
        </w:trPr>
        <w:tc>
          <w:tcPr>
            <w:tcW w:w="8777" w:type="dxa"/>
            <w:shd w:val="clear" w:color="auto" w:fill="CCC0D9"/>
          </w:tcPr>
          <w:p w:rsidR="007668D0" w:rsidRPr="000437FD" w:rsidRDefault="007668D0" w:rsidP="00D52275">
            <w:pPr>
              <w:pStyle w:val="BodyText"/>
              <w:shd w:val="clear" w:color="auto" w:fill="CCC0D9"/>
              <w:spacing w:after="0"/>
              <w:ind w:left="709"/>
              <w:jc w:val="both"/>
              <w:rPr>
                <w:rFonts w:ascii="Arial" w:hAnsi="Arial"/>
                <w:b/>
                <w:sz w:val="19"/>
                <w:szCs w:val="19"/>
              </w:rPr>
            </w:pPr>
            <w:r w:rsidRPr="000437FD">
              <w:rPr>
                <w:rFonts w:ascii="Arial" w:hAnsi="Arial"/>
                <w:b/>
                <w:sz w:val="19"/>
                <w:szCs w:val="19"/>
              </w:rPr>
              <w:t>Important:</w:t>
            </w:r>
          </w:p>
          <w:p w:rsidR="007668D0" w:rsidRPr="000437FD" w:rsidRDefault="009677A8" w:rsidP="00B46638">
            <w:pPr>
              <w:pStyle w:val="BodyText"/>
              <w:ind w:left="709"/>
              <w:jc w:val="both"/>
              <w:rPr>
                <w:rFonts w:ascii="Arial" w:hAnsi="Arial"/>
                <w:sz w:val="19"/>
                <w:szCs w:val="19"/>
              </w:rPr>
            </w:pPr>
            <w:r>
              <w:rPr>
                <w:rFonts w:ascii="Arial" w:hAnsi="Arial"/>
                <w:noProof/>
                <w:lang w:eastAsia="en-AU"/>
              </w:rPr>
              <w:drawing>
                <wp:anchor distT="0" distB="0" distL="114300" distR="114300" simplePos="0" relativeHeight="251661312" behindDoc="0" locked="0" layoutInCell="1" allowOverlap="1" wp14:anchorId="15AED423" wp14:editId="6F0D00AE">
                  <wp:simplePos x="0" y="0"/>
                  <wp:positionH relativeFrom="column">
                    <wp:posOffset>-6985</wp:posOffset>
                  </wp:positionH>
                  <wp:positionV relativeFrom="paragraph">
                    <wp:posOffset>20320</wp:posOffset>
                  </wp:positionV>
                  <wp:extent cx="357505" cy="315595"/>
                  <wp:effectExtent l="0" t="0" r="4445" b="8255"/>
                  <wp:wrapThrough wrapText="bothSides">
                    <wp:wrapPolygon edited="0">
                      <wp:start x="6906" y="0"/>
                      <wp:lineTo x="0" y="16950"/>
                      <wp:lineTo x="0" y="20861"/>
                      <wp:lineTo x="20718" y="20861"/>
                      <wp:lineTo x="20718" y="16950"/>
                      <wp:lineTo x="13812" y="0"/>
                      <wp:lineTo x="6906" y="0"/>
                    </wp:wrapPolygon>
                  </wp:wrapThrough>
                  <wp:docPr id="101" name="Picture 315" descr="C:\Users\maylissa.ollivier\AppData\Local\Microsoft\Windows\Temporary Internet Files\Content.IE5\IYXJULP0\563px-South_Africa_-_General_Warn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Users\maylissa.ollivier\AppData\Local\Microsoft\Windows\Temporary Internet Files\Content.IE5\IYXJULP0\563px-South_Africa_-_General_Warning_sign.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8D0" w:rsidRPr="000437FD">
              <w:rPr>
                <w:rFonts w:ascii="Arial" w:hAnsi="Arial"/>
                <w:sz w:val="19"/>
                <w:szCs w:val="19"/>
              </w:rPr>
              <w:t xml:space="preserve">Although this section covers the key policy references pertaining to business </w:t>
            </w:r>
            <w:r w:rsidR="00B46638">
              <w:rPr>
                <w:rFonts w:ascii="Arial" w:hAnsi="Arial"/>
                <w:sz w:val="19"/>
                <w:szCs w:val="19"/>
              </w:rPr>
              <w:t>expenses</w:t>
            </w:r>
            <w:r w:rsidR="009827BF">
              <w:rPr>
                <w:rFonts w:ascii="Arial" w:hAnsi="Arial"/>
                <w:sz w:val="19"/>
                <w:szCs w:val="19"/>
              </w:rPr>
              <w:t>, it does not cover all of the health s</w:t>
            </w:r>
            <w:r w:rsidR="007668D0" w:rsidRPr="000437FD">
              <w:rPr>
                <w:rFonts w:ascii="Arial" w:hAnsi="Arial"/>
                <w:sz w:val="19"/>
                <w:szCs w:val="19"/>
              </w:rPr>
              <w:t>ervi</w:t>
            </w:r>
            <w:r w:rsidR="009827BF">
              <w:rPr>
                <w:rFonts w:ascii="Arial" w:hAnsi="Arial"/>
                <w:sz w:val="19"/>
                <w:szCs w:val="19"/>
              </w:rPr>
              <w:t>ce’s legal obligations. Health s</w:t>
            </w:r>
            <w:r w:rsidR="007668D0" w:rsidRPr="000437FD">
              <w:rPr>
                <w:rFonts w:ascii="Arial" w:hAnsi="Arial"/>
                <w:sz w:val="19"/>
                <w:szCs w:val="19"/>
              </w:rPr>
              <w:t xml:space="preserve">ervices should consider broader legal requirements or obtain legal counsel to ensure </w:t>
            </w:r>
            <w:r w:rsidR="00B46638">
              <w:rPr>
                <w:rFonts w:ascii="Arial" w:hAnsi="Arial"/>
                <w:sz w:val="19"/>
                <w:szCs w:val="19"/>
              </w:rPr>
              <w:t>their legal and other</w:t>
            </w:r>
            <w:r w:rsidR="007668D0" w:rsidRPr="000437FD">
              <w:rPr>
                <w:rFonts w:ascii="Arial" w:hAnsi="Arial"/>
                <w:sz w:val="19"/>
                <w:szCs w:val="19"/>
              </w:rPr>
              <w:t xml:space="preserve"> </w:t>
            </w:r>
            <w:r w:rsidR="00B46638">
              <w:rPr>
                <w:rFonts w:ascii="Arial" w:hAnsi="Arial"/>
                <w:sz w:val="19"/>
                <w:szCs w:val="19"/>
              </w:rPr>
              <w:t>duties</w:t>
            </w:r>
            <w:r w:rsidR="00B46638" w:rsidRPr="000437FD">
              <w:rPr>
                <w:rFonts w:ascii="Arial" w:hAnsi="Arial"/>
                <w:sz w:val="19"/>
                <w:szCs w:val="19"/>
              </w:rPr>
              <w:t xml:space="preserve"> </w:t>
            </w:r>
            <w:r w:rsidR="007668D0" w:rsidRPr="000437FD">
              <w:rPr>
                <w:rFonts w:ascii="Arial" w:hAnsi="Arial"/>
                <w:sz w:val="19"/>
                <w:szCs w:val="19"/>
              </w:rPr>
              <w:t xml:space="preserve">are met. </w:t>
            </w:r>
          </w:p>
        </w:tc>
      </w:tr>
    </w:tbl>
    <w:p w:rsidR="00C4617F" w:rsidRDefault="00C4617F" w:rsidP="00C4617F">
      <w:pPr>
        <w:pStyle w:val="DHHSbullet1lastline"/>
        <w:numPr>
          <w:ilvl w:val="0"/>
          <w:numId w:val="0"/>
        </w:numPr>
        <w:ind w:left="284" w:hanging="284"/>
      </w:pPr>
      <w:bookmarkStart w:id="30" w:name="_Toc476565106"/>
    </w:p>
    <w:p w:rsidR="00C4617F" w:rsidRDefault="00C4617F">
      <w:pPr>
        <w:rPr>
          <w:rFonts w:ascii="Arial" w:eastAsia="Times" w:hAnsi="Arial"/>
        </w:rPr>
      </w:pPr>
      <w:r>
        <w:br w:type="page"/>
      </w:r>
    </w:p>
    <w:p w:rsidR="007668D0" w:rsidRPr="000437FD" w:rsidRDefault="007668D0" w:rsidP="00861D13">
      <w:pPr>
        <w:pStyle w:val="Heading1"/>
        <w:numPr>
          <w:ilvl w:val="0"/>
          <w:numId w:val="30"/>
        </w:numPr>
        <w:ind w:left="851" w:hanging="851"/>
      </w:pPr>
      <w:bookmarkStart w:id="31" w:name="_Toc492897897"/>
      <w:r w:rsidRPr="000437FD">
        <w:lastRenderedPageBreak/>
        <w:t>Guidelines</w:t>
      </w:r>
      <w:bookmarkEnd w:id="30"/>
      <w:bookmarkEnd w:id="31"/>
    </w:p>
    <w:p w:rsidR="007668D0" w:rsidRPr="000437FD" w:rsidRDefault="00D52275" w:rsidP="00D52275">
      <w:pPr>
        <w:pStyle w:val="Heading2"/>
        <w:jc w:val="both"/>
        <w:rPr>
          <w:rFonts w:cs="Arial"/>
        </w:rPr>
      </w:pPr>
      <w:bookmarkStart w:id="32" w:name="_Toc476565107"/>
      <w:bookmarkStart w:id="33" w:name="_Toc492897898"/>
      <w:r>
        <w:rPr>
          <w:rFonts w:cs="Arial"/>
        </w:rPr>
        <w:t xml:space="preserve">3.1 </w:t>
      </w:r>
      <w:r w:rsidR="007668D0" w:rsidRPr="000437FD">
        <w:rPr>
          <w:rFonts w:cs="Arial"/>
        </w:rPr>
        <w:t>Administrative</w:t>
      </w:r>
      <w:bookmarkEnd w:id="32"/>
      <w:bookmarkEnd w:id="33"/>
      <w:r w:rsidR="007668D0" w:rsidRPr="000437FD">
        <w:rPr>
          <w:rFonts w:cs="Arial"/>
        </w:rPr>
        <w:t xml:space="preserve"> </w:t>
      </w:r>
    </w:p>
    <w:p w:rsidR="007668D0" w:rsidRPr="000437FD" w:rsidRDefault="007668D0" w:rsidP="00D52275">
      <w:pPr>
        <w:spacing w:line="280" w:lineRule="atLeast"/>
        <w:ind w:left="851" w:hanging="851"/>
        <w:jc w:val="both"/>
        <w:rPr>
          <w:rFonts w:ascii="Arial" w:hAnsi="Arial" w:cs="Arial"/>
          <w:sz w:val="19"/>
          <w:szCs w:val="19"/>
        </w:rPr>
      </w:pPr>
    </w:p>
    <w:p w:rsidR="007668D0" w:rsidRPr="005515CE" w:rsidRDefault="00D52275" w:rsidP="00D52275">
      <w:pPr>
        <w:pStyle w:val="Heading3"/>
        <w:jc w:val="both"/>
        <w:rPr>
          <w:rFonts w:cs="Arial"/>
        </w:rPr>
      </w:pPr>
      <w:bookmarkStart w:id="34" w:name="_Toc476565108"/>
      <w:r>
        <w:rPr>
          <w:rFonts w:cs="Arial"/>
        </w:rPr>
        <w:t xml:space="preserve">3.1.1 </w:t>
      </w:r>
      <w:r w:rsidR="007668D0" w:rsidRPr="000437FD">
        <w:rPr>
          <w:rFonts w:cs="Arial"/>
        </w:rPr>
        <w:t>Policies and Procedures</w:t>
      </w:r>
      <w:bookmarkEnd w:id="34"/>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In order to appropriately manage business expenses the following policies and procedures </w:t>
      </w:r>
      <w:r w:rsidR="005E7E50">
        <w:rPr>
          <w:rFonts w:ascii="Arial" w:hAnsi="Arial" w:cs="Arial"/>
          <w:sz w:val="19"/>
          <w:szCs w:val="19"/>
        </w:rPr>
        <w:t>must</w:t>
      </w:r>
      <w:r w:rsidRPr="000437FD">
        <w:rPr>
          <w:rFonts w:ascii="Arial" w:hAnsi="Arial" w:cs="Arial"/>
          <w:sz w:val="19"/>
          <w:szCs w:val="19"/>
        </w:rPr>
        <w:t xml:space="preserve"> be put into place as a minimum:</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0"/>
          <w:numId w:val="24"/>
        </w:numPr>
        <w:spacing w:line="280" w:lineRule="atLeast"/>
        <w:jc w:val="both"/>
        <w:rPr>
          <w:rFonts w:ascii="Arial" w:hAnsi="Arial"/>
          <w:sz w:val="19"/>
          <w:szCs w:val="19"/>
        </w:rPr>
      </w:pPr>
      <w:r w:rsidRPr="000437FD">
        <w:rPr>
          <w:rFonts w:ascii="Arial" w:hAnsi="Arial"/>
          <w:sz w:val="19"/>
          <w:szCs w:val="19"/>
        </w:rPr>
        <w:t>Delegations of Authority which include a section on business expenses;</w:t>
      </w:r>
    </w:p>
    <w:p w:rsidR="007668D0" w:rsidRPr="000437FD" w:rsidRDefault="007668D0" w:rsidP="00D52275">
      <w:pPr>
        <w:pStyle w:val="ListParagraph"/>
        <w:numPr>
          <w:ilvl w:val="0"/>
          <w:numId w:val="24"/>
        </w:numPr>
        <w:spacing w:line="280" w:lineRule="atLeast"/>
        <w:jc w:val="both"/>
        <w:rPr>
          <w:rFonts w:ascii="Arial" w:hAnsi="Arial"/>
          <w:sz w:val="19"/>
          <w:szCs w:val="19"/>
        </w:rPr>
      </w:pPr>
      <w:r w:rsidRPr="000437FD">
        <w:rPr>
          <w:rFonts w:ascii="Arial" w:hAnsi="Arial"/>
          <w:sz w:val="19"/>
          <w:szCs w:val="19"/>
        </w:rPr>
        <w:t xml:space="preserve">Credit </w:t>
      </w:r>
      <w:r w:rsidR="002E1C24">
        <w:rPr>
          <w:rFonts w:ascii="Arial" w:hAnsi="Arial"/>
          <w:sz w:val="19"/>
          <w:szCs w:val="19"/>
        </w:rPr>
        <w:t>and</w:t>
      </w:r>
      <w:r w:rsidRPr="000437FD">
        <w:rPr>
          <w:rFonts w:ascii="Arial" w:hAnsi="Arial"/>
          <w:sz w:val="19"/>
          <w:szCs w:val="19"/>
        </w:rPr>
        <w:t xml:space="preserve"> Purchasing Card Policy (if the organisation has such cards);</w:t>
      </w:r>
    </w:p>
    <w:p w:rsidR="007668D0" w:rsidRPr="000437FD" w:rsidRDefault="007668D0" w:rsidP="00D52275">
      <w:pPr>
        <w:pStyle w:val="ListParagraph"/>
        <w:numPr>
          <w:ilvl w:val="0"/>
          <w:numId w:val="24"/>
        </w:numPr>
        <w:spacing w:line="280" w:lineRule="atLeast"/>
        <w:jc w:val="both"/>
        <w:rPr>
          <w:rFonts w:ascii="Arial" w:hAnsi="Arial"/>
          <w:sz w:val="19"/>
          <w:szCs w:val="19"/>
        </w:rPr>
      </w:pPr>
      <w:r w:rsidRPr="000437FD">
        <w:rPr>
          <w:rFonts w:ascii="Arial" w:hAnsi="Arial"/>
          <w:sz w:val="19"/>
          <w:szCs w:val="19"/>
        </w:rPr>
        <w:t xml:space="preserve">Travel Policy; </w:t>
      </w:r>
    </w:p>
    <w:p w:rsidR="007668D0" w:rsidRPr="000437FD" w:rsidRDefault="007668D0" w:rsidP="00D52275">
      <w:pPr>
        <w:pStyle w:val="ListParagraph"/>
        <w:numPr>
          <w:ilvl w:val="0"/>
          <w:numId w:val="24"/>
        </w:numPr>
        <w:spacing w:line="280" w:lineRule="atLeast"/>
        <w:jc w:val="both"/>
        <w:rPr>
          <w:rFonts w:ascii="Arial" w:hAnsi="Arial"/>
          <w:sz w:val="19"/>
          <w:szCs w:val="19"/>
        </w:rPr>
      </w:pPr>
      <w:r w:rsidRPr="000437FD">
        <w:rPr>
          <w:rFonts w:ascii="Arial" w:hAnsi="Arial"/>
          <w:sz w:val="19"/>
          <w:szCs w:val="19"/>
        </w:rPr>
        <w:t>Declarable Private Interests Policy;</w:t>
      </w:r>
    </w:p>
    <w:p w:rsidR="007668D0" w:rsidRPr="000437FD" w:rsidRDefault="007668D0" w:rsidP="00D52275">
      <w:pPr>
        <w:pStyle w:val="ListParagraph"/>
        <w:numPr>
          <w:ilvl w:val="0"/>
          <w:numId w:val="24"/>
        </w:numPr>
        <w:spacing w:line="280" w:lineRule="atLeast"/>
        <w:jc w:val="both"/>
        <w:rPr>
          <w:rFonts w:ascii="Arial" w:hAnsi="Arial"/>
          <w:sz w:val="19"/>
          <w:szCs w:val="19"/>
        </w:rPr>
      </w:pPr>
      <w:r w:rsidRPr="000437FD">
        <w:rPr>
          <w:rFonts w:ascii="Arial" w:hAnsi="Arial"/>
          <w:sz w:val="19"/>
          <w:szCs w:val="19"/>
        </w:rPr>
        <w:t>Declarable Associations Policy; and</w:t>
      </w:r>
    </w:p>
    <w:p w:rsidR="007668D0" w:rsidRPr="000437FD" w:rsidRDefault="007668D0" w:rsidP="00D52275">
      <w:pPr>
        <w:pStyle w:val="ListParagraph"/>
        <w:numPr>
          <w:ilvl w:val="0"/>
          <w:numId w:val="24"/>
        </w:numPr>
        <w:spacing w:line="280" w:lineRule="atLeast"/>
        <w:jc w:val="both"/>
        <w:rPr>
          <w:rFonts w:ascii="Arial" w:hAnsi="Arial"/>
          <w:sz w:val="19"/>
          <w:szCs w:val="19"/>
        </w:rPr>
      </w:pPr>
      <w:r w:rsidRPr="000437FD">
        <w:rPr>
          <w:rFonts w:ascii="Arial" w:hAnsi="Arial"/>
          <w:sz w:val="19"/>
          <w:szCs w:val="19"/>
        </w:rPr>
        <w:t>Protected Disclosure Policy.</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It is </w:t>
      </w:r>
      <w:r w:rsidR="00506D7C">
        <w:rPr>
          <w:rFonts w:ascii="Arial" w:hAnsi="Arial" w:cs="Arial"/>
          <w:sz w:val="19"/>
          <w:szCs w:val="19"/>
        </w:rPr>
        <w:t xml:space="preserve">a requirement </w:t>
      </w:r>
      <w:r w:rsidR="009827BF">
        <w:rPr>
          <w:rFonts w:ascii="Arial" w:hAnsi="Arial" w:cs="Arial"/>
          <w:sz w:val="19"/>
          <w:szCs w:val="19"/>
        </w:rPr>
        <w:t>that all health s</w:t>
      </w:r>
      <w:r w:rsidRPr="000437FD">
        <w:rPr>
          <w:rFonts w:ascii="Arial" w:hAnsi="Arial" w:cs="Arial"/>
          <w:sz w:val="19"/>
          <w:szCs w:val="19"/>
        </w:rPr>
        <w:t>ervices have these policies in place.</w:t>
      </w:r>
    </w:p>
    <w:p w:rsidR="007668D0" w:rsidRPr="000437FD" w:rsidRDefault="007668D0" w:rsidP="00D52275">
      <w:pPr>
        <w:spacing w:line="280" w:lineRule="atLeast"/>
        <w:jc w:val="both"/>
        <w:rPr>
          <w:rFonts w:ascii="Arial" w:hAnsi="Arial" w:cs="Arial"/>
          <w:sz w:val="19"/>
          <w:szCs w:val="19"/>
        </w:rPr>
      </w:pPr>
    </w:p>
    <w:p w:rsidR="007668D0" w:rsidRPr="000437FD" w:rsidRDefault="009827BF" w:rsidP="00D52275">
      <w:pPr>
        <w:spacing w:line="280" w:lineRule="atLeast"/>
        <w:jc w:val="both"/>
        <w:rPr>
          <w:rFonts w:ascii="Arial" w:hAnsi="Arial" w:cs="Arial"/>
          <w:sz w:val="19"/>
          <w:szCs w:val="19"/>
        </w:rPr>
      </w:pPr>
      <w:r>
        <w:rPr>
          <w:rFonts w:ascii="Arial" w:hAnsi="Arial" w:cs="Arial"/>
          <w:sz w:val="19"/>
          <w:szCs w:val="19"/>
        </w:rPr>
        <w:t>The health s</w:t>
      </w:r>
      <w:r w:rsidR="007668D0" w:rsidRPr="000437FD">
        <w:rPr>
          <w:rFonts w:ascii="Arial" w:hAnsi="Arial" w:cs="Arial"/>
          <w:sz w:val="19"/>
          <w:szCs w:val="19"/>
        </w:rPr>
        <w:t xml:space="preserve">ervice’s Delegations of Authority (DOA) is the primary document, </w:t>
      </w:r>
      <w:r w:rsidR="00506D7C">
        <w:rPr>
          <w:rFonts w:ascii="Arial" w:hAnsi="Arial" w:cs="Arial"/>
          <w:sz w:val="19"/>
          <w:szCs w:val="19"/>
        </w:rPr>
        <w:t xml:space="preserve">used to </w:t>
      </w:r>
      <w:r w:rsidR="007668D0" w:rsidRPr="000437FD">
        <w:rPr>
          <w:rFonts w:ascii="Arial" w:hAnsi="Arial" w:cs="Arial"/>
          <w:sz w:val="19"/>
          <w:szCs w:val="19"/>
        </w:rPr>
        <w:t xml:space="preserve">describe the allowable business expense amounts that can be approved by each </w:t>
      </w:r>
      <w:r w:rsidR="00506D7C">
        <w:rPr>
          <w:rFonts w:ascii="Arial" w:hAnsi="Arial" w:cs="Arial"/>
          <w:sz w:val="19"/>
          <w:szCs w:val="19"/>
        </w:rPr>
        <w:t xml:space="preserve">management </w:t>
      </w:r>
      <w:r w:rsidR="007668D0" w:rsidRPr="000437FD">
        <w:rPr>
          <w:rFonts w:ascii="Arial" w:hAnsi="Arial" w:cs="Arial"/>
          <w:sz w:val="19"/>
          <w:szCs w:val="19"/>
        </w:rPr>
        <w:t xml:space="preserve">level. These DOA </w:t>
      </w:r>
      <w:r w:rsidR="005515CE">
        <w:rPr>
          <w:rFonts w:ascii="Arial" w:hAnsi="Arial" w:cs="Arial"/>
          <w:sz w:val="19"/>
          <w:szCs w:val="19"/>
        </w:rPr>
        <w:t>must</w:t>
      </w:r>
      <w:r w:rsidR="007668D0" w:rsidRPr="000437FD">
        <w:rPr>
          <w:rFonts w:ascii="Arial" w:hAnsi="Arial" w:cs="Arial"/>
          <w:sz w:val="19"/>
          <w:szCs w:val="19"/>
        </w:rPr>
        <w:t xml:space="preserve"> provide authority to the appropriate persons given the type and value of expenses and enable adequate segregation of duties.</w:t>
      </w:r>
    </w:p>
    <w:p w:rsidR="007668D0" w:rsidRPr="000437FD" w:rsidRDefault="007668D0" w:rsidP="00D52275">
      <w:pPr>
        <w:spacing w:line="280" w:lineRule="atLeast"/>
        <w:jc w:val="both"/>
        <w:rPr>
          <w:rFonts w:ascii="Arial" w:hAnsi="Arial" w:cs="Arial"/>
          <w:sz w:val="19"/>
          <w:szCs w:val="19"/>
        </w:rPr>
      </w:pPr>
    </w:p>
    <w:p w:rsidR="007668D0" w:rsidRPr="000437FD" w:rsidRDefault="00912548" w:rsidP="00D52275">
      <w:pPr>
        <w:spacing w:line="280" w:lineRule="atLeast"/>
        <w:jc w:val="both"/>
        <w:rPr>
          <w:rFonts w:ascii="Arial" w:hAnsi="Arial" w:cs="Arial"/>
          <w:sz w:val="19"/>
          <w:szCs w:val="19"/>
        </w:rPr>
      </w:pPr>
      <w:r>
        <w:rPr>
          <w:rFonts w:ascii="Arial" w:hAnsi="Arial" w:cs="Arial"/>
          <w:sz w:val="19"/>
          <w:szCs w:val="19"/>
        </w:rPr>
        <w:t>If the health s</w:t>
      </w:r>
      <w:r w:rsidR="007668D0" w:rsidRPr="000437FD">
        <w:rPr>
          <w:rFonts w:ascii="Arial" w:hAnsi="Arial" w:cs="Arial"/>
          <w:sz w:val="19"/>
          <w:szCs w:val="19"/>
        </w:rPr>
        <w:t>ervice provides Credit or Purchasing Cards to their C</w:t>
      </w:r>
      <w:r>
        <w:rPr>
          <w:rFonts w:ascii="Arial" w:hAnsi="Arial" w:cs="Arial"/>
          <w:sz w:val="19"/>
          <w:szCs w:val="19"/>
        </w:rPr>
        <w:t>EO and e</w:t>
      </w:r>
      <w:r w:rsidR="007668D0" w:rsidRPr="000437FD">
        <w:rPr>
          <w:rFonts w:ascii="Arial" w:hAnsi="Arial" w:cs="Arial"/>
          <w:sz w:val="19"/>
          <w:szCs w:val="19"/>
        </w:rPr>
        <w:t xml:space="preserve">xecutives, it is imperative that the </w:t>
      </w:r>
      <w:r w:rsidR="0011606C">
        <w:rPr>
          <w:rFonts w:ascii="Arial" w:hAnsi="Arial" w:cs="Arial"/>
          <w:sz w:val="19"/>
          <w:szCs w:val="19"/>
        </w:rPr>
        <w:t>health service</w:t>
      </w:r>
      <w:r w:rsidR="0011606C" w:rsidRPr="000437FD">
        <w:rPr>
          <w:rFonts w:ascii="Arial" w:hAnsi="Arial" w:cs="Arial"/>
          <w:sz w:val="19"/>
          <w:szCs w:val="19"/>
        </w:rPr>
        <w:t xml:space="preserve"> </w:t>
      </w:r>
      <w:r w:rsidR="007668D0" w:rsidRPr="000437FD">
        <w:rPr>
          <w:rFonts w:ascii="Arial" w:hAnsi="Arial" w:cs="Arial"/>
          <w:sz w:val="19"/>
          <w:szCs w:val="19"/>
        </w:rPr>
        <w:t xml:space="preserve">have a policy, which refers to the DOA for business expenses, the conditions of use </w:t>
      </w:r>
      <w:r w:rsidR="0011606C">
        <w:rPr>
          <w:rFonts w:ascii="Arial" w:hAnsi="Arial" w:cs="Arial"/>
          <w:sz w:val="19"/>
          <w:szCs w:val="19"/>
        </w:rPr>
        <w:t>(</w:t>
      </w:r>
      <w:r w:rsidR="007668D0" w:rsidRPr="000437FD">
        <w:rPr>
          <w:rFonts w:ascii="Arial" w:hAnsi="Arial" w:cs="Arial"/>
          <w:sz w:val="19"/>
          <w:szCs w:val="19"/>
        </w:rPr>
        <w:t>including eligibility and limits</w:t>
      </w:r>
      <w:r w:rsidR="0011606C">
        <w:rPr>
          <w:rFonts w:ascii="Arial" w:hAnsi="Arial" w:cs="Arial"/>
          <w:sz w:val="19"/>
          <w:szCs w:val="19"/>
        </w:rPr>
        <w:t>)</w:t>
      </w:r>
      <w:r w:rsidR="007668D0" w:rsidRPr="000437FD">
        <w:rPr>
          <w:rFonts w:ascii="Arial" w:hAnsi="Arial" w:cs="Arial"/>
          <w:sz w:val="19"/>
          <w:szCs w:val="19"/>
        </w:rPr>
        <w:t>, process for monthly reconciliation</w:t>
      </w:r>
      <w:r w:rsidR="00506D7C">
        <w:rPr>
          <w:rFonts w:ascii="Arial" w:hAnsi="Arial" w:cs="Arial"/>
          <w:sz w:val="19"/>
          <w:szCs w:val="19"/>
        </w:rPr>
        <w:t>,</w:t>
      </w:r>
      <w:r w:rsidR="007668D0" w:rsidRPr="000437FD">
        <w:rPr>
          <w:rFonts w:ascii="Arial" w:hAnsi="Arial" w:cs="Arial"/>
          <w:sz w:val="19"/>
          <w:szCs w:val="19"/>
        </w:rPr>
        <w:t xml:space="preserve"> approval of statements and the provision of supporting documentation. </w:t>
      </w:r>
      <w:r w:rsidR="00506D7C">
        <w:rPr>
          <w:rFonts w:ascii="Arial" w:hAnsi="Arial" w:cs="Arial"/>
          <w:sz w:val="19"/>
          <w:szCs w:val="19"/>
        </w:rPr>
        <w:t>T</w:t>
      </w:r>
      <w:r w:rsidR="007668D0" w:rsidRPr="000437FD">
        <w:rPr>
          <w:rFonts w:ascii="Arial" w:hAnsi="Arial" w:cs="Arial"/>
          <w:sz w:val="19"/>
          <w:szCs w:val="19"/>
        </w:rPr>
        <w:t xml:space="preserve">he policy </w:t>
      </w:r>
      <w:r w:rsidR="00153498">
        <w:rPr>
          <w:rFonts w:ascii="Arial" w:hAnsi="Arial" w:cs="Arial"/>
          <w:sz w:val="19"/>
          <w:szCs w:val="19"/>
        </w:rPr>
        <w:t>must</w:t>
      </w:r>
      <w:r w:rsidR="007668D0" w:rsidRPr="000437FD">
        <w:rPr>
          <w:rFonts w:ascii="Arial" w:hAnsi="Arial" w:cs="Arial"/>
          <w:sz w:val="19"/>
          <w:szCs w:val="19"/>
        </w:rPr>
        <w:t xml:space="preserve"> </w:t>
      </w:r>
      <w:r w:rsidR="00506D7C">
        <w:rPr>
          <w:rFonts w:ascii="Arial" w:hAnsi="Arial" w:cs="Arial"/>
          <w:sz w:val="19"/>
          <w:szCs w:val="19"/>
        </w:rPr>
        <w:t xml:space="preserve">also address </w:t>
      </w:r>
      <w:r w:rsidR="007668D0" w:rsidRPr="000437FD">
        <w:rPr>
          <w:rFonts w:ascii="Arial" w:hAnsi="Arial" w:cs="Arial"/>
          <w:sz w:val="19"/>
          <w:szCs w:val="19"/>
        </w:rPr>
        <w:t>improper use, monitoring and investigation as well as the process</w:t>
      </w:r>
      <w:r w:rsidR="00506D7C">
        <w:rPr>
          <w:rFonts w:ascii="Arial" w:hAnsi="Arial" w:cs="Arial"/>
          <w:sz w:val="19"/>
          <w:szCs w:val="19"/>
        </w:rPr>
        <w:t xml:space="preserve"> and circums</w:t>
      </w:r>
      <w:r w:rsidR="005E7E50">
        <w:rPr>
          <w:rFonts w:ascii="Arial" w:hAnsi="Arial" w:cs="Arial"/>
          <w:sz w:val="19"/>
          <w:szCs w:val="19"/>
        </w:rPr>
        <w:t>t</w:t>
      </w:r>
      <w:r w:rsidR="00506D7C">
        <w:rPr>
          <w:rFonts w:ascii="Arial" w:hAnsi="Arial" w:cs="Arial"/>
          <w:sz w:val="19"/>
          <w:szCs w:val="19"/>
        </w:rPr>
        <w:t>ances under which</w:t>
      </w:r>
      <w:r w:rsidR="007668D0" w:rsidRPr="000437FD">
        <w:rPr>
          <w:rFonts w:ascii="Arial" w:hAnsi="Arial" w:cs="Arial"/>
          <w:sz w:val="19"/>
          <w:szCs w:val="19"/>
        </w:rPr>
        <w:t xml:space="preserve"> terminating access to the </w:t>
      </w:r>
      <w:r w:rsidR="0011606C">
        <w:rPr>
          <w:rFonts w:ascii="Arial" w:hAnsi="Arial" w:cs="Arial"/>
          <w:sz w:val="19"/>
          <w:szCs w:val="19"/>
        </w:rPr>
        <w:t>credit or purchasing</w:t>
      </w:r>
      <w:r w:rsidR="0011606C" w:rsidRPr="000437FD">
        <w:rPr>
          <w:rFonts w:ascii="Arial" w:hAnsi="Arial" w:cs="Arial"/>
          <w:sz w:val="19"/>
          <w:szCs w:val="19"/>
        </w:rPr>
        <w:t xml:space="preserve"> </w:t>
      </w:r>
      <w:r w:rsidR="007668D0" w:rsidRPr="000437FD">
        <w:rPr>
          <w:rFonts w:ascii="Arial" w:hAnsi="Arial" w:cs="Arial"/>
          <w:sz w:val="19"/>
          <w:szCs w:val="19"/>
        </w:rPr>
        <w:t>card</w:t>
      </w:r>
      <w:r w:rsidR="00506D7C">
        <w:rPr>
          <w:rFonts w:ascii="Arial" w:hAnsi="Arial" w:cs="Arial"/>
          <w:sz w:val="19"/>
          <w:szCs w:val="19"/>
        </w:rPr>
        <w:t xml:space="preserve"> will occur</w:t>
      </w:r>
      <w:r w:rsidR="0011606C">
        <w:rPr>
          <w:rFonts w:ascii="Arial" w:hAnsi="Arial" w:cs="Arial"/>
          <w:sz w:val="19"/>
          <w:szCs w:val="19"/>
        </w:rPr>
        <w:t>.</w:t>
      </w:r>
      <w:r w:rsidR="007668D0" w:rsidRPr="000437FD">
        <w:rPr>
          <w:rFonts w:ascii="Arial" w:hAnsi="Arial" w:cs="Arial"/>
          <w:sz w:val="19"/>
          <w:szCs w:val="19"/>
        </w:rPr>
        <w:t xml:space="preserve"> </w:t>
      </w:r>
    </w:p>
    <w:p w:rsidR="007668D0" w:rsidRPr="000437FD" w:rsidRDefault="007668D0" w:rsidP="00D52275">
      <w:pPr>
        <w:spacing w:line="280" w:lineRule="atLeast"/>
        <w:jc w:val="both"/>
        <w:rPr>
          <w:rFonts w:ascii="Arial" w:hAnsi="Arial" w:cs="Arial"/>
          <w:sz w:val="19"/>
          <w:szCs w:val="19"/>
        </w:rPr>
      </w:pPr>
    </w:p>
    <w:p w:rsidR="007668D0" w:rsidRPr="000437FD" w:rsidRDefault="009827BF" w:rsidP="00D52275">
      <w:pPr>
        <w:spacing w:line="280" w:lineRule="atLeast"/>
        <w:jc w:val="both"/>
        <w:rPr>
          <w:rFonts w:ascii="Arial" w:hAnsi="Arial" w:cs="Arial"/>
          <w:sz w:val="19"/>
          <w:szCs w:val="19"/>
        </w:rPr>
      </w:pPr>
      <w:r>
        <w:rPr>
          <w:rFonts w:ascii="Arial" w:hAnsi="Arial" w:cs="Arial"/>
          <w:sz w:val="19"/>
          <w:szCs w:val="19"/>
        </w:rPr>
        <w:t>Each health s</w:t>
      </w:r>
      <w:r w:rsidR="007668D0" w:rsidRPr="000437FD">
        <w:rPr>
          <w:rFonts w:ascii="Arial" w:hAnsi="Arial" w:cs="Arial"/>
          <w:sz w:val="19"/>
          <w:szCs w:val="19"/>
        </w:rPr>
        <w:t xml:space="preserve">ervice </w:t>
      </w:r>
      <w:r w:rsidR="00506D7C">
        <w:rPr>
          <w:rFonts w:ascii="Arial" w:hAnsi="Arial" w:cs="Arial"/>
          <w:sz w:val="19"/>
          <w:szCs w:val="19"/>
        </w:rPr>
        <w:t xml:space="preserve">is required </w:t>
      </w:r>
      <w:r w:rsidR="00EC1CF8">
        <w:rPr>
          <w:rFonts w:ascii="Arial" w:hAnsi="Arial" w:cs="Arial"/>
          <w:sz w:val="19"/>
          <w:szCs w:val="19"/>
        </w:rPr>
        <w:t xml:space="preserve">to </w:t>
      </w:r>
      <w:r w:rsidR="007668D0" w:rsidRPr="000437FD">
        <w:rPr>
          <w:rFonts w:ascii="Arial" w:hAnsi="Arial" w:cs="Arial"/>
          <w:sz w:val="19"/>
          <w:szCs w:val="19"/>
        </w:rPr>
        <w:t xml:space="preserve">have a </w:t>
      </w:r>
      <w:r w:rsidR="00763956">
        <w:rPr>
          <w:rFonts w:ascii="Arial" w:hAnsi="Arial" w:cs="Arial"/>
          <w:sz w:val="19"/>
          <w:szCs w:val="19"/>
        </w:rPr>
        <w:t>t</w:t>
      </w:r>
      <w:r w:rsidR="007668D0" w:rsidRPr="000437FD">
        <w:rPr>
          <w:rFonts w:ascii="Arial" w:hAnsi="Arial" w:cs="Arial"/>
          <w:sz w:val="19"/>
          <w:szCs w:val="19"/>
        </w:rPr>
        <w:t xml:space="preserve">ravel </w:t>
      </w:r>
      <w:r w:rsidR="00763956">
        <w:rPr>
          <w:rFonts w:ascii="Arial" w:hAnsi="Arial" w:cs="Arial"/>
          <w:sz w:val="19"/>
          <w:szCs w:val="19"/>
        </w:rPr>
        <w:t>p</w:t>
      </w:r>
      <w:r w:rsidR="007668D0" w:rsidRPr="000437FD">
        <w:rPr>
          <w:rFonts w:ascii="Arial" w:hAnsi="Arial" w:cs="Arial"/>
          <w:sz w:val="19"/>
          <w:szCs w:val="19"/>
        </w:rPr>
        <w:t>olicy</w:t>
      </w:r>
      <w:r w:rsidR="00047E0A" w:rsidRPr="00047E0A">
        <w:rPr>
          <w:rFonts w:ascii="Arial" w:hAnsi="Arial"/>
          <w:sz w:val="19"/>
          <w:szCs w:val="19"/>
        </w:rPr>
        <w:t xml:space="preserve"> </w:t>
      </w:r>
      <w:r w:rsidR="00047E0A">
        <w:rPr>
          <w:rFonts w:ascii="Arial" w:hAnsi="Arial"/>
          <w:sz w:val="19"/>
          <w:szCs w:val="19"/>
        </w:rPr>
        <w:t>consistent with the</w:t>
      </w:r>
      <w:r w:rsidR="007871D5">
        <w:rPr>
          <w:rFonts w:ascii="Arial" w:hAnsi="Arial"/>
          <w:sz w:val="19"/>
          <w:szCs w:val="19"/>
        </w:rPr>
        <w:t xml:space="preserve"> Public Sector Values and Employment Principles specified in the Public Administration Act 2004, the Code of Conduct for Victorian Public Sector Employees. </w:t>
      </w:r>
      <w:r w:rsidR="007668D0" w:rsidRPr="000437FD">
        <w:rPr>
          <w:rFonts w:ascii="Arial" w:hAnsi="Arial" w:cs="Arial"/>
          <w:sz w:val="19"/>
          <w:szCs w:val="19"/>
        </w:rPr>
        <w:t>The purpose of this policy is to provide guidance on business expenses incurred by staff whil</w:t>
      </w:r>
      <w:r w:rsidR="005515CE">
        <w:rPr>
          <w:rFonts w:ascii="Arial" w:hAnsi="Arial" w:cs="Arial"/>
          <w:sz w:val="19"/>
          <w:szCs w:val="19"/>
        </w:rPr>
        <w:t>st on business travel. It must</w:t>
      </w:r>
      <w:r w:rsidR="007668D0" w:rsidRPr="000437FD">
        <w:rPr>
          <w:rFonts w:ascii="Arial" w:hAnsi="Arial" w:cs="Arial"/>
          <w:sz w:val="19"/>
          <w:szCs w:val="19"/>
        </w:rPr>
        <w:t xml:space="preserve"> include, as a minimum:</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0"/>
          <w:numId w:val="25"/>
        </w:numPr>
        <w:spacing w:line="280" w:lineRule="atLeast"/>
        <w:jc w:val="both"/>
        <w:rPr>
          <w:rFonts w:ascii="Arial" w:hAnsi="Arial"/>
          <w:sz w:val="19"/>
          <w:szCs w:val="19"/>
        </w:rPr>
      </w:pPr>
      <w:r w:rsidRPr="000437FD">
        <w:rPr>
          <w:rFonts w:ascii="Arial" w:hAnsi="Arial"/>
          <w:sz w:val="19"/>
          <w:szCs w:val="19"/>
        </w:rPr>
        <w:t>Details on business expenses including maximum claimable amounts by business expense type;</w:t>
      </w:r>
    </w:p>
    <w:p w:rsidR="007668D0" w:rsidRPr="000437FD" w:rsidRDefault="007668D0" w:rsidP="00D52275">
      <w:pPr>
        <w:pStyle w:val="ListParagraph"/>
        <w:numPr>
          <w:ilvl w:val="0"/>
          <w:numId w:val="25"/>
        </w:numPr>
        <w:spacing w:line="280" w:lineRule="atLeast"/>
        <w:jc w:val="both"/>
        <w:rPr>
          <w:rFonts w:ascii="Arial" w:hAnsi="Arial"/>
          <w:sz w:val="19"/>
          <w:szCs w:val="19"/>
        </w:rPr>
      </w:pPr>
      <w:r w:rsidRPr="000437FD">
        <w:rPr>
          <w:rFonts w:ascii="Arial" w:hAnsi="Arial"/>
          <w:sz w:val="19"/>
          <w:szCs w:val="19"/>
        </w:rPr>
        <w:t>Rules regarding travel including interstate and international travel;</w:t>
      </w:r>
    </w:p>
    <w:p w:rsidR="007668D0" w:rsidRPr="000437FD" w:rsidRDefault="007668D0" w:rsidP="00D52275">
      <w:pPr>
        <w:pStyle w:val="ListParagraph"/>
        <w:numPr>
          <w:ilvl w:val="0"/>
          <w:numId w:val="25"/>
        </w:numPr>
        <w:spacing w:line="280" w:lineRule="atLeast"/>
        <w:jc w:val="both"/>
        <w:rPr>
          <w:rFonts w:ascii="Arial" w:hAnsi="Arial"/>
          <w:sz w:val="19"/>
          <w:szCs w:val="19"/>
        </w:rPr>
      </w:pPr>
      <w:r w:rsidRPr="000437FD">
        <w:rPr>
          <w:rFonts w:ascii="Arial" w:hAnsi="Arial"/>
          <w:sz w:val="19"/>
          <w:szCs w:val="19"/>
        </w:rPr>
        <w:t>Travel approval process; and</w:t>
      </w:r>
    </w:p>
    <w:p w:rsidR="007668D0" w:rsidRPr="000437FD" w:rsidRDefault="007668D0" w:rsidP="00D52275">
      <w:pPr>
        <w:pStyle w:val="ListParagraph"/>
        <w:numPr>
          <w:ilvl w:val="0"/>
          <w:numId w:val="25"/>
        </w:numPr>
        <w:spacing w:line="280" w:lineRule="atLeast"/>
        <w:jc w:val="both"/>
        <w:rPr>
          <w:rFonts w:ascii="Arial" w:hAnsi="Arial"/>
          <w:sz w:val="19"/>
          <w:szCs w:val="19"/>
        </w:rPr>
      </w:pPr>
      <w:r w:rsidRPr="000437FD">
        <w:rPr>
          <w:rFonts w:ascii="Arial" w:hAnsi="Arial"/>
          <w:sz w:val="19"/>
          <w:szCs w:val="19"/>
        </w:rPr>
        <w:t>Any applicable restrictions whilst travelling for business purposes.</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Although not specifically </w:t>
      </w:r>
      <w:r w:rsidR="009827BF">
        <w:rPr>
          <w:rFonts w:ascii="Arial" w:hAnsi="Arial" w:cs="Arial"/>
          <w:sz w:val="19"/>
          <w:szCs w:val="19"/>
        </w:rPr>
        <w:t>aimed at business expenditure, h</w:t>
      </w:r>
      <w:r w:rsidRPr="000437FD">
        <w:rPr>
          <w:rFonts w:ascii="Arial" w:hAnsi="Arial" w:cs="Arial"/>
          <w:sz w:val="19"/>
          <w:szCs w:val="19"/>
        </w:rPr>
        <w:t xml:space="preserve">ealth </w:t>
      </w:r>
      <w:r w:rsidR="009827BF">
        <w:rPr>
          <w:rFonts w:ascii="Arial" w:hAnsi="Arial" w:cs="Arial"/>
          <w:sz w:val="19"/>
          <w:szCs w:val="19"/>
        </w:rPr>
        <w:t>s</w:t>
      </w:r>
      <w:r w:rsidRPr="000437FD">
        <w:rPr>
          <w:rFonts w:ascii="Arial" w:hAnsi="Arial" w:cs="Arial"/>
          <w:sz w:val="19"/>
          <w:szCs w:val="19"/>
        </w:rPr>
        <w:t>ervices are obliged to have</w:t>
      </w:r>
      <w:r w:rsidR="005E7E50">
        <w:rPr>
          <w:rFonts w:ascii="Arial" w:hAnsi="Arial" w:cs="Arial"/>
          <w:sz w:val="19"/>
          <w:szCs w:val="19"/>
        </w:rPr>
        <w:t xml:space="preserve"> in place</w:t>
      </w:r>
      <w:r w:rsidRPr="000437FD">
        <w:rPr>
          <w:rFonts w:ascii="Arial" w:hAnsi="Arial" w:cs="Arial"/>
          <w:sz w:val="19"/>
          <w:szCs w:val="19"/>
        </w:rPr>
        <w:t xml:space="preserve"> a protected disclosure policy</w:t>
      </w:r>
      <w:r w:rsidR="005E7E50">
        <w:rPr>
          <w:rFonts w:ascii="Arial" w:hAnsi="Arial" w:cs="Arial"/>
          <w:sz w:val="19"/>
          <w:szCs w:val="19"/>
        </w:rPr>
        <w:t xml:space="preserve"> that meets IBAC requirements</w:t>
      </w:r>
      <w:r w:rsidR="009827BF">
        <w:rPr>
          <w:rFonts w:ascii="Arial" w:hAnsi="Arial" w:cs="Arial"/>
          <w:sz w:val="19"/>
          <w:szCs w:val="19"/>
        </w:rPr>
        <w:t>. Health s</w:t>
      </w:r>
      <w:r w:rsidRPr="000437FD">
        <w:rPr>
          <w:rFonts w:ascii="Arial" w:hAnsi="Arial" w:cs="Arial"/>
          <w:sz w:val="19"/>
          <w:szCs w:val="19"/>
        </w:rPr>
        <w:t xml:space="preserve">ervices must ensure that this policy is known by the </w:t>
      </w:r>
      <w:r w:rsidR="0011606C">
        <w:rPr>
          <w:rFonts w:ascii="Arial" w:hAnsi="Arial" w:cs="Arial"/>
          <w:sz w:val="19"/>
          <w:szCs w:val="19"/>
        </w:rPr>
        <w:t>b</w:t>
      </w:r>
      <w:r w:rsidRPr="000437FD">
        <w:rPr>
          <w:rFonts w:ascii="Arial" w:hAnsi="Arial" w:cs="Arial"/>
          <w:sz w:val="19"/>
          <w:szCs w:val="19"/>
        </w:rPr>
        <w:t xml:space="preserve">oard and staff and that processes are in place to effectively protect the privacy of an employee who makes a protected disclosure. This policy should be provided to all new employees upon induction and be </w:t>
      </w:r>
      <w:r w:rsidR="00EC1CF8">
        <w:rPr>
          <w:rFonts w:ascii="Arial" w:hAnsi="Arial" w:cs="Arial"/>
          <w:sz w:val="19"/>
          <w:szCs w:val="19"/>
        </w:rPr>
        <w:t xml:space="preserve">available </w:t>
      </w:r>
      <w:r w:rsidR="00177BBA">
        <w:rPr>
          <w:rFonts w:ascii="Arial" w:hAnsi="Arial" w:cs="Arial"/>
          <w:sz w:val="19"/>
          <w:szCs w:val="19"/>
        </w:rPr>
        <w:t>on the health s</w:t>
      </w:r>
      <w:r w:rsidRPr="000437FD">
        <w:rPr>
          <w:rFonts w:ascii="Arial" w:hAnsi="Arial" w:cs="Arial"/>
          <w:sz w:val="19"/>
          <w:szCs w:val="19"/>
        </w:rPr>
        <w:t>ervice</w:t>
      </w:r>
      <w:r w:rsidR="0011606C">
        <w:rPr>
          <w:rFonts w:ascii="Arial" w:hAnsi="Arial" w:cs="Arial"/>
          <w:sz w:val="19"/>
          <w:szCs w:val="19"/>
        </w:rPr>
        <w:t>’</w:t>
      </w:r>
      <w:r w:rsidRPr="000437FD">
        <w:rPr>
          <w:rFonts w:ascii="Arial" w:hAnsi="Arial" w:cs="Arial"/>
          <w:sz w:val="19"/>
          <w:szCs w:val="19"/>
        </w:rPr>
        <w:t>s intranet along with all other policies. Additionally, a reminder should be sent to all staff on an annual basis with a high level description of the protected disclosure process with reference to the policy.</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lastRenderedPageBreak/>
        <w:t xml:space="preserve">Section 3.2 of these guidelines provides greater detail regarding policy contents. </w:t>
      </w:r>
    </w:p>
    <w:p w:rsidR="007668D0" w:rsidRPr="000437FD" w:rsidRDefault="007668D0" w:rsidP="00D52275">
      <w:pPr>
        <w:spacing w:line="280" w:lineRule="atLeast"/>
        <w:jc w:val="both"/>
        <w:rPr>
          <w:rFonts w:ascii="Arial" w:hAnsi="Arial" w:cs="Arial"/>
          <w:sz w:val="19"/>
          <w:szCs w:val="19"/>
        </w:rPr>
      </w:pPr>
    </w:p>
    <w:p w:rsidR="007668D0" w:rsidRPr="000437FD" w:rsidRDefault="00D52275" w:rsidP="00D52275">
      <w:pPr>
        <w:pStyle w:val="Heading3"/>
        <w:jc w:val="both"/>
        <w:rPr>
          <w:rFonts w:cs="Arial"/>
        </w:rPr>
      </w:pPr>
      <w:bookmarkStart w:id="35" w:name="_Toc476565109"/>
      <w:r>
        <w:rPr>
          <w:rFonts w:cs="Arial"/>
        </w:rPr>
        <w:t xml:space="preserve">3.1.2 </w:t>
      </w:r>
      <w:r w:rsidR="00122FA6">
        <w:rPr>
          <w:rFonts w:cs="Arial"/>
        </w:rPr>
        <w:t xml:space="preserve">Appropriate </w:t>
      </w:r>
      <w:r w:rsidR="007668D0" w:rsidRPr="000437FD">
        <w:rPr>
          <w:rFonts w:cs="Arial"/>
        </w:rPr>
        <w:t>Approval</w:t>
      </w:r>
      <w:bookmarkEnd w:id="35"/>
    </w:p>
    <w:p w:rsidR="007668D0" w:rsidRPr="000437FD" w:rsidRDefault="00122FA6" w:rsidP="00D52275">
      <w:pPr>
        <w:spacing w:line="280" w:lineRule="atLeast"/>
        <w:jc w:val="both"/>
        <w:rPr>
          <w:rFonts w:ascii="Arial" w:hAnsi="Arial" w:cs="Arial"/>
          <w:sz w:val="19"/>
          <w:szCs w:val="19"/>
        </w:rPr>
      </w:pPr>
      <w:r>
        <w:rPr>
          <w:rFonts w:ascii="Arial" w:hAnsi="Arial" w:cs="Arial"/>
          <w:sz w:val="19"/>
          <w:szCs w:val="19"/>
        </w:rPr>
        <w:t>Appropriate a</w:t>
      </w:r>
      <w:r w:rsidR="007668D0" w:rsidRPr="000437FD">
        <w:rPr>
          <w:rFonts w:ascii="Arial" w:hAnsi="Arial" w:cs="Arial"/>
          <w:sz w:val="19"/>
          <w:szCs w:val="19"/>
        </w:rPr>
        <w:t xml:space="preserve">pproval must be made in accordance </w:t>
      </w:r>
      <w:r w:rsidR="00EC1CF8">
        <w:rPr>
          <w:rFonts w:ascii="Arial" w:hAnsi="Arial" w:cs="Arial"/>
          <w:sz w:val="19"/>
          <w:szCs w:val="19"/>
        </w:rPr>
        <w:t xml:space="preserve">with </w:t>
      </w:r>
      <w:r w:rsidR="007668D0" w:rsidRPr="000437FD">
        <w:rPr>
          <w:rFonts w:ascii="Arial" w:hAnsi="Arial" w:cs="Arial"/>
          <w:sz w:val="19"/>
          <w:szCs w:val="19"/>
        </w:rPr>
        <w:t xml:space="preserve">the </w:t>
      </w:r>
      <w:r w:rsidR="005E7E50">
        <w:rPr>
          <w:rFonts w:ascii="Arial" w:hAnsi="Arial" w:cs="Arial"/>
          <w:sz w:val="19"/>
          <w:szCs w:val="19"/>
        </w:rPr>
        <w:t>D</w:t>
      </w:r>
      <w:r w:rsidR="001333F4">
        <w:rPr>
          <w:rFonts w:ascii="Arial" w:hAnsi="Arial" w:cs="Arial"/>
          <w:sz w:val="19"/>
          <w:szCs w:val="19"/>
        </w:rPr>
        <w:t>O</w:t>
      </w:r>
      <w:r w:rsidR="005E7E50">
        <w:rPr>
          <w:rFonts w:ascii="Arial" w:hAnsi="Arial" w:cs="Arial"/>
          <w:sz w:val="19"/>
          <w:szCs w:val="19"/>
        </w:rPr>
        <w:t>A</w:t>
      </w:r>
      <w:r w:rsidR="007668D0" w:rsidRPr="000437FD">
        <w:rPr>
          <w:rFonts w:ascii="Arial" w:hAnsi="Arial" w:cs="Arial"/>
          <w:sz w:val="19"/>
          <w:szCs w:val="19"/>
        </w:rPr>
        <w:t xml:space="preserve">. Generally, the CEO will </w:t>
      </w:r>
      <w:r w:rsidR="00F033A2">
        <w:rPr>
          <w:rFonts w:ascii="Arial" w:hAnsi="Arial" w:cs="Arial"/>
          <w:sz w:val="19"/>
          <w:szCs w:val="19"/>
        </w:rPr>
        <w:t>approve</w:t>
      </w:r>
      <w:r w:rsidR="00475715" w:rsidRPr="000437FD">
        <w:rPr>
          <w:rFonts w:ascii="Arial" w:hAnsi="Arial" w:cs="Arial"/>
          <w:sz w:val="19"/>
          <w:szCs w:val="19"/>
        </w:rPr>
        <w:t xml:space="preserve"> </w:t>
      </w:r>
      <w:r w:rsidR="007668D0" w:rsidRPr="000437FD">
        <w:rPr>
          <w:rFonts w:ascii="Arial" w:hAnsi="Arial" w:cs="Arial"/>
          <w:sz w:val="19"/>
          <w:szCs w:val="19"/>
        </w:rPr>
        <w:t>business expense</w:t>
      </w:r>
      <w:r w:rsidR="00475715">
        <w:rPr>
          <w:rFonts w:ascii="Arial" w:hAnsi="Arial" w:cs="Arial"/>
          <w:sz w:val="19"/>
          <w:szCs w:val="19"/>
        </w:rPr>
        <w:t xml:space="preserve">s </w:t>
      </w:r>
      <w:r w:rsidR="007668D0" w:rsidRPr="000437FD">
        <w:rPr>
          <w:rFonts w:ascii="Arial" w:hAnsi="Arial" w:cs="Arial"/>
          <w:sz w:val="19"/>
          <w:szCs w:val="19"/>
        </w:rPr>
        <w:t xml:space="preserve">from </w:t>
      </w:r>
      <w:r w:rsidR="00403CD2">
        <w:rPr>
          <w:rFonts w:ascii="Arial" w:hAnsi="Arial" w:cs="Arial"/>
          <w:sz w:val="19"/>
          <w:szCs w:val="19"/>
        </w:rPr>
        <w:t xml:space="preserve">the less senior </w:t>
      </w:r>
      <w:r w:rsidR="00475715">
        <w:rPr>
          <w:rFonts w:ascii="Arial" w:hAnsi="Arial" w:cs="Arial"/>
          <w:sz w:val="19"/>
          <w:szCs w:val="19"/>
        </w:rPr>
        <w:t>staff</w:t>
      </w:r>
      <w:r w:rsidR="007668D0" w:rsidRPr="000437FD">
        <w:rPr>
          <w:rFonts w:ascii="Arial" w:hAnsi="Arial" w:cs="Arial"/>
          <w:sz w:val="19"/>
          <w:szCs w:val="19"/>
        </w:rPr>
        <w:t xml:space="preserve">. The </w:t>
      </w:r>
      <w:r w:rsidR="00475715">
        <w:rPr>
          <w:rFonts w:ascii="Arial" w:hAnsi="Arial" w:cs="Arial"/>
          <w:sz w:val="19"/>
          <w:szCs w:val="19"/>
        </w:rPr>
        <w:t>b</w:t>
      </w:r>
      <w:r w:rsidR="007668D0" w:rsidRPr="000437FD">
        <w:rPr>
          <w:rFonts w:ascii="Arial" w:hAnsi="Arial" w:cs="Arial"/>
          <w:sz w:val="19"/>
          <w:szCs w:val="19"/>
        </w:rPr>
        <w:t xml:space="preserve">oard </w:t>
      </w:r>
      <w:r w:rsidR="00475715">
        <w:rPr>
          <w:rFonts w:ascii="Arial" w:hAnsi="Arial" w:cs="Arial"/>
          <w:sz w:val="19"/>
          <w:szCs w:val="19"/>
        </w:rPr>
        <w:t>c</w:t>
      </w:r>
      <w:r w:rsidR="007668D0" w:rsidRPr="000437FD">
        <w:rPr>
          <w:rFonts w:ascii="Arial" w:hAnsi="Arial" w:cs="Arial"/>
          <w:sz w:val="19"/>
          <w:szCs w:val="19"/>
        </w:rPr>
        <w:t xml:space="preserve">hair or </w:t>
      </w:r>
      <w:r w:rsidR="00475715">
        <w:rPr>
          <w:rFonts w:ascii="Arial" w:hAnsi="Arial" w:cs="Arial"/>
          <w:sz w:val="19"/>
          <w:szCs w:val="19"/>
        </w:rPr>
        <w:t>c</w:t>
      </w:r>
      <w:r w:rsidR="007668D0" w:rsidRPr="000437FD">
        <w:rPr>
          <w:rFonts w:ascii="Arial" w:hAnsi="Arial" w:cs="Arial"/>
          <w:sz w:val="19"/>
          <w:szCs w:val="19"/>
        </w:rPr>
        <w:t xml:space="preserve">hair of the Audit and Risk Committee will </w:t>
      </w:r>
      <w:r w:rsidR="00F033A2">
        <w:rPr>
          <w:rFonts w:ascii="Arial" w:hAnsi="Arial" w:cs="Arial"/>
          <w:sz w:val="19"/>
          <w:szCs w:val="19"/>
        </w:rPr>
        <w:t>approve</w:t>
      </w:r>
      <w:r w:rsidR="00475715">
        <w:rPr>
          <w:rFonts w:ascii="Arial" w:hAnsi="Arial" w:cs="Arial"/>
          <w:sz w:val="19"/>
          <w:szCs w:val="19"/>
        </w:rPr>
        <w:t xml:space="preserve"> </w:t>
      </w:r>
      <w:r w:rsidR="007668D0" w:rsidRPr="000437FD">
        <w:rPr>
          <w:rFonts w:ascii="Arial" w:hAnsi="Arial" w:cs="Arial"/>
          <w:sz w:val="19"/>
          <w:szCs w:val="19"/>
        </w:rPr>
        <w:t>business expense</w:t>
      </w:r>
      <w:r w:rsidR="00475715">
        <w:rPr>
          <w:rFonts w:ascii="Arial" w:hAnsi="Arial" w:cs="Arial"/>
          <w:sz w:val="19"/>
          <w:szCs w:val="19"/>
        </w:rPr>
        <w:t xml:space="preserve">s </w:t>
      </w:r>
      <w:r w:rsidR="007668D0" w:rsidRPr="000437FD">
        <w:rPr>
          <w:rFonts w:ascii="Arial" w:hAnsi="Arial" w:cs="Arial"/>
          <w:sz w:val="19"/>
          <w:szCs w:val="19"/>
        </w:rPr>
        <w:t xml:space="preserve">from the CEO. </w:t>
      </w:r>
    </w:p>
    <w:p w:rsidR="007668D0" w:rsidRPr="000437FD" w:rsidRDefault="007668D0" w:rsidP="00D52275">
      <w:pPr>
        <w:spacing w:line="280" w:lineRule="atLeast"/>
        <w:jc w:val="both"/>
        <w:rPr>
          <w:rFonts w:ascii="Arial" w:hAnsi="Arial" w:cs="Arial"/>
          <w:sz w:val="19"/>
          <w:szCs w:val="19"/>
        </w:rPr>
      </w:pPr>
    </w:p>
    <w:tbl>
      <w:tblPr>
        <w:tblStyle w:val="TableGrid"/>
        <w:tblW w:w="0" w:type="auto"/>
        <w:tblBorders>
          <w:insideV w:val="none" w:sz="0" w:space="0" w:color="auto"/>
        </w:tblBorders>
        <w:tblCellMar>
          <w:bottom w:w="57" w:type="dxa"/>
        </w:tblCellMar>
        <w:tblLook w:val="04A0" w:firstRow="1" w:lastRow="0" w:firstColumn="1" w:lastColumn="0" w:noHBand="0" w:noVBand="1"/>
      </w:tblPr>
      <w:tblGrid>
        <w:gridCol w:w="658"/>
        <w:gridCol w:w="8476"/>
      </w:tblGrid>
      <w:tr w:rsidR="007668D0" w:rsidRPr="000437FD" w:rsidTr="000D273D">
        <w:tc>
          <w:tcPr>
            <w:tcW w:w="658" w:type="dxa"/>
            <w:shd w:val="clear" w:color="auto" w:fill="CCC0D9"/>
          </w:tcPr>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p>
          <w:p w:rsidR="007668D0" w:rsidRPr="000437FD" w:rsidRDefault="009677A8" w:rsidP="00D52275">
            <w:pPr>
              <w:spacing w:line="280" w:lineRule="atLeast"/>
              <w:jc w:val="both"/>
              <w:rPr>
                <w:rFonts w:ascii="Arial" w:hAnsi="Arial" w:cs="Arial"/>
                <w:sz w:val="19"/>
                <w:szCs w:val="19"/>
              </w:rPr>
            </w:pPr>
            <w:r>
              <w:rPr>
                <w:rFonts w:ascii="Arial" w:hAnsi="Arial" w:cs="Arial"/>
                <w:noProof/>
                <w:lang w:eastAsia="en-AU"/>
              </w:rPr>
              <w:drawing>
                <wp:anchor distT="0" distB="0" distL="114300" distR="114300" simplePos="0" relativeHeight="251660288" behindDoc="0" locked="0" layoutInCell="1" allowOverlap="1" wp14:anchorId="30F937AF" wp14:editId="63D9F8E8">
                  <wp:simplePos x="0" y="0"/>
                  <wp:positionH relativeFrom="column">
                    <wp:posOffset>-38735</wp:posOffset>
                  </wp:positionH>
                  <wp:positionV relativeFrom="paragraph">
                    <wp:posOffset>-3175</wp:posOffset>
                  </wp:positionV>
                  <wp:extent cx="357505" cy="315595"/>
                  <wp:effectExtent l="0" t="0" r="4445" b="8255"/>
                  <wp:wrapNone/>
                  <wp:docPr id="100" name="Picture 7" descr="C:\Users\maylissa.ollivier\AppData\Local\Microsoft\Windows\Temporary Internet Files\Content.IE5\IYXJULP0\563px-South_Africa_-_General_Warn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ylissa.ollivier\AppData\Local\Microsoft\Windows\Temporary Internet Files\Content.IE5\IYXJULP0\563px-South_Africa_-_General_Warning_sign.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8D0" w:rsidRPr="000437FD" w:rsidRDefault="007668D0" w:rsidP="00D52275">
            <w:pPr>
              <w:spacing w:line="280" w:lineRule="atLeast"/>
              <w:jc w:val="both"/>
              <w:rPr>
                <w:rFonts w:ascii="Arial" w:hAnsi="Arial" w:cs="Arial"/>
                <w:sz w:val="19"/>
                <w:szCs w:val="19"/>
              </w:rPr>
            </w:pPr>
          </w:p>
        </w:tc>
        <w:tc>
          <w:tcPr>
            <w:tcW w:w="8476" w:type="dxa"/>
            <w:shd w:val="clear" w:color="auto" w:fill="CCC0D9"/>
          </w:tcPr>
          <w:p w:rsidR="007668D0" w:rsidRPr="000437FD" w:rsidRDefault="007668D0" w:rsidP="00D52275">
            <w:pPr>
              <w:pStyle w:val="BodyText"/>
              <w:shd w:val="clear" w:color="auto" w:fill="CCC0D9"/>
              <w:spacing w:after="0"/>
              <w:ind w:left="34"/>
              <w:jc w:val="both"/>
              <w:rPr>
                <w:rFonts w:ascii="Arial" w:hAnsi="Arial"/>
                <w:sz w:val="19"/>
                <w:szCs w:val="19"/>
              </w:rPr>
            </w:pPr>
            <w:r w:rsidRPr="000437FD">
              <w:rPr>
                <w:rFonts w:ascii="Arial" w:hAnsi="Arial"/>
                <w:b/>
                <w:sz w:val="19"/>
                <w:szCs w:val="19"/>
              </w:rPr>
              <w:t>Important:</w:t>
            </w:r>
            <w:r w:rsidRPr="000437FD">
              <w:rPr>
                <w:rFonts w:ascii="Arial" w:hAnsi="Arial"/>
              </w:rPr>
              <w:t xml:space="preserve"> </w:t>
            </w:r>
            <w:r w:rsidRPr="000437FD">
              <w:rPr>
                <w:rFonts w:ascii="Arial" w:hAnsi="Arial"/>
                <w:b/>
                <w:sz w:val="19"/>
                <w:szCs w:val="19"/>
              </w:rPr>
              <w:t xml:space="preserve">Approvers </w:t>
            </w:r>
            <w:r w:rsidR="0092495D">
              <w:rPr>
                <w:rFonts w:ascii="Arial" w:hAnsi="Arial"/>
                <w:b/>
                <w:sz w:val="19"/>
                <w:szCs w:val="19"/>
              </w:rPr>
              <w:t>are</w:t>
            </w:r>
            <w:r w:rsidRPr="000437FD">
              <w:rPr>
                <w:rFonts w:ascii="Arial" w:hAnsi="Arial"/>
                <w:b/>
                <w:sz w:val="19"/>
                <w:szCs w:val="19"/>
              </w:rPr>
              <w:t xml:space="preserve"> prohibited from approving their own business expenses.</w:t>
            </w:r>
          </w:p>
          <w:p w:rsidR="007668D0" w:rsidRPr="000437FD" w:rsidRDefault="007668D0" w:rsidP="00D52275">
            <w:pPr>
              <w:pStyle w:val="BodyText"/>
              <w:shd w:val="clear" w:color="auto" w:fill="CCC0D9"/>
              <w:spacing w:after="0"/>
              <w:ind w:left="34"/>
              <w:jc w:val="both"/>
              <w:rPr>
                <w:rFonts w:ascii="Arial" w:hAnsi="Arial"/>
                <w:sz w:val="19"/>
                <w:szCs w:val="19"/>
              </w:rPr>
            </w:pPr>
            <w:r w:rsidRPr="000437FD">
              <w:rPr>
                <w:rFonts w:ascii="Arial" w:hAnsi="Arial"/>
                <w:sz w:val="19"/>
                <w:szCs w:val="19"/>
              </w:rPr>
              <w:t xml:space="preserve">An individual cannot claim business expenses that are </w:t>
            </w:r>
            <w:r w:rsidR="009F5E8C">
              <w:rPr>
                <w:rFonts w:ascii="Arial" w:hAnsi="Arial"/>
                <w:sz w:val="19"/>
                <w:szCs w:val="19"/>
              </w:rPr>
              <w:t xml:space="preserve">also </w:t>
            </w:r>
            <w:r w:rsidRPr="000437FD">
              <w:rPr>
                <w:rFonts w:ascii="Arial" w:hAnsi="Arial"/>
                <w:sz w:val="19"/>
                <w:szCs w:val="19"/>
              </w:rPr>
              <w:t xml:space="preserve">incurred by his/her approver (e.g. a </w:t>
            </w:r>
            <w:r w:rsidR="009F5E8C">
              <w:rPr>
                <w:rFonts w:ascii="Arial" w:hAnsi="Arial"/>
                <w:sz w:val="19"/>
                <w:szCs w:val="19"/>
              </w:rPr>
              <w:t>b</w:t>
            </w:r>
            <w:r w:rsidRPr="000437FD">
              <w:rPr>
                <w:rFonts w:ascii="Arial" w:hAnsi="Arial"/>
                <w:sz w:val="19"/>
                <w:szCs w:val="19"/>
              </w:rPr>
              <w:t xml:space="preserve">oard </w:t>
            </w:r>
            <w:r w:rsidR="009F5E8C">
              <w:rPr>
                <w:rFonts w:ascii="Arial" w:hAnsi="Arial"/>
                <w:sz w:val="19"/>
                <w:szCs w:val="19"/>
              </w:rPr>
              <w:t>c</w:t>
            </w:r>
            <w:r w:rsidRPr="000437FD">
              <w:rPr>
                <w:rFonts w:ascii="Arial" w:hAnsi="Arial"/>
                <w:sz w:val="19"/>
                <w:szCs w:val="19"/>
              </w:rPr>
              <w:t xml:space="preserve">hair cannot approve </w:t>
            </w:r>
            <w:r w:rsidR="0092495D">
              <w:rPr>
                <w:rFonts w:ascii="Arial" w:hAnsi="Arial"/>
                <w:sz w:val="19"/>
                <w:szCs w:val="19"/>
              </w:rPr>
              <w:t>a</w:t>
            </w:r>
            <w:r w:rsidR="0092495D" w:rsidRPr="000437FD">
              <w:rPr>
                <w:rFonts w:ascii="Arial" w:hAnsi="Arial"/>
                <w:sz w:val="19"/>
                <w:szCs w:val="19"/>
              </w:rPr>
              <w:t xml:space="preserve"> </w:t>
            </w:r>
            <w:r w:rsidRPr="000437FD">
              <w:rPr>
                <w:rFonts w:ascii="Arial" w:hAnsi="Arial"/>
                <w:sz w:val="19"/>
                <w:szCs w:val="19"/>
              </w:rPr>
              <w:t>business expense for a CEO</w:t>
            </w:r>
            <w:r w:rsidR="009F5E8C">
              <w:rPr>
                <w:rFonts w:ascii="Arial" w:hAnsi="Arial"/>
                <w:sz w:val="19"/>
                <w:szCs w:val="19"/>
              </w:rPr>
              <w:t>,</w:t>
            </w:r>
            <w:r w:rsidRPr="000437FD">
              <w:rPr>
                <w:rFonts w:ascii="Arial" w:hAnsi="Arial"/>
                <w:sz w:val="19"/>
                <w:szCs w:val="19"/>
              </w:rPr>
              <w:t xml:space="preserve"> </w:t>
            </w:r>
            <w:r w:rsidR="0092495D">
              <w:rPr>
                <w:rFonts w:ascii="Arial" w:hAnsi="Arial"/>
                <w:sz w:val="19"/>
                <w:szCs w:val="19"/>
              </w:rPr>
              <w:t>where it</w:t>
            </w:r>
            <w:r w:rsidR="0092495D" w:rsidRPr="000437FD">
              <w:rPr>
                <w:rFonts w:ascii="Arial" w:hAnsi="Arial"/>
                <w:sz w:val="19"/>
                <w:szCs w:val="19"/>
              </w:rPr>
              <w:t xml:space="preserve"> </w:t>
            </w:r>
            <w:r w:rsidRPr="000437FD">
              <w:rPr>
                <w:rFonts w:ascii="Arial" w:hAnsi="Arial"/>
                <w:sz w:val="19"/>
                <w:szCs w:val="19"/>
              </w:rPr>
              <w:t xml:space="preserve">includes costs associated to </w:t>
            </w:r>
            <w:r w:rsidR="0092495D">
              <w:rPr>
                <w:rFonts w:ascii="Arial" w:hAnsi="Arial"/>
                <w:sz w:val="19"/>
                <w:szCs w:val="19"/>
              </w:rPr>
              <w:t>the chair’s own</w:t>
            </w:r>
            <w:r w:rsidR="0092495D" w:rsidRPr="000437FD">
              <w:rPr>
                <w:rFonts w:ascii="Arial" w:hAnsi="Arial"/>
                <w:sz w:val="19"/>
                <w:szCs w:val="19"/>
              </w:rPr>
              <w:t xml:space="preserve"> </w:t>
            </w:r>
            <w:r w:rsidRPr="000437FD">
              <w:rPr>
                <w:rFonts w:ascii="Arial" w:hAnsi="Arial"/>
                <w:sz w:val="19"/>
                <w:szCs w:val="19"/>
              </w:rPr>
              <w:t>attendance at the same event</w:t>
            </w:r>
            <w:r w:rsidR="009F5E8C">
              <w:rPr>
                <w:rFonts w:ascii="Arial" w:hAnsi="Arial"/>
                <w:sz w:val="19"/>
                <w:szCs w:val="19"/>
              </w:rPr>
              <w:t>.</w:t>
            </w:r>
            <w:r w:rsidRPr="000437FD">
              <w:rPr>
                <w:rFonts w:ascii="Arial" w:hAnsi="Arial"/>
                <w:sz w:val="19"/>
                <w:szCs w:val="19"/>
              </w:rPr>
              <w:t xml:space="preserve"> </w:t>
            </w:r>
            <w:r w:rsidR="009F5E8C">
              <w:rPr>
                <w:rFonts w:ascii="Arial" w:hAnsi="Arial"/>
                <w:sz w:val="19"/>
                <w:szCs w:val="19"/>
              </w:rPr>
              <w:t>This</w:t>
            </w:r>
            <w:r w:rsidR="009F5E8C" w:rsidRPr="000437FD">
              <w:rPr>
                <w:rFonts w:ascii="Arial" w:hAnsi="Arial"/>
                <w:sz w:val="19"/>
                <w:szCs w:val="19"/>
              </w:rPr>
              <w:t xml:space="preserve"> </w:t>
            </w:r>
            <w:r w:rsidRPr="000437FD">
              <w:rPr>
                <w:rFonts w:ascii="Arial" w:hAnsi="Arial"/>
                <w:sz w:val="19"/>
                <w:szCs w:val="19"/>
              </w:rPr>
              <w:t xml:space="preserve">would result in the </w:t>
            </w:r>
            <w:r w:rsidR="009F5E8C">
              <w:rPr>
                <w:rFonts w:ascii="Arial" w:hAnsi="Arial"/>
                <w:sz w:val="19"/>
                <w:szCs w:val="19"/>
              </w:rPr>
              <w:t>b</w:t>
            </w:r>
            <w:r w:rsidRPr="000437FD">
              <w:rPr>
                <w:rFonts w:ascii="Arial" w:hAnsi="Arial"/>
                <w:sz w:val="19"/>
                <w:szCs w:val="19"/>
              </w:rPr>
              <w:t xml:space="preserve">oard </w:t>
            </w:r>
            <w:r w:rsidR="009F5E8C">
              <w:rPr>
                <w:rFonts w:ascii="Arial" w:hAnsi="Arial"/>
                <w:sz w:val="19"/>
                <w:szCs w:val="19"/>
              </w:rPr>
              <w:t>c</w:t>
            </w:r>
            <w:r w:rsidRPr="000437FD">
              <w:rPr>
                <w:rFonts w:ascii="Arial" w:hAnsi="Arial"/>
                <w:sz w:val="19"/>
                <w:szCs w:val="19"/>
              </w:rPr>
              <w:t xml:space="preserve">hair approving their own business expense). </w:t>
            </w:r>
          </w:p>
          <w:p w:rsidR="007668D0" w:rsidRPr="000437FD" w:rsidRDefault="007668D0" w:rsidP="00D52275">
            <w:pPr>
              <w:pStyle w:val="BodyText"/>
              <w:shd w:val="clear" w:color="auto" w:fill="CCC0D9"/>
              <w:spacing w:after="0"/>
              <w:ind w:left="34"/>
              <w:jc w:val="both"/>
              <w:rPr>
                <w:rFonts w:ascii="Arial" w:hAnsi="Arial"/>
                <w:sz w:val="19"/>
                <w:szCs w:val="19"/>
              </w:rPr>
            </w:pPr>
          </w:p>
          <w:p w:rsidR="007668D0" w:rsidRPr="000437FD" w:rsidRDefault="007668D0" w:rsidP="00D52275">
            <w:pPr>
              <w:pStyle w:val="BodyText"/>
              <w:shd w:val="clear" w:color="auto" w:fill="CCC0D9"/>
              <w:spacing w:after="0"/>
              <w:ind w:left="34"/>
              <w:jc w:val="both"/>
              <w:rPr>
                <w:rFonts w:ascii="Arial" w:hAnsi="Arial"/>
                <w:sz w:val="19"/>
                <w:szCs w:val="19"/>
              </w:rPr>
            </w:pPr>
            <w:r w:rsidRPr="000437FD">
              <w:rPr>
                <w:rFonts w:ascii="Arial" w:hAnsi="Arial"/>
                <w:sz w:val="19"/>
                <w:szCs w:val="19"/>
              </w:rPr>
              <w:t>Below are proposed alternative approval processes in such circumstances:</w:t>
            </w:r>
          </w:p>
          <w:p w:rsidR="007668D0" w:rsidRDefault="007668D0" w:rsidP="00D52275">
            <w:pPr>
              <w:pStyle w:val="BodyText"/>
              <w:numPr>
                <w:ilvl w:val="0"/>
                <w:numId w:val="19"/>
              </w:numPr>
              <w:shd w:val="clear" w:color="auto" w:fill="CCC0D9"/>
              <w:spacing w:after="0"/>
              <w:ind w:left="318" w:hanging="283"/>
              <w:jc w:val="both"/>
              <w:rPr>
                <w:rFonts w:ascii="Arial" w:hAnsi="Arial"/>
                <w:sz w:val="19"/>
                <w:szCs w:val="19"/>
              </w:rPr>
            </w:pPr>
            <w:r w:rsidRPr="000437FD">
              <w:rPr>
                <w:rFonts w:ascii="Arial" w:hAnsi="Arial"/>
                <w:sz w:val="19"/>
                <w:szCs w:val="19"/>
              </w:rPr>
              <w:t>I</w:t>
            </w:r>
            <w:r w:rsidR="009F5E8C">
              <w:rPr>
                <w:rFonts w:ascii="Arial" w:hAnsi="Arial"/>
                <w:sz w:val="19"/>
                <w:szCs w:val="19"/>
              </w:rPr>
              <w:t>f the</w:t>
            </w:r>
            <w:r w:rsidRPr="000437FD">
              <w:rPr>
                <w:rFonts w:ascii="Arial" w:hAnsi="Arial"/>
                <w:sz w:val="19"/>
                <w:szCs w:val="19"/>
              </w:rPr>
              <w:t xml:space="preserve"> CEO</w:t>
            </w:r>
            <w:r w:rsidR="009F5E8C">
              <w:rPr>
                <w:rFonts w:ascii="Arial" w:hAnsi="Arial"/>
                <w:sz w:val="19"/>
                <w:szCs w:val="19"/>
              </w:rPr>
              <w:t>’s</w:t>
            </w:r>
            <w:r w:rsidRPr="000437FD">
              <w:rPr>
                <w:rFonts w:ascii="Arial" w:hAnsi="Arial"/>
                <w:sz w:val="19"/>
                <w:szCs w:val="19"/>
              </w:rPr>
              <w:t xml:space="preserve"> business expenses includ</w:t>
            </w:r>
            <w:r w:rsidR="009F5E8C">
              <w:rPr>
                <w:rFonts w:ascii="Arial" w:hAnsi="Arial"/>
                <w:sz w:val="19"/>
                <w:szCs w:val="19"/>
              </w:rPr>
              <w:t>e</w:t>
            </w:r>
            <w:r w:rsidRPr="000437FD">
              <w:rPr>
                <w:rFonts w:ascii="Arial" w:hAnsi="Arial"/>
                <w:sz w:val="19"/>
                <w:szCs w:val="19"/>
              </w:rPr>
              <w:t xml:space="preserve"> the </w:t>
            </w:r>
            <w:r w:rsidR="009F5E8C">
              <w:rPr>
                <w:rFonts w:ascii="Arial" w:hAnsi="Arial"/>
                <w:sz w:val="19"/>
                <w:szCs w:val="19"/>
              </w:rPr>
              <w:t>b</w:t>
            </w:r>
            <w:r w:rsidRPr="000437FD">
              <w:rPr>
                <w:rFonts w:ascii="Arial" w:hAnsi="Arial"/>
                <w:sz w:val="19"/>
                <w:szCs w:val="19"/>
              </w:rPr>
              <w:t xml:space="preserve">oard </w:t>
            </w:r>
            <w:r w:rsidR="009F5E8C">
              <w:rPr>
                <w:rFonts w:ascii="Arial" w:hAnsi="Arial"/>
                <w:sz w:val="19"/>
                <w:szCs w:val="19"/>
              </w:rPr>
              <w:t>c</w:t>
            </w:r>
            <w:r w:rsidRPr="000437FD">
              <w:rPr>
                <w:rFonts w:ascii="Arial" w:hAnsi="Arial"/>
                <w:sz w:val="19"/>
                <w:szCs w:val="19"/>
              </w:rPr>
              <w:t>hair</w:t>
            </w:r>
            <w:r w:rsidR="009F5E8C">
              <w:rPr>
                <w:rFonts w:ascii="Arial" w:hAnsi="Arial"/>
                <w:sz w:val="19"/>
                <w:szCs w:val="19"/>
              </w:rPr>
              <w:t>’s business expenses</w:t>
            </w:r>
            <w:r w:rsidRPr="000437FD">
              <w:rPr>
                <w:rFonts w:ascii="Arial" w:hAnsi="Arial"/>
                <w:sz w:val="19"/>
                <w:szCs w:val="19"/>
              </w:rPr>
              <w:t xml:space="preserve">, the Chair of the Audit </w:t>
            </w:r>
            <w:r w:rsidR="0092495D">
              <w:rPr>
                <w:rFonts w:ascii="Arial" w:hAnsi="Arial"/>
                <w:sz w:val="19"/>
                <w:szCs w:val="19"/>
              </w:rPr>
              <w:t>&amp;</w:t>
            </w:r>
            <w:r w:rsidR="0092495D" w:rsidRPr="000437FD">
              <w:rPr>
                <w:rFonts w:ascii="Arial" w:hAnsi="Arial"/>
                <w:sz w:val="19"/>
                <w:szCs w:val="19"/>
              </w:rPr>
              <w:t xml:space="preserve"> </w:t>
            </w:r>
            <w:r w:rsidRPr="000437FD">
              <w:rPr>
                <w:rFonts w:ascii="Arial" w:hAnsi="Arial"/>
                <w:sz w:val="19"/>
                <w:szCs w:val="19"/>
              </w:rPr>
              <w:t>Risk Committee should approve the CEO’s business expenses.</w:t>
            </w:r>
            <w:r w:rsidR="009F5E8C">
              <w:rPr>
                <w:rFonts w:ascii="Arial" w:hAnsi="Arial"/>
                <w:sz w:val="19"/>
                <w:szCs w:val="19"/>
              </w:rPr>
              <w:t xml:space="preserve"> </w:t>
            </w:r>
          </w:p>
          <w:p w:rsidR="009F5E8C" w:rsidRPr="0092495D" w:rsidRDefault="009F5E8C" w:rsidP="00177BBA">
            <w:pPr>
              <w:pStyle w:val="BodyText"/>
              <w:numPr>
                <w:ilvl w:val="0"/>
                <w:numId w:val="19"/>
              </w:numPr>
              <w:shd w:val="clear" w:color="auto" w:fill="CCC0D9"/>
              <w:spacing w:after="0"/>
              <w:ind w:left="656" w:hanging="283"/>
              <w:jc w:val="both"/>
              <w:rPr>
                <w:rFonts w:ascii="Arial" w:hAnsi="Arial"/>
                <w:sz w:val="19"/>
                <w:szCs w:val="19"/>
              </w:rPr>
            </w:pPr>
            <w:r>
              <w:rPr>
                <w:rFonts w:ascii="Arial" w:hAnsi="Arial"/>
                <w:sz w:val="19"/>
                <w:szCs w:val="19"/>
              </w:rPr>
              <w:t xml:space="preserve">Should the board chair and Audit &amp; Risk Committee chair be the same individual, the deputy board chair should </w:t>
            </w:r>
            <w:r w:rsidR="00804A0C">
              <w:rPr>
                <w:rFonts w:ascii="Arial" w:hAnsi="Arial"/>
                <w:sz w:val="19"/>
                <w:szCs w:val="19"/>
              </w:rPr>
              <w:t>approve</w:t>
            </w:r>
            <w:r>
              <w:rPr>
                <w:rFonts w:ascii="Arial" w:hAnsi="Arial"/>
                <w:sz w:val="19"/>
                <w:szCs w:val="19"/>
              </w:rPr>
              <w:t xml:space="preserve"> the CEO’s business expense.</w:t>
            </w:r>
            <w:r w:rsidR="0092495D" w:rsidRPr="0092495D">
              <w:rPr>
                <w:rFonts w:ascii="Arial" w:hAnsi="Arial"/>
                <w:sz w:val="19"/>
                <w:szCs w:val="19"/>
              </w:rPr>
              <w:t xml:space="preserve"> </w:t>
            </w:r>
            <w:r w:rsidRPr="0092495D">
              <w:rPr>
                <w:rFonts w:ascii="Arial" w:hAnsi="Arial"/>
                <w:sz w:val="19"/>
                <w:szCs w:val="19"/>
              </w:rPr>
              <w:t xml:space="preserve"> </w:t>
            </w:r>
          </w:p>
          <w:p w:rsidR="00D173DB" w:rsidRPr="00D173DB" w:rsidRDefault="007668D0" w:rsidP="00D173DB">
            <w:pPr>
              <w:pStyle w:val="BodyText"/>
              <w:numPr>
                <w:ilvl w:val="0"/>
                <w:numId w:val="19"/>
              </w:numPr>
              <w:shd w:val="clear" w:color="auto" w:fill="CCC0D9"/>
              <w:spacing w:after="0"/>
              <w:ind w:left="318" w:hanging="283"/>
              <w:jc w:val="both"/>
              <w:rPr>
                <w:rFonts w:ascii="Arial" w:hAnsi="Arial"/>
                <w:sz w:val="19"/>
                <w:szCs w:val="19"/>
              </w:rPr>
            </w:pPr>
            <w:r w:rsidRPr="000437FD">
              <w:rPr>
                <w:rFonts w:ascii="Arial" w:hAnsi="Arial"/>
                <w:sz w:val="19"/>
                <w:szCs w:val="19"/>
              </w:rPr>
              <w:t xml:space="preserve">In the event of </w:t>
            </w:r>
            <w:r w:rsidR="0092495D">
              <w:rPr>
                <w:rFonts w:ascii="Arial" w:hAnsi="Arial"/>
                <w:sz w:val="19"/>
                <w:szCs w:val="19"/>
              </w:rPr>
              <w:t>staf</w:t>
            </w:r>
            <w:r w:rsidR="00177BBA">
              <w:rPr>
                <w:rFonts w:ascii="Arial" w:hAnsi="Arial"/>
                <w:sz w:val="19"/>
                <w:szCs w:val="19"/>
              </w:rPr>
              <w:t>f</w:t>
            </w:r>
            <w:r w:rsidR="00403CD2">
              <w:rPr>
                <w:rFonts w:ascii="Arial" w:hAnsi="Arial"/>
                <w:sz w:val="19"/>
                <w:szCs w:val="19"/>
              </w:rPr>
              <w:t xml:space="preserve"> </w:t>
            </w:r>
            <w:r w:rsidRPr="000437FD">
              <w:rPr>
                <w:rFonts w:ascii="Arial" w:hAnsi="Arial"/>
                <w:sz w:val="19"/>
                <w:szCs w:val="19"/>
              </w:rPr>
              <w:t>incurring a business expense</w:t>
            </w:r>
            <w:r w:rsidR="0092495D">
              <w:rPr>
                <w:rFonts w:ascii="Arial" w:hAnsi="Arial"/>
                <w:sz w:val="19"/>
                <w:szCs w:val="19"/>
              </w:rPr>
              <w:t>,</w:t>
            </w:r>
            <w:r w:rsidRPr="000437FD">
              <w:rPr>
                <w:rFonts w:ascii="Arial" w:hAnsi="Arial"/>
                <w:sz w:val="19"/>
                <w:szCs w:val="19"/>
              </w:rPr>
              <w:t xml:space="preserve"> which includes expenses incurred by the CEO, the </w:t>
            </w:r>
            <w:r w:rsidR="0092495D">
              <w:rPr>
                <w:rFonts w:ascii="Arial" w:hAnsi="Arial"/>
                <w:sz w:val="19"/>
                <w:szCs w:val="19"/>
              </w:rPr>
              <w:t>b</w:t>
            </w:r>
            <w:r w:rsidRPr="000437FD">
              <w:rPr>
                <w:rFonts w:ascii="Arial" w:hAnsi="Arial"/>
                <w:sz w:val="19"/>
                <w:szCs w:val="19"/>
              </w:rPr>
              <w:t xml:space="preserve">oard </w:t>
            </w:r>
            <w:r w:rsidR="0092495D">
              <w:rPr>
                <w:rFonts w:ascii="Arial" w:hAnsi="Arial"/>
                <w:sz w:val="19"/>
                <w:szCs w:val="19"/>
              </w:rPr>
              <w:t>c</w:t>
            </w:r>
            <w:r w:rsidRPr="000437FD">
              <w:rPr>
                <w:rFonts w:ascii="Arial" w:hAnsi="Arial"/>
                <w:sz w:val="19"/>
                <w:szCs w:val="19"/>
              </w:rPr>
              <w:t xml:space="preserve">hair should approve the </w:t>
            </w:r>
            <w:r w:rsidR="0092495D">
              <w:rPr>
                <w:rFonts w:ascii="Arial" w:hAnsi="Arial"/>
                <w:sz w:val="19"/>
                <w:szCs w:val="19"/>
              </w:rPr>
              <w:t>staff</w:t>
            </w:r>
            <w:r w:rsidR="0092495D" w:rsidRPr="000437FD">
              <w:rPr>
                <w:rFonts w:ascii="Arial" w:hAnsi="Arial"/>
                <w:sz w:val="19"/>
                <w:szCs w:val="19"/>
              </w:rPr>
              <w:t xml:space="preserve"> </w:t>
            </w:r>
            <w:r w:rsidRPr="000437FD">
              <w:rPr>
                <w:rFonts w:ascii="Arial" w:hAnsi="Arial"/>
                <w:sz w:val="19"/>
                <w:szCs w:val="19"/>
              </w:rPr>
              <w:t>business expenses</w:t>
            </w:r>
            <w:r w:rsidR="00177BBA">
              <w:rPr>
                <w:rFonts w:ascii="Arial" w:hAnsi="Arial"/>
                <w:sz w:val="19"/>
                <w:szCs w:val="19"/>
              </w:rPr>
              <w:t>.</w:t>
            </w:r>
          </w:p>
        </w:tc>
      </w:tr>
    </w:tbl>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All approvers must review business expense claims to ensure that: </w:t>
      </w:r>
    </w:p>
    <w:p w:rsidR="007668D0" w:rsidRPr="000437FD" w:rsidRDefault="007668D0" w:rsidP="00D52275">
      <w:pPr>
        <w:pStyle w:val="ListParagraph"/>
        <w:numPr>
          <w:ilvl w:val="0"/>
          <w:numId w:val="22"/>
        </w:numPr>
        <w:spacing w:line="280" w:lineRule="atLeast"/>
        <w:jc w:val="both"/>
        <w:rPr>
          <w:rFonts w:ascii="Arial" w:hAnsi="Arial"/>
          <w:sz w:val="19"/>
          <w:szCs w:val="19"/>
        </w:rPr>
      </w:pPr>
      <w:r w:rsidRPr="000437FD">
        <w:rPr>
          <w:rFonts w:ascii="Arial" w:hAnsi="Arial"/>
          <w:sz w:val="19"/>
          <w:szCs w:val="19"/>
        </w:rPr>
        <w:t>Business expenses are reasonable and incurred in carrying</w:t>
      </w:r>
      <w:r w:rsidR="009827BF">
        <w:rPr>
          <w:rFonts w:ascii="Arial" w:hAnsi="Arial"/>
          <w:sz w:val="19"/>
          <w:szCs w:val="19"/>
        </w:rPr>
        <w:t xml:space="preserve"> out business on behalf of the health s</w:t>
      </w:r>
      <w:r w:rsidRPr="000437FD">
        <w:rPr>
          <w:rFonts w:ascii="Arial" w:hAnsi="Arial"/>
          <w:sz w:val="19"/>
          <w:szCs w:val="19"/>
        </w:rPr>
        <w:t xml:space="preserve">ervice; </w:t>
      </w:r>
    </w:p>
    <w:p w:rsidR="007668D0" w:rsidRPr="000437FD" w:rsidRDefault="00177BBA" w:rsidP="00D52275">
      <w:pPr>
        <w:pStyle w:val="ListParagraph"/>
        <w:numPr>
          <w:ilvl w:val="0"/>
          <w:numId w:val="22"/>
        </w:numPr>
        <w:spacing w:line="280" w:lineRule="atLeast"/>
        <w:jc w:val="both"/>
        <w:rPr>
          <w:rFonts w:ascii="Arial" w:hAnsi="Arial"/>
          <w:sz w:val="19"/>
          <w:szCs w:val="19"/>
        </w:rPr>
      </w:pPr>
      <w:r>
        <w:rPr>
          <w:rFonts w:ascii="Arial" w:hAnsi="Arial"/>
          <w:sz w:val="19"/>
          <w:szCs w:val="19"/>
        </w:rPr>
        <w:t>Pre-a</w:t>
      </w:r>
      <w:r w:rsidR="007668D0" w:rsidRPr="000437FD">
        <w:rPr>
          <w:rFonts w:ascii="Arial" w:hAnsi="Arial"/>
          <w:sz w:val="19"/>
          <w:szCs w:val="19"/>
        </w:rPr>
        <w:t>pproval was sought if required; and</w:t>
      </w:r>
    </w:p>
    <w:p w:rsidR="007668D0" w:rsidRPr="000437FD" w:rsidRDefault="007668D0" w:rsidP="00D52275">
      <w:pPr>
        <w:pStyle w:val="ListParagraph"/>
        <w:numPr>
          <w:ilvl w:val="0"/>
          <w:numId w:val="22"/>
        </w:numPr>
        <w:spacing w:line="280" w:lineRule="atLeast"/>
        <w:jc w:val="both"/>
        <w:rPr>
          <w:rFonts w:ascii="Arial" w:hAnsi="Arial"/>
          <w:sz w:val="19"/>
          <w:szCs w:val="19"/>
        </w:rPr>
      </w:pPr>
      <w:r w:rsidRPr="000437FD">
        <w:rPr>
          <w:rFonts w:ascii="Arial" w:hAnsi="Arial"/>
          <w:sz w:val="19"/>
          <w:szCs w:val="19"/>
        </w:rPr>
        <w:t xml:space="preserve">Supporting documentation is provided for each </w:t>
      </w:r>
      <w:r w:rsidR="0092495D">
        <w:rPr>
          <w:rFonts w:ascii="Arial" w:hAnsi="Arial"/>
          <w:sz w:val="19"/>
          <w:szCs w:val="19"/>
        </w:rPr>
        <w:t xml:space="preserve">item of the </w:t>
      </w:r>
      <w:r w:rsidRPr="000437FD">
        <w:rPr>
          <w:rFonts w:ascii="Arial" w:hAnsi="Arial"/>
          <w:sz w:val="19"/>
          <w:szCs w:val="19"/>
        </w:rPr>
        <w:t>business expense claim.</w:t>
      </w:r>
    </w:p>
    <w:p w:rsidR="007668D0" w:rsidRPr="000437FD" w:rsidRDefault="007668D0" w:rsidP="00D52275">
      <w:pPr>
        <w:spacing w:line="280" w:lineRule="atLeast"/>
        <w:jc w:val="both"/>
        <w:rPr>
          <w:rFonts w:ascii="Arial" w:hAnsi="Arial" w:cs="Arial"/>
          <w:sz w:val="19"/>
          <w:szCs w:val="19"/>
        </w:rPr>
      </w:pPr>
    </w:p>
    <w:p w:rsidR="00D173DB"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Should an approver have a query over a business expense item, the business expense </w:t>
      </w:r>
      <w:r w:rsidR="005515CE">
        <w:rPr>
          <w:rFonts w:ascii="Arial" w:hAnsi="Arial" w:cs="Arial"/>
          <w:sz w:val="19"/>
          <w:szCs w:val="19"/>
        </w:rPr>
        <w:t>must</w:t>
      </w:r>
      <w:r w:rsidRPr="000437FD">
        <w:rPr>
          <w:rFonts w:ascii="Arial" w:hAnsi="Arial" w:cs="Arial"/>
          <w:sz w:val="19"/>
          <w:szCs w:val="19"/>
        </w:rPr>
        <w:t xml:space="preserve"> not be approved and clarification sought from the person who incurred the business expense.</w:t>
      </w:r>
    </w:p>
    <w:p w:rsidR="00D173DB" w:rsidRDefault="00D173DB" w:rsidP="00D52275">
      <w:pPr>
        <w:spacing w:line="280" w:lineRule="atLeast"/>
        <w:jc w:val="both"/>
        <w:rPr>
          <w:rFonts w:ascii="Arial" w:hAnsi="Arial" w:cs="Arial"/>
          <w:sz w:val="19"/>
          <w:szCs w:val="19"/>
        </w:rPr>
      </w:pPr>
    </w:p>
    <w:p w:rsidR="00D173DB" w:rsidRDefault="00D173DB" w:rsidP="00D52275">
      <w:pPr>
        <w:spacing w:line="280" w:lineRule="atLeast"/>
        <w:jc w:val="both"/>
        <w:rPr>
          <w:rFonts w:ascii="Arial" w:hAnsi="Arial" w:cs="Arial"/>
          <w:sz w:val="19"/>
          <w:szCs w:val="19"/>
        </w:rPr>
      </w:pPr>
      <w:r>
        <w:rPr>
          <w:rFonts w:ascii="Arial" w:hAnsi="Arial" w:cs="Arial"/>
          <w:sz w:val="19"/>
          <w:szCs w:val="19"/>
        </w:rPr>
        <w:t>It is the obligation of the person making the claim for payment to highlight to the approver any conflicts of interests and relevant documentation, such as a Declarable Private Interest or Conflict of Interest form. Failure to make an appropriate declaration could be a breach of the Code of Conduct.</w:t>
      </w:r>
    </w:p>
    <w:p w:rsidR="007668D0" w:rsidRPr="00380DF8" w:rsidRDefault="00D52275" w:rsidP="00D52275">
      <w:pPr>
        <w:pStyle w:val="Heading3"/>
        <w:jc w:val="both"/>
        <w:rPr>
          <w:rFonts w:cs="Arial"/>
        </w:rPr>
      </w:pPr>
      <w:bookmarkStart w:id="36" w:name="_Toc476565110"/>
      <w:r w:rsidRPr="00DB4D59">
        <w:rPr>
          <w:rFonts w:cs="Arial"/>
        </w:rPr>
        <w:t xml:space="preserve">3.2.3 </w:t>
      </w:r>
      <w:r w:rsidR="007668D0" w:rsidRPr="00DB4D59">
        <w:rPr>
          <w:rFonts w:cs="Arial"/>
        </w:rPr>
        <w:t>Accounting and Data Recording</w:t>
      </w:r>
      <w:bookmarkEnd w:id="36"/>
      <w:r w:rsidR="007668D0" w:rsidRPr="00DB4D59">
        <w:rPr>
          <w:rFonts w:cs="Arial"/>
        </w:rPr>
        <w:t xml:space="preserve"> </w:t>
      </w: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Good record keeping must be maintained for verification and audit purposes. All receipts, tax invoices and approvals </w:t>
      </w:r>
      <w:r w:rsidR="00153498">
        <w:rPr>
          <w:rFonts w:ascii="Arial" w:hAnsi="Arial" w:cs="Arial"/>
          <w:sz w:val="19"/>
          <w:szCs w:val="19"/>
        </w:rPr>
        <w:t>must</w:t>
      </w:r>
      <w:r w:rsidRPr="000437FD">
        <w:rPr>
          <w:rFonts w:ascii="Arial" w:hAnsi="Arial" w:cs="Arial"/>
          <w:sz w:val="19"/>
          <w:szCs w:val="19"/>
        </w:rPr>
        <w:t xml:space="preserve"> be stored in a secure location which is easily accessible upon request. </w:t>
      </w:r>
    </w:p>
    <w:p w:rsidR="007668D0" w:rsidRPr="000437FD" w:rsidRDefault="007668D0" w:rsidP="00D52275">
      <w:pPr>
        <w:spacing w:line="280" w:lineRule="atLeast"/>
        <w:jc w:val="both"/>
        <w:rPr>
          <w:rFonts w:ascii="Arial" w:hAnsi="Arial" w:cs="Arial"/>
          <w:sz w:val="19"/>
          <w:szCs w:val="19"/>
        </w:rPr>
      </w:pPr>
    </w:p>
    <w:p w:rsidR="00A61BAF" w:rsidRDefault="007668D0" w:rsidP="00D52275">
      <w:pPr>
        <w:spacing w:line="280" w:lineRule="atLeast"/>
        <w:jc w:val="both"/>
        <w:rPr>
          <w:rFonts w:ascii="Arial" w:hAnsi="Arial" w:cs="Arial"/>
          <w:sz w:val="19"/>
          <w:szCs w:val="19"/>
        </w:rPr>
      </w:pPr>
      <w:r w:rsidRPr="000437FD">
        <w:rPr>
          <w:rFonts w:ascii="Arial" w:hAnsi="Arial" w:cs="Arial"/>
          <w:sz w:val="19"/>
          <w:szCs w:val="19"/>
        </w:rPr>
        <w:t>In order to provid</w:t>
      </w:r>
      <w:r w:rsidR="00B467C5">
        <w:rPr>
          <w:rFonts w:ascii="Arial" w:hAnsi="Arial" w:cs="Arial"/>
          <w:sz w:val="19"/>
          <w:szCs w:val="19"/>
        </w:rPr>
        <w:t>e greater transparency over CEO</w:t>
      </w:r>
      <w:r w:rsidR="006F725A">
        <w:rPr>
          <w:rFonts w:ascii="Arial" w:hAnsi="Arial" w:cs="Arial"/>
          <w:sz w:val="19"/>
          <w:szCs w:val="19"/>
        </w:rPr>
        <w:t xml:space="preserve"> and</w:t>
      </w:r>
      <w:r w:rsidR="00A61BAF">
        <w:rPr>
          <w:rFonts w:ascii="Arial" w:hAnsi="Arial" w:cs="Arial"/>
          <w:sz w:val="19"/>
          <w:szCs w:val="19"/>
        </w:rPr>
        <w:t xml:space="preserve"> executive</w:t>
      </w:r>
      <w:r w:rsidR="00B467C5">
        <w:rPr>
          <w:rFonts w:ascii="Arial" w:hAnsi="Arial" w:cs="Arial"/>
          <w:sz w:val="19"/>
          <w:szCs w:val="19"/>
        </w:rPr>
        <w:t xml:space="preserve"> </w:t>
      </w:r>
      <w:r w:rsidRPr="000437FD">
        <w:rPr>
          <w:rFonts w:ascii="Arial" w:hAnsi="Arial" w:cs="Arial"/>
          <w:sz w:val="19"/>
          <w:szCs w:val="19"/>
        </w:rPr>
        <w:t>e</w:t>
      </w:r>
      <w:r w:rsidR="00B467C5">
        <w:rPr>
          <w:rFonts w:ascii="Arial" w:hAnsi="Arial" w:cs="Arial"/>
          <w:sz w:val="19"/>
          <w:szCs w:val="19"/>
        </w:rPr>
        <w:t>xpenses, the Department has implemented a</w:t>
      </w:r>
      <w:r w:rsidR="00A61BAF">
        <w:rPr>
          <w:rFonts w:ascii="Arial" w:hAnsi="Arial" w:cs="Arial"/>
          <w:sz w:val="19"/>
          <w:szCs w:val="19"/>
        </w:rPr>
        <w:t xml:space="preserve">n additional </w:t>
      </w:r>
      <w:r w:rsidRPr="000437FD">
        <w:rPr>
          <w:rFonts w:ascii="Arial" w:hAnsi="Arial" w:cs="Arial"/>
          <w:sz w:val="19"/>
          <w:szCs w:val="19"/>
        </w:rPr>
        <w:t>cost centre</w:t>
      </w:r>
      <w:r w:rsidR="00B467C5">
        <w:rPr>
          <w:rFonts w:ascii="Arial" w:hAnsi="Arial" w:cs="Arial"/>
          <w:sz w:val="19"/>
          <w:szCs w:val="19"/>
        </w:rPr>
        <w:t xml:space="preserve"> in the Executive range of the Common Chart of Accounts</w:t>
      </w:r>
      <w:r w:rsidRPr="000437FD">
        <w:rPr>
          <w:rFonts w:ascii="Arial" w:hAnsi="Arial" w:cs="Arial"/>
          <w:sz w:val="19"/>
          <w:szCs w:val="19"/>
        </w:rPr>
        <w:t xml:space="preserve">. All </w:t>
      </w:r>
      <w:r w:rsidR="00A61BAF">
        <w:rPr>
          <w:rFonts w:ascii="Arial" w:hAnsi="Arial" w:cs="Arial"/>
          <w:sz w:val="19"/>
          <w:szCs w:val="19"/>
        </w:rPr>
        <w:t>business</w:t>
      </w:r>
      <w:r w:rsidR="003B7CCE">
        <w:rPr>
          <w:rFonts w:ascii="Arial" w:hAnsi="Arial" w:cs="Arial"/>
          <w:sz w:val="19"/>
          <w:szCs w:val="19"/>
        </w:rPr>
        <w:t xml:space="preserve"> expenses claimed by a CEO</w:t>
      </w:r>
      <w:r w:rsidR="00B467C5">
        <w:rPr>
          <w:rFonts w:ascii="Arial" w:hAnsi="Arial" w:cs="Arial"/>
          <w:sz w:val="19"/>
          <w:szCs w:val="19"/>
        </w:rPr>
        <w:t xml:space="preserve"> and</w:t>
      </w:r>
      <w:r w:rsidR="003B7CCE">
        <w:rPr>
          <w:rFonts w:ascii="Arial" w:hAnsi="Arial" w:cs="Arial"/>
          <w:sz w:val="19"/>
          <w:szCs w:val="19"/>
        </w:rPr>
        <w:t>/or</w:t>
      </w:r>
      <w:r w:rsidR="00B467C5">
        <w:rPr>
          <w:rFonts w:ascii="Arial" w:hAnsi="Arial" w:cs="Arial"/>
          <w:sz w:val="19"/>
          <w:szCs w:val="19"/>
        </w:rPr>
        <w:t xml:space="preserve"> </w:t>
      </w:r>
      <w:r w:rsidR="00A61BAF">
        <w:rPr>
          <w:rFonts w:ascii="Arial" w:hAnsi="Arial" w:cs="Arial"/>
          <w:sz w:val="19"/>
          <w:szCs w:val="19"/>
        </w:rPr>
        <w:t>executives</w:t>
      </w:r>
      <w:r w:rsidR="00775466">
        <w:rPr>
          <w:rFonts w:ascii="Arial" w:hAnsi="Arial" w:cs="Arial"/>
          <w:sz w:val="19"/>
          <w:szCs w:val="19"/>
        </w:rPr>
        <w:t xml:space="preserve"> </w:t>
      </w:r>
      <w:r w:rsidRPr="000437FD">
        <w:rPr>
          <w:rFonts w:ascii="Arial" w:hAnsi="Arial" w:cs="Arial"/>
          <w:sz w:val="19"/>
          <w:szCs w:val="19"/>
        </w:rPr>
        <w:t>should be recorded in this cost centre to allow for greater transparency and comparability between health services.</w:t>
      </w:r>
    </w:p>
    <w:p w:rsidR="00A61BAF" w:rsidRDefault="00A61BAF" w:rsidP="00D52275">
      <w:pPr>
        <w:spacing w:line="280" w:lineRule="atLeast"/>
        <w:jc w:val="both"/>
        <w:rPr>
          <w:rFonts w:ascii="Arial" w:hAnsi="Arial" w:cs="Arial"/>
          <w:sz w:val="19"/>
          <w:szCs w:val="19"/>
        </w:rPr>
      </w:pPr>
    </w:p>
    <w:p w:rsidR="00323D24" w:rsidRDefault="00323D24" w:rsidP="00D52275">
      <w:pPr>
        <w:spacing w:line="280" w:lineRule="atLeast"/>
        <w:jc w:val="both"/>
        <w:rPr>
          <w:rFonts w:ascii="Arial" w:hAnsi="Arial" w:cs="Arial"/>
          <w:sz w:val="19"/>
          <w:szCs w:val="19"/>
        </w:rPr>
      </w:pPr>
      <w:r>
        <w:rPr>
          <w:rFonts w:ascii="Arial" w:hAnsi="Arial" w:cs="Arial"/>
          <w:sz w:val="19"/>
          <w:szCs w:val="19"/>
        </w:rPr>
        <w:t xml:space="preserve">All travel and hospitality expenses arising from official duties of the CEO or </w:t>
      </w:r>
      <w:r w:rsidR="006F725A">
        <w:rPr>
          <w:rFonts w:ascii="Arial" w:hAnsi="Arial" w:cs="Arial"/>
          <w:sz w:val="19"/>
          <w:szCs w:val="19"/>
        </w:rPr>
        <w:t>executive</w:t>
      </w:r>
      <w:r>
        <w:rPr>
          <w:rFonts w:ascii="Arial" w:hAnsi="Arial" w:cs="Arial"/>
          <w:sz w:val="19"/>
          <w:szCs w:val="19"/>
        </w:rPr>
        <w:t xml:space="preserve"> should be allocated to the respective</w:t>
      </w:r>
      <w:r w:rsidR="00F136FF">
        <w:rPr>
          <w:rFonts w:ascii="Arial" w:hAnsi="Arial" w:cs="Arial"/>
          <w:sz w:val="19"/>
          <w:szCs w:val="19"/>
        </w:rPr>
        <w:t xml:space="preserve"> account codes and</w:t>
      </w:r>
      <w:r>
        <w:rPr>
          <w:rFonts w:ascii="Arial" w:hAnsi="Arial" w:cs="Arial"/>
          <w:sz w:val="19"/>
          <w:szCs w:val="19"/>
        </w:rPr>
        <w:t xml:space="preserve"> cost centre</w:t>
      </w:r>
      <w:r w:rsidR="00F136FF">
        <w:rPr>
          <w:rFonts w:ascii="Arial" w:hAnsi="Arial" w:cs="Arial"/>
          <w:sz w:val="19"/>
          <w:szCs w:val="19"/>
        </w:rPr>
        <w:t>s</w:t>
      </w:r>
      <w:r>
        <w:rPr>
          <w:rFonts w:ascii="Arial" w:hAnsi="Arial" w:cs="Arial"/>
          <w:sz w:val="19"/>
          <w:szCs w:val="19"/>
        </w:rPr>
        <w:t>.</w:t>
      </w:r>
    </w:p>
    <w:p w:rsidR="00B467C5" w:rsidRDefault="00B467C5" w:rsidP="00D52275">
      <w:pPr>
        <w:spacing w:line="280" w:lineRule="atLeast"/>
        <w:jc w:val="both"/>
        <w:rPr>
          <w:rFonts w:ascii="Arial" w:hAnsi="Arial" w:cs="Arial"/>
          <w:sz w:val="19"/>
          <w:szCs w:val="19"/>
        </w:rPr>
      </w:pPr>
    </w:p>
    <w:tbl>
      <w:tblPr>
        <w:tblStyle w:val="TableGrid"/>
        <w:tblW w:w="0" w:type="auto"/>
        <w:tblBorders>
          <w:insideV w:val="none" w:sz="0" w:space="0" w:color="auto"/>
        </w:tblBorders>
        <w:tblCellMar>
          <w:bottom w:w="57" w:type="dxa"/>
        </w:tblCellMar>
        <w:tblLook w:val="04A0" w:firstRow="1" w:lastRow="0" w:firstColumn="1" w:lastColumn="0" w:noHBand="0" w:noVBand="1"/>
      </w:tblPr>
      <w:tblGrid>
        <w:gridCol w:w="659"/>
        <w:gridCol w:w="8475"/>
      </w:tblGrid>
      <w:tr w:rsidR="00B467C5" w:rsidRPr="000437FD" w:rsidTr="00C4617F">
        <w:trPr>
          <w:cantSplit/>
        </w:trPr>
        <w:tc>
          <w:tcPr>
            <w:tcW w:w="675" w:type="dxa"/>
            <w:shd w:val="clear" w:color="auto" w:fill="CCC0D9"/>
          </w:tcPr>
          <w:p w:rsidR="00B467C5" w:rsidRPr="000437FD" w:rsidRDefault="00B467C5" w:rsidP="00D52275">
            <w:pPr>
              <w:spacing w:line="280" w:lineRule="atLeast"/>
              <w:jc w:val="both"/>
              <w:rPr>
                <w:rFonts w:ascii="Arial" w:hAnsi="Arial" w:cs="Arial"/>
                <w:sz w:val="19"/>
                <w:szCs w:val="19"/>
              </w:rPr>
            </w:pPr>
          </w:p>
          <w:p w:rsidR="00B467C5" w:rsidRPr="000437FD" w:rsidRDefault="00B467C5" w:rsidP="00D52275">
            <w:pPr>
              <w:spacing w:line="280" w:lineRule="atLeast"/>
              <w:jc w:val="both"/>
              <w:rPr>
                <w:rFonts w:ascii="Arial" w:hAnsi="Arial" w:cs="Arial"/>
                <w:sz w:val="19"/>
                <w:szCs w:val="19"/>
              </w:rPr>
            </w:pPr>
          </w:p>
          <w:p w:rsidR="00B467C5" w:rsidRPr="000437FD" w:rsidRDefault="00B467C5" w:rsidP="00D52275">
            <w:pPr>
              <w:spacing w:line="280" w:lineRule="atLeast"/>
              <w:jc w:val="both"/>
              <w:rPr>
                <w:rFonts w:ascii="Arial" w:hAnsi="Arial" w:cs="Arial"/>
                <w:sz w:val="19"/>
                <w:szCs w:val="19"/>
              </w:rPr>
            </w:pPr>
          </w:p>
          <w:p w:rsidR="00B467C5" w:rsidRPr="000437FD" w:rsidRDefault="00B467C5" w:rsidP="00D52275">
            <w:pPr>
              <w:spacing w:line="280" w:lineRule="atLeast"/>
              <w:jc w:val="both"/>
              <w:rPr>
                <w:rFonts w:ascii="Arial" w:hAnsi="Arial" w:cs="Arial"/>
                <w:sz w:val="19"/>
                <w:szCs w:val="19"/>
              </w:rPr>
            </w:pPr>
            <w:r>
              <w:rPr>
                <w:rFonts w:ascii="Arial" w:hAnsi="Arial" w:cs="Arial"/>
                <w:noProof/>
                <w:lang w:eastAsia="en-AU"/>
              </w:rPr>
              <w:drawing>
                <wp:anchor distT="0" distB="0" distL="114300" distR="114300" simplePos="0" relativeHeight="251669504" behindDoc="0" locked="0" layoutInCell="1" allowOverlap="1" wp14:anchorId="715694B6" wp14:editId="21940274">
                  <wp:simplePos x="0" y="0"/>
                  <wp:positionH relativeFrom="column">
                    <wp:posOffset>-38735</wp:posOffset>
                  </wp:positionH>
                  <wp:positionV relativeFrom="paragraph">
                    <wp:posOffset>-3175</wp:posOffset>
                  </wp:positionV>
                  <wp:extent cx="357505" cy="315595"/>
                  <wp:effectExtent l="0" t="0" r="4445" b="8255"/>
                  <wp:wrapNone/>
                  <wp:docPr id="5" name="Picture 7" descr="C:\Users\maylissa.ollivier\AppData\Local\Microsoft\Windows\Temporary Internet Files\Content.IE5\IYXJULP0\563px-South_Africa_-_General_Warn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ylissa.ollivier\AppData\Local\Microsoft\Windows\Temporary Internet Files\Content.IE5\IYXJULP0\563px-South_Africa_-_General_Warning_sign.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7C5" w:rsidRPr="000437FD" w:rsidRDefault="00B467C5" w:rsidP="00D52275">
            <w:pPr>
              <w:spacing w:line="280" w:lineRule="atLeast"/>
              <w:jc w:val="both"/>
              <w:rPr>
                <w:rFonts w:ascii="Arial" w:hAnsi="Arial" w:cs="Arial"/>
                <w:sz w:val="19"/>
                <w:szCs w:val="19"/>
              </w:rPr>
            </w:pPr>
          </w:p>
        </w:tc>
        <w:tc>
          <w:tcPr>
            <w:tcW w:w="8731" w:type="dxa"/>
            <w:shd w:val="clear" w:color="auto" w:fill="CCC0D9"/>
          </w:tcPr>
          <w:p w:rsidR="00B467C5" w:rsidRDefault="00B467C5" w:rsidP="00D52275">
            <w:pPr>
              <w:pStyle w:val="BodyText"/>
              <w:shd w:val="clear" w:color="auto" w:fill="CCC0D9"/>
              <w:spacing w:after="0"/>
              <w:ind w:left="34"/>
              <w:jc w:val="both"/>
              <w:rPr>
                <w:rFonts w:ascii="Arial" w:hAnsi="Arial"/>
                <w:sz w:val="19"/>
                <w:szCs w:val="19"/>
              </w:rPr>
            </w:pPr>
            <w:r w:rsidRPr="00380DF8">
              <w:rPr>
                <w:rFonts w:ascii="Arial" w:hAnsi="Arial"/>
                <w:b/>
                <w:sz w:val="19"/>
                <w:szCs w:val="19"/>
              </w:rPr>
              <w:t>Important:</w:t>
            </w:r>
            <w:r w:rsidRPr="00380DF8">
              <w:rPr>
                <w:rFonts w:ascii="Arial" w:hAnsi="Arial"/>
                <w:sz w:val="19"/>
                <w:szCs w:val="19"/>
              </w:rPr>
              <w:t xml:space="preserve"> </w:t>
            </w:r>
            <w:r w:rsidR="003B7CCE">
              <w:rPr>
                <w:rFonts w:ascii="Arial" w:hAnsi="Arial"/>
                <w:b/>
                <w:sz w:val="19"/>
                <w:szCs w:val="19"/>
              </w:rPr>
              <w:t xml:space="preserve">Accounting for CEO </w:t>
            </w:r>
            <w:r>
              <w:rPr>
                <w:rFonts w:ascii="Arial" w:hAnsi="Arial"/>
                <w:b/>
                <w:sz w:val="19"/>
                <w:szCs w:val="19"/>
              </w:rPr>
              <w:t xml:space="preserve">and </w:t>
            </w:r>
            <w:r w:rsidR="00F45D80">
              <w:rPr>
                <w:rFonts w:ascii="Arial" w:hAnsi="Arial"/>
                <w:b/>
                <w:sz w:val="19"/>
                <w:szCs w:val="19"/>
              </w:rPr>
              <w:t xml:space="preserve">Executive </w:t>
            </w:r>
            <w:r>
              <w:rPr>
                <w:rFonts w:ascii="Arial" w:hAnsi="Arial"/>
                <w:b/>
                <w:sz w:val="19"/>
                <w:szCs w:val="19"/>
              </w:rPr>
              <w:t>expenses</w:t>
            </w:r>
          </w:p>
          <w:p w:rsidR="00B467C5" w:rsidRDefault="00B467C5" w:rsidP="00D52275">
            <w:pPr>
              <w:pStyle w:val="BodyText"/>
              <w:shd w:val="clear" w:color="auto" w:fill="CCC0D9"/>
              <w:spacing w:after="0"/>
              <w:ind w:left="34"/>
              <w:jc w:val="both"/>
              <w:rPr>
                <w:rFonts w:ascii="Arial" w:hAnsi="Arial"/>
                <w:sz w:val="19"/>
                <w:szCs w:val="19"/>
              </w:rPr>
            </w:pPr>
          </w:p>
          <w:p w:rsidR="00B467C5" w:rsidRPr="00B467C5" w:rsidRDefault="00B467C5" w:rsidP="00D52275">
            <w:pPr>
              <w:pStyle w:val="BodyText"/>
              <w:shd w:val="clear" w:color="auto" w:fill="CCC0D9"/>
              <w:spacing w:after="0"/>
              <w:ind w:left="34"/>
              <w:jc w:val="both"/>
              <w:rPr>
                <w:rFonts w:ascii="Arial" w:hAnsi="Arial"/>
                <w:b/>
                <w:sz w:val="19"/>
                <w:szCs w:val="19"/>
              </w:rPr>
            </w:pPr>
            <w:r w:rsidRPr="00B467C5">
              <w:rPr>
                <w:rFonts w:ascii="Arial" w:hAnsi="Arial"/>
                <w:b/>
                <w:sz w:val="19"/>
                <w:szCs w:val="19"/>
              </w:rPr>
              <w:t xml:space="preserve">CEO and </w:t>
            </w:r>
            <w:r w:rsidR="00A61BAF">
              <w:rPr>
                <w:rFonts w:ascii="Arial" w:hAnsi="Arial"/>
                <w:b/>
                <w:sz w:val="19"/>
                <w:szCs w:val="19"/>
              </w:rPr>
              <w:t>Executive</w:t>
            </w:r>
            <w:r w:rsidR="003B7CCE">
              <w:rPr>
                <w:rFonts w:ascii="Arial" w:hAnsi="Arial"/>
                <w:b/>
                <w:sz w:val="19"/>
                <w:szCs w:val="19"/>
              </w:rPr>
              <w:t xml:space="preserve"> Expenses</w:t>
            </w:r>
            <w:r w:rsidRPr="00B467C5">
              <w:rPr>
                <w:rFonts w:ascii="Arial" w:hAnsi="Arial"/>
                <w:b/>
                <w:sz w:val="19"/>
                <w:szCs w:val="19"/>
              </w:rPr>
              <w:t xml:space="preserve"> – </w:t>
            </w:r>
            <w:r w:rsidR="009777E3">
              <w:rPr>
                <w:rFonts w:ascii="Arial" w:hAnsi="Arial"/>
                <w:b/>
                <w:sz w:val="19"/>
                <w:szCs w:val="19"/>
              </w:rPr>
              <w:t>Cost Centre</w:t>
            </w:r>
          </w:p>
          <w:p w:rsidR="00B467C5" w:rsidRDefault="00B467C5" w:rsidP="00D52275">
            <w:pPr>
              <w:pStyle w:val="BodyText"/>
              <w:shd w:val="clear" w:color="auto" w:fill="CCC0D9"/>
              <w:spacing w:after="0"/>
              <w:ind w:left="34"/>
              <w:jc w:val="both"/>
              <w:rPr>
                <w:rFonts w:ascii="Arial" w:hAnsi="Arial"/>
                <w:sz w:val="19"/>
                <w:szCs w:val="19"/>
              </w:rPr>
            </w:pPr>
            <w:r w:rsidRPr="00B467C5">
              <w:rPr>
                <w:rFonts w:ascii="Arial" w:hAnsi="Arial"/>
                <w:b/>
                <w:sz w:val="19"/>
                <w:szCs w:val="19"/>
              </w:rPr>
              <w:t>Summary:</w:t>
            </w:r>
            <w:r>
              <w:rPr>
                <w:rFonts w:ascii="Arial" w:hAnsi="Arial"/>
                <w:sz w:val="19"/>
                <w:szCs w:val="19"/>
              </w:rPr>
              <w:t xml:space="preserve"> All </w:t>
            </w:r>
            <w:r w:rsidR="0083420F">
              <w:rPr>
                <w:rFonts w:ascii="Arial" w:hAnsi="Arial"/>
                <w:sz w:val="19"/>
                <w:szCs w:val="19"/>
              </w:rPr>
              <w:t>business</w:t>
            </w:r>
            <w:r w:rsidR="003B7CCE">
              <w:rPr>
                <w:rFonts w:ascii="Arial" w:hAnsi="Arial"/>
                <w:sz w:val="19"/>
                <w:szCs w:val="19"/>
              </w:rPr>
              <w:t xml:space="preserve"> expenses claimed by CEO or </w:t>
            </w:r>
            <w:r w:rsidR="00A61BAF">
              <w:rPr>
                <w:rFonts w:ascii="Arial" w:hAnsi="Arial"/>
                <w:sz w:val="19"/>
                <w:szCs w:val="19"/>
              </w:rPr>
              <w:t>executive</w:t>
            </w:r>
            <w:r w:rsidR="003B7CCE">
              <w:rPr>
                <w:rFonts w:ascii="Arial" w:hAnsi="Arial"/>
                <w:sz w:val="19"/>
                <w:szCs w:val="19"/>
              </w:rPr>
              <w:t xml:space="preserve"> in rel</w:t>
            </w:r>
            <w:r w:rsidR="00A61BAF">
              <w:rPr>
                <w:rFonts w:ascii="Arial" w:hAnsi="Arial"/>
                <w:sz w:val="19"/>
                <w:szCs w:val="19"/>
              </w:rPr>
              <w:t>ation to their official duties.</w:t>
            </w:r>
          </w:p>
          <w:p w:rsidR="00B467C5" w:rsidRDefault="00B467C5" w:rsidP="00D52275">
            <w:pPr>
              <w:pStyle w:val="BodyText"/>
              <w:shd w:val="clear" w:color="auto" w:fill="CCC0D9"/>
              <w:spacing w:after="0"/>
              <w:jc w:val="both"/>
              <w:rPr>
                <w:rFonts w:ascii="Arial" w:hAnsi="Arial"/>
                <w:sz w:val="19"/>
                <w:szCs w:val="19"/>
              </w:rPr>
            </w:pPr>
          </w:p>
          <w:p w:rsidR="00323D24" w:rsidRDefault="00323D24" w:rsidP="00D52275">
            <w:pPr>
              <w:pStyle w:val="BodyText"/>
              <w:shd w:val="clear" w:color="auto" w:fill="CCC0D9"/>
              <w:spacing w:after="0"/>
              <w:jc w:val="both"/>
              <w:rPr>
                <w:rFonts w:ascii="Arial" w:hAnsi="Arial"/>
                <w:b/>
                <w:sz w:val="19"/>
                <w:szCs w:val="19"/>
              </w:rPr>
            </w:pPr>
            <w:r w:rsidRPr="00323D24">
              <w:rPr>
                <w:rFonts w:ascii="Arial" w:hAnsi="Arial"/>
                <w:b/>
                <w:sz w:val="19"/>
                <w:szCs w:val="19"/>
              </w:rPr>
              <w:t>Hospitality –</w:t>
            </w:r>
            <w:r w:rsidR="009777E3">
              <w:rPr>
                <w:rFonts w:ascii="Arial" w:hAnsi="Arial"/>
                <w:b/>
                <w:sz w:val="19"/>
                <w:szCs w:val="19"/>
              </w:rPr>
              <w:t xml:space="preserve"> Within Victoria – 35893</w:t>
            </w:r>
          </w:p>
          <w:p w:rsidR="009777E3" w:rsidRDefault="009777E3" w:rsidP="00D52275">
            <w:pPr>
              <w:pStyle w:val="BodyText"/>
              <w:shd w:val="clear" w:color="auto" w:fill="CCC0D9"/>
              <w:spacing w:after="0"/>
              <w:jc w:val="both"/>
              <w:rPr>
                <w:rFonts w:ascii="Arial" w:hAnsi="Arial"/>
                <w:b/>
                <w:sz w:val="19"/>
                <w:szCs w:val="19"/>
              </w:rPr>
            </w:pPr>
            <w:r>
              <w:rPr>
                <w:rFonts w:ascii="Arial" w:hAnsi="Arial"/>
                <w:b/>
                <w:sz w:val="19"/>
                <w:szCs w:val="19"/>
              </w:rPr>
              <w:t>Hospitality – Interstate – 35894</w:t>
            </w:r>
          </w:p>
          <w:p w:rsidR="009777E3" w:rsidRDefault="009777E3" w:rsidP="00D52275">
            <w:pPr>
              <w:pStyle w:val="BodyText"/>
              <w:shd w:val="clear" w:color="auto" w:fill="CCC0D9"/>
              <w:spacing w:after="0"/>
              <w:jc w:val="both"/>
              <w:rPr>
                <w:rFonts w:ascii="Arial" w:hAnsi="Arial"/>
                <w:b/>
                <w:sz w:val="19"/>
                <w:szCs w:val="19"/>
              </w:rPr>
            </w:pPr>
            <w:r>
              <w:rPr>
                <w:rFonts w:ascii="Arial" w:hAnsi="Arial"/>
                <w:b/>
                <w:sz w:val="19"/>
                <w:szCs w:val="19"/>
              </w:rPr>
              <w:t xml:space="preserve">Hospitality – Overseas </w:t>
            </w:r>
            <w:r w:rsidR="00DB4D59">
              <w:rPr>
                <w:rFonts w:ascii="Arial" w:hAnsi="Arial"/>
                <w:b/>
                <w:sz w:val="19"/>
                <w:szCs w:val="19"/>
              </w:rPr>
              <w:t>–</w:t>
            </w:r>
            <w:r>
              <w:rPr>
                <w:rFonts w:ascii="Arial" w:hAnsi="Arial"/>
                <w:b/>
                <w:sz w:val="19"/>
                <w:szCs w:val="19"/>
              </w:rPr>
              <w:t xml:space="preserve"> 35895</w:t>
            </w:r>
          </w:p>
          <w:p w:rsidR="00DB4D59" w:rsidRPr="00323D24" w:rsidRDefault="00DB4D59" w:rsidP="00D52275">
            <w:pPr>
              <w:pStyle w:val="BodyText"/>
              <w:shd w:val="clear" w:color="auto" w:fill="CCC0D9"/>
              <w:spacing w:after="0"/>
              <w:jc w:val="both"/>
              <w:rPr>
                <w:rFonts w:ascii="Arial" w:hAnsi="Arial"/>
                <w:b/>
                <w:sz w:val="19"/>
                <w:szCs w:val="19"/>
              </w:rPr>
            </w:pPr>
          </w:p>
          <w:p w:rsidR="00323D24" w:rsidRDefault="00323D24" w:rsidP="00D52275">
            <w:pPr>
              <w:pStyle w:val="BodyText"/>
              <w:shd w:val="clear" w:color="auto" w:fill="CCC0D9"/>
              <w:spacing w:after="0"/>
              <w:jc w:val="both"/>
              <w:rPr>
                <w:rFonts w:ascii="Arial" w:hAnsi="Arial"/>
                <w:sz w:val="19"/>
                <w:szCs w:val="19"/>
              </w:rPr>
            </w:pPr>
            <w:r w:rsidRPr="00B467C5">
              <w:rPr>
                <w:rFonts w:ascii="Arial" w:hAnsi="Arial"/>
                <w:b/>
                <w:sz w:val="19"/>
                <w:szCs w:val="19"/>
              </w:rPr>
              <w:t>Summary</w:t>
            </w:r>
            <w:r>
              <w:rPr>
                <w:rFonts w:ascii="Arial" w:hAnsi="Arial"/>
                <w:i/>
                <w:sz w:val="19"/>
                <w:szCs w:val="19"/>
              </w:rPr>
              <w:t xml:space="preserve">: </w:t>
            </w:r>
            <w:r w:rsidR="009777E3" w:rsidRPr="00DB4D59">
              <w:rPr>
                <w:rFonts w:ascii="Arial" w:hAnsi="Arial"/>
                <w:sz w:val="19"/>
                <w:szCs w:val="19"/>
              </w:rPr>
              <w:t>Hospitality may be provided to welcome guests, facilitate the development of business relationships, further public sector outcomes and to celebrate achievements. This includes light refreshments at business meetings to restaurant meals, sponsored travel and accommodation provided within Victoria</w:t>
            </w:r>
            <w:r w:rsidR="00DB4D59">
              <w:rPr>
                <w:rFonts w:ascii="Arial" w:hAnsi="Arial"/>
                <w:sz w:val="19"/>
                <w:szCs w:val="19"/>
              </w:rPr>
              <w:t>, interstate or overseas</w:t>
            </w:r>
            <w:r w:rsidR="009777E3" w:rsidRPr="00DB4D59">
              <w:rPr>
                <w:rFonts w:ascii="Arial" w:hAnsi="Arial"/>
                <w:sz w:val="19"/>
                <w:szCs w:val="19"/>
              </w:rPr>
              <w:t>.</w:t>
            </w:r>
          </w:p>
          <w:p w:rsidR="00B467C5" w:rsidRPr="00B467C5" w:rsidRDefault="00B467C5" w:rsidP="00D52275">
            <w:pPr>
              <w:pStyle w:val="BodyText"/>
              <w:shd w:val="clear" w:color="auto" w:fill="CCC0D9"/>
              <w:spacing w:after="0"/>
              <w:jc w:val="both"/>
              <w:rPr>
                <w:rFonts w:ascii="Arial" w:hAnsi="Arial"/>
                <w:sz w:val="19"/>
                <w:szCs w:val="19"/>
              </w:rPr>
            </w:pPr>
          </w:p>
        </w:tc>
      </w:tr>
    </w:tbl>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 </w:t>
      </w:r>
    </w:p>
    <w:p w:rsidR="007668D0" w:rsidRPr="000437FD" w:rsidRDefault="00D52275" w:rsidP="00D52275">
      <w:pPr>
        <w:pStyle w:val="Heading3"/>
        <w:jc w:val="both"/>
        <w:rPr>
          <w:rFonts w:cs="Arial"/>
        </w:rPr>
      </w:pPr>
      <w:bookmarkStart w:id="37" w:name="_Toc476565111"/>
      <w:r>
        <w:rPr>
          <w:rFonts w:cs="Arial"/>
        </w:rPr>
        <w:t xml:space="preserve">3.1.4 </w:t>
      </w:r>
      <w:r w:rsidR="007668D0" w:rsidRPr="000437FD">
        <w:rPr>
          <w:rFonts w:cs="Arial"/>
        </w:rPr>
        <w:t>Reporting to Board of Directors</w:t>
      </w:r>
      <w:bookmarkEnd w:id="37"/>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In order to ensure accountability and transparency, business expenses incurred by the CEO and executive </w:t>
      </w:r>
      <w:r w:rsidR="0092495D">
        <w:rPr>
          <w:rFonts w:ascii="Arial" w:hAnsi="Arial" w:cs="Arial"/>
          <w:sz w:val="19"/>
          <w:szCs w:val="19"/>
        </w:rPr>
        <w:t>staff</w:t>
      </w:r>
      <w:r w:rsidR="0092495D" w:rsidRPr="000437FD">
        <w:rPr>
          <w:rFonts w:ascii="Arial" w:hAnsi="Arial" w:cs="Arial"/>
          <w:sz w:val="19"/>
          <w:szCs w:val="19"/>
        </w:rPr>
        <w:t xml:space="preserve"> </w:t>
      </w:r>
      <w:r w:rsidRPr="000437FD">
        <w:rPr>
          <w:rFonts w:ascii="Arial" w:hAnsi="Arial" w:cs="Arial"/>
          <w:sz w:val="19"/>
          <w:szCs w:val="19"/>
        </w:rPr>
        <w:t xml:space="preserve">should be reported either to the Audit &amp; Risk or Finance Committee on a monthly basis. This process will provide greater comfort to the </w:t>
      </w:r>
      <w:r w:rsidR="0092495D">
        <w:rPr>
          <w:rFonts w:ascii="Arial" w:hAnsi="Arial" w:cs="Arial"/>
          <w:sz w:val="19"/>
          <w:szCs w:val="19"/>
        </w:rPr>
        <w:t>b</w:t>
      </w:r>
      <w:r w:rsidRPr="000437FD">
        <w:rPr>
          <w:rFonts w:ascii="Arial" w:hAnsi="Arial" w:cs="Arial"/>
          <w:sz w:val="19"/>
          <w:szCs w:val="19"/>
        </w:rPr>
        <w:t>oard that business expenses are being incurred wisely and in accordance with the policies and procedu</w:t>
      </w:r>
      <w:r w:rsidR="009827BF">
        <w:rPr>
          <w:rFonts w:ascii="Arial" w:hAnsi="Arial" w:cs="Arial"/>
          <w:sz w:val="19"/>
          <w:szCs w:val="19"/>
        </w:rPr>
        <w:t>res and for the benefit of the health s</w:t>
      </w:r>
      <w:r w:rsidRPr="000437FD">
        <w:rPr>
          <w:rFonts w:ascii="Arial" w:hAnsi="Arial" w:cs="Arial"/>
          <w:sz w:val="19"/>
          <w:szCs w:val="19"/>
        </w:rPr>
        <w:t>ervice.</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In addition to the monthly reporting to the Audit &amp; Risk or Finance Committee, r</w:t>
      </w:r>
      <w:r w:rsidR="004E0A4C">
        <w:rPr>
          <w:rFonts w:ascii="Arial" w:hAnsi="Arial" w:cs="Arial"/>
          <w:sz w:val="19"/>
          <w:szCs w:val="19"/>
        </w:rPr>
        <w:t xml:space="preserve">eporting to the </w:t>
      </w:r>
      <w:r w:rsidR="0092495D">
        <w:rPr>
          <w:rFonts w:ascii="Arial" w:hAnsi="Arial" w:cs="Arial"/>
          <w:sz w:val="19"/>
          <w:szCs w:val="19"/>
        </w:rPr>
        <w:t>b</w:t>
      </w:r>
      <w:r w:rsidR="004E0A4C">
        <w:rPr>
          <w:rFonts w:ascii="Arial" w:hAnsi="Arial" w:cs="Arial"/>
          <w:sz w:val="19"/>
          <w:szCs w:val="19"/>
        </w:rPr>
        <w:t xml:space="preserve">oard should </w:t>
      </w:r>
      <w:r w:rsidR="001B2321">
        <w:rPr>
          <w:rFonts w:ascii="Arial" w:hAnsi="Arial" w:cs="Arial"/>
          <w:sz w:val="19"/>
          <w:szCs w:val="19"/>
        </w:rPr>
        <w:t xml:space="preserve">occur </w:t>
      </w:r>
      <w:r w:rsidRPr="000437FD">
        <w:rPr>
          <w:rFonts w:ascii="Arial" w:hAnsi="Arial" w:cs="Arial"/>
          <w:sz w:val="19"/>
          <w:szCs w:val="19"/>
        </w:rPr>
        <w:t xml:space="preserve">on an annual basis or more often </w:t>
      </w:r>
      <w:r w:rsidR="001B2321">
        <w:rPr>
          <w:rFonts w:ascii="Arial" w:hAnsi="Arial" w:cs="Arial"/>
          <w:sz w:val="19"/>
          <w:szCs w:val="19"/>
        </w:rPr>
        <w:t xml:space="preserve">if </w:t>
      </w:r>
      <w:r w:rsidRPr="000437FD">
        <w:rPr>
          <w:rFonts w:ascii="Arial" w:hAnsi="Arial" w:cs="Arial"/>
          <w:sz w:val="19"/>
          <w:szCs w:val="19"/>
        </w:rPr>
        <w:t>required. This annual reporting could coincide with the presentation of the annual report or budget.</w:t>
      </w:r>
    </w:p>
    <w:p w:rsidR="007668D0" w:rsidRPr="000437FD" w:rsidRDefault="007668D0" w:rsidP="004E0A4C">
      <w:pPr>
        <w:pStyle w:val="Heading2"/>
        <w:spacing w:line="280" w:lineRule="atLeast"/>
        <w:jc w:val="both"/>
        <w:rPr>
          <w:rFonts w:cs="Arial"/>
          <w:sz w:val="20"/>
          <w:szCs w:val="20"/>
        </w:rPr>
      </w:pPr>
    </w:p>
    <w:p w:rsidR="007668D0" w:rsidRPr="000437FD" w:rsidRDefault="00D52275" w:rsidP="00D52275">
      <w:pPr>
        <w:pStyle w:val="Heading2"/>
        <w:jc w:val="both"/>
      </w:pPr>
      <w:bookmarkStart w:id="38" w:name="_Toc476565112"/>
      <w:bookmarkStart w:id="39" w:name="_Toc492897899"/>
      <w:r>
        <w:t xml:space="preserve">3.2 </w:t>
      </w:r>
      <w:r w:rsidR="007668D0" w:rsidRPr="000437FD">
        <w:t>Business Expenses</w:t>
      </w:r>
      <w:bookmarkEnd w:id="38"/>
      <w:bookmarkEnd w:id="39"/>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This section presents </w:t>
      </w:r>
      <w:r w:rsidRPr="001333F4">
        <w:rPr>
          <w:rFonts w:ascii="Arial" w:hAnsi="Arial" w:cs="Arial"/>
          <w:sz w:val="19"/>
          <w:szCs w:val="19"/>
        </w:rPr>
        <w:t>minimum requirements</w:t>
      </w:r>
      <w:r w:rsidRPr="000437FD">
        <w:rPr>
          <w:rFonts w:ascii="Arial" w:hAnsi="Arial" w:cs="Arial"/>
          <w:sz w:val="19"/>
          <w:szCs w:val="19"/>
        </w:rPr>
        <w:t xml:space="preserve">, </w:t>
      </w:r>
      <w:r w:rsidR="00655D04">
        <w:rPr>
          <w:rFonts w:ascii="Arial" w:hAnsi="Arial" w:cs="Arial"/>
          <w:sz w:val="19"/>
          <w:szCs w:val="19"/>
        </w:rPr>
        <w:t xml:space="preserve">to </w:t>
      </w:r>
      <w:r w:rsidRPr="000437FD">
        <w:rPr>
          <w:rFonts w:ascii="Arial" w:hAnsi="Arial" w:cs="Arial"/>
          <w:sz w:val="19"/>
          <w:szCs w:val="19"/>
        </w:rPr>
        <w:t>consider</w:t>
      </w:r>
      <w:r w:rsidR="001333F4">
        <w:rPr>
          <w:rFonts w:ascii="Arial" w:hAnsi="Arial" w:cs="Arial"/>
          <w:sz w:val="19"/>
          <w:szCs w:val="19"/>
        </w:rPr>
        <w:t xml:space="preserve"> when</w:t>
      </w:r>
      <w:r w:rsidRPr="000437FD">
        <w:rPr>
          <w:rFonts w:ascii="Arial" w:hAnsi="Arial" w:cs="Arial"/>
          <w:sz w:val="19"/>
          <w:szCs w:val="19"/>
        </w:rPr>
        <w:t xml:space="preserve"> developing the policies and procedures for business expenses. </w:t>
      </w:r>
    </w:p>
    <w:p w:rsidR="007668D0" w:rsidRPr="000437FD" w:rsidRDefault="007668D0" w:rsidP="00D52275">
      <w:pPr>
        <w:spacing w:line="280" w:lineRule="atLeast"/>
        <w:jc w:val="both"/>
        <w:rPr>
          <w:rFonts w:ascii="Arial" w:hAnsi="Arial" w:cs="Arial"/>
          <w:sz w:val="19"/>
          <w:szCs w:val="19"/>
        </w:rPr>
      </w:pPr>
    </w:p>
    <w:p w:rsidR="007668D0" w:rsidRPr="000437FD" w:rsidRDefault="00D52275" w:rsidP="00D52275">
      <w:pPr>
        <w:pStyle w:val="Heading3"/>
        <w:jc w:val="both"/>
        <w:rPr>
          <w:rFonts w:cs="Arial"/>
        </w:rPr>
      </w:pPr>
      <w:bookmarkStart w:id="40" w:name="_Toc476565113"/>
      <w:r>
        <w:rPr>
          <w:rFonts w:cs="Arial"/>
        </w:rPr>
        <w:t xml:space="preserve">3.2.1 </w:t>
      </w:r>
      <w:r w:rsidR="007668D0" w:rsidRPr="000437FD">
        <w:rPr>
          <w:rFonts w:cs="Arial"/>
        </w:rPr>
        <w:t xml:space="preserve">Business Expense </w:t>
      </w:r>
      <w:r w:rsidR="00655D04">
        <w:rPr>
          <w:rFonts w:cs="Arial"/>
        </w:rPr>
        <w:t>R</w:t>
      </w:r>
      <w:r w:rsidR="007668D0" w:rsidRPr="000437FD">
        <w:rPr>
          <w:rFonts w:cs="Arial"/>
        </w:rPr>
        <w:t>eimbursement</w:t>
      </w:r>
      <w:bookmarkEnd w:id="40"/>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The following list of items </w:t>
      </w:r>
      <w:r w:rsidR="005515CE">
        <w:rPr>
          <w:rFonts w:ascii="Arial" w:hAnsi="Arial" w:cs="Arial"/>
          <w:sz w:val="19"/>
          <w:szCs w:val="19"/>
        </w:rPr>
        <w:t>must</w:t>
      </w:r>
      <w:r w:rsidRPr="000437FD">
        <w:rPr>
          <w:rFonts w:ascii="Arial" w:hAnsi="Arial" w:cs="Arial"/>
          <w:sz w:val="19"/>
          <w:szCs w:val="19"/>
        </w:rPr>
        <w:t xml:space="preserve"> be considered when developing or updating policies concerning business expenses. This is not an exhaustive list </w:t>
      </w:r>
      <w:r w:rsidR="005E7E50">
        <w:rPr>
          <w:rFonts w:ascii="Arial" w:hAnsi="Arial" w:cs="Arial"/>
          <w:sz w:val="19"/>
          <w:szCs w:val="19"/>
        </w:rPr>
        <w:t xml:space="preserve">however health services are required </w:t>
      </w:r>
      <w:r w:rsidRPr="000437FD">
        <w:rPr>
          <w:rFonts w:ascii="Arial" w:hAnsi="Arial" w:cs="Arial"/>
          <w:sz w:val="19"/>
          <w:szCs w:val="19"/>
        </w:rPr>
        <w:t>to include these items in their business expense policies</w:t>
      </w:r>
      <w:r w:rsidR="001333F4">
        <w:rPr>
          <w:rFonts w:ascii="Arial" w:hAnsi="Arial" w:cs="Arial"/>
          <w:sz w:val="19"/>
          <w:szCs w:val="19"/>
        </w:rPr>
        <w:t xml:space="preserve"> as a minimum</w:t>
      </w:r>
      <w:r w:rsidRPr="000437FD">
        <w:rPr>
          <w:rFonts w:ascii="Arial" w:hAnsi="Arial" w:cs="Arial"/>
          <w:sz w:val="19"/>
          <w:szCs w:val="19"/>
        </w:rPr>
        <w:t>.</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Business expenses </w:t>
      </w:r>
      <w:r w:rsidR="005515CE">
        <w:rPr>
          <w:rFonts w:ascii="Arial" w:hAnsi="Arial" w:cs="Arial"/>
          <w:sz w:val="19"/>
          <w:szCs w:val="19"/>
        </w:rPr>
        <w:t>must</w:t>
      </w:r>
      <w:r w:rsidRPr="000437FD">
        <w:rPr>
          <w:rFonts w:ascii="Arial" w:hAnsi="Arial" w:cs="Arial"/>
          <w:sz w:val="19"/>
          <w:szCs w:val="19"/>
        </w:rPr>
        <w:t>:</w:t>
      </w:r>
    </w:p>
    <w:p w:rsidR="007668D0" w:rsidRPr="000437FD" w:rsidRDefault="007668D0" w:rsidP="00D52275">
      <w:pPr>
        <w:spacing w:line="280" w:lineRule="atLeast"/>
        <w:jc w:val="both"/>
        <w:rPr>
          <w:rFonts w:ascii="Arial" w:hAnsi="Arial" w:cs="Arial"/>
          <w:sz w:val="19"/>
          <w:szCs w:val="19"/>
        </w:rPr>
      </w:pPr>
    </w:p>
    <w:p w:rsidR="007668D0" w:rsidRPr="000437FD" w:rsidRDefault="00153498" w:rsidP="00D52275">
      <w:pPr>
        <w:pStyle w:val="ListParagraph"/>
        <w:numPr>
          <w:ilvl w:val="0"/>
          <w:numId w:val="18"/>
        </w:numPr>
        <w:spacing w:line="280" w:lineRule="atLeast"/>
        <w:jc w:val="both"/>
        <w:rPr>
          <w:rFonts w:ascii="Arial" w:hAnsi="Arial"/>
          <w:sz w:val="19"/>
          <w:szCs w:val="19"/>
        </w:rPr>
      </w:pPr>
      <w:r>
        <w:rPr>
          <w:rFonts w:ascii="Arial" w:hAnsi="Arial"/>
          <w:sz w:val="19"/>
          <w:szCs w:val="19"/>
        </w:rPr>
        <w:t>b</w:t>
      </w:r>
      <w:r w:rsidR="007668D0" w:rsidRPr="000437FD">
        <w:rPr>
          <w:rFonts w:ascii="Arial" w:hAnsi="Arial"/>
          <w:sz w:val="19"/>
          <w:szCs w:val="19"/>
        </w:rPr>
        <w:t xml:space="preserve">e for </w:t>
      </w:r>
      <w:r w:rsidR="009827BF">
        <w:rPr>
          <w:rFonts w:ascii="Arial" w:hAnsi="Arial"/>
          <w:sz w:val="19"/>
          <w:szCs w:val="19"/>
        </w:rPr>
        <w:t>the benefit of the health s</w:t>
      </w:r>
      <w:r w:rsidR="007668D0" w:rsidRPr="000437FD">
        <w:rPr>
          <w:rFonts w:ascii="Arial" w:hAnsi="Arial"/>
          <w:sz w:val="19"/>
          <w:szCs w:val="19"/>
        </w:rPr>
        <w:t>ervice;</w:t>
      </w:r>
    </w:p>
    <w:p w:rsidR="007668D0" w:rsidRPr="000437FD" w:rsidRDefault="00153498" w:rsidP="00D52275">
      <w:pPr>
        <w:pStyle w:val="ListParagraph"/>
        <w:numPr>
          <w:ilvl w:val="0"/>
          <w:numId w:val="18"/>
        </w:numPr>
        <w:spacing w:line="280" w:lineRule="atLeast"/>
        <w:jc w:val="both"/>
        <w:rPr>
          <w:rFonts w:ascii="Arial" w:hAnsi="Arial"/>
          <w:sz w:val="19"/>
          <w:szCs w:val="19"/>
        </w:rPr>
      </w:pPr>
      <w:r>
        <w:rPr>
          <w:rFonts w:ascii="Arial" w:hAnsi="Arial"/>
          <w:sz w:val="19"/>
          <w:szCs w:val="19"/>
        </w:rPr>
        <w:t>b</w:t>
      </w:r>
      <w:r w:rsidR="001333F4">
        <w:rPr>
          <w:rFonts w:ascii="Arial" w:hAnsi="Arial"/>
          <w:sz w:val="19"/>
          <w:szCs w:val="19"/>
        </w:rPr>
        <w:t xml:space="preserve">e modest, appropriate and </w:t>
      </w:r>
      <w:r w:rsidR="007668D0" w:rsidRPr="000437FD">
        <w:rPr>
          <w:rFonts w:ascii="Arial" w:hAnsi="Arial"/>
          <w:sz w:val="19"/>
          <w:szCs w:val="19"/>
        </w:rPr>
        <w:t>reasonable;</w:t>
      </w:r>
    </w:p>
    <w:p w:rsidR="007668D0" w:rsidRPr="000437FD" w:rsidRDefault="00153498" w:rsidP="00D52275">
      <w:pPr>
        <w:pStyle w:val="ListParagraph"/>
        <w:numPr>
          <w:ilvl w:val="0"/>
          <w:numId w:val="18"/>
        </w:numPr>
        <w:spacing w:line="280" w:lineRule="atLeast"/>
        <w:jc w:val="both"/>
        <w:rPr>
          <w:rFonts w:ascii="Arial" w:hAnsi="Arial"/>
          <w:sz w:val="19"/>
          <w:szCs w:val="19"/>
        </w:rPr>
      </w:pPr>
      <w:r>
        <w:rPr>
          <w:rFonts w:ascii="Arial" w:hAnsi="Arial"/>
          <w:sz w:val="19"/>
          <w:szCs w:val="19"/>
        </w:rPr>
        <w:t>e</w:t>
      </w:r>
      <w:r w:rsidR="007668D0" w:rsidRPr="000437FD">
        <w:rPr>
          <w:rFonts w:ascii="Arial" w:hAnsi="Arial"/>
          <w:sz w:val="19"/>
          <w:szCs w:val="19"/>
        </w:rPr>
        <w:t>nsure value for money; and</w:t>
      </w:r>
    </w:p>
    <w:p w:rsidR="007668D0" w:rsidRPr="000437FD" w:rsidRDefault="00153498" w:rsidP="00D52275">
      <w:pPr>
        <w:pStyle w:val="ListParagraph"/>
        <w:numPr>
          <w:ilvl w:val="0"/>
          <w:numId w:val="18"/>
        </w:numPr>
        <w:spacing w:line="280" w:lineRule="atLeast"/>
        <w:jc w:val="both"/>
        <w:rPr>
          <w:rFonts w:ascii="Arial" w:hAnsi="Arial"/>
          <w:sz w:val="19"/>
          <w:szCs w:val="19"/>
        </w:rPr>
      </w:pPr>
      <w:r>
        <w:rPr>
          <w:rFonts w:ascii="Arial" w:hAnsi="Arial"/>
          <w:sz w:val="19"/>
          <w:szCs w:val="19"/>
        </w:rPr>
        <w:t>b</w:t>
      </w:r>
      <w:r w:rsidR="007668D0" w:rsidRPr="000437FD">
        <w:rPr>
          <w:rFonts w:ascii="Arial" w:hAnsi="Arial"/>
          <w:sz w:val="19"/>
          <w:szCs w:val="19"/>
        </w:rPr>
        <w:t>e supported by the appropriate approvals and supporting documentation.</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Business expenses</w:t>
      </w:r>
      <w:r w:rsidR="009827BF">
        <w:rPr>
          <w:rFonts w:ascii="Arial" w:hAnsi="Arial" w:cs="Arial"/>
          <w:sz w:val="19"/>
          <w:szCs w:val="19"/>
        </w:rPr>
        <w:t xml:space="preserve"> may be paid for directly on a health s</w:t>
      </w:r>
      <w:r w:rsidRPr="000437FD">
        <w:rPr>
          <w:rFonts w:ascii="Arial" w:hAnsi="Arial" w:cs="Arial"/>
          <w:sz w:val="19"/>
          <w:szCs w:val="19"/>
        </w:rPr>
        <w:t xml:space="preserve">ervice provided </w:t>
      </w:r>
      <w:r w:rsidR="00763956">
        <w:rPr>
          <w:rFonts w:ascii="Arial" w:hAnsi="Arial" w:cs="Arial"/>
          <w:sz w:val="19"/>
          <w:szCs w:val="19"/>
        </w:rPr>
        <w:t xml:space="preserve">credit or </w:t>
      </w:r>
      <w:r w:rsidRPr="000437FD">
        <w:rPr>
          <w:rFonts w:ascii="Arial" w:hAnsi="Arial" w:cs="Arial"/>
          <w:sz w:val="19"/>
          <w:szCs w:val="19"/>
        </w:rPr>
        <w:t>purchasing card or be reimbursed via a claim or pe</w:t>
      </w:r>
      <w:r w:rsidR="009827BF">
        <w:rPr>
          <w:rFonts w:ascii="Arial" w:hAnsi="Arial" w:cs="Arial"/>
          <w:sz w:val="19"/>
          <w:szCs w:val="19"/>
        </w:rPr>
        <w:t>tty cash based on the internal health s</w:t>
      </w:r>
      <w:r w:rsidRPr="000437FD">
        <w:rPr>
          <w:rFonts w:ascii="Arial" w:hAnsi="Arial" w:cs="Arial"/>
          <w:sz w:val="19"/>
          <w:szCs w:val="19"/>
        </w:rPr>
        <w:t xml:space="preserve">ervice’s processes and controls. </w:t>
      </w:r>
    </w:p>
    <w:p w:rsidR="007668D0" w:rsidRPr="000437FD" w:rsidRDefault="007668D0" w:rsidP="00D52275">
      <w:pPr>
        <w:spacing w:line="280" w:lineRule="atLeast"/>
        <w:jc w:val="both"/>
        <w:rPr>
          <w:rFonts w:ascii="Arial" w:hAnsi="Arial" w:cs="Arial"/>
          <w:sz w:val="19"/>
          <w:szCs w:val="19"/>
        </w:rPr>
      </w:pPr>
    </w:p>
    <w:p w:rsidR="007668D0" w:rsidRPr="000437FD" w:rsidRDefault="00D52275" w:rsidP="00D52275">
      <w:pPr>
        <w:pStyle w:val="Heading3"/>
        <w:jc w:val="both"/>
        <w:rPr>
          <w:rFonts w:cs="Arial"/>
        </w:rPr>
      </w:pPr>
      <w:bookmarkStart w:id="41" w:name="_Toc476565114"/>
      <w:r>
        <w:rPr>
          <w:rFonts w:cs="Arial"/>
        </w:rPr>
        <w:lastRenderedPageBreak/>
        <w:t xml:space="preserve">3.2.2 </w:t>
      </w:r>
      <w:r w:rsidR="00763956">
        <w:rPr>
          <w:rFonts w:cs="Arial"/>
        </w:rPr>
        <w:t>Categories of</w:t>
      </w:r>
      <w:r w:rsidR="00763956" w:rsidRPr="000437FD">
        <w:rPr>
          <w:rFonts w:cs="Arial"/>
        </w:rPr>
        <w:t xml:space="preserve"> </w:t>
      </w:r>
      <w:r w:rsidR="007668D0" w:rsidRPr="000437FD">
        <w:rPr>
          <w:rFonts w:cs="Arial"/>
        </w:rPr>
        <w:t>Business Expenses</w:t>
      </w:r>
      <w:bookmarkEnd w:id="41"/>
    </w:p>
    <w:p w:rsidR="007668D0" w:rsidRPr="000437FD" w:rsidRDefault="007668D0" w:rsidP="00D52275">
      <w:pPr>
        <w:pStyle w:val="ListParagraph"/>
        <w:numPr>
          <w:ilvl w:val="4"/>
          <w:numId w:val="26"/>
        </w:numPr>
        <w:ind w:left="1418"/>
        <w:jc w:val="both"/>
        <w:rPr>
          <w:rFonts w:ascii="Arial" w:hAnsi="Arial"/>
          <w:sz w:val="19"/>
          <w:szCs w:val="19"/>
        </w:rPr>
      </w:pPr>
      <w:r w:rsidRPr="000437FD">
        <w:rPr>
          <w:rFonts w:ascii="Arial" w:hAnsi="Arial"/>
          <w:sz w:val="19"/>
          <w:szCs w:val="19"/>
        </w:rPr>
        <w:t>Meals and Hospitality</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Health </w:t>
      </w:r>
      <w:r w:rsidR="001333F4">
        <w:rPr>
          <w:rFonts w:ascii="Arial" w:hAnsi="Arial" w:cs="Arial"/>
          <w:sz w:val="19"/>
          <w:szCs w:val="19"/>
        </w:rPr>
        <w:t>s</w:t>
      </w:r>
      <w:r w:rsidRPr="000437FD">
        <w:rPr>
          <w:rFonts w:ascii="Arial" w:hAnsi="Arial" w:cs="Arial"/>
          <w:sz w:val="19"/>
          <w:szCs w:val="19"/>
        </w:rPr>
        <w:t xml:space="preserve">ervices must have a </w:t>
      </w:r>
      <w:r w:rsidR="00655D04">
        <w:rPr>
          <w:rFonts w:ascii="Arial" w:hAnsi="Arial" w:cs="Arial"/>
          <w:sz w:val="19"/>
          <w:szCs w:val="19"/>
        </w:rPr>
        <w:t>g</w:t>
      </w:r>
      <w:r w:rsidRPr="000437FD">
        <w:rPr>
          <w:rFonts w:ascii="Arial" w:hAnsi="Arial" w:cs="Arial"/>
          <w:sz w:val="19"/>
          <w:szCs w:val="19"/>
        </w:rPr>
        <w:t xml:space="preserve">ifts, benefits and hospitality policy in place, which is in line with the requirements by the </w:t>
      </w:r>
      <w:r w:rsidR="000D18FF">
        <w:rPr>
          <w:rFonts w:ascii="Arial" w:hAnsi="Arial" w:cs="Arial"/>
          <w:sz w:val="19"/>
          <w:szCs w:val="19"/>
        </w:rPr>
        <w:t>VPSC</w:t>
      </w:r>
      <w:r w:rsidRPr="000437FD">
        <w:rPr>
          <w:rFonts w:ascii="Arial" w:hAnsi="Arial" w:cs="Arial"/>
          <w:sz w:val="19"/>
          <w:szCs w:val="19"/>
        </w:rPr>
        <w:t xml:space="preserve">’s </w:t>
      </w:r>
      <w:r w:rsidRPr="00662FDD">
        <w:rPr>
          <w:rFonts w:ascii="Arial" w:hAnsi="Arial" w:cs="Arial"/>
          <w:i/>
          <w:sz w:val="19"/>
          <w:szCs w:val="19"/>
        </w:rPr>
        <w:t xml:space="preserve">Gifts, </w:t>
      </w:r>
      <w:r w:rsidR="001333F4" w:rsidRPr="00662FDD">
        <w:rPr>
          <w:rFonts w:ascii="Arial" w:hAnsi="Arial" w:cs="Arial"/>
          <w:i/>
          <w:sz w:val="19"/>
          <w:szCs w:val="19"/>
        </w:rPr>
        <w:t>B</w:t>
      </w:r>
      <w:r w:rsidRPr="00662FDD">
        <w:rPr>
          <w:rFonts w:ascii="Arial" w:hAnsi="Arial" w:cs="Arial"/>
          <w:i/>
          <w:sz w:val="19"/>
          <w:szCs w:val="19"/>
        </w:rPr>
        <w:t>enefit</w:t>
      </w:r>
      <w:r w:rsidR="000D18FF">
        <w:rPr>
          <w:rFonts w:ascii="Arial" w:hAnsi="Arial" w:cs="Arial"/>
          <w:i/>
          <w:sz w:val="19"/>
          <w:szCs w:val="19"/>
        </w:rPr>
        <w:t>s</w:t>
      </w:r>
      <w:r w:rsidRPr="00662FDD">
        <w:rPr>
          <w:rFonts w:ascii="Arial" w:hAnsi="Arial" w:cs="Arial"/>
          <w:i/>
          <w:sz w:val="19"/>
          <w:szCs w:val="19"/>
        </w:rPr>
        <w:t xml:space="preserve"> and </w:t>
      </w:r>
      <w:r w:rsidR="00655D04" w:rsidRPr="00662FDD">
        <w:rPr>
          <w:rFonts w:ascii="Arial" w:hAnsi="Arial" w:cs="Arial"/>
          <w:i/>
          <w:sz w:val="19"/>
          <w:szCs w:val="19"/>
        </w:rPr>
        <w:t>H</w:t>
      </w:r>
      <w:r w:rsidRPr="00662FDD">
        <w:rPr>
          <w:rFonts w:ascii="Arial" w:hAnsi="Arial" w:cs="Arial"/>
          <w:i/>
          <w:sz w:val="19"/>
          <w:szCs w:val="19"/>
        </w:rPr>
        <w:t xml:space="preserve">ospitality </w:t>
      </w:r>
      <w:r w:rsidR="00655D04" w:rsidRPr="00662FDD">
        <w:rPr>
          <w:rFonts w:ascii="Arial" w:hAnsi="Arial" w:cs="Arial"/>
          <w:i/>
          <w:sz w:val="19"/>
          <w:szCs w:val="19"/>
        </w:rPr>
        <w:t>P</w:t>
      </w:r>
      <w:r w:rsidRPr="00662FDD">
        <w:rPr>
          <w:rFonts w:ascii="Arial" w:hAnsi="Arial" w:cs="Arial"/>
          <w:i/>
          <w:sz w:val="19"/>
          <w:szCs w:val="19"/>
        </w:rPr>
        <w:t xml:space="preserve">olicy </w:t>
      </w:r>
      <w:r w:rsidR="00655D04" w:rsidRPr="00662FDD">
        <w:rPr>
          <w:rFonts w:ascii="Arial" w:hAnsi="Arial" w:cs="Arial"/>
          <w:i/>
          <w:sz w:val="19"/>
          <w:szCs w:val="19"/>
        </w:rPr>
        <w:t>F</w:t>
      </w:r>
      <w:r w:rsidRPr="00662FDD">
        <w:rPr>
          <w:rFonts w:ascii="Arial" w:hAnsi="Arial" w:cs="Arial"/>
          <w:i/>
          <w:sz w:val="19"/>
          <w:szCs w:val="19"/>
        </w:rPr>
        <w:t>ramework</w:t>
      </w:r>
      <w:r w:rsidR="00763956" w:rsidRPr="00662FDD">
        <w:rPr>
          <w:rFonts w:ascii="Arial" w:hAnsi="Arial" w:cs="Arial"/>
          <w:sz w:val="19"/>
          <w:szCs w:val="19"/>
        </w:rPr>
        <w:t>.</w:t>
      </w:r>
      <w:r w:rsidR="001333F4">
        <w:rPr>
          <w:rStyle w:val="FootnoteReference"/>
          <w:rFonts w:ascii="Arial" w:hAnsi="Arial" w:cs="Arial"/>
          <w:sz w:val="19"/>
          <w:szCs w:val="19"/>
        </w:rPr>
        <w:footnoteReference w:id="5"/>
      </w:r>
      <w:r w:rsidRPr="000437FD">
        <w:rPr>
          <w:rFonts w:ascii="Arial" w:hAnsi="Arial" w:cs="Arial"/>
          <w:sz w:val="19"/>
          <w:szCs w:val="19"/>
        </w:rPr>
        <w:t xml:space="preserve"> </w:t>
      </w:r>
      <w:r w:rsidR="00655D04">
        <w:rPr>
          <w:rFonts w:ascii="Arial" w:hAnsi="Arial" w:cs="Arial"/>
          <w:sz w:val="19"/>
          <w:szCs w:val="19"/>
        </w:rPr>
        <w:t xml:space="preserve">This framework takes in to account the minimum accountabilities set out in the </w:t>
      </w:r>
      <w:r w:rsidR="00655D04" w:rsidRPr="00662FDD">
        <w:rPr>
          <w:rFonts w:ascii="Arial" w:hAnsi="Arial" w:cs="Arial"/>
          <w:sz w:val="19"/>
          <w:szCs w:val="19"/>
        </w:rPr>
        <w:t>2016 Directions</w:t>
      </w:r>
      <w:r w:rsidR="00655D04">
        <w:rPr>
          <w:rFonts w:ascii="Arial" w:hAnsi="Arial" w:cs="Arial"/>
          <w:i/>
          <w:sz w:val="19"/>
          <w:szCs w:val="19"/>
        </w:rPr>
        <w:t>.</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Health </w:t>
      </w:r>
      <w:r w:rsidR="00763956">
        <w:rPr>
          <w:rFonts w:ascii="Arial" w:hAnsi="Arial" w:cs="Arial"/>
          <w:sz w:val="19"/>
          <w:szCs w:val="19"/>
        </w:rPr>
        <w:t>s</w:t>
      </w:r>
      <w:r w:rsidRPr="000437FD">
        <w:rPr>
          <w:rFonts w:ascii="Arial" w:hAnsi="Arial" w:cs="Arial"/>
          <w:sz w:val="19"/>
          <w:szCs w:val="19"/>
        </w:rPr>
        <w:t xml:space="preserve">ervices should refer to the </w:t>
      </w:r>
      <w:r w:rsidRPr="000437FD">
        <w:rPr>
          <w:rFonts w:ascii="Arial" w:hAnsi="Arial" w:cs="Arial"/>
          <w:i/>
          <w:sz w:val="19"/>
          <w:szCs w:val="19"/>
        </w:rPr>
        <w:t>Taxation Determination</w:t>
      </w:r>
      <w:r w:rsidR="00763956">
        <w:rPr>
          <w:rFonts w:ascii="Arial" w:hAnsi="Arial" w:cs="Arial"/>
          <w:sz w:val="19"/>
          <w:szCs w:val="19"/>
        </w:rPr>
        <w:t xml:space="preserve"> </w:t>
      </w:r>
      <w:r w:rsidRPr="000437FD">
        <w:rPr>
          <w:rFonts w:ascii="Arial" w:hAnsi="Arial" w:cs="Arial"/>
          <w:sz w:val="19"/>
          <w:szCs w:val="19"/>
        </w:rPr>
        <w:t>for reasonable meal allowance expense amounts and these should be included as a schedule in the travel or business expense policy.</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Reimbursement should be made on actual meal expenses. Directives on the payment of gratuities should be clearly stated in the travel or business expense policy. </w:t>
      </w:r>
      <w:r w:rsidR="00380DF8">
        <w:rPr>
          <w:rFonts w:ascii="Arial" w:hAnsi="Arial" w:cs="Arial"/>
          <w:sz w:val="19"/>
          <w:szCs w:val="19"/>
        </w:rPr>
        <w:t>G</w:t>
      </w:r>
      <w:r w:rsidRPr="000437FD">
        <w:rPr>
          <w:rFonts w:ascii="Arial" w:hAnsi="Arial" w:cs="Arial"/>
          <w:sz w:val="19"/>
          <w:szCs w:val="19"/>
        </w:rPr>
        <w:t xml:space="preserve">ratuities are </w:t>
      </w:r>
      <w:r w:rsidR="00380DF8">
        <w:rPr>
          <w:rFonts w:ascii="Arial" w:hAnsi="Arial" w:cs="Arial"/>
          <w:sz w:val="19"/>
          <w:szCs w:val="19"/>
        </w:rPr>
        <w:t xml:space="preserve">not </w:t>
      </w:r>
      <w:r w:rsidRPr="000437FD">
        <w:rPr>
          <w:rFonts w:ascii="Arial" w:hAnsi="Arial" w:cs="Arial"/>
          <w:sz w:val="19"/>
          <w:szCs w:val="19"/>
        </w:rPr>
        <w:t>allowable business expenses.</w:t>
      </w:r>
      <w:r w:rsidR="00380DF8">
        <w:rPr>
          <w:rFonts w:ascii="Arial" w:hAnsi="Arial" w:cs="Arial"/>
          <w:sz w:val="19"/>
          <w:szCs w:val="19"/>
        </w:rPr>
        <w:t xml:space="preserve"> Any gratuities paid should be reimbursed to the health service</w:t>
      </w:r>
      <w:r w:rsidRPr="000437FD">
        <w:rPr>
          <w:rFonts w:ascii="Arial" w:hAnsi="Arial" w:cs="Arial"/>
          <w:sz w:val="19"/>
          <w:szCs w:val="19"/>
        </w:rPr>
        <w:t xml:space="preserve">. </w:t>
      </w:r>
    </w:p>
    <w:p w:rsidR="007668D0" w:rsidRPr="000437FD" w:rsidRDefault="007668D0" w:rsidP="00D52275">
      <w:pPr>
        <w:spacing w:line="280" w:lineRule="atLeast"/>
        <w:jc w:val="both"/>
        <w:rPr>
          <w:rFonts w:ascii="Arial" w:hAnsi="Arial" w:cs="Arial"/>
          <w:sz w:val="19"/>
          <w:szCs w:val="19"/>
        </w:rPr>
      </w:pPr>
    </w:p>
    <w:p w:rsidR="007668D0"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Original, itemised receipts or tax invoices must be provided with business expense claims. Additionally, when a staff member is authorised to pay for meals of others, business expense reports must include a brief explanation of the event and a list of those in attendance. The highest-ranking member of staff </w:t>
      </w:r>
      <w:r w:rsidR="000D18FF">
        <w:rPr>
          <w:rFonts w:ascii="Arial" w:hAnsi="Arial" w:cs="Arial"/>
          <w:sz w:val="19"/>
          <w:szCs w:val="19"/>
        </w:rPr>
        <w:t xml:space="preserve">in attendance </w:t>
      </w:r>
      <w:r w:rsidRPr="000437FD">
        <w:rPr>
          <w:rFonts w:ascii="Arial" w:hAnsi="Arial" w:cs="Arial"/>
          <w:sz w:val="19"/>
          <w:szCs w:val="19"/>
        </w:rPr>
        <w:t>should pay for the meal expenditures.</w:t>
      </w:r>
    </w:p>
    <w:p w:rsidR="007E00CC" w:rsidRDefault="007E00CC" w:rsidP="00D52275">
      <w:pPr>
        <w:spacing w:line="280" w:lineRule="atLeast"/>
        <w:jc w:val="both"/>
        <w:rPr>
          <w:rFonts w:ascii="Arial" w:hAnsi="Arial" w:cs="Arial"/>
          <w:sz w:val="19"/>
          <w:szCs w:val="19"/>
        </w:rPr>
      </w:pPr>
    </w:p>
    <w:p w:rsidR="007E00CC" w:rsidRDefault="000D18FF" w:rsidP="00D52275">
      <w:pPr>
        <w:spacing w:line="280" w:lineRule="atLeast"/>
        <w:jc w:val="both"/>
        <w:rPr>
          <w:rFonts w:ascii="Arial" w:hAnsi="Arial" w:cs="Arial"/>
          <w:sz w:val="19"/>
          <w:szCs w:val="19"/>
        </w:rPr>
      </w:pPr>
      <w:r>
        <w:rPr>
          <w:rFonts w:ascii="Arial" w:hAnsi="Arial" w:cs="Arial"/>
          <w:sz w:val="19"/>
          <w:szCs w:val="19"/>
        </w:rPr>
        <w:t>Additionally, w</w:t>
      </w:r>
      <w:r w:rsidR="001333F4">
        <w:rPr>
          <w:rFonts w:ascii="Arial" w:hAnsi="Arial" w:cs="Arial"/>
          <w:sz w:val="19"/>
          <w:szCs w:val="19"/>
        </w:rPr>
        <w:t>hen</w:t>
      </w:r>
      <w:r w:rsidR="00A17D96">
        <w:rPr>
          <w:rFonts w:ascii="Arial" w:hAnsi="Arial" w:cs="Arial"/>
          <w:sz w:val="19"/>
          <w:szCs w:val="19"/>
        </w:rPr>
        <w:t xml:space="preserve"> </w:t>
      </w:r>
      <w:r w:rsidR="007E00CC">
        <w:rPr>
          <w:rFonts w:ascii="Arial" w:hAnsi="Arial" w:cs="Arial"/>
          <w:sz w:val="19"/>
          <w:szCs w:val="19"/>
        </w:rPr>
        <w:t xml:space="preserve">providing hospitality, </w:t>
      </w:r>
      <w:r>
        <w:rPr>
          <w:rFonts w:ascii="Arial" w:hAnsi="Arial" w:cs="Arial"/>
          <w:sz w:val="19"/>
          <w:szCs w:val="19"/>
        </w:rPr>
        <w:t xml:space="preserve">staff </w:t>
      </w:r>
      <w:r w:rsidR="007E00CC">
        <w:rPr>
          <w:rFonts w:ascii="Arial" w:hAnsi="Arial" w:cs="Arial"/>
          <w:sz w:val="19"/>
          <w:szCs w:val="19"/>
        </w:rPr>
        <w:t xml:space="preserve">should consider if this would constitute a gift under the </w:t>
      </w:r>
      <w:r w:rsidRPr="005A2124">
        <w:rPr>
          <w:rFonts w:ascii="Arial" w:hAnsi="Arial" w:cs="Arial"/>
          <w:i/>
          <w:sz w:val="19"/>
          <w:szCs w:val="19"/>
        </w:rPr>
        <w:t>Gifts, Benefit</w:t>
      </w:r>
      <w:r>
        <w:rPr>
          <w:rFonts w:ascii="Arial" w:hAnsi="Arial" w:cs="Arial"/>
          <w:i/>
          <w:sz w:val="19"/>
          <w:szCs w:val="19"/>
        </w:rPr>
        <w:t>s</w:t>
      </w:r>
      <w:r w:rsidRPr="005A2124">
        <w:rPr>
          <w:rFonts w:ascii="Arial" w:hAnsi="Arial" w:cs="Arial"/>
          <w:i/>
          <w:sz w:val="19"/>
          <w:szCs w:val="19"/>
        </w:rPr>
        <w:t xml:space="preserve"> and Hospitality Policy Framework</w:t>
      </w:r>
      <w:r w:rsidR="007E00CC">
        <w:rPr>
          <w:rFonts w:ascii="Arial" w:hAnsi="Arial" w:cs="Arial"/>
          <w:sz w:val="19"/>
          <w:szCs w:val="19"/>
        </w:rPr>
        <w:t>.</w:t>
      </w:r>
    </w:p>
    <w:p w:rsidR="00380DF8" w:rsidRDefault="00380DF8" w:rsidP="00D52275">
      <w:pPr>
        <w:spacing w:line="280" w:lineRule="atLeast"/>
        <w:jc w:val="both"/>
        <w:rPr>
          <w:rFonts w:ascii="Arial" w:hAnsi="Arial" w:cs="Arial"/>
          <w:sz w:val="19"/>
          <w:szCs w:val="19"/>
        </w:rPr>
      </w:pPr>
    </w:p>
    <w:tbl>
      <w:tblPr>
        <w:tblStyle w:val="TableGrid"/>
        <w:tblW w:w="0" w:type="auto"/>
        <w:tblBorders>
          <w:insideV w:val="none" w:sz="0" w:space="0" w:color="auto"/>
        </w:tblBorders>
        <w:tblCellMar>
          <w:bottom w:w="57" w:type="dxa"/>
        </w:tblCellMar>
        <w:tblLook w:val="04A0" w:firstRow="1" w:lastRow="0" w:firstColumn="1" w:lastColumn="0" w:noHBand="0" w:noVBand="1"/>
      </w:tblPr>
      <w:tblGrid>
        <w:gridCol w:w="659"/>
        <w:gridCol w:w="8475"/>
      </w:tblGrid>
      <w:tr w:rsidR="00380DF8" w:rsidRPr="000437FD" w:rsidTr="00380DF8">
        <w:tc>
          <w:tcPr>
            <w:tcW w:w="675" w:type="dxa"/>
            <w:shd w:val="clear" w:color="auto" w:fill="CCC0D9"/>
          </w:tcPr>
          <w:p w:rsidR="00380DF8" w:rsidRPr="000437FD" w:rsidRDefault="00380DF8" w:rsidP="00D52275">
            <w:pPr>
              <w:spacing w:line="280" w:lineRule="atLeast"/>
              <w:jc w:val="both"/>
              <w:rPr>
                <w:rFonts w:ascii="Arial" w:hAnsi="Arial" w:cs="Arial"/>
                <w:sz w:val="19"/>
                <w:szCs w:val="19"/>
              </w:rPr>
            </w:pPr>
          </w:p>
          <w:p w:rsidR="00380DF8" w:rsidRPr="000437FD" w:rsidRDefault="00380DF8" w:rsidP="00D52275">
            <w:pPr>
              <w:spacing w:line="280" w:lineRule="atLeast"/>
              <w:jc w:val="both"/>
              <w:rPr>
                <w:rFonts w:ascii="Arial" w:hAnsi="Arial" w:cs="Arial"/>
                <w:sz w:val="19"/>
                <w:szCs w:val="19"/>
              </w:rPr>
            </w:pPr>
          </w:p>
          <w:p w:rsidR="00380DF8" w:rsidRPr="000437FD" w:rsidRDefault="00380DF8" w:rsidP="00D52275">
            <w:pPr>
              <w:spacing w:line="280" w:lineRule="atLeast"/>
              <w:jc w:val="both"/>
              <w:rPr>
                <w:rFonts w:ascii="Arial" w:hAnsi="Arial" w:cs="Arial"/>
                <w:sz w:val="19"/>
                <w:szCs w:val="19"/>
              </w:rPr>
            </w:pPr>
          </w:p>
          <w:p w:rsidR="00380DF8" w:rsidRPr="000437FD" w:rsidRDefault="00380DF8" w:rsidP="00D52275">
            <w:pPr>
              <w:spacing w:line="280" w:lineRule="atLeast"/>
              <w:jc w:val="both"/>
              <w:rPr>
                <w:rFonts w:ascii="Arial" w:hAnsi="Arial" w:cs="Arial"/>
                <w:sz w:val="19"/>
                <w:szCs w:val="19"/>
              </w:rPr>
            </w:pPr>
            <w:r>
              <w:rPr>
                <w:rFonts w:ascii="Arial" w:hAnsi="Arial" w:cs="Arial"/>
                <w:noProof/>
                <w:lang w:eastAsia="en-AU"/>
              </w:rPr>
              <w:drawing>
                <wp:anchor distT="0" distB="0" distL="114300" distR="114300" simplePos="0" relativeHeight="251664384" behindDoc="0" locked="0" layoutInCell="1" allowOverlap="1" wp14:anchorId="42CE0DF5" wp14:editId="75FA3C5A">
                  <wp:simplePos x="0" y="0"/>
                  <wp:positionH relativeFrom="column">
                    <wp:posOffset>-38735</wp:posOffset>
                  </wp:positionH>
                  <wp:positionV relativeFrom="paragraph">
                    <wp:posOffset>-3175</wp:posOffset>
                  </wp:positionV>
                  <wp:extent cx="357505" cy="315595"/>
                  <wp:effectExtent l="0" t="0" r="4445" b="8255"/>
                  <wp:wrapNone/>
                  <wp:docPr id="1" name="Picture 7" descr="C:\Users\maylissa.ollivier\AppData\Local\Microsoft\Windows\Temporary Internet Files\Content.IE5\IYXJULP0\563px-South_Africa_-_General_Warn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ylissa.ollivier\AppData\Local\Microsoft\Windows\Temporary Internet Files\Content.IE5\IYXJULP0\563px-South_Africa_-_General_Warning_sign.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DF8" w:rsidRPr="000437FD" w:rsidRDefault="00380DF8" w:rsidP="00D52275">
            <w:pPr>
              <w:spacing w:line="280" w:lineRule="atLeast"/>
              <w:jc w:val="both"/>
              <w:rPr>
                <w:rFonts w:ascii="Arial" w:hAnsi="Arial" w:cs="Arial"/>
                <w:sz w:val="19"/>
                <w:szCs w:val="19"/>
              </w:rPr>
            </w:pPr>
          </w:p>
        </w:tc>
        <w:tc>
          <w:tcPr>
            <w:tcW w:w="8731" w:type="dxa"/>
            <w:shd w:val="clear" w:color="auto" w:fill="CCC0D9"/>
          </w:tcPr>
          <w:p w:rsidR="00380DF8" w:rsidRDefault="00380DF8" w:rsidP="00D52275">
            <w:pPr>
              <w:pStyle w:val="BodyText"/>
              <w:shd w:val="clear" w:color="auto" w:fill="CCC0D9"/>
              <w:spacing w:after="0"/>
              <w:ind w:left="34"/>
              <w:jc w:val="both"/>
              <w:rPr>
                <w:rFonts w:ascii="Arial" w:hAnsi="Arial"/>
                <w:sz w:val="19"/>
                <w:szCs w:val="19"/>
              </w:rPr>
            </w:pPr>
            <w:r w:rsidRPr="00380DF8">
              <w:rPr>
                <w:rFonts w:ascii="Arial" w:hAnsi="Arial"/>
                <w:b/>
                <w:sz w:val="19"/>
                <w:szCs w:val="19"/>
              </w:rPr>
              <w:t>Important:</w:t>
            </w:r>
            <w:r w:rsidRPr="00380DF8">
              <w:rPr>
                <w:rFonts w:ascii="Arial" w:hAnsi="Arial"/>
                <w:sz w:val="19"/>
                <w:szCs w:val="19"/>
              </w:rPr>
              <w:t xml:space="preserve"> </w:t>
            </w:r>
            <w:r w:rsidRPr="00586B38">
              <w:rPr>
                <w:rFonts w:ascii="Arial" w:hAnsi="Arial"/>
                <w:b/>
                <w:sz w:val="19"/>
                <w:szCs w:val="19"/>
              </w:rPr>
              <w:t xml:space="preserve">Public </w:t>
            </w:r>
            <w:r w:rsidR="00662FDD">
              <w:rPr>
                <w:rFonts w:ascii="Arial" w:hAnsi="Arial"/>
                <w:b/>
                <w:sz w:val="19"/>
                <w:szCs w:val="19"/>
              </w:rPr>
              <w:t xml:space="preserve">sector staff </w:t>
            </w:r>
            <w:r w:rsidRPr="00586B38">
              <w:rPr>
                <w:rFonts w:ascii="Arial" w:hAnsi="Arial"/>
                <w:b/>
                <w:sz w:val="19"/>
                <w:szCs w:val="19"/>
              </w:rPr>
              <w:t>providing gifts, benefits and hospitality</w:t>
            </w:r>
            <w:r w:rsidR="00586B38">
              <w:rPr>
                <w:rFonts w:ascii="Arial" w:hAnsi="Arial"/>
                <w:b/>
                <w:sz w:val="19"/>
                <w:szCs w:val="19"/>
              </w:rPr>
              <w:t xml:space="preserve"> must</w:t>
            </w:r>
            <w:r w:rsidR="000D18FF">
              <w:rPr>
                <w:rFonts w:ascii="Arial" w:hAnsi="Arial"/>
                <w:b/>
                <w:sz w:val="19"/>
                <w:szCs w:val="19"/>
              </w:rPr>
              <w:t>:</w:t>
            </w:r>
          </w:p>
          <w:p w:rsidR="00380DF8" w:rsidRPr="00380DF8" w:rsidRDefault="00380DF8" w:rsidP="00D52275">
            <w:pPr>
              <w:pStyle w:val="BodyText"/>
              <w:shd w:val="clear" w:color="auto" w:fill="CCC0D9"/>
              <w:spacing w:after="0"/>
              <w:ind w:left="34"/>
              <w:jc w:val="both"/>
              <w:rPr>
                <w:rFonts w:ascii="Arial" w:hAnsi="Arial"/>
                <w:sz w:val="19"/>
                <w:szCs w:val="19"/>
              </w:rPr>
            </w:pPr>
          </w:p>
          <w:p w:rsidR="00380DF8" w:rsidRDefault="00380DF8" w:rsidP="00D52275">
            <w:pPr>
              <w:pStyle w:val="BodyText"/>
              <w:numPr>
                <w:ilvl w:val="0"/>
                <w:numId w:val="19"/>
              </w:numPr>
              <w:shd w:val="clear" w:color="auto" w:fill="CCC0D9"/>
              <w:spacing w:after="0"/>
              <w:ind w:left="318" w:hanging="283"/>
              <w:jc w:val="both"/>
              <w:rPr>
                <w:rFonts w:ascii="Arial" w:hAnsi="Arial"/>
                <w:sz w:val="19"/>
                <w:szCs w:val="19"/>
              </w:rPr>
            </w:pPr>
            <w:r>
              <w:rPr>
                <w:rFonts w:ascii="Arial" w:hAnsi="Arial"/>
                <w:sz w:val="19"/>
                <w:szCs w:val="19"/>
              </w:rPr>
              <w:t>Ensure that any gift, benefit and hospitality is provided for a business purpose in that it furthers the conduct of official business or other legitimate organisation goals, or promotes and supports government policy objectives and priorities.</w:t>
            </w:r>
          </w:p>
          <w:p w:rsidR="00380DF8" w:rsidRDefault="00380DF8" w:rsidP="00D52275">
            <w:pPr>
              <w:pStyle w:val="BodyText"/>
              <w:numPr>
                <w:ilvl w:val="0"/>
                <w:numId w:val="19"/>
              </w:numPr>
              <w:shd w:val="clear" w:color="auto" w:fill="CCC0D9"/>
              <w:spacing w:after="0"/>
              <w:ind w:left="318" w:hanging="283"/>
              <w:jc w:val="both"/>
              <w:rPr>
                <w:rFonts w:ascii="Arial" w:hAnsi="Arial"/>
                <w:sz w:val="19"/>
                <w:szCs w:val="19"/>
              </w:rPr>
            </w:pPr>
            <w:r>
              <w:rPr>
                <w:rFonts w:ascii="Arial" w:hAnsi="Arial"/>
                <w:sz w:val="19"/>
                <w:szCs w:val="19"/>
              </w:rPr>
              <w:t>Ensure that any costs are proportionate to the benefits obtained for the State, and would be considered reasonable in terms of community expectations.</w:t>
            </w:r>
          </w:p>
          <w:p w:rsidR="00380DF8" w:rsidRDefault="00380DF8" w:rsidP="00D52275">
            <w:pPr>
              <w:pStyle w:val="BodyText"/>
              <w:numPr>
                <w:ilvl w:val="0"/>
                <w:numId w:val="19"/>
              </w:numPr>
              <w:shd w:val="clear" w:color="auto" w:fill="CCC0D9"/>
              <w:spacing w:after="0"/>
              <w:ind w:left="318" w:hanging="283"/>
              <w:jc w:val="both"/>
              <w:rPr>
                <w:rFonts w:ascii="Arial" w:hAnsi="Arial"/>
                <w:sz w:val="19"/>
                <w:szCs w:val="19"/>
              </w:rPr>
            </w:pPr>
            <w:r>
              <w:rPr>
                <w:rFonts w:ascii="Arial" w:hAnsi="Arial"/>
                <w:sz w:val="19"/>
                <w:szCs w:val="19"/>
              </w:rPr>
              <w:t>Ensure that when hospitality is provided, individuals demonstrate professionalism in their conduct, and uphold their obligation to extend a duty of care to other participants.</w:t>
            </w:r>
            <w:r w:rsidR="000D18FF">
              <w:rPr>
                <w:rFonts w:ascii="Arial" w:hAnsi="Arial"/>
                <w:sz w:val="19"/>
                <w:szCs w:val="19"/>
              </w:rPr>
              <w:t>*</w:t>
            </w:r>
          </w:p>
          <w:p w:rsidR="00572A92" w:rsidRDefault="00572A92" w:rsidP="00D52275">
            <w:pPr>
              <w:pStyle w:val="BodyText"/>
              <w:shd w:val="clear" w:color="auto" w:fill="CCC0D9"/>
              <w:spacing w:after="0"/>
              <w:jc w:val="both"/>
              <w:rPr>
                <w:rFonts w:ascii="Arial" w:hAnsi="Arial"/>
                <w:sz w:val="19"/>
                <w:szCs w:val="19"/>
              </w:rPr>
            </w:pPr>
          </w:p>
          <w:p w:rsidR="00380DF8" w:rsidRPr="00572A92" w:rsidRDefault="000D18FF" w:rsidP="00D52275">
            <w:pPr>
              <w:pStyle w:val="BodyText"/>
              <w:shd w:val="clear" w:color="auto" w:fill="CCC0D9"/>
              <w:spacing w:after="0"/>
              <w:jc w:val="both"/>
              <w:rPr>
                <w:rFonts w:ascii="Arial" w:hAnsi="Arial"/>
                <w:i/>
                <w:sz w:val="19"/>
                <w:szCs w:val="19"/>
              </w:rPr>
            </w:pPr>
            <w:r>
              <w:rPr>
                <w:rFonts w:ascii="Arial" w:hAnsi="Arial"/>
                <w:i/>
                <w:sz w:val="19"/>
                <w:szCs w:val="19"/>
              </w:rPr>
              <w:t>* VPSC</w:t>
            </w:r>
            <w:r w:rsidR="00572A92" w:rsidRPr="00572A92">
              <w:rPr>
                <w:rFonts w:ascii="Arial" w:hAnsi="Arial"/>
                <w:i/>
                <w:sz w:val="19"/>
                <w:szCs w:val="19"/>
              </w:rPr>
              <w:t xml:space="preserve">; </w:t>
            </w:r>
            <w:r w:rsidRPr="005A2124">
              <w:rPr>
                <w:rFonts w:ascii="Arial" w:hAnsi="Arial"/>
                <w:i/>
                <w:sz w:val="19"/>
                <w:szCs w:val="19"/>
              </w:rPr>
              <w:t>Gifts, Benefit</w:t>
            </w:r>
            <w:r>
              <w:rPr>
                <w:rFonts w:ascii="Arial" w:hAnsi="Arial"/>
                <w:i/>
                <w:sz w:val="19"/>
                <w:szCs w:val="19"/>
              </w:rPr>
              <w:t>s</w:t>
            </w:r>
            <w:r w:rsidRPr="005A2124">
              <w:rPr>
                <w:rFonts w:ascii="Arial" w:hAnsi="Arial"/>
                <w:i/>
                <w:sz w:val="19"/>
                <w:szCs w:val="19"/>
              </w:rPr>
              <w:t xml:space="preserve"> and Hospitality Policy Framework</w:t>
            </w:r>
            <w:r w:rsidR="00572A92" w:rsidRPr="00572A92">
              <w:rPr>
                <w:rFonts w:ascii="Arial" w:hAnsi="Arial"/>
                <w:i/>
                <w:sz w:val="19"/>
                <w:szCs w:val="19"/>
              </w:rPr>
              <w:t xml:space="preserve"> – October 2016</w:t>
            </w:r>
          </w:p>
        </w:tc>
      </w:tr>
    </w:tbl>
    <w:p w:rsidR="00380DF8" w:rsidRDefault="00380DF8" w:rsidP="00D52275">
      <w:pPr>
        <w:spacing w:line="280" w:lineRule="atLeast"/>
        <w:jc w:val="both"/>
        <w:rPr>
          <w:rFonts w:ascii="Arial" w:hAnsi="Arial" w:cs="Arial"/>
          <w:sz w:val="19"/>
          <w:szCs w:val="19"/>
        </w:rPr>
      </w:pPr>
    </w:p>
    <w:p w:rsidR="00323D24" w:rsidRDefault="00323D24" w:rsidP="00D52275">
      <w:pPr>
        <w:spacing w:line="280" w:lineRule="atLeast"/>
        <w:jc w:val="both"/>
        <w:rPr>
          <w:rFonts w:ascii="Arial" w:hAnsi="Arial" w:cs="Arial"/>
          <w:sz w:val="19"/>
          <w:szCs w:val="19"/>
        </w:rPr>
      </w:pPr>
    </w:p>
    <w:p w:rsidR="007668D0" w:rsidRPr="000437FD" w:rsidRDefault="007668D0" w:rsidP="00D52275">
      <w:pPr>
        <w:pStyle w:val="ListParagraph"/>
        <w:numPr>
          <w:ilvl w:val="4"/>
          <w:numId w:val="26"/>
        </w:numPr>
        <w:ind w:left="1418"/>
        <w:jc w:val="both"/>
        <w:rPr>
          <w:rFonts w:ascii="Arial" w:hAnsi="Arial"/>
          <w:sz w:val="19"/>
          <w:szCs w:val="19"/>
        </w:rPr>
      </w:pPr>
      <w:r w:rsidRPr="000437FD">
        <w:rPr>
          <w:rFonts w:ascii="Arial" w:hAnsi="Arial"/>
          <w:sz w:val="19"/>
          <w:szCs w:val="19"/>
        </w:rPr>
        <w:t>Alcohol</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Whilst travelling or providing hospitality, staff must remain professional, which includes consuming no or reasonable amounts of alcohol. </w:t>
      </w:r>
    </w:p>
    <w:p w:rsidR="007668D0" w:rsidRPr="000437FD" w:rsidRDefault="007668D0" w:rsidP="00D52275">
      <w:pPr>
        <w:spacing w:line="280" w:lineRule="atLeast"/>
        <w:jc w:val="both"/>
        <w:rPr>
          <w:rFonts w:ascii="Arial" w:hAnsi="Arial" w:cs="Arial"/>
          <w:sz w:val="19"/>
          <w:szCs w:val="19"/>
        </w:rPr>
      </w:pPr>
    </w:p>
    <w:p w:rsidR="007668D0" w:rsidRPr="000437FD" w:rsidRDefault="009827BF" w:rsidP="00D52275">
      <w:pPr>
        <w:spacing w:line="280" w:lineRule="atLeast"/>
        <w:jc w:val="both"/>
        <w:rPr>
          <w:rFonts w:ascii="Arial" w:hAnsi="Arial" w:cs="Arial"/>
          <w:sz w:val="19"/>
          <w:szCs w:val="19"/>
        </w:rPr>
      </w:pPr>
      <w:r>
        <w:rPr>
          <w:rFonts w:ascii="Arial" w:hAnsi="Arial" w:cs="Arial"/>
          <w:sz w:val="19"/>
          <w:szCs w:val="19"/>
        </w:rPr>
        <w:t>Health s</w:t>
      </w:r>
      <w:r w:rsidR="007668D0" w:rsidRPr="000437FD">
        <w:rPr>
          <w:rFonts w:ascii="Arial" w:hAnsi="Arial" w:cs="Arial"/>
          <w:sz w:val="19"/>
          <w:szCs w:val="19"/>
        </w:rPr>
        <w:t xml:space="preserve">ervices may prohibit alcohol consumption for staff whilst representing the </w:t>
      </w:r>
      <w:r w:rsidR="000D18FF">
        <w:rPr>
          <w:rFonts w:ascii="Arial" w:hAnsi="Arial" w:cs="Arial"/>
          <w:sz w:val="19"/>
          <w:szCs w:val="19"/>
        </w:rPr>
        <w:t>health service</w:t>
      </w:r>
      <w:r w:rsidR="007668D0" w:rsidRPr="000437FD">
        <w:rPr>
          <w:rFonts w:ascii="Arial" w:hAnsi="Arial" w:cs="Arial"/>
          <w:sz w:val="19"/>
          <w:szCs w:val="19"/>
        </w:rPr>
        <w:t>. This includes during functions, providing hospitality or whilst travelling for bu</w:t>
      </w:r>
      <w:r>
        <w:rPr>
          <w:rFonts w:ascii="Arial" w:hAnsi="Arial" w:cs="Arial"/>
          <w:sz w:val="19"/>
          <w:szCs w:val="19"/>
        </w:rPr>
        <w:t>siness purposes. If the health s</w:t>
      </w:r>
      <w:r w:rsidR="007668D0" w:rsidRPr="000437FD">
        <w:rPr>
          <w:rFonts w:ascii="Arial" w:hAnsi="Arial" w:cs="Arial"/>
          <w:sz w:val="19"/>
          <w:szCs w:val="19"/>
        </w:rPr>
        <w:t xml:space="preserve">ervice wishes to allow alcohol consumption, the following guiding principles </w:t>
      </w:r>
      <w:r w:rsidR="000D18FF">
        <w:rPr>
          <w:rFonts w:ascii="Arial" w:hAnsi="Arial" w:cs="Arial"/>
          <w:sz w:val="19"/>
          <w:szCs w:val="19"/>
        </w:rPr>
        <w:t>should be followed</w:t>
      </w:r>
      <w:r w:rsidR="007668D0" w:rsidRPr="000437FD">
        <w:rPr>
          <w:rFonts w:ascii="Arial" w:hAnsi="Arial" w:cs="Arial"/>
          <w:sz w:val="19"/>
          <w:szCs w:val="19"/>
        </w:rPr>
        <w:t>:</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0"/>
          <w:numId w:val="23"/>
        </w:numPr>
        <w:spacing w:line="280" w:lineRule="atLeast"/>
        <w:jc w:val="both"/>
        <w:rPr>
          <w:rFonts w:ascii="Arial" w:hAnsi="Arial"/>
          <w:sz w:val="19"/>
          <w:szCs w:val="19"/>
        </w:rPr>
      </w:pPr>
      <w:r w:rsidRPr="000437FD">
        <w:rPr>
          <w:rFonts w:ascii="Arial" w:hAnsi="Arial"/>
          <w:sz w:val="19"/>
          <w:szCs w:val="19"/>
        </w:rPr>
        <w:t xml:space="preserve">During dinner or a function, consumption should be at responsible levels, which is considered to be no more than three standard drinks per person; </w:t>
      </w:r>
    </w:p>
    <w:p w:rsidR="007668D0" w:rsidRPr="000437FD" w:rsidRDefault="007668D0" w:rsidP="00D52275">
      <w:pPr>
        <w:pStyle w:val="ListParagraph"/>
        <w:numPr>
          <w:ilvl w:val="0"/>
          <w:numId w:val="23"/>
        </w:numPr>
        <w:spacing w:line="280" w:lineRule="atLeast"/>
        <w:jc w:val="both"/>
        <w:rPr>
          <w:rFonts w:ascii="Arial" w:hAnsi="Arial"/>
          <w:sz w:val="19"/>
          <w:szCs w:val="19"/>
        </w:rPr>
      </w:pPr>
      <w:r w:rsidRPr="000437FD">
        <w:rPr>
          <w:rFonts w:ascii="Arial" w:hAnsi="Arial"/>
          <w:sz w:val="19"/>
          <w:szCs w:val="19"/>
        </w:rPr>
        <w:t>Outside the dinner period, staff must pay for any alcoholic drinks, whether at a bar or from a room's minibar;</w:t>
      </w:r>
    </w:p>
    <w:p w:rsidR="007668D0" w:rsidRPr="000437FD" w:rsidRDefault="007668D0" w:rsidP="00D52275">
      <w:pPr>
        <w:pStyle w:val="ListParagraph"/>
        <w:numPr>
          <w:ilvl w:val="0"/>
          <w:numId w:val="23"/>
        </w:numPr>
        <w:spacing w:line="280" w:lineRule="atLeast"/>
        <w:jc w:val="both"/>
        <w:rPr>
          <w:rFonts w:ascii="Arial" w:hAnsi="Arial"/>
          <w:sz w:val="19"/>
          <w:szCs w:val="19"/>
        </w:rPr>
      </w:pPr>
      <w:r w:rsidRPr="000437FD">
        <w:rPr>
          <w:rFonts w:ascii="Arial" w:hAnsi="Arial"/>
          <w:sz w:val="19"/>
          <w:szCs w:val="19"/>
        </w:rPr>
        <w:lastRenderedPageBreak/>
        <w:t>The cost of alcohol products should also be reasonable and the purchase of high cost premium items is not allowable; and</w:t>
      </w:r>
    </w:p>
    <w:p w:rsidR="007668D0" w:rsidRPr="000437FD" w:rsidRDefault="007668D0" w:rsidP="00D52275">
      <w:pPr>
        <w:pStyle w:val="ListParagraph"/>
        <w:numPr>
          <w:ilvl w:val="0"/>
          <w:numId w:val="23"/>
        </w:numPr>
        <w:spacing w:line="280" w:lineRule="atLeast"/>
        <w:jc w:val="both"/>
        <w:rPr>
          <w:rFonts w:ascii="Arial" w:hAnsi="Arial"/>
          <w:sz w:val="19"/>
          <w:szCs w:val="19"/>
        </w:rPr>
      </w:pPr>
      <w:r w:rsidRPr="000437FD">
        <w:rPr>
          <w:rFonts w:ascii="Arial" w:hAnsi="Arial"/>
          <w:sz w:val="19"/>
          <w:szCs w:val="19"/>
        </w:rPr>
        <w:t>If alcohol is provided in a hosting context, the above guiding principles also applied.</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4"/>
          <w:numId w:val="26"/>
        </w:numPr>
        <w:ind w:left="1418"/>
        <w:jc w:val="both"/>
        <w:rPr>
          <w:rFonts w:ascii="Arial" w:hAnsi="Arial"/>
          <w:sz w:val="19"/>
          <w:szCs w:val="19"/>
        </w:rPr>
      </w:pPr>
      <w:r w:rsidRPr="000437FD">
        <w:rPr>
          <w:rFonts w:ascii="Arial" w:hAnsi="Arial"/>
          <w:sz w:val="19"/>
          <w:szCs w:val="19"/>
        </w:rPr>
        <w:t>Accommodation</w:t>
      </w:r>
    </w:p>
    <w:p w:rsidR="007668D0" w:rsidRPr="000437FD" w:rsidRDefault="007668D0" w:rsidP="00D52275">
      <w:pPr>
        <w:spacing w:line="280" w:lineRule="atLeast"/>
        <w:jc w:val="both"/>
        <w:rPr>
          <w:rFonts w:ascii="Arial" w:hAnsi="Arial" w:cs="Arial"/>
          <w:sz w:val="19"/>
          <w:szCs w:val="19"/>
        </w:rPr>
      </w:pPr>
    </w:p>
    <w:p w:rsidR="007668D0" w:rsidRPr="000437FD" w:rsidRDefault="009827BF" w:rsidP="00D52275">
      <w:pPr>
        <w:spacing w:line="280" w:lineRule="atLeast"/>
        <w:jc w:val="both"/>
        <w:rPr>
          <w:rFonts w:ascii="Arial" w:hAnsi="Arial" w:cs="Arial"/>
          <w:sz w:val="19"/>
          <w:szCs w:val="19"/>
        </w:rPr>
      </w:pPr>
      <w:r>
        <w:rPr>
          <w:rFonts w:ascii="Arial" w:hAnsi="Arial" w:cs="Arial"/>
          <w:sz w:val="19"/>
          <w:szCs w:val="19"/>
        </w:rPr>
        <w:t>Health s</w:t>
      </w:r>
      <w:r w:rsidR="007668D0" w:rsidRPr="000437FD">
        <w:rPr>
          <w:rFonts w:ascii="Arial" w:hAnsi="Arial" w:cs="Arial"/>
          <w:sz w:val="19"/>
          <w:szCs w:val="19"/>
        </w:rPr>
        <w:t xml:space="preserve">ervices should establish business rules addressing situations of overnight accommodations. Staff should use the most economical accommodation available (generally a standard quality hotel room) that is conveniently located to the event being attended. A standard quality room is consistent with the principle of value for money. </w:t>
      </w:r>
    </w:p>
    <w:p w:rsidR="007668D0" w:rsidRPr="000437FD" w:rsidRDefault="007668D0" w:rsidP="00D52275">
      <w:pPr>
        <w:spacing w:line="280" w:lineRule="atLeast"/>
        <w:jc w:val="both"/>
        <w:rPr>
          <w:rFonts w:ascii="Arial" w:hAnsi="Arial" w:cs="Arial"/>
          <w:sz w:val="19"/>
          <w:szCs w:val="19"/>
        </w:rPr>
      </w:pPr>
    </w:p>
    <w:p w:rsidR="007668D0" w:rsidRPr="000437FD" w:rsidRDefault="009827BF" w:rsidP="00D52275">
      <w:pPr>
        <w:spacing w:line="280" w:lineRule="atLeast"/>
        <w:jc w:val="both"/>
        <w:rPr>
          <w:rFonts w:ascii="Arial" w:hAnsi="Arial" w:cs="Arial"/>
          <w:sz w:val="19"/>
          <w:szCs w:val="19"/>
        </w:rPr>
      </w:pPr>
      <w:r>
        <w:rPr>
          <w:rFonts w:ascii="Arial" w:hAnsi="Arial" w:cs="Arial"/>
          <w:sz w:val="19"/>
          <w:szCs w:val="19"/>
        </w:rPr>
        <w:t>Whilst travelling on health s</w:t>
      </w:r>
      <w:r w:rsidR="007668D0" w:rsidRPr="000437FD">
        <w:rPr>
          <w:rFonts w:ascii="Arial" w:hAnsi="Arial" w:cs="Arial"/>
          <w:sz w:val="19"/>
          <w:szCs w:val="19"/>
        </w:rPr>
        <w:t>ervice business, additional business expenses</w:t>
      </w:r>
      <w:r w:rsidR="00403CD2">
        <w:rPr>
          <w:rFonts w:ascii="Arial" w:hAnsi="Arial" w:cs="Arial"/>
          <w:sz w:val="19"/>
          <w:szCs w:val="19"/>
        </w:rPr>
        <w:t>,</w:t>
      </w:r>
      <w:r w:rsidR="007668D0" w:rsidRPr="000437FD">
        <w:rPr>
          <w:rFonts w:ascii="Arial" w:hAnsi="Arial" w:cs="Arial"/>
          <w:sz w:val="19"/>
          <w:szCs w:val="19"/>
        </w:rPr>
        <w:t xml:space="preserve"> not otherwise covered</w:t>
      </w:r>
      <w:r w:rsidR="00403CD2">
        <w:rPr>
          <w:rFonts w:ascii="Arial" w:hAnsi="Arial" w:cs="Arial"/>
          <w:sz w:val="19"/>
          <w:szCs w:val="19"/>
        </w:rPr>
        <w:t>,</w:t>
      </w:r>
      <w:r w:rsidR="007668D0" w:rsidRPr="000437FD">
        <w:rPr>
          <w:rFonts w:ascii="Arial" w:hAnsi="Arial" w:cs="Arial"/>
          <w:sz w:val="19"/>
          <w:szCs w:val="19"/>
        </w:rPr>
        <w:t xml:space="preserve"> will be reimbursed such as internet access charges, photocopying, rental and transportation of office equipment, provided the charges incurred</w:t>
      </w:r>
      <w:r>
        <w:rPr>
          <w:rFonts w:ascii="Arial" w:hAnsi="Arial" w:cs="Arial"/>
          <w:sz w:val="19"/>
          <w:szCs w:val="19"/>
        </w:rPr>
        <w:t xml:space="preserve"> are reasonable and related to health s</w:t>
      </w:r>
      <w:r w:rsidR="007668D0" w:rsidRPr="000437FD">
        <w:rPr>
          <w:rFonts w:ascii="Arial" w:hAnsi="Arial" w:cs="Arial"/>
          <w:sz w:val="19"/>
          <w:szCs w:val="19"/>
        </w:rPr>
        <w:t>ervice business. A detailed copy of the hotel bill must be provided with the business expense report.</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4"/>
          <w:numId w:val="26"/>
        </w:numPr>
        <w:ind w:left="1418"/>
        <w:jc w:val="both"/>
        <w:rPr>
          <w:rFonts w:ascii="Arial" w:hAnsi="Arial"/>
          <w:sz w:val="19"/>
          <w:szCs w:val="19"/>
        </w:rPr>
      </w:pPr>
      <w:r w:rsidRPr="000437FD">
        <w:rPr>
          <w:rFonts w:ascii="Arial" w:hAnsi="Arial"/>
          <w:sz w:val="19"/>
          <w:szCs w:val="19"/>
        </w:rPr>
        <w:t>Travel</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Before travelling, </w:t>
      </w:r>
      <w:r w:rsidR="00403CD2">
        <w:rPr>
          <w:rFonts w:ascii="Arial" w:hAnsi="Arial" w:cs="Arial"/>
          <w:sz w:val="19"/>
          <w:szCs w:val="19"/>
        </w:rPr>
        <w:t>staff</w:t>
      </w:r>
      <w:r w:rsidRPr="000437FD">
        <w:rPr>
          <w:rFonts w:ascii="Arial" w:hAnsi="Arial" w:cs="Arial"/>
          <w:sz w:val="19"/>
          <w:szCs w:val="19"/>
        </w:rPr>
        <w:t xml:space="preserve"> should consider the suitability of alternate arrangements such as teleconference or videoconference meetings, and consider any time and cost savings offered by these other modes with collaboration or other benefits of face-to-face meetings.</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When possible, it is recommended that all travel be approved in advance by the </w:t>
      </w:r>
      <w:r w:rsidR="00403CD2">
        <w:rPr>
          <w:rFonts w:ascii="Arial" w:hAnsi="Arial" w:cs="Arial"/>
          <w:sz w:val="19"/>
          <w:szCs w:val="19"/>
        </w:rPr>
        <w:t>relevant approver</w:t>
      </w:r>
      <w:r w:rsidRPr="000437FD">
        <w:rPr>
          <w:rFonts w:ascii="Arial" w:hAnsi="Arial" w:cs="Arial"/>
          <w:sz w:val="19"/>
          <w:szCs w:val="19"/>
        </w:rPr>
        <w:t xml:space="preserve"> and be attached to the business expense</w:t>
      </w:r>
      <w:r w:rsidR="001333F4">
        <w:rPr>
          <w:rFonts w:ascii="Arial" w:hAnsi="Arial" w:cs="Arial"/>
          <w:sz w:val="19"/>
          <w:szCs w:val="19"/>
        </w:rPr>
        <w:t>.</w:t>
      </w:r>
      <w:r w:rsidRPr="000437FD">
        <w:rPr>
          <w:rFonts w:ascii="Arial" w:hAnsi="Arial" w:cs="Arial"/>
          <w:sz w:val="19"/>
          <w:szCs w:val="19"/>
        </w:rPr>
        <w:t xml:space="preserve"> </w:t>
      </w:r>
      <w:r w:rsidR="00DA2F9A" w:rsidRPr="000437FD">
        <w:rPr>
          <w:rFonts w:ascii="Arial" w:hAnsi="Arial" w:cs="Arial"/>
          <w:sz w:val="19"/>
          <w:szCs w:val="19"/>
        </w:rPr>
        <w:t>Instances</w:t>
      </w:r>
      <w:r w:rsidRPr="000437FD">
        <w:rPr>
          <w:rFonts w:ascii="Arial" w:hAnsi="Arial" w:cs="Arial"/>
          <w:sz w:val="19"/>
          <w:szCs w:val="19"/>
        </w:rPr>
        <w:t xml:space="preserve"> of interstate and international travel</w:t>
      </w:r>
      <w:r w:rsidR="009A31F1">
        <w:rPr>
          <w:rFonts w:ascii="Arial" w:hAnsi="Arial" w:cs="Arial"/>
          <w:sz w:val="19"/>
          <w:szCs w:val="19"/>
        </w:rPr>
        <w:t xml:space="preserve"> </w:t>
      </w:r>
      <w:r w:rsidR="00DA2F9A">
        <w:rPr>
          <w:rFonts w:ascii="Arial" w:hAnsi="Arial" w:cs="Arial"/>
          <w:sz w:val="19"/>
          <w:szCs w:val="19"/>
        </w:rPr>
        <w:t>must be pre-approved</w:t>
      </w:r>
      <w:r w:rsidRPr="000437FD">
        <w:rPr>
          <w:rFonts w:ascii="Arial" w:hAnsi="Arial" w:cs="Arial"/>
          <w:sz w:val="19"/>
          <w:szCs w:val="19"/>
        </w:rPr>
        <w:t xml:space="preserve">. Generally, </w:t>
      </w:r>
      <w:r w:rsidR="001333F4">
        <w:rPr>
          <w:rFonts w:ascii="Arial" w:hAnsi="Arial" w:cs="Arial"/>
          <w:sz w:val="19"/>
          <w:szCs w:val="19"/>
        </w:rPr>
        <w:t>i</w:t>
      </w:r>
      <w:r w:rsidRPr="000437FD">
        <w:rPr>
          <w:rFonts w:ascii="Arial" w:hAnsi="Arial" w:cs="Arial"/>
          <w:sz w:val="19"/>
          <w:szCs w:val="19"/>
        </w:rPr>
        <w:t xml:space="preserve">nterstate travel for </w:t>
      </w:r>
      <w:r w:rsidR="00D45DB8">
        <w:rPr>
          <w:rFonts w:ascii="Arial" w:hAnsi="Arial" w:cs="Arial"/>
          <w:sz w:val="19"/>
          <w:szCs w:val="19"/>
        </w:rPr>
        <w:t xml:space="preserve">less senior </w:t>
      </w:r>
      <w:r w:rsidR="00403CD2">
        <w:rPr>
          <w:rFonts w:ascii="Arial" w:hAnsi="Arial" w:cs="Arial"/>
          <w:sz w:val="19"/>
          <w:szCs w:val="19"/>
        </w:rPr>
        <w:t>staff</w:t>
      </w:r>
      <w:r w:rsidR="00403CD2" w:rsidRPr="000437FD">
        <w:rPr>
          <w:rFonts w:ascii="Arial" w:hAnsi="Arial" w:cs="Arial"/>
          <w:sz w:val="19"/>
          <w:szCs w:val="19"/>
        </w:rPr>
        <w:t xml:space="preserve"> </w:t>
      </w:r>
      <w:r w:rsidRPr="000437FD">
        <w:rPr>
          <w:rFonts w:ascii="Arial" w:hAnsi="Arial" w:cs="Arial"/>
          <w:sz w:val="19"/>
          <w:szCs w:val="19"/>
        </w:rPr>
        <w:t xml:space="preserve">may be approved by the CEO whilst all </w:t>
      </w:r>
      <w:r w:rsidR="001333F4">
        <w:rPr>
          <w:rFonts w:ascii="Arial" w:hAnsi="Arial" w:cs="Arial"/>
          <w:sz w:val="19"/>
          <w:szCs w:val="19"/>
        </w:rPr>
        <w:t>i</w:t>
      </w:r>
      <w:r w:rsidRPr="000437FD">
        <w:rPr>
          <w:rFonts w:ascii="Arial" w:hAnsi="Arial" w:cs="Arial"/>
          <w:sz w:val="19"/>
          <w:szCs w:val="19"/>
        </w:rPr>
        <w:t xml:space="preserve">nternational travel as well as interstate travel for the CEO </w:t>
      </w:r>
      <w:r w:rsidR="00572A92">
        <w:rPr>
          <w:rFonts w:ascii="Arial" w:hAnsi="Arial" w:cs="Arial"/>
          <w:sz w:val="19"/>
          <w:szCs w:val="19"/>
        </w:rPr>
        <w:t>must</w:t>
      </w:r>
      <w:r w:rsidRPr="000437FD">
        <w:rPr>
          <w:rFonts w:ascii="Arial" w:hAnsi="Arial" w:cs="Arial"/>
          <w:sz w:val="19"/>
          <w:szCs w:val="19"/>
        </w:rPr>
        <w:t xml:space="preserve"> be approved by the </w:t>
      </w:r>
      <w:r w:rsidR="00403CD2">
        <w:rPr>
          <w:rFonts w:ascii="Arial" w:hAnsi="Arial" w:cs="Arial"/>
          <w:sz w:val="19"/>
          <w:szCs w:val="19"/>
        </w:rPr>
        <w:t>b</w:t>
      </w:r>
      <w:r w:rsidRPr="000437FD">
        <w:rPr>
          <w:rFonts w:ascii="Arial" w:hAnsi="Arial" w:cs="Arial"/>
          <w:sz w:val="19"/>
          <w:szCs w:val="19"/>
        </w:rPr>
        <w:t xml:space="preserve">oard </w:t>
      </w:r>
      <w:r w:rsidR="00403CD2">
        <w:rPr>
          <w:rFonts w:ascii="Arial" w:hAnsi="Arial" w:cs="Arial"/>
          <w:sz w:val="19"/>
          <w:szCs w:val="19"/>
        </w:rPr>
        <w:t>c</w:t>
      </w:r>
      <w:r w:rsidRPr="000437FD">
        <w:rPr>
          <w:rFonts w:ascii="Arial" w:hAnsi="Arial" w:cs="Arial"/>
          <w:sz w:val="19"/>
          <w:szCs w:val="19"/>
        </w:rPr>
        <w:t>hair.</w:t>
      </w:r>
    </w:p>
    <w:p w:rsidR="007668D0" w:rsidRPr="000437FD" w:rsidRDefault="007668D0" w:rsidP="00D52275">
      <w:pPr>
        <w:spacing w:line="280" w:lineRule="atLeast"/>
        <w:jc w:val="both"/>
        <w:rPr>
          <w:rFonts w:ascii="Arial" w:hAnsi="Arial" w:cs="Arial"/>
          <w:sz w:val="19"/>
          <w:szCs w:val="19"/>
        </w:rPr>
      </w:pPr>
    </w:p>
    <w:p w:rsidR="007668D0"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The mode of transportation chosen (air, train or car) should be that which enables staff to attend to </w:t>
      </w:r>
      <w:r w:rsidR="009827BF">
        <w:rPr>
          <w:rFonts w:ascii="Arial" w:hAnsi="Arial" w:cs="Arial"/>
          <w:sz w:val="19"/>
          <w:szCs w:val="19"/>
        </w:rPr>
        <w:t>health s</w:t>
      </w:r>
      <w:r w:rsidRPr="000437FD">
        <w:rPr>
          <w:rFonts w:ascii="Arial" w:hAnsi="Arial" w:cs="Arial"/>
          <w:sz w:val="19"/>
          <w:szCs w:val="19"/>
        </w:rPr>
        <w:t>ervice business whilst ensuring to:</w:t>
      </w:r>
    </w:p>
    <w:p w:rsidR="00D45DB8" w:rsidRPr="000437FD" w:rsidRDefault="00D45DB8" w:rsidP="00D52275">
      <w:pPr>
        <w:spacing w:line="280" w:lineRule="atLeast"/>
        <w:jc w:val="both"/>
        <w:rPr>
          <w:rFonts w:ascii="Arial" w:hAnsi="Arial" w:cs="Arial"/>
          <w:sz w:val="19"/>
          <w:szCs w:val="19"/>
        </w:rPr>
      </w:pPr>
    </w:p>
    <w:p w:rsidR="007668D0" w:rsidRPr="000437FD" w:rsidRDefault="007668D0" w:rsidP="00861D13">
      <w:pPr>
        <w:pStyle w:val="ListParagraph"/>
        <w:numPr>
          <w:ilvl w:val="0"/>
          <w:numId w:val="28"/>
        </w:numPr>
        <w:spacing w:line="280" w:lineRule="atLeast"/>
        <w:jc w:val="both"/>
        <w:rPr>
          <w:rFonts w:ascii="Arial" w:hAnsi="Arial"/>
          <w:sz w:val="19"/>
          <w:szCs w:val="19"/>
        </w:rPr>
      </w:pPr>
      <w:r w:rsidRPr="000437FD">
        <w:rPr>
          <w:rFonts w:ascii="Arial" w:hAnsi="Arial"/>
          <w:sz w:val="19"/>
          <w:szCs w:val="19"/>
        </w:rPr>
        <w:t xml:space="preserve">Minimise the cost to the </w:t>
      </w:r>
      <w:r w:rsidR="00D45DB8">
        <w:rPr>
          <w:rFonts w:ascii="Arial" w:hAnsi="Arial"/>
          <w:sz w:val="19"/>
          <w:szCs w:val="19"/>
        </w:rPr>
        <w:t>health service</w:t>
      </w:r>
      <w:r w:rsidRPr="000437FD">
        <w:rPr>
          <w:rFonts w:ascii="Arial" w:hAnsi="Arial"/>
          <w:sz w:val="19"/>
          <w:szCs w:val="19"/>
        </w:rPr>
        <w:t>;</w:t>
      </w:r>
    </w:p>
    <w:p w:rsidR="007668D0" w:rsidRPr="000437FD" w:rsidRDefault="007668D0" w:rsidP="00861D13">
      <w:pPr>
        <w:pStyle w:val="ListParagraph"/>
        <w:numPr>
          <w:ilvl w:val="0"/>
          <w:numId w:val="28"/>
        </w:numPr>
        <w:spacing w:line="280" w:lineRule="atLeast"/>
        <w:jc w:val="both"/>
        <w:rPr>
          <w:rFonts w:ascii="Arial" w:hAnsi="Arial"/>
          <w:sz w:val="19"/>
          <w:szCs w:val="19"/>
        </w:rPr>
      </w:pPr>
      <w:r w:rsidRPr="000437FD">
        <w:rPr>
          <w:rFonts w:ascii="Arial" w:hAnsi="Arial"/>
          <w:sz w:val="19"/>
          <w:szCs w:val="19"/>
        </w:rPr>
        <w:t xml:space="preserve">Minimise the amount of interruption to the </w:t>
      </w:r>
      <w:r w:rsidR="00D45DB8">
        <w:rPr>
          <w:rFonts w:ascii="Arial" w:hAnsi="Arial"/>
          <w:sz w:val="19"/>
          <w:szCs w:val="19"/>
        </w:rPr>
        <w:t>staff member</w:t>
      </w:r>
      <w:r w:rsidR="00D45DB8" w:rsidRPr="000437FD">
        <w:rPr>
          <w:rFonts w:ascii="Arial" w:hAnsi="Arial"/>
          <w:sz w:val="19"/>
          <w:szCs w:val="19"/>
        </w:rPr>
        <w:t xml:space="preserve">’s </w:t>
      </w:r>
      <w:r w:rsidRPr="000437FD">
        <w:rPr>
          <w:rFonts w:ascii="Arial" w:hAnsi="Arial"/>
          <w:sz w:val="19"/>
          <w:szCs w:val="19"/>
        </w:rPr>
        <w:t>regular business and personal schedules (consideration should be taken as to the length of time away from the workplace); and</w:t>
      </w:r>
    </w:p>
    <w:p w:rsidR="007668D0" w:rsidRPr="000437FD" w:rsidRDefault="007668D0" w:rsidP="00861D13">
      <w:pPr>
        <w:pStyle w:val="ListParagraph"/>
        <w:numPr>
          <w:ilvl w:val="0"/>
          <w:numId w:val="28"/>
        </w:numPr>
        <w:spacing w:line="280" w:lineRule="atLeast"/>
        <w:jc w:val="both"/>
        <w:rPr>
          <w:rFonts w:ascii="Arial" w:hAnsi="Arial"/>
          <w:sz w:val="19"/>
          <w:szCs w:val="19"/>
        </w:rPr>
      </w:pPr>
      <w:r w:rsidRPr="000437FD">
        <w:rPr>
          <w:rFonts w:ascii="Arial" w:hAnsi="Arial"/>
          <w:sz w:val="19"/>
          <w:szCs w:val="19"/>
        </w:rPr>
        <w:t xml:space="preserve">Ensure the safety of the </w:t>
      </w:r>
      <w:r w:rsidR="00D45DB8">
        <w:rPr>
          <w:rFonts w:ascii="Arial" w:hAnsi="Arial"/>
          <w:sz w:val="19"/>
          <w:szCs w:val="19"/>
        </w:rPr>
        <w:t>staff member</w:t>
      </w:r>
      <w:r w:rsidRPr="000437FD">
        <w:rPr>
          <w:rFonts w:ascii="Arial" w:hAnsi="Arial"/>
          <w:sz w:val="19"/>
          <w:szCs w:val="19"/>
        </w:rPr>
        <w:t>.</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Wherever possible, ground trav</w:t>
      </w:r>
      <w:r w:rsidR="009827BF">
        <w:rPr>
          <w:rFonts w:ascii="Arial" w:hAnsi="Arial" w:cs="Arial"/>
          <w:sz w:val="19"/>
          <w:szCs w:val="19"/>
        </w:rPr>
        <w:t>el should be performed using a health s</w:t>
      </w:r>
      <w:r w:rsidRPr="000437FD">
        <w:rPr>
          <w:rFonts w:ascii="Arial" w:hAnsi="Arial" w:cs="Arial"/>
          <w:sz w:val="19"/>
          <w:szCs w:val="19"/>
        </w:rPr>
        <w:t xml:space="preserve">ervice provided car and, if multiple staff are travelling to the same place, shared travel should be considered or required. </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Air travel should be restricted to basic economy/coach class ticket with flight upgrades under the responsibility of the staff member. If business class travel is permitted, justification for doing so should be provided and clearly stated within the business expense or travel policy and have an appropriate level of approval. Wherever possible, travel arrangements should be made in advance to ensure the availability of economy class seats and the best price</w:t>
      </w:r>
      <w:r w:rsidR="003E223C">
        <w:t xml:space="preserve">. </w:t>
      </w:r>
      <w:r w:rsidR="003E223C" w:rsidRPr="003E223C">
        <w:rPr>
          <w:rFonts w:ascii="Arial" w:hAnsi="Arial" w:cs="Arial"/>
          <w:sz w:val="19"/>
          <w:szCs w:val="19"/>
        </w:rPr>
        <w:t xml:space="preserve">Officers travelling on official business and having their airfares funded by the </w:t>
      </w:r>
      <w:r w:rsidR="003E223C">
        <w:rPr>
          <w:rFonts w:ascii="Arial" w:hAnsi="Arial" w:cs="Arial"/>
          <w:sz w:val="19"/>
          <w:szCs w:val="19"/>
        </w:rPr>
        <w:t>health service</w:t>
      </w:r>
      <w:r w:rsidR="003E223C" w:rsidRPr="003E223C">
        <w:rPr>
          <w:rFonts w:ascii="Arial" w:hAnsi="Arial" w:cs="Arial"/>
          <w:sz w:val="19"/>
          <w:szCs w:val="19"/>
        </w:rPr>
        <w:t xml:space="preserve"> must not</w:t>
      </w:r>
      <w:r w:rsidR="00D45DB8">
        <w:rPr>
          <w:rFonts w:ascii="Arial" w:hAnsi="Arial" w:cs="Arial"/>
          <w:sz w:val="19"/>
          <w:szCs w:val="19"/>
        </w:rPr>
        <w:t>,</w:t>
      </w:r>
      <w:r w:rsidR="003E223C" w:rsidRPr="003E223C">
        <w:rPr>
          <w:rFonts w:ascii="Arial" w:hAnsi="Arial" w:cs="Arial"/>
          <w:sz w:val="19"/>
          <w:szCs w:val="19"/>
        </w:rPr>
        <w:t xml:space="preserve"> under any circumstances</w:t>
      </w:r>
      <w:r w:rsidR="00D45DB8">
        <w:rPr>
          <w:rFonts w:ascii="Arial" w:hAnsi="Arial" w:cs="Arial"/>
          <w:sz w:val="19"/>
          <w:szCs w:val="19"/>
        </w:rPr>
        <w:t>,</w:t>
      </w:r>
      <w:r w:rsidR="003E223C" w:rsidRPr="003E223C">
        <w:rPr>
          <w:rFonts w:ascii="Arial" w:hAnsi="Arial" w:cs="Arial"/>
          <w:sz w:val="19"/>
          <w:szCs w:val="19"/>
        </w:rPr>
        <w:t xml:space="preserve"> utilise frequent flyer points generated by such travel for private travel purposes and can only be used for further official travel.</w:t>
      </w:r>
    </w:p>
    <w:p w:rsidR="00153498" w:rsidRDefault="00153498" w:rsidP="00D52275">
      <w:pPr>
        <w:spacing w:line="280" w:lineRule="atLeast"/>
        <w:jc w:val="both"/>
        <w:rPr>
          <w:rFonts w:ascii="Arial" w:hAnsi="Arial" w:cs="Arial"/>
          <w:sz w:val="19"/>
          <w:szCs w:val="19"/>
        </w:rPr>
      </w:pPr>
    </w:p>
    <w:p w:rsidR="003A47A4" w:rsidRDefault="007668D0" w:rsidP="00D52275">
      <w:pPr>
        <w:spacing w:line="280" w:lineRule="atLeast"/>
        <w:jc w:val="both"/>
        <w:rPr>
          <w:rFonts w:ascii="Arial" w:hAnsi="Arial" w:cs="Arial"/>
          <w:sz w:val="19"/>
          <w:szCs w:val="19"/>
        </w:rPr>
      </w:pPr>
      <w:r w:rsidRPr="000437FD">
        <w:rPr>
          <w:rFonts w:ascii="Arial" w:hAnsi="Arial" w:cs="Arial"/>
          <w:sz w:val="19"/>
          <w:szCs w:val="19"/>
        </w:rPr>
        <w:t>The use of taxis should be reasonable, with due consideration given to minimising the cost to the organisation. The use of chauffeured luxury vehicles should be avoided. In instances where this type of transport is used, additional justification is appropriate to show why it was necessary and represented value for money to the organisation.</w:t>
      </w: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 </w:t>
      </w:r>
    </w:p>
    <w:p w:rsidR="007668D0" w:rsidRDefault="007668D0" w:rsidP="00D52275">
      <w:pPr>
        <w:spacing w:line="280" w:lineRule="atLeast"/>
        <w:jc w:val="both"/>
        <w:rPr>
          <w:rFonts w:ascii="Arial" w:hAnsi="Arial" w:cs="Arial"/>
          <w:sz w:val="19"/>
          <w:szCs w:val="19"/>
        </w:rPr>
      </w:pPr>
      <w:r w:rsidRPr="000437FD">
        <w:rPr>
          <w:rFonts w:ascii="Arial" w:hAnsi="Arial" w:cs="Arial"/>
          <w:sz w:val="19"/>
          <w:szCs w:val="19"/>
        </w:rPr>
        <w:lastRenderedPageBreak/>
        <w:t>When personal travel is comb</w:t>
      </w:r>
      <w:r w:rsidR="009827BF">
        <w:rPr>
          <w:rFonts w:ascii="Arial" w:hAnsi="Arial" w:cs="Arial"/>
          <w:sz w:val="19"/>
          <w:szCs w:val="19"/>
        </w:rPr>
        <w:t>ined with business travel, the health s</w:t>
      </w:r>
      <w:r w:rsidRPr="000437FD">
        <w:rPr>
          <w:rFonts w:ascii="Arial" w:hAnsi="Arial" w:cs="Arial"/>
          <w:sz w:val="19"/>
          <w:szCs w:val="19"/>
        </w:rPr>
        <w:t>ervice will only cover costs associated with the business portion of the trip and clear evidence of the business need to travel should be provided to ensure transparency that the business component of the travel provides</w:t>
      </w:r>
      <w:r w:rsidR="009827BF">
        <w:rPr>
          <w:rFonts w:ascii="Arial" w:hAnsi="Arial" w:cs="Arial"/>
          <w:sz w:val="19"/>
          <w:szCs w:val="19"/>
        </w:rPr>
        <w:t xml:space="preserve"> a recognisable benefit to the h</w:t>
      </w:r>
      <w:r w:rsidRPr="000437FD">
        <w:rPr>
          <w:rFonts w:ascii="Arial" w:hAnsi="Arial" w:cs="Arial"/>
          <w:sz w:val="19"/>
          <w:szCs w:val="19"/>
        </w:rPr>
        <w:t xml:space="preserve">ealth </w:t>
      </w:r>
      <w:r w:rsidR="009827BF">
        <w:rPr>
          <w:rFonts w:ascii="Arial" w:hAnsi="Arial" w:cs="Arial"/>
          <w:sz w:val="19"/>
          <w:szCs w:val="19"/>
        </w:rPr>
        <w:t>s</w:t>
      </w:r>
      <w:r w:rsidRPr="000437FD">
        <w:rPr>
          <w:rFonts w:ascii="Arial" w:hAnsi="Arial" w:cs="Arial"/>
          <w:sz w:val="19"/>
          <w:szCs w:val="19"/>
        </w:rPr>
        <w:t>ervice.</w:t>
      </w:r>
      <w:r w:rsidR="003A47A4">
        <w:rPr>
          <w:rFonts w:ascii="Arial" w:hAnsi="Arial" w:cs="Arial"/>
          <w:sz w:val="19"/>
          <w:szCs w:val="19"/>
        </w:rPr>
        <w:t xml:space="preserve"> </w:t>
      </w:r>
    </w:p>
    <w:p w:rsidR="006C531D" w:rsidRDefault="006C531D" w:rsidP="00D52275">
      <w:pPr>
        <w:spacing w:line="280" w:lineRule="atLeast"/>
        <w:jc w:val="both"/>
        <w:rPr>
          <w:rFonts w:ascii="Arial" w:hAnsi="Arial" w:cs="Arial"/>
          <w:sz w:val="19"/>
          <w:szCs w:val="19"/>
        </w:rPr>
      </w:pPr>
    </w:p>
    <w:p w:rsidR="006C531D" w:rsidRPr="000437FD" w:rsidRDefault="006C531D" w:rsidP="00D52275">
      <w:pPr>
        <w:spacing w:line="280" w:lineRule="atLeast"/>
        <w:jc w:val="both"/>
        <w:rPr>
          <w:rFonts w:ascii="Arial" w:hAnsi="Arial" w:cs="Arial"/>
          <w:sz w:val="19"/>
          <w:szCs w:val="19"/>
        </w:rPr>
      </w:pPr>
      <w:r w:rsidRPr="000437FD">
        <w:rPr>
          <w:rFonts w:ascii="Arial" w:hAnsi="Arial"/>
          <w:sz w:val="19"/>
          <w:szCs w:val="19"/>
        </w:rPr>
        <w:t xml:space="preserve">The Australian Taxation Office’s </w:t>
      </w:r>
      <w:r w:rsidRPr="000437FD">
        <w:rPr>
          <w:rFonts w:ascii="Arial" w:hAnsi="Arial"/>
          <w:i/>
          <w:sz w:val="19"/>
          <w:szCs w:val="19"/>
        </w:rPr>
        <w:t>Taxation Determination (TD 2016/13)</w:t>
      </w:r>
      <w:r w:rsidRPr="000437FD">
        <w:rPr>
          <w:rStyle w:val="FootnoteReference"/>
          <w:rFonts w:ascii="Arial" w:hAnsi="Arial"/>
          <w:sz w:val="19"/>
          <w:szCs w:val="19"/>
        </w:rPr>
        <w:footnoteReference w:id="6"/>
      </w:r>
      <w:r w:rsidRPr="000437FD">
        <w:rPr>
          <w:rFonts w:ascii="Arial" w:hAnsi="Arial"/>
          <w:sz w:val="19"/>
          <w:szCs w:val="19"/>
        </w:rPr>
        <w:t xml:space="preserve"> provides guidance on reasonable amounts for the payment of travel expenses when these are incurred for business purposes</w:t>
      </w:r>
      <w:r>
        <w:rPr>
          <w:rFonts w:ascii="Arial" w:hAnsi="Arial"/>
          <w:sz w:val="19"/>
          <w:szCs w:val="19"/>
        </w:rPr>
        <w:t>.</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4"/>
          <w:numId w:val="26"/>
        </w:numPr>
        <w:ind w:left="1418"/>
        <w:jc w:val="both"/>
        <w:rPr>
          <w:rFonts w:ascii="Arial" w:hAnsi="Arial"/>
          <w:sz w:val="19"/>
          <w:szCs w:val="19"/>
        </w:rPr>
      </w:pPr>
      <w:r w:rsidRPr="000437FD">
        <w:rPr>
          <w:rFonts w:ascii="Arial" w:hAnsi="Arial"/>
          <w:sz w:val="19"/>
          <w:szCs w:val="19"/>
        </w:rPr>
        <w:t>Non reimbursable expenses</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Non-reimbursable expenses can include</w:t>
      </w:r>
      <w:r w:rsidR="00D45DB8">
        <w:rPr>
          <w:rFonts w:ascii="Arial" w:hAnsi="Arial" w:cs="Arial"/>
          <w:sz w:val="19"/>
          <w:szCs w:val="19"/>
        </w:rPr>
        <w:t>,</w:t>
      </w:r>
      <w:r w:rsidRPr="000437FD">
        <w:rPr>
          <w:rFonts w:ascii="Arial" w:hAnsi="Arial" w:cs="Arial"/>
          <w:sz w:val="19"/>
          <w:szCs w:val="19"/>
        </w:rPr>
        <w:t xml:space="preserve"> but are not limited to</w:t>
      </w:r>
      <w:r w:rsidR="00D45DB8">
        <w:rPr>
          <w:rFonts w:ascii="Arial" w:hAnsi="Arial" w:cs="Arial"/>
          <w:sz w:val="19"/>
          <w:szCs w:val="19"/>
        </w:rPr>
        <w:t>,</w:t>
      </w:r>
      <w:r w:rsidRPr="000437FD">
        <w:rPr>
          <w:rFonts w:ascii="Arial" w:hAnsi="Arial" w:cs="Arial"/>
          <w:sz w:val="19"/>
          <w:szCs w:val="19"/>
        </w:rPr>
        <w:t>:</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Flight upgrades;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Flight / travel changes due to personal reasons;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Personal room charges including (movie hire, laundry/dry-cleaning, mini bar, etc.);</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Room upgrades;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Valet parking;</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Car cleaning services;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Limousine services;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Rental car upgrades;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Fines and penalties;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Customer loyalty program/award-based memberships (e.g. frequent flyer programs);</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Expenses incurred for an accompanying family member or companion; and</w:t>
      </w:r>
    </w:p>
    <w:p w:rsidR="007668D0" w:rsidRPr="000437FD" w:rsidRDefault="007668D0" w:rsidP="00D52275">
      <w:pPr>
        <w:pStyle w:val="ListParagraph"/>
        <w:numPr>
          <w:ilvl w:val="0"/>
          <w:numId w:val="18"/>
        </w:numPr>
        <w:spacing w:line="280" w:lineRule="atLeast"/>
        <w:jc w:val="both"/>
        <w:rPr>
          <w:rFonts w:ascii="Arial" w:hAnsi="Arial"/>
          <w:sz w:val="19"/>
          <w:szCs w:val="19"/>
        </w:rPr>
      </w:pPr>
      <w:r w:rsidRPr="000437FD">
        <w:rPr>
          <w:rFonts w:ascii="Arial" w:hAnsi="Arial"/>
          <w:sz w:val="19"/>
          <w:szCs w:val="19"/>
        </w:rPr>
        <w:t>Other personal expenses</w:t>
      </w:r>
      <w:r w:rsidR="00D45DB8">
        <w:rPr>
          <w:rFonts w:ascii="Arial" w:hAnsi="Arial"/>
          <w:sz w:val="19"/>
          <w:szCs w:val="19"/>
        </w:rPr>
        <w:t>.</w:t>
      </w:r>
    </w:p>
    <w:p w:rsidR="007668D0" w:rsidRPr="000437FD" w:rsidRDefault="00D52275" w:rsidP="00D52275">
      <w:pPr>
        <w:pStyle w:val="Heading3"/>
        <w:jc w:val="both"/>
        <w:rPr>
          <w:rFonts w:cs="Arial"/>
        </w:rPr>
      </w:pPr>
      <w:bookmarkStart w:id="42" w:name="_Toc476565115"/>
      <w:r>
        <w:rPr>
          <w:rFonts w:cs="Arial"/>
        </w:rPr>
        <w:t xml:space="preserve">3.2.3 </w:t>
      </w:r>
      <w:r w:rsidR="007668D0" w:rsidRPr="000437FD">
        <w:rPr>
          <w:rFonts w:cs="Arial"/>
        </w:rPr>
        <w:t>Documentation</w:t>
      </w:r>
      <w:bookmarkEnd w:id="42"/>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All individual business expenditure items must have appropriate supporting documentation. The documentation provided </w:t>
      </w:r>
      <w:r w:rsidR="00153498">
        <w:rPr>
          <w:rFonts w:ascii="Arial" w:hAnsi="Arial" w:cs="Arial"/>
          <w:sz w:val="19"/>
          <w:szCs w:val="19"/>
        </w:rPr>
        <w:t>must</w:t>
      </w:r>
      <w:r w:rsidRPr="000437FD">
        <w:rPr>
          <w:rFonts w:ascii="Arial" w:hAnsi="Arial" w:cs="Arial"/>
          <w:sz w:val="19"/>
          <w:szCs w:val="19"/>
        </w:rPr>
        <w:t xml:space="preserve"> be in accordance with ATO requirements, which include provision of an itemised receipt (or tax invoice for all purchases over $82.50 for GST claim purposes). If the business expense includes hospitality or payment for more than one staff member, the receipt of tax invoice should be annotated to indicate the names of the persons in attendance. </w:t>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r w:rsidRPr="000437FD">
        <w:rPr>
          <w:rFonts w:ascii="Arial" w:hAnsi="Arial" w:cs="Arial"/>
          <w:sz w:val="19"/>
          <w:szCs w:val="19"/>
        </w:rPr>
        <w:t xml:space="preserve">In the event of interstate of international travel, proof of pre-approval should be submitted along with the </w:t>
      </w:r>
      <w:r w:rsidR="00D45DB8">
        <w:rPr>
          <w:rFonts w:ascii="Arial" w:hAnsi="Arial" w:cs="Arial"/>
          <w:sz w:val="19"/>
          <w:szCs w:val="19"/>
        </w:rPr>
        <w:t xml:space="preserve">relevant </w:t>
      </w:r>
      <w:r w:rsidRPr="000437FD">
        <w:rPr>
          <w:rFonts w:ascii="Arial" w:hAnsi="Arial" w:cs="Arial"/>
          <w:sz w:val="19"/>
          <w:szCs w:val="19"/>
        </w:rPr>
        <w:t xml:space="preserve">supporting documentation. </w:t>
      </w:r>
    </w:p>
    <w:p w:rsidR="007668D0" w:rsidRPr="000437FD" w:rsidRDefault="007668D0" w:rsidP="00D52275">
      <w:pPr>
        <w:spacing w:line="280" w:lineRule="atLeast"/>
        <w:jc w:val="both"/>
        <w:rPr>
          <w:rFonts w:ascii="Arial" w:hAnsi="Arial" w:cs="Arial"/>
          <w:sz w:val="19"/>
          <w:szCs w:val="19"/>
        </w:rPr>
      </w:pPr>
    </w:p>
    <w:p w:rsidR="007668D0" w:rsidRDefault="007668D0" w:rsidP="00D52275">
      <w:pPr>
        <w:spacing w:line="280" w:lineRule="atLeast"/>
        <w:jc w:val="both"/>
        <w:rPr>
          <w:rFonts w:ascii="Arial" w:hAnsi="Arial" w:cs="Arial"/>
          <w:sz w:val="19"/>
          <w:szCs w:val="19"/>
        </w:rPr>
      </w:pPr>
      <w:r w:rsidRPr="000437FD">
        <w:rPr>
          <w:rFonts w:ascii="Arial" w:hAnsi="Arial" w:cs="Arial"/>
          <w:sz w:val="19"/>
          <w:szCs w:val="19"/>
        </w:rPr>
        <w:t>If the business expen</w:t>
      </w:r>
      <w:r w:rsidR="00662FDD">
        <w:rPr>
          <w:rFonts w:ascii="Arial" w:hAnsi="Arial" w:cs="Arial"/>
          <w:sz w:val="19"/>
          <w:szCs w:val="19"/>
        </w:rPr>
        <w:t>ses are incurred on the health s</w:t>
      </w:r>
      <w:r w:rsidRPr="000437FD">
        <w:rPr>
          <w:rFonts w:ascii="Arial" w:hAnsi="Arial" w:cs="Arial"/>
          <w:sz w:val="19"/>
          <w:szCs w:val="19"/>
        </w:rPr>
        <w:t>ervice</w:t>
      </w:r>
      <w:r w:rsidR="00D45DB8">
        <w:rPr>
          <w:rFonts w:ascii="Arial" w:hAnsi="Arial" w:cs="Arial"/>
          <w:sz w:val="19"/>
          <w:szCs w:val="19"/>
        </w:rPr>
        <w:t>’s</w:t>
      </w:r>
      <w:r w:rsidRPr="000437FD">
        <w:rPr>
          <w:rFonts w:ascii="Arial" w:hAnsi="Arial" w:cs="Arial"/>
          <w:sz w:val="19"/>
          <w:szCs w:val="19"/>
        </w:rPr>
        <w:t xml:space="preserve"> </w:t>
      </w:r>
      <w:r w:rsidR="00D45DB8">
        <w:rPr>
          <w:rFonts w:ascii="Arial" w:hAnsi="Arial" w:cs="Arial"/>
          <w:sz w:val="19"/>
          <w:szCs w:val="19"/>
        </w:rPr>
        <w:t>credit or</w:t>
      </w:r>
      <w:r w:rsidR="00D45DB8" w:rsidRPr="000437FD">
        <w:rPr>
          <w:rFonts w:ascii="Arial" w:hAnsi="Arial" w:cs="Arial"/>
          <w:sz w:val="19"/>
          <w:szCs w:val="19"/>
        </w:rPr>
        <w:t xml:space="preserve"> </w:t>
      </w:r>
      <w:r w:rsidR="00D45DB8">
        <w:rPr>
          <w:rFonts w:ascii="Arial" w:hAnsi="Arial" w:cs="Arial"/>
          <w:sz w:val="19"/>
          <w:szCs w:val="19"/>
        </w:rPr>
        <w:t>p</w:t>
      </w:r>
      <w:r w:rsidRPr="000437FD">
        <w:rPr>
          <w:rFonts w:ascii="Arial" w:hAnsi="Arial" w:cs="Arial"/>
          <w:sz w:val="19"/>
          <w:szCs w:val="19"/>
        </w:rPr>
        <w:t xml:space="preserve">urchasing </w:t>
      </w:r>
      <w:r w:rsidR="00D45DB8">
        <w:rPr>
          <w:rFonts w:ascii="Arial" w:hAnsi="Arial" w:cs="Arial"/>
          <w:sz w:val="19"/>
          <w:szCs w:val="19"/>
        </w:rPr>
        <w:t>c</w:t>
      </w:r>
      <w:r w:rsidRPr="000437FD">
        <w:rPr>
          <w:rFonts w:ascii="Arial" w:hAnsi="Arial" w:cs="Arial"/>
          <w:sz w:val="19"/>
          <w:szCs w:val="19"/>
        </w:rPr>
        <w:t xml:space="preserve">ard, the account holder is required to review and sign the monthly statement prior to submission for approval along with </w:t>
      </w:r>
      <w:r w:rsidR="00D45DB8">
        <w:rPr>
          <w:rFonts w:ascii="Arial" w:hAnsi="Arial" w:cs="Arial"/>
          <w:sz w:val="19"/>
          <w:szCs w:val="19"/>
        </w:rPr>
        <w:t xml:space="preserve">relevant </w:t>
      </w:r>
      <w:r w:rsidRPr="000437FD">
        <w:rPr>
          <w:rFonts w:ascii="Arial" w:hAnsi="Arial" w:cs="Arial"/>
          <w:sz w:val="19"/>
          <w:szCs w:val="19"/>
        </w:rPr>
        <w:t xml:space="preserve">supporting documentation. </w:t>
      </w:r>
      <w:bookmarkStart w:id="43" w:name="_Toc179170383"/>
      <w:bookmarkStart w:id="44" w:name="_Toc448845493"/>
    </w:p>
    <w:p w:rsidR="006A059F" w:rsidRPr="000437FD" w:rsidRDefault="006A059F" w:rsidP="00D52275">
      <w:pPr>
        <w:spacing w:line="280" w:lineRule="atLeast"/>
        <w:jc w:val="both"/>
        <w:rPr>
          <w:rFonts w:ascii="Arial" w:hAnsi="Arial" w:cs="Arial"/>
          <w:sz w:val="19"/>
          <w:szCs w:val="19"/>
        </w:rPr>
      </w:pPr>
    </w:p>
    <w:tbl>
      <w:tblPr>
        <w:tblStyle w:val="TableGrid"/>
        <w:tblW w:w="0" w:type="auto"/>
        <w:tblBorders>
          <w:insideV w:val="none" w:sz="0" w:space="0" w:color="auto"/>
        </w:tblBorders>
        <w:tblCellMar>
          <w:bottom w:w="57" w:type="dxa"/>
        </w:tblCellMar>
        <w:tblLook w:val="04A0" w:firstRow="1" w:lastRow="0" w:firstColumn="1" w:lastColumn="0" w:noHBand="0" w:noVBand="1"/>
      </w:tblPr>
      <w:tblGrid>
        <w:gridCol w:w="659"/>
        <w:gridCol w:w="8475"/>
      </w:tblGrid>
      <w:tr w:rsidR="007668D0" w:rsidRPr="000437FD" w:rsidTr="00861D13">
        <w:trPr>
          <w:cantSplit/>
        </w:trPr>
        <w:tc>
          <w:tcPr>
            <w:tcW w:w="675" w:type="dxa"/>
            <w:shd w:val="clear" w:color="auto" w:fill="CCC0D9"/>
          </w:tcPr>
          <w:p w:rsidR="007668D0" w:rsidRPr="000437FD" w:rsidRDefault="001333F4" w:rsidP="00D52275">
            <w:pPr>
              <w:spacing w:line="280" w:lineRule="atLeast"/>
              <w:jc w:val="both"/>
              <w:rPr>
                <w:rFonts w:ascii="Arial" w:hAnsi="Arial" w:cs="Arial"/>
                <w:sz w:val="19"/>
                <w:szCs w:val="19"/>
              </w:rPr>
            </w:pPr>
            <w:r>
              <w:rPr>
                <w:rFonts w:ascii="Arial" w:hAnsi="Arial" w:cs="Arial"/>
                <w:noProof/>
                <w:lang w:eastAsia="en-AU"/>
              </w:rPr>
              <w:drawing>
                <wp:anchor distT="0" distB="0" distL="114300" distR="114300" simplePos="0" relativeHeight="251662336" behindDoc="0" locked="0" layoutInCell="1" allowOverlap="1" wp14:anchorId="5E66EB3C" wp14:editId="2D5B33B7">
                  <wp:simplePos x="0" y="0"/>
                  <wp:positionH relativeFrom="column">
                    <wp:posOffset>-38735</wp:posOffset>
                  </wp:positionH>
                  <wp:positionV relativeFrom="paragraph">
                    <wp:posOffset>53340</wp:posOffset>
                  </wp:positionV>
                  <wp:extent cx="357505" cy="315595"/>
                  <wp:effectExtent l="0" t="0" r="4445" b="8255"/>
                  <wp:wrapNone/>
                  <wp:docPr id="99" name="Picture 4" descr="C:\Users\maylissa.ollivier\AppData\Local\Microsoft\Windows\Temporary Internet Files\Content.IE5\IYXJULP0\563px-South_Africa_-_General_Warning_sig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ylissa.ollivier\AppData\Local\Microsoft\Windows\Temporary Internet Files\Content.IE5\IYXJULP0\563px-South_Africa_-_General_Warning_sign.svg[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05"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p>
          <w:p w:rsidR="007668D0" w:rsidRPr="000437FD" w:rsidRDefault="007668D0" w:rsidP="00D52275">
            <w:pPr>
              <w:spacing w:line="280" w:lineRule="atLeast"/>
              <w:jc w:val="both"/>
              <w:rPr>
                <w:rFonts w:ascii="Arial" w:hAnsi="Arial" w:cs="Arial"/>
                <w:sz w:val="19"/>
                <w:szCs w:val="19"/>
              </w:rPr>
            </w:pPr>
          </w:p>
        </w:tc>
        <w:tc>
          <w:tcPr>
            <w:tcW w:w="8731" w:type="dxa"/>
            <w:shd w:val="clear" w:color="auto" w:fill="CCC0D9"/>
          </w:tcPr>
          <w:p w:rsidR="007668D0" w:rsidRPr="000437FD" w:rsidRDefault="007668D0" w:rsidP="00662FDD">
            <w:pPr>
              <w:pStyle w:val="BodyText"/>
              <w:shd w:val="clear" w:color="auto" w:fill="CCC0D9"/>
              <w:spacing w:after="0"/>
              <w:jc w:val="both"/>
              <w:rPr>
                <w:rFonts w:ascii="Arial" w:hAnsi="Arial"/>
                <w:sz w:val="19"/>
                <w:szCs w:val="19"/>
              </w:rPr>
            </w:pPr>
            <w:r w:rsidRPr="000437FD">
              <w:rPr>
                <w:rFonts w:ascii="Arial" w:hAnsi="Arial"/>
                <w:b/>
                <w:sz w:val="19"/>
                <w:szCs w:val="19"/>
              </w:rPr>
              <w:t>Important:</w:t>
            </w:r>
            <w:r w:rsidRPr="000437FD">
              <w:rPr>
                <w:rFonts w:ascii="Arial" w:hAnsi="Arial"/>
              </w:rPr>
              <w:t xml:space="preserve"> </w:t>
            </w:r>
          </w:p>
          <w:p w:rsidR="007668D0" w:rsidRPr="000437FD" w:rsidRDefault="007668D0" w:rsidP="00D52275">
            <w:pPr>
              <w:pStyle w:val="BodyText"/>
              <w:shd w:val="clear" w:color="auto" w:fill="CCC0D9"/>
              <w:spacing w:after="0"/>
              <w:jc w:val="both"/>
              <w:rPr>
                <w:rFonts w:ascii="Arial" w:hAnsi="Arial"/>
                <w:sz w:val="19"/>
                <w:szCs w:val="19"/>
              </w:rPr>
            </w:pPr>
            <w:r w:rsidRPr="000437FD">
              <w:rPr>
                <w:rFonts w:ascii="Arial" w:hAnsi="Arial"/>
                <w:sz w:val="19"/>
                <w:szCs w:val="19"/>
              </w:rPr>
              <w:t>Although this manual provides guidance on</w:t>
            </w:r>
            <w:r w:rsidR="009827BF">
              <w:rPr>
                <w:rFonts w:ascii="Arial" w:hAnsi="Arial"/>
                <w:sz w:val="19"/>
                <w:szCs w:val="19"/>
              </w:rPr>
              <w:t xml:space="preserve"> acceptable business expenses, health s</w:t>
            </w:r>
            <w:r w:rsidRPr="000437FD">
              <w:rPr>
                <w:rFonts w:ascii="Arial" w:hAnsi="Arial"/>
                <w:sz w:val="19"/>
                <w:szCs w:val="19"/>
              </w:rPr>
              <w:t xml:space="preserve">ervices may wish to include certain clauses based on value for money assessments (e.g. business class </w:t>
            </w:r>
            <w:r w:rsidR="009827BF">
              <w:rPr>
                <w:rFonts w:ascii="Arial" w:hAnsi="Arial"/>
                <w:sz w:val="19"/>
                <w:szCs w:val="19"/>
              </w:rPr>
              <w:t>travel). However, in doing so, health s</w:t>
            </w:r>
            <w:r w:rsidRPr="000437FD">
              <w:rPr>
                <w:rFonts w:ascii="Arial" w:hAnsi="Arial"/>
                <w:sz w:val="19"/>
                <w:szCs w:val="19"/>
              </w:rPr>
              <w:t xml:space="preserve">ervices </w:t>
            </w:r>
            <w:r w:rsidR="00153498">
              <w:rPr>
                <w:rFonts w:ascii="Arial" w:hAnsi="Arial"/>
                <w:sz w:val="19"/>
                <w:szCs w:val="19"/>
              </w:rPr>
              <w:t>must</w:t>
            </w:r>
            <w:r w:rsidRPr="000437FD">
              <w:rPr>
                <w:rFonts w:ascii="Arial" w:hAnsi="Arial"/>
                <w:sz w:val="19"/>
                <w:szCs w:val="19"/>
              </w:rPr>
              <w:t xml:space="preserve"> ensure that they are following the principles of these guidelines, value for money must be clearly documented and relevant approval must be recorded. </w:t>
            </w:r>
          </w:p>
        </w:tc>
      </w:tr>
      <w:bookmarkEnd w:id="43"/>
      <w:bookmarkEnd w:id="44"/>
    </w:tbl>
    <w:p w:rsidR="00EC06C8" w:rsidRPr="000437FD" w:rsidRDefault="00EC06C8" w:rsidP="007668D0">
      <w:pPr>
        <w:rPr>
          <w:rFonts w:ascii="Arial" w:hAnsi="Arial" w:cs="Arial"/>
          <w:sz w:val="48"/>
        </w:rPr>
      </w:pPr>
    </w:p>
    <w:sectPr w:rsidR="00EC06C8" w:rsidRPr="000437FD" w:rsidSect="00861D13">
      <w:headerReference w:type="even" r:id="rId19"/>
      <w:headerReference w:type="default" r:id="rId20"/>
      <w:footerReference w:type="even" r:id="rId21"/>
      <w:footerReference w:type="default" r:id="rId22"/>
      <w:footerReference w:type="first" r:id="rId23"/>
      <w:pgSz w:w="11906" w:h="16838" w:code="9"/>
      <w:pgMar w:top="1440" w:right="1440" w:bottom="1135"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AF" w:rsidRDefault="002A61AF">
      <w:r>
        <w:separator/>
      </w:r>
    </w:p>
  </w:endnote>
  <w:endnote w:type="continuationSeparator" w:id="0">
    <w:p w:rsidR="002A61AF" w:rsidRDefault="002A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fa Rotis Serif">
    <w:altName w:val="Agfa Rotis Serif"/>
    <w:panose1 w:val="00000000000000000000"/>
    <w:charset w:val="00"/>
    <w:family w:val="roman"/>
    <w:notTrueType/>
    <w:pitch w:val="default"/>
    <w:sig w:usb0="00000003" w:usb1="00000000" w:usb2="00000000" w:usb3="00000000" w:csb0="00000001" w:csb1="00000000"/>
  </w:font>
  <w:font w:name="Rotis Serif Pro">
    <w:altName w:val="Rotis Serif Pro"/>
    <w:panose1 w:val="00000000000000000000"/>
    <w:charset w:val="00"/>
    <w:family w:val="roman"/>
    <w:notTrueType/>
    <w:pitch w:val="default"/>
    <w:sig w:usb0="00000003" w:usb1="00000000" w:usb2="00000000" w:usb3="00000000" w:csb0="00000001" w:csb1="00000000"/>
  </w:font>
  <w:font w:name="Meta Plus Book">
    <w:altName w:val="Meta Plu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Default="00FB7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Default="00FB77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Default="00FB77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Pr="008114D1" w:rsidRDefault="00FB775F" w:rsidP="00E969B1">
    <w:pPr>
      <w:pStyle w:val="DHHSfooter"/>
    </w:pPr>
    <w:r>
      <w:t xml:space="preserve">Page </w:t>
    </w:r>
    <w:r w:rsidRPr="005A39EC">
      <w:fldChar w:fldCharType="begin"/>
    </w:r>
    <w:r w:rsidRPr="005A39EC">
      <w:instrText xml:space="preserve"> PAGE </w:instrText>
    </w:r>
    <w:r w:rsidRPr="005A39EC">
      <w:fldChar w:fldCharType="separate"/>
    </w:r>
    <w:r w:rsidR="007960E9">
      <w:rPr>
        <w:noProof/>
      </w:rPr>
      <w:t>16</w:t>
    </w:r>
    <w:r w:rsidRPr="005A39EC">
      <w:fldChar w:fldCharType="end"/>
    </w:r>
    <w:r>
      <w:tab/>
      <w:t>Guidelines for CEO and Executive Business Expenses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Pr="0031753A" w:rsidRDefault="00FB775F" w:rsidP="00E969B1">
    <w:pPr>
      <w:pStyle w:val="DHHSfooter"/>
    </w:pPr>
    <w:r>
      <w:t>Guidelines for CEO and Executive Business Expenses</w:t>
    </w:r>
    <w:r w:rsidRPr="0031753A">
      <w:tab/>
      <w:t xml:space="preserve">Page </w:t>
    </w:r>
    <w:r w:rsidRPr="0031753A">
      <w:fldChar w:fldCharType="begin"/>
    </w:r>
    <w:r w:rsidRPr="0031753A">
      <w:instrText xml:space="preserve"> PAGE </w:instrText>
    </w:r>
    <w:r w:rsidRPr="0031753A">
      <w:fldChar w:fldCharType="separate"/>
    </w:r>
    <w:r w:rsidR="007960E9">
      <w:rPr>
        <w:noProof/>
      </w:rPr>
      <w:t>3</w:t>
    </w:r>
    <w:r w:rsidRPr="0031753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Pr="001A7E04" w:rsidRDefault="00FB775F"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AF" w:rsidRDefault="002A61AF">
      <w:r>
        <w:separator/>
      </w:r>
    </w:p>
  </w:footnote>
  <w:footnote w:type="continuationSeparator" w:id="0">
    <w:p w:rsidR="002A61AF" w:rsidRDefault="002A61AF">
      <w:r>
        <w:continuationSeparator/>
      </w:r>
    </w:p>
  </w:footnote>
  <w:footnote w:id="1">
    <w:p w:rsidR="00FB775F" w:rsidRDefault="00FB775F" w:rsidP="003E5912">
      <w:pPr>
        <w:pStyle w:val="FootnoteText"/>
      </w:pPr>
      <w:r>
        <w:rPr>
          <w:rStyle w:val="FootnoteReference"/>
        </w:rPr>
        <w:footnoteRef/>
      </w:r>
      <w:r>
        <w:t xml:space="preserve"> Available from: </w:t>
      </w:r>
      <w:r w:rsidRPr="00AF4698">
        <w:t>http://vpsc.vic.gov.au/ethics-behaviours-culture/public-sector-values/</w:t>
      </w:r>
    </w:p>
  </w:footnote>
  <w:footnote w:id="2">
    <w:p w:rsidR="00FB775F" w:rsidRDefault="00FB775F" w:rsidP="007668D0">
      <w:pPr>
        <w:pStyle w:val="FootnoteText"/>
      </w:pPr>
      <w:r>
        <w:rPr>
          <w:rStyle w:val="FootnoteReference"/>
        </w:rPr>
        <w:footnoteRef/>
      </w:r>
      <w:r>
        <w:t xml:space="preserve"> Available from: </w:t>
      </w:r>
      <w:hyperlink r:id="rId1" w:history="1">
        <w:r w:rsidRPr="0099120F">
          <w:rPr>
            <w:rStyle w:val="Hyperlink"/>
          </w:rPr>
          <w:t>http://www.dtf.vic.gov.au/Publications/Government-Financial-Management-publications/Standing-Directions-of-the-Minister-for-Finance-2016/Standing-Directions-2016-publications</w:t>
        </w:r>
      </w:hyperlink>
      <w:r>
        <w:t>. Please note, new standing directions are published every year. When reviewing this guide please refer to the latest standing directions.</w:t>
      </w:r>
    </w:p>
  </w:footnote>
  <w:footnote w:id="3">
    <w:p w:rsidR="00FB775F" w:rsidRDefault="00FB775F" w:rsidP="007668D0">
      <w:pPr>
        <w:pStyle w:val="FootnoteText"/>
      </w:pPr>
      <w:r>
        <w:rPr>
          <w:rStyle w:val="FootnoteReference"/>
        </w:rPr>
        <w:footnoteRef/>
      </w:r>
      <w:r>
        <w:t xml:space="preserve"> Available from: </w:t>
      </w:r>
      <w:r w:rsidRPr="0088683E">
        <w:t>https://www.ato.gov.au/law/view/document?DocID=TXD/TD201613/NAT/ATO/00001&amp;PiT=99991231235958</w:t>
      </w:r>
    </w:p>
  </w:footnote>
  <w:footnote w:id="4">
    <w:p w:rsidR="00FB775F" w:rsidRDefault="00FB775F" w:rsidP="007668D0">
      <w:pPr>
        <w:pStyle w:val="FootnoteText"/>
      </w:pPr>
      <w:r>
        <w:rPr>
          <w:rStyle w:val="FootnoteReference"/>
        </w:rPr>
        <w:footnoteRef/>
      </w:r>
      <w:r>
        <w:t xml:space="preserve"> Available from: </w:t>
      </w:r>
      <w:r w:rsidRPr="007912DA">
        <w:t>http://www.ibac.vic.gov.au/publications-and-resources/article/guidelines-for-making-and-handling-protected-disclosures</w:t>
      </w:r>
    </w:p>
  </w:footnote>
  <w:footnote w:id="5">
    <w:p w:rsidR="00FB775F" w:rsidRDefault="00FB775F" w:rsidP="00763956">
      <w:pPr>
        <w:pStyle w:val="FootnoteText"/>
      </w:pPr>
      <w:r>
        <w:rPr>
          <w:rStyle w:val="FootnoteReference"/>
        </w:rPr>
        <w:footnoteRef/>
      </w:r>
      <w:r>
        <w:t xml:space="preserve"> Available from: </w:t>
      </w:r>
      <w:hyperlink r:id="rId2" w:history="1">
        <w:r w:rsidRPr="00662FDD">
          <w:t>http://vpsc.vic.gov.au/resources/gifts-benefits-and-hospitality-resource-suite/</w:t>
        </w:r>
      </w:hyperlink>
    </w:p>
  </w:footnote>
  <w:footnote w:id="6">
    <w:p w:rsidR="00FB775F" w:rsidRDefault="00FB775F" w:rsidP="006C531D">
      <w:pPr>
        <w:pStyle w:val="FootnoteText"/>
      </w:pPr>
      <w:r>
        <w:rPr>
          <w:rStyle w:val="FootnoteReference"/>
        </w:rPr>
        <w:footnoteRef/>
      </w:r>
      <w:r>
        <w:t xml:space="preserve"> Available from: </w:t>
      </w:r>
      <w:r w:rsidRPr="0088683E">
        <w:t>https://www.ato.gov.au/law/view/document?DocID=TXD/TD201613/NAT/ATO/00001&amp;PiT=99991231235958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Default="00FB7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Default="00FB7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Default="00FB77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Pr="0069374A" w:rsidRDefault="00FB775F" w:rsidP="00E969B1">
    <w:pPr>
      <w:pStyle w:val="DHHS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5F" w:rsidRDefault="00FB775F"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C01"/>
    <w:multiLevelType w:val="hybridMultilevel"/>
    <w:tmpl w:val="6816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6A843C6"/>
    <w:multiLevelType w:val="hybridMultilevel"/>
    <w:tmpl w:val="7B10BC26"/>
    <w:lvl w:ilvl="0" w:tplc="0C090001">
      <w:start w:val="1"/>
      <w:numFmt w:val="bullet"/>
      <w:lvlText w:val=""/>
      <w:lvlJc w:val="left"/>
      <w:pPr>
        <w:ind w:left="1371" w:hanging="360"/>
      </w:pPr>
      <w:rPr>
        <w:rFonts w:ascii="Symbol" w:hAnsi="Symbol" w:hint="default"/>
      </w:rPr>
    </w:lvl>
    <w:lvl w:ilvl="1" w:tplc="0C090003" w:tentative="1">
      <w:start w:val="1"/>
      <w:numFmt w:val="bullet"/>
      <w:lvlText w:val="o"/>
      <w:lvlJc w:val="left"/>
      <w:pPr>
        <w:ind w:left="2091" w:hanging="360"/>
      </w:pPr>
      <w:rPr>
        <w:rFonts w:ascii="Courier New" w:hAnsi="Courier New" w:cs="Courier New" w:hint="default"/>
      </w:rPr>
    </w:lvl>
    <w:lvl w:ilvl="2" w:tplc="0C090005" w:tentative="1">
      <w:start w:val="1"/>
      <w:numFmt w:val="bullet"/>
      <w:lvlText w:val=""/>
      <w:lvlJc w:val="left"/>
      <w:pPr>
        <w:ind w:left="2811" w:hanging="360"/>
      </w:pPr>
      <w:rPr>
        <w:rFonts w:ascii="Wingdings" w:hAnsi="Wingdings" w:hint="default"/>
      </w:rPr>
    </w:lvl>
    <w:lvl w:ilvl="3" w:tplc="0C090001" w:tentative="1">
      <w:start w:val="1"/>
      <w:numFmt w:val="bullet"/>
      <w:lvlText w:val=""/>
      <w:lvlJc w:val="left"/>
      <w:pPr>
        <w:ind w:left="3531" w:hanging="360"/>
      </w:pPr>
      <w:rPr>
        <w:rFonts w:ascii="Symbol" w:hAnsi="Symbol" w:hint="default"/>
      </w:rPr>
    </w:lvl>
    <w:lvl w:ilvl="4" w:tplc="0C090003" w:tentative="1">
      <w:start w:val="1"/>
      <w:numFmt w:val="bullet"/>
      <w:lvlText w:val="o"/>
      <w:lvlJc w:val="left"/>
      <w:pPr>
        <w:ind w:left="4251" w:hanging="360"/>
      </w:pPr>
      <w:rPr>
        <w:rFonts w:ascii="Courier New" w:hAnsi="Courier New" w:cs="Courier New" w:hint="default"/>
      </w:rPr>
    </w:lvl>
    <w:lvl w:ilvl="5" w:tplc="0C090005" w:tentative="1">
      <w:start w:val="1"/>
      <w:numFmt w:val="bullet"/>
      <w:lvlText w:val=""/>
      <w:lvlJc w:val="left"/>
      <w:pPr>
        <w:ind w:left="4971" w:hanging="360"/>
      </w:pPr>
      <w:rPr>
        <w:rFonts w:ascii="Wingdings" w:hAnsi="Wingdings" w:hint="default"/>
      </w:rPr>
    </w:lvl>
    <w:lvl w:ilvl="6" w:tplc="0C090001" w:tentative="1">
      <w:start w:val="1"/>
      <w:numFmt w:val="bullet"/>
      <w:lvlText w:val=""/>
      <w:lvlJc w:val="left"/>
      <w:pPr>
        <w:ind w:left="5691" w:hanging="360"/>
      </w:pPr>
      <w:rPr>
        <w:rFonts w:ascii="Symbol" w:hAnsi="Symbol" w:hint="default"/>
      </w:rPr>
    </w:lvl>
    <w:lvl w:ilvl="7" w:tplc="0C090003" w:tentative="1">
      <w:start w:val="1"/>
      <w:numFmt w:val="bullet"/>
      <w:lvlText w:val="o"/>
      <w:lvlJc w:val="left"/>
      <w:pPr>
        <w:ind w:left="6411" w:hanging="360"/>
      </w:pPr>
      <w:rPr>
        <w:rFonts w:ascii="Courier New" w:hAnsi="Courier New" w:cs="Courier New" w:hint="default"/>
      </w:rPr>
    </w:lvl>
    <w:lvl w:ilvl="8" w:tplc="0C090005" w:tentative="1">
      <w:start w:val="1"/>
      <w:numFmt w:val="bullet"/>
      <w:lvlText w:val=""/>
      <w:lvlJc w:val="left"/>
      <w:pPr>
        <w:ind w:left="7131" w:hanging="360"/>
      </w:pPr>
      <w:rPr>
        <w:rFonts w:ascii="Wingdings" w:hAnsi="Wingdings" w:hint="default"/>
      </w:rPr>
    </w:lvl>
  </w:abstractNum>
  <w:abstractNum w:abstractNumId="4">
    <w:nsid w:val="26C33611"/>
    <w:multiLevelType w:val="hybridMultilevel"/>
    <w:tmpl w:val="F58A36C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5">
    <w:nsid w:val="2A1C268D"/>
    <w:multiLevelType w:val="hybridMultilevel"/>
    <w:tmpl w:val="4B36B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167D57"/>
    <w:multiLevelType w:val="hybridMultilevel"/>
    <w:tmpl w:val="85C2003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1">
    <w:nsid w:val="42A45703"/>
    <w:multiLevelType w:val="hybridMultilevel"/>
    <w:tmpl w:val="98BA8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D47FA4"/>
    <w:multiLevelType w:val="multilevel"/>
    <w:tmpl w:val="E58820AE"/>
    <w:lvl w:ilvl="0">
      <w:start w:val="1"/>
      <w:numFmt w:val="decimal"/>
      <w:pStyle w:val="NumSection"/>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8D96CFA"/>
    <w:multiLevelType w:val="hybridMultilevel"/>
    <w:tmpl w:val="C9D814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DEF4BB9C">
      <w:numFmt w:val="bullet"/>
      <w:lvlText w:val="•"/>
      <w:lvlJc w:val="left"/>
      <w:pPr>
        <w:ind w:left="1800" w:hanging="360"/>
      </w:pPr>
      <w:rPr>
        <w:rFonts w:ascii="Garamond" w:eastAsia="Times New Roman" w:hAnsi="Garamond"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91A2F88"/>
    <w:multiLevelType w:val="hybridMultilevel"/>
    <w:tmpl w:val="781C6D4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7">
    <w:nsid w:val="495455F8"/>
    <w:multiLevelType w:val="hybridMultilevel"/>
    <w:tmpl w:val="99525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D07ACF"/>
    <w:multiLevelType w:val="hybridMultilevel"/>
    <w:tmpl w:val="1DFCBA5C"/>
    <w:lvl w:ilvl="0" w:tplc="D0E0D360">
      <w:start w:val="1"/>
      <w:numFmt w:val="decimal"/>
      <w:lvlText w:val="%1."/>
      <w:lvlJc w:val="left"/>
      <w:pPr>
        <w:ind w:left="1245" w:hanging="360"/>
      </w:pPr>
      <w:rPr>
        <w:rFonts w:ascii="Arial" w:eastAsia="Times New Roman" w:hAnsi="Arial" w:cs="Arial"/>
      </w:rPr>
    </w:lvl>
    <w:lvl w:ilvl="1" w:tplc="0C090019" w:tentative="1">
      <w:start w:val="1"/>
      <w:numFmt w:val="lowerLetter"/>
      <w:lvlText w:val="%2."/>
      <w:lvlJc w:val="left"/>
      <w:pPr>
        <w:ind w:left="1965" w:hanging="360"/>
      </w:pPr>
    </w:lvl>
    <w:lvl w:ilvl="2" w:tplc="0C09001B" w:tentative="1">
      <w:start w:val="1"/>
      <w:numFmt w:val="lowerRoman"/>
      <w:lvlText w:val="%3."/>
      <w:lvlJc w:val="right"/>
      <w:pPr>
        <w:ind w:left="2685" w:hanging="180"/>
      </w:pPr>
    </w:lvl>
    <w:lvl w:ilvl="3" w:tplc="0C09000F" w:tentative="1">
      <w:start w:val="1"/>
      <w:numFmt w:val="decimal"/>
      <w:lvlText w:val="%4."/>
      <w:lvlJc w:val="left"/>
      <w:pPr>
        <w:ind w:left="3405" w:hanging="360"/>
      </w:pPr>
    </w:lvl>
    <w:lvl w:ilvl="4" w:tplc="0C090019" w:tentative="1">
      <w:start w:val="1"/>
      <w:numFmt w:val="lowerLetter"/>
      <w:lvlText w:val="%5."/>
      <w:lvlJc w:val="left"/>
      <w:pPr>
        <w:ind w:left="4125" w:hanging="360"/>
      </w:pPr>
    </w:lvl>
    <w:lvl w:ilvl="5" w:tplc="0C09001B" w:tentative="1">
      <w:start w:val="1"/>
      <w:numFmt w:val="lowerRoman"/>
      <w:lvlText w:val="%6."/>
      <w:lvlJc w:val="right"/>
      <w:pPr>
        <w:ind w:left="4845" w:hanging="180"/>
      </w:pPr>
    </w:lvl>
    <w:lvl w:ilvl="6" w:tplc="0C09000F" w:tentative="1">
      <w:start w:val="1"/>
      <w:numFmt w:val="decimal"/>
      <w:lvlText w:val="%7."/>
      <w:lvlJc w:val="left"/>
      <w:pPr>
        <w:ind w:left="5565" w:hanging="360"/>
      </w:pPr>
    </w:lvl>
    <w:lvl w:ilvl="7" w:tplc="0C090019" w:tentative="1">
      <w:start w:val="1"/>
      <w:numFmt w:val="lowerLetter"/>
      <w:lvlText w:val="%8."/>
      <w:lvlJc w:val="left"/>
      <w:pPr>
        <w:ind w:left="6285" w:hanging="360"/>
      </w:pPr>
    </w:lvl>
    <w:lvl w:ilvl="8" w:tplc="0C09001B" w:tentative="1">
      <w:start w:val="1"/>
      <w:numFmt w:val="lowerRoman"/>
      <w:lvlText w:val="%9."/>
      <w:lvlJc w:val="right"/>
      <w:pPr>
        <w:ind w:left="7005" w:hanging="180"/>
      </w:pPr>
    </w:lvl>
  </w:abstractNum>
  <w:abstractNum w:abstractNumId="19">
    <w:nsid w:val="4DB60382"/>
    <w:multiLevelType w:val="multilevel"/>
    <w:tmpl w:val="8BC6C6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pStyle w:val="ListNumber4"/>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20D7195"/>
    <w:multiLevelType w:val="hybridMultilevel"/>
    <w:tmpl w:val="907C637C"/>
    <w:lvl w:ilvl="0" w:tplc="D4E04B64">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0D78A4"/>
    <w:multiLevelType w:val="hybridMultilevel"/>
    <w:tmpl w:val="FD3A365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64335614"/>
    <w:multiLevelType w:val="multilevel"/>
    <w:tmpl w:val="FB9E844E"/>
    <w:lvl w:ilvl="0">
      <w:start w:val="1"/>
      <w:numFmt w:val="bullet"/>
      <w:lvlText w:val=""/>
      <w:lvlJc w:val="left"/>
      <w:pPr>
        <w:tabs>
          <w:tab w:val="num" w:pos="284"/>
        </w:tabs>
        <w:ind w:left="284" w:hanging="284"/>
      </w:pPr>
      <w:rPr>
        <w:rFonts w:ascii="Symbol" w:hAnsi="Symbol" w:hint="default"/>
        <w:color w:val="auto"/>
        <w:sz w:val="28"/>
        <w:szCs w:val="28"/>
      </w:rPr>
    </w:lvl>
    <w:lvl w:ilvl="1">
      <w:start w:val="1"/>
      <w:numFmt w:val="bullet"/>
      <w:lvlText w:val="○"/>
      <w:lvlJc w:val="left"/>
      <w:pPr>
        <w:tabs>
          <w:tab w:val="num" w:pos="567"/>
        </w:tabs>
        <w:ind w:left="567" w:hanging="283"/>
      </w:pPr>
      <w:rPr>
        <w:rFonts w:ascii="Courier New" w:hAnsi="Courier New" w:hint="default"/>
        <w:sz w:val="24"/>
        <w:szCs w:val="24"/>
      </w:rPr>
    </w:lvl>
    <w:lvl w:ilvl="2">
      <w:start w:val="1"/>
      <w:numFmt w:val="bullet"/>
      <w:pStyle w:val="ListBullet3"/>
      <w:lvlText w:val=""/>
      <w:lvlJc w:val="left"/>
      <w:pPr>
        <w:tabs>
          <w:tab w:val="num" w:pos="851"/>
        </w:tabs>
        <w:ind w:left="851" w:hanging="284"/>
      </w:pPr>
      <w:rPr>
        <w:rFonts w:ascii="Symbol" w:hAnsi="Symbol"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68472EC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747F5D"/>
    <w:multiLevelType w:val="hybridMultilevel"/>
    <w:tmpl w:val="B03C6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374AC7"/>
    <w:multiLevelType w:val="multilevel"/>
    <w:tmpl w:val="5036A92E"/>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75325CAB"/>
    <w:multiLevelType w:val="hybridMultilevel"/>
    <w:tmpl w:val="A20C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2"/>
  </w:num>
  <w:num w:numId="4">
    <w:abstractNumId w:val="14"/>
  </w:num>
  <w:num w:numId="5">
    <w:abstractNumId w:val="22"/>
  </w:num>
  <w:num w:numId="6">
    <w:abstractNumId w:val="31"/>
  </w:num>
  <w:num w:numId="7">
    <w:abstractNumId w:val="23"/>
  </w:num>
  <w:num w:numId="8">
    <w:abstractNumId w:val="1"/>
  </w:num>
  <w:num w:numId="9">
    <w:abstractNumId w:val="25"/>
  </w:num>
  <w:num w:numId="10">
    <w:abstractNumId w:val="30"/>
  </w:num>
  <w:num w:numId="11">
    <w:abstractNumId w:val="19"/>
  </w:num>
  <w:num w:numId="12">
    <w:abstractNumId w:val="8"/>
  </w:num>
  <w:num w:numId="13">
    <w:abstractNumId w:val="28"/>
  </w:num>
  <w:num w:numId="14">
    <w:abstractNumId w:val="10"/>
  </w:num>
  <w:num w:numId="15">
    <w:abstractNumId w:val="2"/>
  </w:num>
  <w:num w:numId="16">
    <w:abstractNumId w:val="6"/>
  </w:num>
  <w:num w:numId="17">
    <w:abstractNumId w:val="13"/>
  </w:num>
  <w:num w:numId="18">
    <w:abstractNumId w:val="15"/>
  </w:num>
  <w:num w:numId="19">
    <w:abstractNumId w:val="24"/>
  </w:num>
  <w:num w:numId="20">
    <w:abstractNumId w:val="27"/>
  </w:num>
  <w:num w:numId="21">
    <w:abstractNumId w:val="29"/>
  </w:num>
  <w:num w:numId="22">
    <w:abstractNumId w:val="0"/>
  </w:num>
  <w:num w:numId="23">
    <w:abstractNumId w:val="11"/>
  </w:num>
  <w:num w:numId="24">
    <w:abstractNumId w:val="17"/>
  </w:num>
  <w:num w:numId="25">
    <w:abstractNumId w:val="7"/>
  </w:num>
  <w:num w:numId="26">
    <w:abstractNumId w:val="26"/>
  </w:num>
  <w:num w:numId="27">
    <w:abstractNumId w:val="16"/>
  </w:num>
  <w:num w:numId="28">
    <w:abstractNumId w:val="4"/>
  </w:num>
  <w:num w:numId="29">
    <w:abstractNumId w:val="5"/>
  </w:num>
  <w:num w:numId="30">
    <w:abstractNumId w:val="20"/>
  </w:num>
  <w:num w:numId="31">
    <w:abstractNumId w:val="18"/>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D0"/>
    <w:rsid w:val="00002990"/>
    <w:rsid w:val="000048AC"/>
    <w:rsid w:val="00012902"/>
    <w:rsid w:val="00014FC4"/>
    <w:rsid w:val="00020AAB"/>
    <w:rsid w:val="000223A4"/>
    <w:rsid w:val="00022E60"/>
    <w:rsid w:val="00026C19"/>
    <w:rsid w:val="00031263"/>
    <w:rsid w:val="000437FD"/>
    <w:rsid w:val="00047E0A"/>
    <w:rsid w:val="00060E93"/>
    <w:rsid w:val="00064936"/>
    <w:rsid w:val="000734F8"/>
    <w:rsid w:val="000736B8"/>
    <w:rsid w:val="000802A7"/>
    <w:rsid w:val="000817CB"/>
    <w:rsid w:val="00083E29"/>
    <w:rsid w:val="000873EF"/>
    <w:rsid w:val="000A6930"/>
    <w:rsid w:val="000B3792"/>
    <w:rsid w:val="000C6242"/>
    <w:rsid w:val="000C68DB"/>
    <w:rsid w:val="000D18FF"/>
    <w:rsid w:val="000D273D"/>
    <w:rsid w:val="000D2C32"/>
    <w:rsid w:val="000E6BF2"/>
    <w:rsid w:val="000E6F72"/>
    <w:rsid w:val="000F0478"/>
    <w:rsid w:val="000F0A50"/>
    <w:rsid w:val="00103D5E"/>
    <w:rsid w:val="00104EA7"/>
    <w:rsid w:val="00105FAD"/>
    <w:rsid w:val="00106421"/>
    <w:rsid w:val="0011155B"/>
    <w:rsid w:val="00111A6A"/>
    <w:rsid w:val="0011606C"/>
    <w:rsid w:val="001204BD"/>
    <w:rsid w:val="00121BF1"/>
    <w:rsid w:val="00122FA6"/>
    <w:rsid w:val="00127A8B"/>
    <w:rsid w:val="001333F4"/>
    <w:rsid w:val="00134BE5"/>
    <w:rsid w:val="001412D1"/>
    <w:rsid w:val="001423E3"/>
    <w:rsid w:val="001475EA"/>
    <w:rsid w:val="001504F5"/>
    <w:rsid w:val="001517BD"/>
    <w:rsid w:val="00153498"/>
    <w:rsid w:val="001552EE"/>
    <w:rsid w:val="00161F2A"/>
    <w:rsid w:val="00164E1A"/>
    <w:rsid w:val="0017248D"/>
    <w:rsid w:val="00173626"/>
    <w:rsid w:val="0017614A"/>
    <w:rsid w:val="00177BBA"/>
    <w:rsid w:val="001817CD"/>
    <w:rsid w:val="0018235E"/>
    <w:rsid w:val="0018768C"/>
    <w:rsid w:val="00192BA0"/>
    <w:rsid w:val="00197303"/>
    <w:rsid w:val="001A17EA"/>
    <w:rsid w:val="001A1D17"/>
    <w:rsid w:val="001A22AA"/>
    <w:rsid w:val="001A7A18"/>
    <w:rsid w:val="001B1565"/>
    <w:rsid w:val="001B166D"/>
    <w:rsid w:val="001B2321"/>
    <w:rsid w:val="001B28B5"/>
    <w:rsid w:val="001B2975"/>
    <w:rsid w:val="001B3233"/>
    <w:rsid w:val="001C122D"/>
    <w:rsid w:val="001D2A82"/>
    <w:rsid w:val="001D569B"/>
    <w:rsid w:val="001D79D5"/>
    <w:rsid w:val="001E0EA3"/>
    <w:rsid w:val="001E4995"/>
    <w:rsid w:val="001E7A42"/>
    <w:rsid w:val="001F09DC"/>
    <w:rsid w:val="001F43E6"/>
    <w:rsid w:val="0020041A"/>
    <w:rsid w:val="00213772"/>
    <w:rsid w:val="00220749"/>
    <w:rsid w:val="0022422C"/>
    <w:rsid w:val="0022724E"/>
    <w:rsid w:val="00230666"/>
    <w:rsid w:val="00231153"/>
    <w:rsid w:val="0023252E"/>
    <w:rsid w:val="00241C31"/>
    <w:rsid w:val="00264517"/>
    <w:rsid w:val="002679D5"/>
    <w:rsid w:val="002714FD"/>
    <w:rsid w:val="00275F94"/>
    <w:rsid w:val="00281B9C"/>
    <w:rsid w:val="00284C9B"/>
    <w:rsid w:val="002A141B"/>
    <w:rsid w:val="002A26B6"/>
    <w:rsid w:val="002A370A"/>
    <w:rsid w:val="002A61AF"/>
    <w:rsid w:val="002A6A4E"/>
    <w:rsid w:val="002B1115"/>
    <w:rsid w:val="002B5A85"/>
    <w:rsid w:val="002B63A7"/>
    <w:rsid w:val="002C3591"/>
    <w:rsid w:val="002C5543"/>
    <w:rsid w:val="002D0F7F"/>
    <w:rsid w:val="002D7AF9"/>
    <w:rsid w:val="002E0198"/>
    <w:rsid w:val="002E1C24"/>
    <w:rsid w:val="002E1D7C"/>
    <w:rsid w:val="002F449B"/>
    <w:rsid w:val="002F4D86"/>
    <w:rsid w:val="002F5D69"/>
    <w:rsid w:val="002F7C77"/>
    <w:rsid w:val="0030097C"/>
    <w:rsid w:val="00300CB3"/>
    <w:rsid w:val="0030394B"/>
    <w:rsid w:val="003047B1"/>
    <w:rsid w:val="00304A6B"/>
    <w:rsid w:val="003072C6"/>
    <w:rsid w:val="00310D8E"/>
    <w:rsid w:val="00315BBD"/>
    <w:rsid w:val="0031753A"/>
    <w:rsid w:val="00320293"/>
    <w:rsid w:val="00320A0B"/>
    <w:rsid w:val="00322CC2"/>
    <w:rsid w:val="00323D24"/>
    <w:rsid w:val="003271DC"/>
    <w:rsid w:val="00332323"/>
    <w:rsid w:val="00334B54"/>
    <w:rsid w:val="0033739E"/>
    <w:rsid w:val="00343733"/>
    <w:rsid w:val="00355886"/>
    <w:rsid w:val="00356814"/>
    <w:rsid w:val="00357DAF"/>
    <w:rsid w:val="00374A67"/>
    <w:rsid w:val="0038019F"/>
    <w:rsid w:val="00380DF8"/>
    <w:rsid w:val="00382071"/>
    <w:rsid w:val="00390684"/>
    <w:rsid w:val="00392EE0"/>
    <w:rsid w:val="003A2F25"/>
    <w:rsid w:val="003A3844"/>
    <w:rsid w:val="003A47A4"/>
    <w:rsid w:val="003A7235"/>
    <w:rsid w:val="003B2807"/>
    <w:rsid w:val="003B7CCE"/>
    <w:rsid w:val="003C68F2"/>
    <w:rsid w:val="003D5CFB"/>
    <w:rsid w:val="003E223C"/>
    <w:rsid w:val="003E2636"/>
    <w:rsid w:val="003E2E12"/>
    <w:rsid w:val="003E5912"/>
    <w:rsid w:val="003F0ABF"/>
    <w:rsid w:val="003F39CE"/>
    <w:rsid w:val="00401108"/>
    <w:rsid w:val="00402927"/>
    <w:rsid w:val="00403CD2"/>
    <w:rsid w:val="00404F63"/>
    <w:rsid w:val="00407993"/>
    <w:rsid w:val="00411833"/>
    <w:rsid w:val="00412F64"/>
    <w:rsid w:val="00417BEB"/>
    <w:rsid w:val="004324FF"/>
    <w:rsid w:val="00432A55"/>
    <w:rsid w:val="0044260A"/>
    <w:rsid w:val="00444D82"/>
    <w:rsid w:val="0045237F"/>
    <w:rsid w:val="004564C6"/>
    <w:rsid w:val="004610CC"/>
    <w:rsid w:val="00465464"/>
    <w:rsid w:val="00465E87"/>
    <w:rsid w:val="00475715"/>
    <w:rsid w:val="0047786A"/>
    <w:rsid w:val="00477A65"/>
    <w:rsid w:val="00481A3F"/>
    <w:rsid w:val="00482DB3"/>
    <w:rsid w:val="004A0236"/>
    <w:rsid w:val="004A369A"/>
    <w:rsid w:val="004A3B3E"/>
    <w:rsid w:val="004C5777"/>
    <w:rsid w:val="004D0173"/>
    <w:rsid w:val="004D1056"/>
    <w:rsid w:val="004E0A4C"/>
    <w:rsid w:val="004E1EDE"/>
    <w:rsid w:val="004E21E2"/>
    <w:rsid w:val="004E293F"/>
    <w:rsid w:val="004E380D"/>
    <w:rsid w:val="004E4F45"/>
    <w:rsid w:val="004E7922"/>
    <w:rsid w:val="004F0DFC"/>
    <w:rsid w:val="004F3441"/>
    <w:rsid w:val="004F41B2"/>
    <w:rsid w:val="004F4AFC"/>
    <w:rsid w:val="004F52A5"/>
    <w:rsid w:val="00500C8C"/>
    <w:rsid w:val="00501375"/>
    <w:rsid w:val="00501D3B"/>
    <w:rsid w:val="005022C9"/>
    <w:rsid w:val="00506D7C"/>
    <w:rsid w:val="0050779D"/>
    <w:rsid w:val="0051357C"/>
    <w:rsid w:val="005139EA"/>
    <w:rsid w:val="00520BBB"/>
    <w:rsid w:val="00525456"/>
    <w:rsid w:val="005273F7"/>
    <w:rsid w:val="00532236"/>
    <w:rsid w:val="00533FDB"/>
    <w:rsid w:val="00541DFE"/>
    <w:rsid w:val="00543038"/>
    <w:rsid w:val="00543E6C"/>
    <w:rsid w:val="00544184"/>
    <w:rsid w:val="005515CE"/>
    <w:rsid w:val="005552FD"/>
    <w:rsid w:val="0055661D"/>
    <w:rsid w:val="00557F30"/>
    <w:rsid w:val="005600E5"/>
    <w:rsid w:val="00563E7E"/>
    <w:rsid w:val="00564E8F"/>
    <w:rsid w:val="00571BF3"/>
    <w:rsid w:val="005728A4"/>
    <w:rsid w:val="00572A92"/>
    <w:rsid w:val="005763FC"/>
    <w:rsid w:val="00576EB4"/>
    <w:rsid w:val="00582768"/>
    <w:rsid w:val="00583461"/>
    <w:rsid w:val="005856A4"/>
    <w:rsid w:val="00586B38"/>
    <w:rsid w:val="00590730"/>
    <w:rsid w:val="005A3051"/>
    <w:rsid w:val="005A53FE"/>
    <w:rsid w:val="005B7D22"/>
    <w:rsid w:val="005C029E"/>
    <w:rsid w:val="005E085D"/>
    <w:rsid w:val="005E3FA7"/>
    <w:rsid w:val="005E7963"/>
    <w:rsid w:val="005E7E50"/>
    <w:rsid w:val="005F09F0"/>
    <w:rsid w:val="005F218C"/>
    <w:rsid w:val="005F4523"/>
    <w:rsid w:val="005F4E43"/>
    <w:rsid w:val="0060003D"/>
    <w:rsid w:val="00601D4D"/>
    <w:rsid w:val="006021B4"/>
    <w:rsid w:val="00605B5B"/>
    <w:rsid w:val="006062D8"/>
    <w:rsid w:val="00606827"/>
    <w:rsid w:val="00620262"/>
    <w:rsid w:val="00621B4C"/>
    <w:rsid w:val="00626110"/>
    <w:rsid w:val="00627428"/>
    <w:rsid w:val="00627C52"/>
    <w:rsid w:val="00630937"/>
    <w:rsid w:val="006400EB"/>
    <w:rsid w:val="00651F57"/>
    <w:rsid w:val="00653B84"/>
    <w:rsid w:val="00653E0D"/>
    <w:rsid w:val="00655D04"/>
    <w:rsid w:val="00662FDD"/>
    <w:rsid w:val="00671582"/>
    <w:rsid w:val="00685D69"/>
    <w:rsid w:val="006865C8"/>
    <w:rsid w:val="00686B48"/>
    <w:rsid w:val="00687038"/>
    <w:rsid w:val="0068714E"/>
    <w:rsid w:val="006929F7"/>
    <w:rsid w:val="0069374A"/>
    <w:rsid w:val="00694AB8"/>
    <w:rsid w:val="00695EF7"/>
    <w:rsid w:val="0069699D"/>
    <w:rsid w:val="006A059F"/>
    <w:rsid w:val="006B2C51"/>
    <w:rsid w:val="006B6361"/>
    <w:rsid w:val="006C531D"/>
    <w:rsid w:val="006D360C"/>
    <w:rsid w:val="006D5AC9"/>
    <w:rsid w:val="006D66ED"/>
    <w:rsid w:val="006E786B"/>
    <w:rsid w:val="006F3CF1"/>
    <w:rsid w:val="006F725A"/>
    <w:rsid w:val="007002B1"/>
    <w:rsid w:val="00704EB7"/>
    <w:rsid w:val="00705742"/>
    <w:rsid w:val="007104FE"/>
    <w:rsid w:val="007121A2"/>
    <w:rsid w:val="00713981"/>
    <w:rsid w:val="00713A5C"/>
    <w:rsid w:val="007176D6"/>
    <w:rsid w:val="00722289"/>
    <w:rsid w:val="007259D7"/>
    <w:rsid w:val="00727D54"/>
    <w:rsid w:val="007344C5"/>
    <w:rsid w:val="00734959"/>
    <w:rsid w:val="00735137"/>
    <w:rsid w:val="0073520D"/>
    <w:rsid w:val="007572E4"/>
    <w:rsid w:val="00763956"/>
    <w:rsid w:val="0076569E"/>
    <w:rsid w:val="007668D0"/>
    <w:rsid w:val="00775466"/>
    <w:rsid w:val="00780226"/>
    <w:rsid w:val="00781AB4"/>
    <w:rsid w:val="007871D5"/>
    <w:rsid w:val="007923B7"/>
    <w:rsid w:val="00792616"/>
    <w:rsid w:val="007926BB"/>
    <w:rsid w:val="0079344C"/>
    <w:rsid w:val="007960E9"/>
    <w:rsid w:val="007A0283"/>
    <w:rsid w:val="007A0723"/>
    <w:rsid w:val="007C02C7"/>
    <w:rsid w:val="007C21EE"/>
    <w:rsid w:val="007D3A2E"/>
    <w:rsid w:val="007D6652"/>
    <w:rsid w:val="007E00CC"/>
    <w:rsid w:val="007E343D"/>
    <w:rsid w:val="007F4383"/>
    <w:rsid w:val="00801601"/>
    <w:rsid w:val="00804A0C"/>
    <w:rsid w:val="00810991"/>
    <w:rsid w:val="00814A9B"/>
    <w:rsid w:val="00814F66"/>
    <w:rsid w:val="00817C9E"/>
    <w:rsid w:val="008205AF"/>
    <w:rsid w:val="008225E5"/>
    <w:rsid w:val="008303DF"/>
    <w:rsid w:val="00831053"/>
    <w:rsid w:val="008314D2"/>
    <w:rsid w:val="0083254D"/>
    <w:rsid w:val="0083420F"/>
    <w:rsid w:val="00834ACC"/>
    <w:rsid w:val="00836249"/>
    <w:rsid w:val="00836F00"/>
    <w:rsid w:val="008411CE"/>
    <w:rsid w:val="00846192"/>
    <w:rsid w:val="00850806"/>
    <w:rsid w:val="00856A1B"/>
    <w:rsid w:val="00861D13"/>
    <w:rsid w:val="008621C3"/>
    <w:rsid w:val="00865486"/>
    <w:rsid w:val="00876275"/>
    <w:rsid w:val="00882B99"/>
    <w:rsid w:val="00886121"/>
    <w:rsid w:val="00890D2F"/>
    <w:rsid w:val="008A295B"/>
    <w:rsid w:val="008A61BA"/>
    <w:rsid w:val="008A6604"/>
    <w:rsid w:val="008B5482"/>
    <w:rsid w:val="008C11F4"/>
    <w:rsid w:val="008C180D"/>
    <w:rsid w:val="008C2BEC"/>
    <w:rsid w:val="008C6523"/>
    <w:rsid w:val="008C6D0E"/>
    <w:rsid w:val="008D09D2"/>
    <w:rsid w:val="008D39C5"/>
    <w:rsid w:val="008E1D89"/>
    <w:rsid w:val="008E3E3E"/>
    <w:rsid w:val="008F2F5D"/>
    <w:rsid w:val="008F5F87"/>
    <w:rsid w:val="00900A34"/>
    <w:rsid w:val="00907073"/>
    <w:rsid w:val="00912548"/>
    <w:rsid w:val="0092000B"/>
    <w:rsid w:val="009208F5"/>
    <w:rsid w:val="0092495D"/>
    <w:rsid w:val="009266E1"/>
    <w:rsid w:val="00927D51"/>
    <w:rsid w:val="00932272"/>
    <w:rsid w:val="00932862"/>
    <w:rsid w:val="00933A6B"/>
    <w:rsid w:val="00935D60"/>
    <w:rsid w:val="009447BB"/>
    <w:rsid w:val="00944C48"/>
    <w:rsid w:val="00946335"/>
    <w:rsid w:val="009513C4"/>
    <w:rsid w:val="00955E55"/>
    <w:rsid w:val="00962200"/>
    <w:rsid w:val="00966F54"/>
    <w:rsid w:val="009677A8"/>
    <w:rsid w:val="00967CE5"/>
    <w:rsid w:val="00975E61"/>
    <w:rsid w:val="00976E31"/>
    <w:rsid w:val="009777E3"/>
    <w:rsid w:val="00977C63"/>
    <w:rsid w:val="00980087"/>
    <w:rsid w:val="00980C0B"/>
    <w:rsid w:val="009827BF"/>
    <w:rsid w:val="0098524F"/>
    <w:rsid w:val="00985F83"/>
    <w:rsid w:val="00987ABE"/>
    <w:rsid w:val="009906C7"/>
    <w:rsid w:val="009963CD"/>
    <w:rsid w:val="009A31F1"/>
    <w:rsid w:val="009B266D"/>
    <w:rsid w:val="009B5CBF"/>
    <w:rsid w:val="009B7ADC"/>
    <w:rsid w:val="009C184A"/>
    <w:rsid w:val="009C2CA5"/>
    <w:rsid w:val="009C394B"/>
    <w:rsid w:val="009D366F"/>
    <w:rsid w:val="009D3E45"/>
    <w:rsid w:val="009D6271"/>
    <w:rsid w:val="009D658B"/>
    <w:rsid w:val="009F31D3"/>
    <w:rsid w:val="009F351F"/>
    <w:rsid w:val="009F3F89"/>
    <w:rsid w:val="009F480E"/>
    <w:rsid w:val="009F5E8C"/>
    <w:rsid w:val="00A022A2"/>
    <w:rsid w:val="00A02D15"/>
    <w:rsid w:val="00A11403"/>
    <w:rsid w:val="00A17D96"/>
    <w:rsid w:val="00A269EE"/>
    <w:rsid w:val="00A26B0D"/>
    <w:rsid w:val="00A3735A"/>
    <w:rsid w:val="00A42F1B"/>
    <w:rsid w:val="00A546BC"/>
    <w:rsid w:val="00A55989"/>
    <w:rsid w:val="00A5694A"/>
    <w:rsid w:val="00A61BAF"/>
    <w:rsid w:val="00A63DA4"/>
    <w:rsid w:val="00A75CD5"/>
    <w:rsid w:val="00A83DF3"/>
    <w:rsid w:val="00A85915"/>
    <w:rsid w:val="00A952AB"/>
    <w:rsid w:val="00A9783D"/>
    <w:rsid w:val="00AA4575"/>
    <w:rsid w:val="00AA45E6"/>
    <w:rsid w:val="00AA5A37"/>
    <w:rsid w:val="00AB489C"/>
    <w:rsid w:val="00AB50C1"/>
    <w:rsid w:val="00AB6936"/>
    <w:rsid w:val="00AC0C3B"/>
    <w:rsid w:val="00AC2D63"/>
    <w:rsid w:val="00AD03D8"/>
    <w:rsid w:val="00AD0711"/>
    <w:rsid w:val="00AD704E"/>
    <w:rsid w:val="00AE21DC"/>
    <w:rsid w:val="00AE5FE0"/>
    <w:rsid w:val="00AE60B7"/>
    <w:rsid w:val="00AF2AB7"/>
    <w:rsid w:val="00AF2B1C"/>
    <w:rsid w:val="00AF425F"/>
    <w:rsid w:val="00AF4D3F"/>
    <w:rsid w:val="00B0300B"/>
    <w:rsid w:val="00B05457"/>
    <w:rsid w:val="00B128A0"/>
    <w:rsid w:val="00B20240"/>
    <w:rsid w:val="00B23281"/>
    <w:rsid w:val="00B27571"/>
    <w:rsid w:val="00B4164B"/>
    <w:rsid w:val="00B442BA"/>
    <w:rsid w:val="00B46638"/>
    <w:rsid w:val="00B467C5"/>
    <w:rsid w:val="00B5409A"/>
    <w:rsid w:val="00B55574"/>
    <w:rsid w:val="00B6525D"/>
    <w:rsid w:val="00B65ABA"/>
    <w:rsid w:val="00B6790F"/>
    <w:rsid w:val="00B71B3B"/>
    <w:rsid w:val="00B87D61"/>
    <w:rsid w:val="00B93948"/>
    <w:rsid w:val="00B94C36"/>
    <w:rsid w:val="00BA4BC7"/>
    <w:rsid w:val="00BA55B7"/>
    <w:rsid w:val="00BA5E47"/>
    <w:rsid w:val="00BA7D57"/>
    <w:rsid w:val="00BB156E"/>
    <w:rsid w:val="00BB3330"/>
    <w:rsid w:val="00BB47D7"/>
    <w:rsid w:val="00BB4A62"/>
    <w:rsid w:val="00BC01C1"/>
    <w:rsid w:val="00BC5A34"/>
    <w:rsid w:val="00BD17F5"/>
    <w:rsid w:val="00BD6E05"/>
    <w:rsid w:val="00BE54D0"/>
    <w:rsid w:val="00BF2C21"/>
    <w:rsid w:val="00BF6B6C"/>
    <w:rsid w:val="00BF7251"/>
    <w:rsid w:val="00BF7F28"/>
    <w:rsid w:val="00C01909"/>
    <w:rsid w:val="00C05787"/>
    <w:rsid w:val="00C13059"/>
    <w:rsid w:val="00C156D4"/>
    <w:rsid w:val="00C167A3"/>
    <w:rsid w:val="00C17898"/>
    <w:rsid w:val="00C2181C"/>
    <w:rsid w:val="00C2657D"/>
    <w:rsid w:val="00C36249"/>
    <w:rsid w:val="00C416E1"/>
    <w:rsid w:val="00C4617F"/>
    <w:rsid w:val="00C47BF8"/>
    <w:rsid w:val="00C51B1C"/>
    <w:rsid w:val="00C53DCE"/>
    <w:rsid w:val="00C64404"/>
    <w:rsid w:val="00C655F2"/>
    <w:rsid w:val="00C65B61"/>
    <w:rsid w:val="00C70E53"/>
    <w:rsid w:val="00C72979"/>
    <w:rsid w:val="00C81529"/>
    <w:rsid w:val="00C81BA6"/>
    <w:rsid w:val="00C8233F"/>
    <w:rsid w:val="00C8377C"/>
    <w:rsid w:val="00C87485"/>
    <w:rsid w:val="00C877CD"/>
    <w:rsid w:val="00C902E9"/>
    <w:rsid w:val="00C908B7"/>
    <w:rsid w:val="00C91D81"/>
    <w:rsid w:val="00C92A42"/>
    <w:rsid w:val="00CA18F2"/>
    <w:rsid w:val="00CA4871"/>
    <w:rsid w:val="00CA6722"/>
    <w:rsid w:val="00CA6D4E"/>
    <w:rsid w:val="00CA7B4B"/>
    <w:rsid w:val="00CB36A8"/>
    <w:rsid w:val="00CB6ECC"/>
    <w:rsid w:val="00CC139A"/>
    <w:rsid w:val="00CC1E7A"/>
    <w:rsid w:val="00CC4F64"/>
    <w:rsid w:val="00CD058C"/>
    <w:rsid w:val="00CD3B98"/>
    <w:rsid w:val="00CD4216"/>
    <w:rsid w:val="00CD733F"/>
    <w:rsid w:val="00CE0940"/>
    <w:rsid w:val="00CE0942"/>
    <w:rsid w:val="00CE7CA5"/>
    <w:rsid w:val="00CF1D81"/>
    <w:rsid w:val="00CF2DC9"/>
    <w:rsid w:val="00CF3530"/>
    <w:rsid w:val="00CF7CB6"/>
    <w:rsid w:val="00D16117"/>
    <w:rsid w:val="00D173DB"/>
    <w:rsid w:val="00D311AB"/>
    <w:rsid w:val="00D325A8"/>
    <w:rsid w:val="00D4374C"/>
    <w:rsid w:val="00D442AD"/>
    <w:rsid w:val="00D45DB8"/>
    <w:rsid w:val="00D52275"/>
    <w:rsid w:val="00D5618A"/>
    <w:rsid w:val="00D5784B"/>
    <w:rsid w:val="00D63EFB"/>
    <w:rsid w:val="00D64254"/>
    <w:rsid w:val="00D658AF"/>
    <w:rsid w:val="00D83DE9"/>
    <w:rsid w:val="00D8450D"/>
    <w:rsid w:val="00D95AF9"/>
    <w:rsid w:val="00DA09C9"/>
    <w:rsid w:val="00DA1822"/>
    <w:rsid w:val="00DA2F9A"/>
    <w:rsid w:val="00DB3497"/>
    <w:rsid w:val="00DB4D59"/>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23AD9"/>
    <w:rsid w:val="00E30414"/>
    <w:rsid w:val="00E363FC"/>
    <w:rsid w:val="00E40769"/>
    <w:rsid w:val="00E42E8B"/>
    <w:rsid w:val="00E54F2A"/>
    <w:rsid w:val="00E5529C"/>
    <w:rsid w:val="00E60F12"/>
    <w:rsid w:val="00E652FB"/>
    <w:rsid w:val="00E6651D"/>
    <w:rsid w:val="00E66C20"/>
    <w:rsid w:val="00E6758F"/>
    <w:rsid w:val="00E71C46"/>
    <w:rsid w:val="00E75ED2"/>
    <w:rsid w:val="00E8280C"/>
    <w:rsid w:val="00E83E4C"/>
    <w:rsid w:val="00E91933"/>
    <w:rsid w:val="00E92A81"/>
    <w:rsid w:val="00E969B1"/>
    <w:rsid w:val="00EB2A7D"/>
    <w:rsid w:val="00EB6552"/>
    <w:rsid w:val="00EC06C8"/>
    <w:rsid w:val="00EC18E6"/>
    <w:rsid w:val="00EC1984"/>
    <w:rsid w:val="00EC1CF8"/>
    <w:rsid w:val="00EC234C"/>
    <w:rsid w:val="00ED3529"/>
    <w:rsid w:val="00ED4D17"/>
    <w:rsid w:val="00EE6CD3"/>
    <w:rsid w:val="00EF20D7"/>
    <w:rsid w:val="00EF3419"/>
    <w:rsid w:val="00EF5C85"/>
    <w:rsid w:val="00F0119C"/>
    <w:rsid w:val="00F02BDB"/>
    <w:rsid w:val="00F033A2"/>
    <w:rsid w:val="00F0441B"/>
    <w:rsid w:val="00F07623"/>
    <w:rsid w:val="00F136FF"/>
    <w:rsid w:val="00F3136B"/>
    <w:rsid w:val="00F314F1"/>
    <w:rsid w:val="00F327EA"/>
    <w:rsid w:val="00F33641"/>
    <w:rsid w:val="00F42812"/>
    <w:rsid w:val="00F42842"/>
    <w:rsid w:val="00F45D80"/>
    <w:rsid w:val="00F46E40"/>
    <w:rsid w:val="00F4760A"/>
    <w:rsid w:val="00F52B8E"/>
    <w:rsid w:val="00F53CFD"/>
    <w:rsid w:val="00F54AF5"/>
    <w:rsid w:val="00F557E3"/>
    <w:rsid w:val="00F604FA"/>
    <w:rsid w:val="00F61E78"/>
    <w:rsid w:val="00F635C5"/>
    <w:rsid w:val="00F65066"/>
    <w:rsid w:val="00F736E3"/>
    <w:rsid w:val="00F767E8"/>
    <w:rsid w:val="00F83A49"/>
    <w:rsid w:val="00F86A3F"/>
    <w:rsid w:val="00F91297"/>
    <w:rsid w:val="00F9133B"/>
    <w:rsid w:val="00F9144D"/>
    <w:rsid w:val="00F96AF8"/>
    <w:rsid w:val="00F97730"/>
    <w:rsid w:val="00FA5CCB"/>
    <w:rsid w:val="00FB32A4"/>
    <w:rsid w:val="00FB594D"/>
    <w:rsid w:val="00FB775F"/>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lsdException w:name="annotation subject" w:uiPriority="0"/>
    <w:lsdException w:name="Table Columns 2" w:uiPriority="0"/>
    <w:lsdException w:name="Balloon Text" w:uiPriority="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0"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qFormat/>
    <w:rsid w:val="007668D0"/>
    <w:pPr>
      <w:tabs>
        <w:tab w:val="num" w:pos="1152"/>
      </w:tabs>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7668D0"/>
    <w:pPr>
      <w:tabs>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link w:val="Heading8Char"/>
    <w:qFormat/>
    <w:rsid w:val="007668D0"/>
    <w:pPr>
      <w:tabs>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link w:val="Heading9Char"/>
    <w:qFormat/>
    <w:rsid w:val="007668D0"/>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rsid w:val="0031753A"/>
  </w:style>
  <w:style w:type="character" w:styleId="FollowedHyperlink">
    <w:name w:val="FollowedHyperlink"/>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rsid w:val="007668D0"/>
    <w:rPr>
      <w:b/>
      <w:bCs/>
      <w:sz w:val="22"/>
      <w:szCs w:val="22"/>
      <w:lang w:eastAsia="en-US"/>
    </w:rPr>
  </w:style>
  <w:style w:type="character" w:customStyle="1" w:styleId="Heading7Char">
    <w:name w:val="Heading 7 Char"/>
    <w:basedOn w:val="DefaultParagraphFont"/>
    <w:link w:val="Heading7"/>
    <w:rsid w:val="007668D0"/>
    <w:rPr>
      <w:sz w:val="24"/>
      <w:szCs w:val="24"/>
      <w:lang w:eastAsia="en-US"/>
    </w:rPr>
  </w:style>
  <w:style w:type="character" w:customStyle="1" w:styleId="Heading8Char">
    <w:name w:val="Heading 8 Char"/>
    <w:basedOn w:val="DefaultParagraphFont"/>
    <w:link w:val="Heading8"/>
    <w:rsid w:val="007668D0"/>
    <w:rPr>
      <w:i/>
      <w:iCs/>
      <w:sz w:val="24"/>
      <w:szCs w:val="24"/>
      <w:lang w:eastAsia="en-US"/>
    </w:rPr>
  </w:style>
  <w:style w:type="character" w:customStyle="1" w:styleId="Heading9Char">
    <w:name w:val="Heading 9 Char"/>
    <w:basedOn w:val="DefaultParagraphFont"/>
    <w:link w:val="Heading9"/>
    <w:rsid w:val="007668D0"/>
    <w:rPr>
      <w:rFonts w:ascii="Arial" w:hAnsi="Arial" w:cs="Arial"/>
      <w:sz w:val="22"/>
      <w:szCs w:val="22"/>
      <w:lang w:eastAsia="en-US"/>
    </w:rPr>
  </w:style>
  <w:style w:type="paragraph" w:styleId="BodyText">
    <w:name w:val="Body Text"/>
    <w:basedOn w:val="Normal"/>
    <w:link w:val="BodyTextChar"/>
    <w:rsid w:val="007668D0"/>
    <w:pPr>
      <w:spacing w:after="284" w:line="280" w:lineRule="atLeast"/>
    </w:pPr>
    <w:rPr>
      <w:rFonts w:ascii="Garamond" w:hAnsi="Garamond" w:cs="Arial"/>
      <w:sz w:val="22"/>
    </w:rPr>
  </w:style>
  <w:style w:type="character" w:customStyle="1" w:styleId="BodyTextChar">
    <w:name w:val="Body Text Char"/>
    <w:basedOn w:val="DefaultParagraphFont"/>
    <w:link w:val="BodyText"/>
    <w:rsid w:val="007668D0"/>
    <w:rPr>
      <w:rFonts w:ascii="Garamond" w:hAnsi="Garamond" w:cs="Arial"/>
      <w:sz w:val="22"/>
      <w:lang w:eastAsia="en-US"/>
    </w:rPr>
  </w:style>
  <w:style w:type="paragraph" w:styleId="ListBullet">
    <w:name w:val="List Bullet"/>
    <w:basedOn w:val="Normal"/>
    <w:link w:val="ListBulletChar1"/>
    <w:rsid w:val="007668D0"/>
    <w:pPr>
      <w:numPr>
        <w:numId w:val="8"/>
      </w:numPr>
      <w:spacing w:after="20" w:line="280" w:lineRule="atLeast"/>
    </w:pPr>
    <w:rPr>
      <w:rFonts w:ascii="Garamond" w:hAnsi="Garamond" w:cs="Arial"/>
      <w:sz w:val="22"/>
    </w:rPr>
  </w:style>
  <w:style w:type="paragraph" w:styleId="ListNumber">
    <w:name w:val="List Number"/>
    <w:basedOn w:val="Normal"/>
    <w:rsid w:val="007668D0"/>
    <w:pPr>
      <w:numPr>
        <w:numId w:val="10"/>
      </w:numPr>
      <w:spacing w:after="284" w:line="280" w:lineRule="atLeast"/>
    </w:pPr>
    <w:rPr>
      <w:rFonts w:ascii="Garamond" w:hAnsi="Garamond" w:cs="Arial"/>
      <w:sz w:val="22"/>
    </w:rPr>
  </w:style>
  <w:style w:type="paragraph" w:customStyle="1" w:styleId="AppendixTitle">
    <w:name w:val="Appendix Title"/>
    <w:basedOn w:val="Normal"/>
    <w:next w:val="BodyText"/>
    <w:rsid w:val="007668D0"/>
    <w:pPr>
      <w:spacing w:after="2520"/>
    </w:pPr>
    <w:rPr>
      <w:rFonts w:ascii="Garamond" w:hAnsi="Garamond" w:cs="Arial"/>
      <w:bCs/>
      <w:kern w:val="28"/>
      <w:sz w:val="48"/>
      <w:szCs w:val="32"/>
    </w:rPr>
  </w:style>
  <w:style w:type="paragraph" w:styleId="ListBullet2">
    <w:name w:val="List Bullet 2"/>
    <w:basedOn w:val="Normal"/>
    <w:rsid w:val="007668D0"/>
    <w:pPr>
      <w:numPr>
        <w:ilvl w:val="1"/>
        <w:numId w:val="8"/>
      </w:numPr>
      <w:spacing w:after="20" w:line="260" w:lineRule="atLeast"/>
    </w:pPr>
    <w:rPr>
      <w:rFonts w:ascii="Garamond" w:hAnsi="Garamond" w:cs="Arial"/>
      <w:sz w:val="22"/>
    </w:rPr>
  </w:style>
  <w:style w:type="paragraph" w:styleId="ListNumber2">
    <w:name w:val="List Number 2"/>
    <w:basedOn w:val="Normal"/>
    <w:rsid w:val="007668D0"/>
    <w:pPr>
      <w:numPr>
        <w:ilvl w:val="1"/>
        <w:numId w:val="10"/>
      </w:numPr>
      <w:spacing w:after="284" w:line="280" w:lineRule="atLeast"/>
    </w:pPr>
    <w:rPr>
      <w:rFonts w:ascii="Garamond" w:hAnsi="Garamond" w:cs="Arial"/>
      <w:sz w:val="22"/>
    </w:rPr>
  </w:style>
  <w:style w:type="paragraph" w:styleId="ListNumber3">
    <w:name w:val="List Number 3"/>
    <w:basedOn w:val="Normal"/>
    <w:rsid w:val="007668D0"/>
    <w:pPr>
      <w:numPr>
        <w:ilvl w:val="2"/>
        <w:numId w:val="10"/>
      </w:numPr>
      <w:spacing w:after="284" w:line="280" w:lineRule="atLeast"/>
    </w:pPr>
    <w:rPr>
      <w:rFonts w:ascii="Garamond" w:hAnsi="Garamond" w:cs="Arial"/>
      <w:sz w:val="22"/>
    </w:rPr>
  </w:style>
  <w:style w:type="paragraph" w:customStyle="1" w:styleId="MarginNotes">
    <w:name w:val="Margin Notes"/>
    <w:rsid w:val="007668D0"/>
    <w:rPr>
      <w:rFonts w:ascii="Arial" w:hAnsi="Arial" w:cs="Arial"/>
      <w:sz w:val="16"/>
      <w:lang w:val="en-GB" w:eastAsia="en-US"/>
    </w:rPr>
  </w:style>
  <w:style w:type="paragraph" w:customStyle="1" w:styleId="SectionTitle">
    <w:name w:val="Section Title"/>
    <w:next w:val="BodyText"/>
    <w:rsid w:val="007668D0"/>
    <w:pPr>
      <w:spacing w:after="2520"/>
    </w:pPr>
    <w:rPr>
      <w:rFonts w:ascii="Garamond" w:hAnsi="Garamond" w:cs="Arial"/>
      <w:sz w:val="48"/>
      <w:lang w:val="en-GB" w:eastAsia="en-US"/>
    </w:rPr>
  </w:style>
  <w:style w:type="paragraph" w:customStyle="1" w:styleId="TableHeading">
    <w:name w:val="Table Heading"/>
    <w:link w:val="TableHeadingChar"/>
    <w:rsid w:val="007668D0"/>
    <w:rPr>
      <w:rFonts w:ascii="Arial" w:hAnsi="Arial" w:cs="Arial"/>
      <w:b/>
      <w:bCs/>
      <w:kern w:val="28"/>
      <w:sz w:val="16"/>
      <w:szCs w:val="32"/>
      <w:lang w:val="en-GB" w:eastAsia="en-US"/>
    </w:rPr>
  </w:style>
  <w:style w:type="paragraph" w:customStyle="1" w:styleId="TableText">
    <w:name w:val="Table Text"/>
    <w:link w:val="TableTextChar"/>
    <w:rsid w:val="007668D0"/>
    <w:rPr>
      <w:rFonts w:ascii="Arial" w:hAnsi="Arial" w:cs="Arial"/>
      <w:sz w:val="16"/>
      <w:lang w:val="en-GB" w:eastAsia="en-US"/>
    </w:rPr>
  </w:style>
  <w:style w:type="paragraph" w:customStyle="1" w:styleId="TintBoxTextBlack">
    <w:name w:val="Tint Box Text Black"/>
    <w:rsid w:val="007668D0"/>
    <w:pPr>
      <w:spacing w:after="280" w:line="280" w:lineRule="atLeast"/>
    </w:pPr>
    <w:rPr>
      <w:rFonts w:ascii="Arial" w:hAnsi="Arial" w:cs="Arial"/>
      <w:b/>
      <w:lang w:val="en-GB" w:eastAsia="en-US"/>
    </w:rPr>
  </w:style>
  <w:style w:type="paragraph" w:customStyle="1" w:styleId="TintBoxTextWhite">
    <w:name w:val="Tint Box Text White"/>
    <w:basedOn w:val="TintBoxTextBlack"/>
    <w:rsid w:val="007668D0"/>
    <w:rPr>
      <w:color w:val="FFFFFF"/>
    </w:rPr>
  </w:style>
  <w:style w:type="paragraph" w:customStyle="1" w:styleId="Contents">
    <w:name w:val="Contents"/>
    <w:next w:val="Normal"/>
    <w:rsid w:val="007668D0"/>
    <w:pPr>
      <w:spacing w:after="2520" w:line="580" w:lineRule="atLeast"/>
    </w:pPr>
    <w:rPr>
      <w:rFonts w:ascii="Garamond" w:hAnsi="Garamond" w:cs="Arial"/>
      <w:sz w:val="66"/>
      <w:lang w:val="en-GB" w:eastAsia="en-US"/>
    </w:rPr>
  </w:style>
  <w:style w:type="paragraph" w:customStyle="1" w:styleId="ChapterTitle">
    <w:name w:val="Chapter Title"/>
    <w:basedOn w:val="Subtitle"/>
    <w:rsid w:val="007668D0"/>
    <w:pPr>
      <w:pBdr>
        <w:bottom w:val="single" w:sz="4" w:space="5" w:color="auto"/>
      </w:pBdr>
      <w:spacing w:after="0" w:line="280" w:lineRule="atLeast"/>
      <w:jc w:val="left"/>
      <w:outlineLvl w:val="1"/>
    </w:pPr>
    <w:rPr>
      <w:rFonts w:ascii="Arial" w:hAnsi="Arial" w:cs="Arial"/>
      <w:bCs/>
      <w:kern w:val="28"/>
      <w:sz w:val="20"/>
      <w:lang w:val="en-GB"/>
    </w:rPr>
  </w:style>
  <w:style w:type="paragraph" w:customStyle="1" w:styleId="AppendicesTitle">
    <w:name w:val="Appendices Title"/>
    <w:basedOn w:val="Heading2"/>
    <w:next w:val="Normal"/>
    <w:rsid w:val="007668D0"/>
    <w:pPr>
      <w:keepLines w:val="0"/>
      <w:spacing w:before="0" w:after="0" w:line="260" w:lineRule="atLeast"/>
    </w:pPr>
    <w:rPr>
      <w:rFonts w:ascii="Arial Black" w:hAnsi="Arial Black" w:cs="Arial"/>
      <w:b w:val="0"/>
      <w:color w:val="auto"/>
      <w:kern w:val="32"/>
      <w:sz w:val="19"/>
      <w:szCs w:val="24"/>
    </w:rPr>
  </w:style>
  <w:style w:type="paragraph" w:customStyle="1" w:styleId="ReferenceTitle">
    <w:name w:val="Reference Title"/>
    <w:next w:val="ReferenceText"/>
    <w:rsid w:val="007668D0"/>
    <w:rPr>
      <w:rFonts w:ascii="Arial Black" w:hAnsi="Arial Black" w:cs="Arial"/>
      <w:kern w:val="32"/>
      <w:sz w:val="18"/>
      <w:szCs w:val="24"/>
      <w:lang w:val="en-GB" w:eastAsia="en-US"/>
    </w:rPr>
  </w:style>
  <w:style w:type="paragraph" w:customStyle="1" w:styleId="ReferenceText">
    <w:name w:val="Reference Text"/>
    <w:rsid w:val="007668D0"/>
    <w:rPr>
      <w:rFonts w:ascii="Arial" w:hAnsi="Arial" w:cs="Arial"/>
      <w:kern w:val="32"/>
      <w:sz w:val="18"/>
      <w:szCs w:val="24"/>
      <w:lang w:val="en-GB" w:eastAsia="en-US"/>
    </w:rPr>
  </w:style>
  <w:style w:type="paragraph" w:customStyle="1" w:styleId="Backpage">
    <w:name w:val="Back page"/>
    <w:rsid w:val="007668D0"/>
    <w:rPr>
      <w:rFonts w:ascii="Arial Black" w:hAnsi="Arial Black" w:cs="Arial"/>
      <w:sz w:val="18"/>
      <w:lang w:val="en-GB" w:eastAsia="en-US"/>
    </w:rPr>
  </w:style>
  <w:style w:type="paragraph" w:customStyle="1" w:styleId="Copyright">
    <w:name w:val="Copyright"/>
    <w:rsid w:val="007668D0"/>
    <w:pPr>
      <w:spacing w:line="220" w:lineRule="atLeast"/>
    </w:pPr>
    <w:rPr>
      <w:rFonts w:ascii="Garamond" w:hAnsi="Garamond" w:cs="Arial"/>
      <w:lang w:val="en-GB" w:eastAsia="en-US"/>
    </w:rPr>
  </w:style>
  <w:style w:type="paragraph" w:customStyle="1" w:styleId="TradingName">
    <w:name w:val="Trading Name"/>
    <w:semiHidden/>
    <w:rsid w:val="007668D0"/>
    <w:pPr>
      <w:spacing w:line="180" w:lineRule="atLeast"/>
    </w:pPr>
    <w:rPr>
      <w:rFonts w:ascii="Arial Narrow" w:hAnsi="Arial Narrow" w:cs="Arial"/>
      <w:b/>
      <w:sz w:val="14"/>
      <w:lang w:val="en-GB" w:eastAsia="en-US"/>
    </w:rPr>
  </w:style>
  <w:style w:type="paragraph" w:customStyle="1" w:styleId="PartnerAddress">
    <w:name w:val="Partner Address"/>
    <w:semiHidden/>
    <w:rsid w:val="007668D0"/>
    <w:rPr>
      <w:rFonts w:ascii="Arial Narrow" w:hAnsi="Arial Narrow" w:cs="Arial"/>
      <w:sz w:val="14"/>
      <w:lang w:val="en-GB" w:eastAsia="en-US"/>
    </w:rPr>
  </w:style>
  <w:style w:type="paragraph" w:customStyle="1" w:styleId="HalfLineBreak">
    <w:name w:val="Half Line Break"/>
    <w:semiHidden/>
    <w:rsid w:val="007668D0"/>
    <w:pPr>
      <w:framePr w:wrap="around" w:vAnchor="page" w:hAnchor="page" w:x="9016" w:y="3970"/>
      <w:suppressOverlap/>
    </w:pPr>
    <w:rPr>
      <w:rFonts w:ascii="Arial Narrow" w:hAnsi="Arial Narrow" w:cs="Arial"/>
      <w:b/>
      <w:sz w:val="7"/>
      <w:lang w:val="en-GB" w:eastAsia="en-US"/>
    </w:rPr>
  </w:style>
  <w:style w:type="paragraph" w:customStyle="1" w:styleId="LetterFooter">
    <w:name w:val="Letter Footer"/>
    <w:rsid w:val="007668D0"/>
    <w:pPr>
      <w:spacing w:line="140" w:lineRule="atLeast"/>
    </w:pPr>
    <w:rPr>
      <w:rFonts w:ascii="Arial Narrow" w:hAnsi="Arial Narrow" w:cs="Arial"/>
      <w:sz w:val="11"/>
      <w:lang w:val="en-GB" w:eastAsia="en-US"/>
    </w:rPr>
  </w:style>
  <w:style w:type="paragraph" w:customStyle="1" w:styleId="LetterFooterTitle">
    <w:name w:val="Letter Footer Title"/>
    <w:next w:val="Normal"/>
    <w:semiHidden/>
    <w:rsid w:val="007668D0"/>
    <w:pPr>
      <w:spacing w:line="140" w:lineRule="atLeast"/>
    </w:pPr>
    <w:rPr>
      <w:rFonts w:ascii="Arial Narrow" w:hAnsi="Arial Narrow" w:cs="Arial"/>
      <w:b/>
      <w:sz w:val="11"/>
      <w:lang w:val="en-GB" w:eastAsia="en-US"/>
    </w:rPr>
  </w:style>
  <w:style w:type="paragraph" w:customStyle="1" w:styleId="LandscapeHeader">
    <w:name w:val="Landscape Header"/>
    <w:basedOn w:val="Header"/>
    <w:semiHidden/>
    <w:rsid w:val="007668D0"/>
    <w:pPr>
      <w:tabs>
        <w:tab w:val="clear" w:pos="9299"/>
        <w:tab w:val="right" w:pos="13438"/>
      </w:tabs>
    </w:pPr>
    <w:rPr>
      <w:b/>
      <w:color w:val="747678"/>
      <w:sz w:val="16"/>
      <w:szCs w:val="20"/>
      <w:lang w:val="en-GB"/>
    </w:rPr>
  </w:style>
  <w:style w:type="paragraph" w:customStyle="1" w:styleId="ParagraphBullet">
    <w:name w:val="Paragraph Bullet"/>
    <w:basedOn w:val="Normal"/>
    <w:rsid w:val="007668D0"/>
    <w:pPr>
      <w:numPr>
        <w:numId w:val="15"/>
      </w:numPr>
      <w:spacing w:after="284" w:line="280" w:lineRule="atLeast"/>
    </w:pPr>
    <w:rPr>
      <w:rFonts w:ascii="Garamond" w:hAnsi="Garamond" w:cs="Arial"/>
      <w:sz w:val="22"/>
    </w:rPr>
  </w:style>
  <w:style w:type="paragraph" w:customStyle="1" w:styleId="ParagraphBullet2">
    <w:name w:val="Paragraph Bullet 2"/>
    <w:basedOn w:val="Normal"/>
    <w:rsid w:val="007668D0"/>
    <w:pPr>
      <w:numPr>
        <w:ilvl w:val="1"/>
        <w:numId w:val="15"/>
      </w:numPr>
      <w:spacing w:after="284" w:line="280" w:lineRule="atLeast"/>
    </w:pPr>
    <w:rPr>
      <w:rFonts w:ascii="Garamond" w:hAnsi="Garamond" w:cs="Arial"/>
      <w:sz w:val="22"/>
    </w:rPr>
  </w:style>
  <w:style w:type="paragraph" w:customStyle="1" w:styleId="MarginNotesHeading">
    <w:name w:val="Margin Notes Heading"/>
    <w:basedOn w:val="MarginNotes"/>
    <w:rsid w:val="007668D0"/>
    <w:rPr>
      <w:b/>
    </w:rPr>
  </w:style>
  <w:style w:type="paragraph" w:styleId="Quote">
    <w:name w:val="Quote"/>
    <w:basedOn w:val="BodyText"/>
    <w:link w:val="QuoteChar"/>
    <w:qFormat/>
    <w:rsid w:val="007668D0"/>
    <w:pPr>
      <w:spacing w:line="340" w:lineRule="atLeast"/>
    </w:pPr>
    <w:rPr>
      <w:sz w:val="28"/>
    </w:rPr>
  </w:style>
  <w:style w:type="character" w:customStyle="1" w:styleId="QuoteChar">
    <w:name w:val="Quote Char"/>
    <w:basedOn w:val="DefaultParagraphFont"/>
    <w:link w:val="Quote"/>
    <w:rsid w:val="007668D0"/>
    <w:rPr>
      <w:rFonts w:ascii="Garamond" w:hAnsi="Garamond" w:cs="Arial"/>
      <w:sz w:val="28"/>
      <w:lang w:eastAsia="en-US"/>
    </w:rPr>
  </w:style>
  <w:style w:type="paragraph" w:customStyle="1" w:styleId="AppendixTitleSpan">
    <w:name w:val="Appendix Title Span"/>
    <w:basedOn w:val="AppendixTitle"/>
    <w:qFormat/>
    <w:rsid w:val="007668D0"/>
    <w:pPr>
      <w:framePr w:w="8562" w:wrap="around" w:vAnchor="text" w:hAnchor="margin" w:y="1"/>
    </w:pPr>
  </w:style>
  <w:style w:type="paragraph" w:customStyle="1" w:styleId="SectionTitleSpan">
    <w:name w:val="Section Title Span"/>
    <w:basedOn w:val="SectionTitle"/>
    <w:next w:val="Normal"/>
    <w:qFormat/>
    <w:rsid w:val="007668D0"/>
    <w:pPr>
      <w:framePr w:w="8562" w:wrap="around" w:vAnchor="text" w:hAnchor="margin" w:y="1"/>
    </w:pPr>
  </w:style>
  <w:style w:type="paragraph" w:customStyle="1" w:styleId="ContactDetails">
    <w:name w:val="Contact Details"/>
    <w:rsid w:val="007668D0"/>
    <w:rPr>
      <w:rFonts w:ascii="Arial" w:hAnsi="Arial" w:cs="Arial"/>
      <w:sz w:val="16"/>
      <w:lang w:val="en-GB" w:eastAsia="en-US"/>
    </w:rPr>
  </w:style>
  <w:style w:type="paragraph" w:customStyle="1" w:styleId="ContactDetailsTitle">
    <w:name w:val="Contact Details Title"/>
    <w:basedOn w:val="ContactDetails"/>
    <w:next w:val="ContactDetails"/>
    <w:rsid w:val="007668D0"/>
    <w:rPr>
      <w:b/>
    </w:rPr>
  </w:style>
  <w:style w:type="paragraph" w:styleId="MacroText">
    <w:name w:val="macro"/>
    <w:link w:val="MacroTextChar"/>
    <w:rsid w:val="007668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basedOn w:val="DefaultParagraphFont"/>
    <w:link w:val="MacroText"/>
    <w:rsid w:val="007668D0"/>
    <w:rPr>
      <w:rFonts w:ascii="Courier New" w:hAnsi="Courier New" w:cs="Courier New"/>
      <w:lang w:val="en-GB" w:eastAsia="en-US"/>
    </w:rPr>
  </w:style>
  <w:style w:type="paragraph" w:customStyle="1" w:styleId="AppendixTitleLandscapeSpan">
    <w:name w:val="Appendix Title Landscape Span"/>
    <w:basedOn w:val="AppendixTitleSpan"/>
    <w:next w:val="Normal"/>
    <w:rsid w:val="007668D0"/>
    <w:pPr>
      <w:framePr w:w="13495" w:wrap="around"/>
    </w:pPr>
  </w:style>
  <w:style w:type="paragraph" w:customStyle="1" w:styleId="SectionTitleLandscapeSpan">
    <w:name w:val="Section Title Landscape Span"/>
    <w:basedOn w:val="SectionTitleSpan"/>
    <w:next w:val="Normal"/>
    <w:rsid w:val="007668D0"/>
    <w:pPr>
      <w:framePr w:w="13495" w:wrap="around"/>
    </w:pPr>
  </w:style>
  <w:style w:type="paragraph" w:customStyle="1" w:styleId="NumberedHeading1">
    <w:name w:val="Numbered Heading 1"/>
    <w:next w:val="BodyText"/>
    <w:rsid w:val="007668D0"/>
    <w:pPr>
      <w:numPr>
        <w:numId w:val="12"/>
      </w:numPr>
      <w:spacing w:line="260" w:lineRule="atLeast"/>
    </w:pPr>
    <w:rPr>
      <w:rFonts w:ascii="Arial Black" w:hAnsi="Arial Black" w:cs="Arial"/>
      <w:color w:val="4B217E"/>
      <w:sz w:val="19"/>
      <w:lang w:val="en-GB" w:eastAsia="en-US"/>
    </w:rPr>
  </w:style>
  <w:style w:type="paragraph" w:customStyle="1" w:styleId="NumberedHeading2">
    <w:name w:val="Numbered Heading 2"/>
    <w:next w:val="BodyText"/>
    <w:rsid w:val="007668D0"/>
    <w:pPr>
      <w:numPr>
        <w:ilvl w:val="1"/>
        <w:numId w:val="12"/>
      </w:numPr>
      <w:spacing w:line="260" w:lineRule="atLeast"/>
    </w:pPr>
    <w:rPr>
      <w:rFonts w:ascii="Arial Black" w:hAnsi="Arial Black" w:cs="Arial"/>
      <w:color w:val="4B217E"/>
      <w:sz w:val="19"/>
      <w:lang w:val="en-GB" w:eastAsia="en-US"/>
    </w:rPr>
  </w:style>
  <w:style w:type="paragraph" w:styleId="BalloonText">
    <w:name w:val="Balloon Text"/>
    <w:basedOn w:val="Normal"/>
    <w:link w:val="BalloonTextChar"/>
    <w:rsid w:val="007668D0"/>
    <w:rPr>
      <w:rFonts w:ascii="Tahoma" w:hAnsi="Tahoma" w:cs="Tahoma"/>
      <w:sz w:val="16"/>
      <w:szCs w:val="16"/>
    </w:rPr>
  </w:style>
  <w:style w:type="character" w:customStyle="1" w:styleId="BalloonTextChar">
    <w:name w:val="Balloon Text Char"/>
    <w:basedOn w:val="DefaultParagraphFont"/>
    <w:link w:val="BalloonText"/>
    <w:rsid w:val="007668D0"/>
    <w:rPr>
      <w:rFonts w:ascii="Tahoma" w:hAnsi="Tahoma" w:cs="Tahoma"/>
      <w:sz w:val="16"/>
      <w:szCs w:val="16"/>
      <w:lang w:eastAsia="en-US"/>
    </w:rPr>
  </w:style>
  <w:style w:type="paragraph" w:customStyle="1" w:styleId="Appendix">
    <w:name w:val="Appendix"/>
    <w:basedOn w:val="Normal"/>
    <w:rsid w:val="007668D0"/>
    <w:pPr>
      <w:numPr>
        <w:numId w:val="4"/>
      </w:numPr>
      <w:jc w:val="right"/>
    </w:pPr>
    <w:rPr>
      <w:rFonts w:ascii="Arial" w:hAnsi="Arial" w:cs="Arial"/>
      <w:b/>
      <w:color w:val="808080"/>
      <w:sz w:val="16"/>
    </w:rPr>
  </w:style>
  <w:style w:type="paragraph" w:customStyle="1" w:styleId="BulletOne">
    <w:name w:val="BulletOne"/>
    <w:basedOn w:val="Normal"/>
    <w:rsid w:val="007668D0"/>
    <w:pPr>
      <w:numPr>
        <w:numId w:val="5"/>
      </w:numPr>
    </w:pPr>
    <w:rPr>
      <w:rFonts w:ascii="Garamond" w:hAnsi="Garamond" w:cs="Arial"/>
      <w:sz w:val="22"/>
    </w:rPr>
  </w:style>
  <w:style w:type="paragraph" w:customStyle="1" w:styleId="BulletThree">
    <w:name w:val="BulletThree"/>
    <w:basedOn w:val="Normal"/>
    <w:rsid w:val="007668D0"/>
    <w:pPr>
      <w:numPr>
        <w:numId w:val="6"/>
      </w:numPr>
    </w:pPr>
    <w:rPr>
      <w:rFonts w:ascii="Garamond" w:hAnsi="Garamond" w:cs="Arial"/>
      <w:sz w:val="22"/>
    </w:rPr>
  </w:style>
  <w:style w:type="paragraph" w:customStyle="1" w:styleId="BulletTwo">
    <w:name w:val="BulletTwo"/>
    <w:basedOn w:val="Normal"/>
    <w:rsid w:val="007668D0"/>
    <w:pPr>
      <w:numPr>
        <w:numId w:val="7"/>
      </w:numPr>
    </w:pPr>
    <w:rPr>
      <w:rFonts w:ascii="Garamond" w:hAnsi="Garamond" w:cs="Arial"/>
      <w:sz w:val="22"/>
    </w:rPr>
  </w:style>
  <w:style w:type="paragraph" w:customStyle="1" w:styleId="Indent1">
    <w:name w:val="Indent1"/>
    <w:basedOn w:val="Normal"/>
    <w:rsid w:val="007668D0"/>
    <w:pPr>
      <w:tabs>
        <w:tab w:val="left" w:pos="567"/>
      </w:tabs>
      <w:ind w:left="567" w:hanging="567"/>
    </w:pPr>
    <w:rPr>
      <w:rFonts w:ascii="Garamond" w:hAnsi="Garamond" w:cs="Arial"/>
      <w:sz w:val="22"/>
    </w:rPr>
  </w:style>
  <w:style w:type="paragraph" w:customStyle="1" w:styleId="Indent2">
    <w:name w:val="Indent2"/>
    <w:basedOn w:val="Normal"/>
    <w:rsid w:val="007668D0"/>
    <w:pPr>
      <w:tabs>
        <w:tab w:val="left" w:pos="1134"/>
      </w:tabs>
      <w:ind w:left="1134" w:hanging="567"/>
    </w:pPr>
    <w:rPr>
      <w:rFonts w:ascii="Garamond" w:hAnsi="Garamond" w:cs="Arial"/>
      <w:sz w:val="22"/>
    </w:rPr>
  </w:style>
  <w:style w:type="paragraph" w:customStyle="1" w:styleId="NumBulletOne">
    <w:name w:val="NumBulletOne"/>
    <w:basedOn w:val="Normal"/>
    <w:rsid w:val="007668D0"/>
    <w:pPr>
      <w:numPr>
        <w:numId w:val="13"/>
      </w:numPr>
    </w:pPr>
    <w:rPr>
      <w:rFonts w:ascii="Garamond" w:hAnsi="Garamond" w:cs="Arial"/>
      <w:sz w:val="22"/>
    </w:rPr>
  </w:style>
  <w:style w:type="paragraph" w:customStyle="1" w:styleId="NumBulletThree">
    <w:name w:val="NumBulletThree"/>
    <w:basedOn w:val="Normal"/>
    <w:rsid w:val="007668D0"/>
    <w:pPr>
      <w:numPr>
        <w:ilvl w:val="2"/>
        <w:numId w:val="13"/>
      </w:numPr>
    </w:pPr>
    <w:rPr>
      <w:rFonts w:ascii="Garamond" w:hAnsi="Garamond" w:cs="Arial"/>
      <w:sz w:val="22"/>
    </w:rPr>
  </w:style>
  <w:style w:type="paragraph" w:customStyle="1" w:styleId="NumBulletTwo">
    <w:name w:val="NumBulletTwo"/>
    <w:basedOn w:val="Normal"/>
    <w:rsid w:val="007668D0"/>
    <w:pPr>
      <w:numPr>
        <w:ilvl w:val="1"/>
        <w:numId w:val="13"/>
      </w:numPr>
    </w:pPr>
    <w:rPr>
      <w:rFonts w:ascii="Garamond" w:hAnsi="Garamond" w:cs="Arial"/>
      <w:sz w:val="22"/>
    </w:rPr>
  </w:style>
  <w:style w:type="paragraph" w:customStyle="1" w:styleId="NumHead">
    <w:name w:val="NumHead"/>
    <w:basedOn w:val="Normal"/>
    <w:next w:val="Normal"/>
    <w:rsid w:val="007668D0"/>
    <w:pPr>
      <w:keepNext/>
      <w:numPr>
        <w:numId w:val="14"/>
      </w:numPr>
      <w:spacing w:line="260" w:lineRule="atLeast"/>
    </w:pPr>
    <w:rPr>
      <w:rFonts w:ascii="Arial Black" w:hAnsi="Arial Black" w:cs="Arial"/>
      <w:sz w:val="21"/>
      <w:szCs w:val="21"/>
    </w:rPr>
  </w:style>
  <w:style w:type="paragraph" w:customStyle="1" w:styleId="NumText">
    <w:name w:val="NumText"/>
    <w:basedOn w:val="Normal"/>
    <w:rsid w:val="007668D0"/>
    <w:pPr>
      <w:numPr>
        <w:ilvl w:val="1"/>
        <w:numId w:val="14"/>
      </w:numPr>
      <w:spacing w:line="280" w:lineRule="exact"/>
    </w:pPr>
    <w:rPr>
      <w:rFonts w:ascii="Garamond" w:hAnsi="Garamond" w:cs="Arial"/>
      <w:sz w:val="22"/>
    </w:rPr>
  </w:style>
  <w:style w:type="paragraph" w:customStyle="1" w:styleId="TableBullet">
    <w:name w:val="Table Bullet"/>
    <w:basedOn w:val="TableText"/>
    <w:rsid w:val="007668D0"/>
    <w:pPr>
      <w:numPr>
        <w:numId w:val="16"/>
      </w:numPr>
      <w:tabs>
        <w:tab w:val="clear" w:pos="227"/>
        <w:tab w:val="num" w:pos="454"/>
      </w:tabs>
      <w:ind w:left="454" w:hanging="454"/>
    </w:pPr>
  </w:style>
  <w:style w:type="paragraph" w:customStyle="1" w:styleId="TableFigures">
    <w:name w:val="Table Figures"/>
    <w:basedOn w:val="TableText"/>
    <w:rsid w:val="007668D0"/>
    <w:pPr>
      <w:spacing w:before="25"/>
    </w:pPr>
    <w:rPr>
      <w:sz w:val="18"/>
    </w:rPr>
  </w:style>
  <w:style w:type="paragraph" w:customStyle="1" w:styleId="TableDouble">
    <w:name w:val="Table Double"/>
    <w:basedOn w:val="TableFigures"/>
    <w:rsid w:val="007668D0"/>
    <w:pPr>
      <w:pBdr>
        <w:bottom w:val="double" w:sz="6" w:space="1" w:color="auto"/>
      </w:pBdr>
    </w:pPr>
    <w:rPr>
      <w:sz w:val="16"/>
      <w:szCs w:val="24"/>
    </w:rPr>
  </w:style>
  <w:style w:type="paragraph" w:customStyle="1" w:styleId="TableNumberBullet">
    <w:name w:val="Table Number Bullet"/>
    <w:basedOn w:val="TableText"/>
    <w:rsid w:val="007668D0"/>
    <w:pPr>
      <w:numPr>
        <w:numId w:val="17"/>
      </w:numPr>
      <w:tabs>
        <w:tab w:val="clear" w:pos="227"/>
      </w:tabs>
      <w:ind w:left="454" w:hanging="454"/>
    </w:pPr>
    <w:rPr>
      <w:szCs w:val="24"/>
    </w:rPr>
  </w:style>
  <w:style w:type="paragraph" w:customStyle="1" w:styleId="TableSingle">
    <w:name w:val="Table Single"/>
    <w:basedOn w:val="TableFigures"/>
    <w:rsid w:val="007668D0"/>
    <w:pPr>
      <w:pBdr>
        <w:bottom w:val="single" w:sz="6" w:space="1" w:color="auto"/>
      </w:pBdr>
    </w:pPr>
    <w:rPr>
      <w:szCs w:val="24"/>
    </w:rPr>
  </w:style>
  <w:style w:type="paragraph" w:customStyle="1" w:styleId="TableSubTot">
    <w:name w:val="Table SubTot"/>
    <w:basedOn w:val="TableFigures"/>
    <w:rsid w:val="007668D0"/>
    <w:pPr>
      <w:pBdr>
        <w:top w:val="single" w:sz="6" w:space="1" w:color="auto"/>
      </w:pBdr>
    </w:pPr>
    <w:rPr>
      <w:szCs w:val="24"/>
    </w:rPr>
  </w:style>
  <w:style w:type="paragraph" w:customStyle="1" w:styleId="TableTotal">
    <w:name w:val="Table Total"/>
    <w:basedOn w:val="TableFigures"/>
    <w:rsid w:val="007668D0"/>
    <w:pPr>
      <w:pBdr>
        <w:top w:val="single" w:sz="6" w:space="1" w:color="auto"/>
        <w:bottom w:val="double" w:sz="6" w:space="1" w:color="auto"/>
      </w:pBdr>
    </w:pPr>
  </w:style>
  <w:style w:type="paragraph" w:customStyle="1" w:styleId="FinalPage">
    <w:name w:val="Final Page"/>
    <w:basedOn w:val="Normal"/>
    <w:rsid w:val="007668D0"/>
    <w:pPr>
      <w:spacing w:line="180" w:lineRule="exact"/>
    </w:pPr>
    <w:rPr>
      <w:rFonts w:ascii="Arial" w:hAnsi="Arial" w:cs="Arial"/>
      <w:sz w:val="12"/>
      <w:szCs w:val="16"/>
      <w:lang w:eastAsia="en-GB"/>
    </w:rPr>
  </w:style>
  <w:style w:type="paragraph" w:customStyle="1" w:styleId="MarginNotesBlack">
    <w:name w:val="Margin Notes Black"/>
    <w:basedOn w:val="Normal"/>
    <w:rsid w:val="007668D0"/>
    <w:pPr>
      <w:spacing w:line="220" w:lineRule="exact"/>
    </w:pPr>
    <w:rPr>
      <w:rFonts w:ascii="Arial" w:hAnsi="Arial" w:cs="Garamond"/>
      <w:sz w:val="16"/>
      <w:szCs w:val="24"/>
    </w:rPr>
  </w:style>
  <w:style w:type="paragraph" w:customStyle="1" w:styleId="MarginBulletBlack">
    <w:name w:val="Margin Bullet Black"/>
    <w:basedOn w:val="MarginNotesBlack"/>
    <w:rsid w:val="007668D0"/>
    <w:pPr>
      <w:tabs>
        <w:tab w:val="num" w:pos="2160"/>
      </w:tabs>
      <w:ind w:left="2160" w:hanging="360"/>
    </w:pPr>
  </w:style>
  <w:style w:type="paragraph" w:customStyle="1" w:styleId="MarginNotesWhite">
    <w:name w:val="Margin Notes White"/>
    <w:basedOn w:val="Normal"/>
    <w:rsid w:val="007668D0"/>
    <w:pPr>
      <w:spacing w:line="220" w:lineRule="exact"/>
    </w:pPr>
    <w:rPr>
      <w:rFonts w:ascii="Arial" w:hAnsi="Arial" w:cs="Garamond"/>
      <w:color w:val="FFFFFF"/>
      <w:sz w:val="16"/>
      <w:szCs w:val="16"/>
    </w:rPr>
  </w:style>
  <w:style w:type="paragraph" w:customStyle="1" w:styleId="MarginBulletWhite">
    <w:name w:val="Margin Bullet White"/>
    <w:basedOn w:val="MarginNotesWhite"/>
    <w:rsid w:val="007668D0"/>
    <w:pPr>
      <w:tabs>
        <w:tab w:val="num" w:pos="2160"/>
      </w:tabs>
      <w:ind w:left="2160" w:hanging="360"/>
    </w:pPr>
  </w:style>
  <w:style w:type="paragraph" w:customStyle="1" w:styleId="MarginHeadingBlack">
    <w:name w:val="Margin Heading Black"/>
    <w:basedOn w:val="Normal"/>
    <w:rsid w:val="007668D0"/>
    <w:pPr>
      <w:spacing w:line="320" w:lineRule="exact"/>
    </w:pPr>
    <w:rPr>
      <w:rFonts w:ascii="Arial Black" w:hAnsi="Arial Black" w:cs="Garamond"/>
      <w:sz w:val="16"/>
      <w:szCs w:val="24"/>
    </w:rPr>
  </w:style>
  <w:style w:type="paragraph" w:customStyle="1" w:styleId="MarginHeadingWhite">
    <w:name w:val="Margin Heading White"/>
    <w:basedOn w:val="Normal"/>
    <w:rsid w:val="007668D0"/>
    <w:pPr>
      <w:spacing w:line="320" w:lineRule="exact"/>
    </w:pPr>
    <w:rPr>
      <w:rFonts w:ascii="Arial Black" w:hAnsi="Arial Black" w:cs="Garamond"/>
      <w:color w:val="FFFFFF"/>
      <w:sz w:val="16"/>
      <w:szCs w:val="24"/>
    </w:rPr>
  </w:style>
  <w:style w:type="paragraph" w:customStyle="1" w:styleId="NumSection">
    <w:name w:val="NumSection"/>
    <w:basedOn w:val="SectionTitle"/>
    <w:next w:val="NumHead"/>
    <w:rsid w:val="007668D0"/>
    <w:pPr>
      <w:numPr>
        <w:numId w:val="3"/>
      </w:numPr>
    </w:pPr>
  </w:style>
  <w:style w:type="paragraph" w:customStyle="1" w:styleId="CVTitle">
    <w:name w:val="CV Title"/>
    <w:next w:val="Normal"/>
    <w:qFormat/>
    <w:rsid w:val="007668D0"/>
    <w:rPr>
      <w:rFonts w:ascii="Garamond" w:hAnsi="Garamond" w:cs="Arial"/>
      <w:bCs/>
      <w:kern w:val="28"/>
      <w:sz w:val="66"/>
      <w:szCs w:val="32"/>
      <w:lang w:val="en-GB" w:eastAsia="en-US"/>
    </w:rPr>
  </w:style>
  <w:style w:type="character" w:customStyle="1" w:styleId="FooterChar">
    <w:name w:val="Footer Char"/>
    <w:link w:val="Footer"/>
    <w:rsid w:val="007668D0"/>
    <w:rPr>
      <w:rFonts w:ascii="Arial" w:hAnsi="Arial" w:cs="Arial"/>
      <w:sz w:val="18"/>
      <w:szCs w:val="18"/>
      <w:lang w:eastAsia="en-US"/>
    </w:rPr>
  </w:style>
  <w:style w:type="character" w:customStyle="1" w:styleId="ListBulletChar1">
    <w:name w:val="List Bullet Char1"/>
    <w:link w:val="ListBullet"/>
    <w:rsid w:val="007668D0"/>
    <w:rPr>
      <w:rFonts w:ascii="Garamond" w:hAnsi="Garamond" w:cs="Arial"/>
      <w:sz w:val="22"/>
      <w:lang w:eastAsia="en-US"/>
    </w:rPr>
  </w:style>
  <w:style w:type="paragraph" w:styleId="ListBullet3">
    <w:name w:val="List Bullet 3"/>
    <w:basedOn w:val="BodyText"/>
    <w:rsid w:val="007668D0"/>
    <w:pPr>
      <w:numPr>
        <w:ilvl w:val="2"/>
        <w:numId w:val="9"/>
      </w:numPr>
      <w:spacing w:before="110"/>
    </w:pPr>
  </w:style>
  <w:style w:type="character" w:customStyle="1" w:styleId="ListBulletChar">
    <w:name w:val="List Bullet Char"/>
    <w:rsid w:val="007668D0"/>
    <w:rPr>
      <w:rFonts w:ascii="Garamond" w:hAnsi="Garamond" w:cs="Arial"/>
      <w:sz w:val="22"/>
      <w:lang w:eastAsia="en-US" w:bidi="ar-SA"/>
    </w:rPr>
  </w:style>
  <w:style w:type="paragraph" w:styleId="ListContinue">
    <w:name w:val="List Continue"/>
    <w:basedOn w:val="BodyText"/>
    <w:rsid w:val="007668D0"/>
    <w:pPr>
      <w:spacing w:before="110"/>
      <w:ind w:left="454"/>
    </w:pPr>
  </w:style>
  <w:style w:type="paragraph" w:styleId="ListContinue2">
    <w:name w:val="List Continue 2"/>
    <w:basedOn w:val="BodyText"/>
    <w:rsid w:val="007668D0"/>
    <w:pPr>
      <w:spacing w:before="110"/>
      <w:ind w:left="1134"/>
    </w:pPr>
  </w:style>
  <w:style w:type="paragraph" w:styleId="ListContinue3">
    <w:name w:val="List Continue 3"/>
    <w:basedOn w:val="BodyText"/>
    <w:rsid w:val="007668D0"/>
    <w:pPr>
      <w:spacing w:before="110"/>
      <w:ind w:left="2155"/>
    </w:pPr>
  </w:style>
  <w:style w:type="paragraph" w:styleId="ListContinue4">
    <w:name w:val="List Continue 4"/>
    <w:basedOn w:val="BodyText"/>
    <w:rsid w:val="007668D0"/>
    <w:pPr>
      <w:spacing w:before="110"/>
      <w:ind w:left="3515"/>
    </w:pPr>
  </w:style>
  <w:style w:type="paragraph" w:styleId="ListNumber4">
    <w:name w:val="List Number 4"/>
    <w:basedOn w:val="BodyText"/>
    <w:rsid w:val="007668D0"/>
    <w:pPr>
      <w:numPr>
        <w:ilvl w:val="3"/>
        <w:numId w:val="11"/>
      </w:numPr>
      <w:spacing w:before="110"/>
    </w:pPr>
  </w:style>
  <w:style w:type="character" w:customStyle="1" w:styleId="FootnoteTextChar">
    <w:name w:val="Footnote Text Char"/>
    <w:link w:val="FootnoteText"/>
    <w:rsid w:val="007668D0"/>
    <w:rPr>
      <w:rFonts w:ascii="Arial" w:eastAsia="MS Gothic" w:hAnsi="Arial" w:cs="Arial"/>
      <w:sz w:val="16"/>
      <w:szCs w:val="16"/>
      <w:lang w:eastAsia="en-US"/>
    </w:rPr>
  </w:style>
  <w:style w:type="paragraph" w:styleId="BodyText2">
    <w:name w:val="Body Text 2"/>
    <w:basedOn w:val="BodyText"/>
    <w:link w:val="BodyText2Char"/>
    <w:rsid w:val="007668D0"/>
    <w:pPr>
      <w:ind w:left="567"/>
    </w:pPr>
  </w:style>
  <w:style w:type="character" w:customStyle="1" w:styleId="BodyText2Char">
    <w:name w:val="Body Text 2 Char"/>
    <w:basedOn w:val="DefaultParagraphFont"/>
    <w:link w:val="BodyText2"/>
    <w:rsid w:val="007668D0"/>
    <w:rPr>
      <w:rFonts w:ascii="Garamond" w:hAnsi="Garamond" w:cs="Arial"/>
      <w:sz w:val="22"/>
      <w:lang w:eastAsia="en-US"/>
    </w:rPr>
  </w:style>
  <w:style w:type="paragraph" w:styleId="BodyText3">
    <w:name w:val="Body Text 3"/>
    <w:basedOn w:val="BodyText"/>
    <w:link w:val="BodyText3Char"/>
    <w:rsid w:val="007668D0"/>
    <w:pPr>
      <w:ind w:left="1134"/>
    </w:pPr>
    <w:rPr>
      <w:szCs w:val="16"/>
    </w:rPr>
  </w:style>
  <w:style w:type="character" w:customStyle="1" w:styleId="BodyText3Char">
    <w:name w:val="Body Text 3 Char"/>
    <w:basedOn w:val="DefaultParagraphFont"/>
    <w:link w:val="BodyText3"/>
    <w:rsid w:val="007668D0"/>
    <w:rPr>
      <w:rFonts w:ascii="Garamond" w:hAnsi="Garamond" w:cs="Arial"/>
      <w:sz w:val="22"/>
      <w:szCs w:val="16"/>
      <w:lang w:eastAsia="en-US"/>
    </w:rPr>
  </w:style>
  <w:style w:type="character" w:customStyle="1" w:styleId="HeaderChar">
    <w:name w:val="Header Char"/>
    <w:link w:val="Header"/>
    <w:uiPriority w:val="99"/>
    <w:rsid w:val="007668D0"/>
    <w:rPr>
      <w:rFonts w:ascii="Arial" w:hAnsi="Arial" w:cs="Arial"/>
      <w:sz w:val="18"/>
      <w:szCs w:val="18"/>
      <w:lang w:eastAsia="en-US"/>
    </w:rPr>
  </w:style>
  <w:style w:type="paragraph" w:customStyle="1" w:styleId="Default">
    <w:name w:val="Default"/>
    <w:rsid w:val="007668D0"/>
    <w:pPr>
      <w:autoSpaceDE w:val="0"/>
      <w:autoSpaceDN w:val="0"/>
      <w:adjustRightInd w:val="0"/>
    </w:pPr>
    <w:rPr>
      <w:rFonts w:ascii="Agfa Rotis Serif" w:hAnsi="Agfa Rotis Serif" w:cs="Agfa Rotis Serif"/>
      <w:color w:val="000000"/>
      <w:sz w:val="24"/>
      <w:szCs w:val="24"/>
      <w:lang w:eastAsia="en-GB"/>
    </w:rPr>
  </w:style>
  <w:style w:type="paragraph" w:styleId="ListParagraph">
    <w:name w:val="List Paragraph"/>
    <w:basedOn w:val="Normal"/>
    <w:uiPriority w:val="34"/>
    <w:rsid w:val="007668D0"/>
    <w:pPr>
      <w:ind w:left="720"/>
      <w:contextualSpacing/>
    </w:pPr>
    <w:rPr>
      <w:rFonts w:ascii="Garamond" w:hAnsi="Garamond" w:cs="Arial"/>
      <w:sz w:val="22"/>
    </w:rPr>
  </w:style>
  <w:style w:type="paragraph" w:styleId="TOCHeading">
    <w:name w:val="TOC Heading"/>
    <w:basedOn w:val="Heading1"/>
    <w:next w:val="Normal"/>
    <w:uiPriority w:val="39"/>
    <w:unhideWhenUsed/>
    <w:qFormat/>
    <w:rsid w:val="007668D0"/>
    <w:pPr>
      <w:spacing w:before="480" w:after="0" w:line="276" w:lineRule="auto"/>
      <w:outlineLvl w:val="9"/>
    </w:pPr>
    <w:rPr>
      <w:rFonts w:ascii="Cambria" w:eastAsia="MS Gothic" w:hAnsi="Cambria"/>
      <w:b/>
      <w:color w:val="365F91"/>
      <w:sz w:val="28"/>
      <w:szCs w:val="28"/>
      <w:lang w:val="en-US" w:eastAsia="ja-JP"/>
    </w:rPr>
  </w:style>
  <w:style w:type="paragraph" w:customStyle="1" w:styleId="Pa2">
    <w:name w:val="Pa2"/>
    <w:basedOn w:val="Default"/>
    <w:next w:val="Default"/>
    <w:uiPriority w:val="99"/>
    <w:rsid w:val="007668D0"/>
    <w:pPr>
      <w:spacing w:line="191" w:lineRule="atLeast"/>
    </w:pPr>
    <w:rPr>
      <w:rFonts w:ascii="Rotis Serif Pro" w:hAnsi="Rotis Serif Pro" w:cs="Times New Roman"/>
      <w:color w:val="auto"/>
    </w:rPr>
  </w:style>
  <w:style w:type="character" w:styleId="CommentReference">
    <w:name w:val="annotation reference"/>
    <w:rsid w:val="007668D0"/>
    <w:rPr>
      <w:sz w:val="16"/>
      <w:szCs w:val="16"/>
    </w:rPr>
  </w:style>
  <w:style w:type="paragraph" w:styleId="CommentText">
    <w:name w:val="annotation text"/>
    <w:basedOn w:val="Normal"/>
    <w:link w:val="CommentTextChar"/>
    <w:rsid w:val="007668D0"/>
    <w:rPr>
      <w:rFonts w:ascii="Garamond" w:hAnsi="Garamond" w:cs="Arial"/>
    </w:rPr>
  </w:style>
  <w:style w:type="character" w:customStyle="1" w:styleId="CommentTextChar">
    <w:name w:val="Comment Text Char"/>
    <w:basedOn w:val="DefaultParagraphFont"/>
    <w:link w:val="CommentText"/>
    <w:rsid w:val="007668D0"/>
    <w:rPr>
      <w:rFonts w:ascii="Garamond" w:hAnsi="Garamond" w:cs="Arial"/>
      <w:lang w:eastAsia="en-US"/>
    </w:rPr>
  </w:style>
  <w:style w:type="paragraph" w:styleId="CommentSubject">
    <w:name w:val="annotation subject"/>
    <w:basedOn w:val="CommentText"/>
    <w:next w:val="CommentText"/>
    <w:link w:val="CommentSubjectChar"/>
    <w:rsid w:val="007668D0"/>
    <w:rPr>
      <w:b/>
      <w:bCs/>
    </w:rPr>
  </w:style>
  <w:style w:type="character" w:customStyle="1" w:styleId="CommentSubjectChar">
    <w:name w:val="Comment Subject Char"/>
    <w:basedOn w:val="CommentTextChar"/>
    <w:link w:val="CommentSubject"/>
    <w:rsid w:val="007668D0"/>
    <w:rPr>
      <w:rFonts w:ascii="Garamond" w:hAnsi="Garamond" w:cs="Arial"/>
      <w:b/>
      <w:bCs/>
      <w:lang w:eastAsia="en-US"/>
    </w:rPr>
  </w:style>
  <w:style w:type="paragraph" w:customStyle="1" w:styleId="Pa14">
    <w:name w:val="Pa14"/>
    <w:basedOn w:val="Default"/>
    <w:next w:val="Default"/>
    <w:uiPriority w:val="99"/>
    <w:rsid w:val="007668D0"/>
    <w:pPr>
      <w:spacing w:line="191" w:lineRule="atLeast"/>
    </w:pPr>
    <w:rPr>
      <w:rFonts w:ascii="Rotis Serif Pro" w:hAnsi="Rotis Serif Pro" w:cs="Times New Roman"/>
      <w:color w:val="auto"/>
    </w:rPr>
  </w:style>
  <w:style w:type="paragraph" w:styleId="Revision">
    <w:name w:val="Revision"/>
    <w:hidden/>
    <w:uiPriority w:val="99"/>
    <w:rsid w:val="007668D0"/>
    <w:rPr>
      <w:rFonts w:ascii="Garamond" w:hAnsi="Garamond" w:cs="Arial"/>
      <w:sz w:val="22"/>
      <w:lang w:eastAsia="en-US"/>
    </w:rPr>
  </w:style>
  <w:style w:type="character" w:customStyle="1" w:styleId="TableTextChar">
    <w:name w:val="Table Text Char"/>
    <w:link w:val="TableText"/>
    <w:locked/>
    <w:rsid w:val="007668D0"/>
    <w:rPr>
      <w:rFonts w:ascii="Arial" w:hAnsi="Arial" w:cs="Arial"/>
      <w:sz w:val="16"/>
      <w:lang w:val="en-GB" w:eastAsia="en-US"/>
    </w:rPr>
  </w:style>
  <w:style w:type="character" w:customStyle="1" w:styleId="TableHeadingChar">
    <w:name w:val="Table Heading Char"/>
    <w:link w:val="TableHeading"/>
    <w:locked/>
    <w:rsid w:val="007668D0"/>
    <w:rPr>
      <w:rFonts w:ascii="Arial" w:hAnsi="Arial" w:cs="Arial"/>
      <w:b/>
      <w:bCs/>
      <w:kern w:val="28"/>
      <w:sz w:val="16"/>
      <w:szCs w:val="32"/>
      <w:lang w:val="en-GB" w:eastAsia="en-US"/>
    </w:rPr>
  </w:style>
  <w:style w:type="paragraph" w:customStyle="1" w:styleId="Pa3">
    <w:name w:val="Pa3"/>
    <w:basedOn w:val="Default"/>
    <w:next w:val="Default"/>
    <w:uiPriority w:val="99"/>
    <w:rsid w:val="007668D0"/>
    <w:pPr>
      <w:spacing w:line="201" w:lineRule="atLeast"/>
    </w:pPr>
    <w:rPr>
      <w:rFonts w:ascii="Meta Plus Book" w:hAnsi="Meta Plus Book" w:cs="Times New Roman"/>
      <w:color w:val="auto"/>
    </w:rPr>
  </w:style>
  <w:style w:type="character" w:customStyle="1" w:styleId="A5">
    <w:name w:val="A5"/>
    <w:uiPriority w:val="99"/>
    <w:rsid w:val="007668D0"/>
    <w:rPr>
      <w:rFonts w:cs="Meta Plus Book"/>
      <w:color w:val="000000"/>
      <w:sz w:val="20"/>
      <w:szCs w:val="20"/>
    </w:rPr>
  </w:style>
  <w:style w:type="table" w:styleId="TableColumns2">
    <w:name w:val="Table Columns 2"/>
    <w:basedOn w:val="TableNormal"/>
    <w:rsid w:val="007668D0"/>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7668D0"/>
    <w:pPr>
      <w:spacing w:before="100" w:beforeAutospacing="1" w:after="100" w:afterAutospacing="1"/>
    </w:pPr>
    <w:rPr>
      <w:rFonts w:ascii="Times New Roman" w:hAnsi="Times New Roman"/>
      <w:sz w:val="24"/>
      <w:szCs w:val="24"/>
      <w:lang w:eastAsia="en-AU"/>
    </w:rPr>
  </w:style>
  <w:style w:type="table" w:styleId="LightList-Accent4">
    <w:name w:val="Light List Accent 4"/>
    <w:basedOn w:val="TableNormal"/>
    <w:uiPriority w:val="61"/>
    <w:rsid w:val="007668D0"/>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PlainText">
    <w:name w:val="Plain Text"/>
    <w:basedOn w:val="Normal"/>
    <w:link w:val="PlainTextChar"/>
    <w:uiPriority w:val="99"/>
    <w:unhideWhenUsed/>
    <w:rsid w:val="007668D0"/>
    <w:rPr>
      <w:rFonts w:ascii="Arial" w:eastAsia="Calibri" w:hAnsi="Arial"/>
      <w:szCs w:val="21"/>
    </w:rPr>
  </w:style>
  <w:style w:type="character" w:customStyle="1" w:styleId="PlainTextChar">
    <w:name w:val="Plain Text Char"/>
    <w:basedOn w:val="DefaultParagraphFont"/>
    <w:link w:val="PlainText"/>
    <w:uiPriority w:val="99"/>
    <w:rsid w:val="007668D0"/>
    <w:rPr>
      <w:rFonts w:ascii="Arial" w:eastAsia="Calibri" w:hAnsi="Arial"/>
      <w:szCs w:val="21"/>
      <w:lang w:eastAsia="en-US"/>
    </w:rPr>
  </w:style>
  <w:style w:type="table" w:customStyle="1" w:styleId="TableGrid1">
    <w:name w:val="Table Grid1"/>
    <w:basedOn w:val="TableNormal"/>
    <w:next w:val="TableGrid"/>
    <w:uiPriority w:val="59"/>
    <w:rsid w:val="007668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8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Title"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lsdException w:name="annotation subject" w:uiPriority="0"/>
    <w:lsdException w:name="Table Columns 2" w:uiPriority="0"/>
    <w:lsdException w:name="Balloon Text" w:uiPriority="0"/>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34" w:unhideWhenUsed="0" w:qFormat="1"/>
    <w:lsdException w:name="Quote" w:uiPriority="0"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39"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qFormat/>
    <w:rsid w:val="007668D0"/>
    <w:pPr>
      <w:tabs>
        <w:tab w:val="num" w:pos="1152"/>
      </w:tabs>
      <w:spacing w:before="240" w:after="60"/>
      <w:ind w:left="1152" w:hanging="432"/>
      <w:outlineLvl w:val="5"/>
    </w:pPr>
    <w:rPr>
      <w:rFonts w:ascii="Times New Roman" w:hAnsi="Times New Roman"/>
      <w:b/>
      <w:bCs/>
      <w:sz w:val="22"/>
      <w:szCs w:val="22"/>
    </w:rPr>
  </w:style>
  <w:style w:type="paragraph" w:styleId="Heading7">
    <w:name w:val="heading 7"/>
    <w:basedOn w:val="Normal"/>
    <w:next w:val="Normal"/>
    <w:link w:val="Heading7Char"/>
    <w:qFormat/>
    <w:rsid w:val="007668D0"/>
    <w:pPr>
      <w:tabs>
        <w:tab w:val="num" w:pos="1296"/>
      </w:tabs>
      <w:spacing w:before="240" w:after="60"/>
      <w:ind w:left="1296" w:hanging="288"/>
      <w:outlineLvl w:val="6"/>
    </w:pPr>
    <w:rPr>
      <w:rFonts w:ascii="Times New Roman" w:hAnsi="Times New Roman"/>
      <w:sz w:val="24"/>
      <w:szCs w:val="24"/>
    </w:rPr>
  </w:style>
  <w:style w:type="paragraph" w:styleId="Heading8">
    <w:name w:val="heading 8"/>
    <w:basedOn w:val="Normal"/>
    <w:next w:val="Normal"/>
    <w:link w:val="Heading8Char"/>
    <w:qFormat/>
    <w:rsid w:val="007668D0"/>
    <w:pPr>
      <w:tabs>
        <w:tab w:val="num" w:pos="1440"/>
      </w:tabs>
      <w:spacing w:before="240" w:after="60"/>
      <w:ind w:left="1440" w:hanging="432"/>
      <w:outlineLvl w:val="7"/>
    </w:pPr>
    <w:rPr>
      <w:rFonts w:ascii="Times New Roman" w:hAnsi="Times New Roman"/>
      <w:i/>
      <w:iCs/>
      <w:sz w:val="24"/>
      <w:szCs w:val="24"/>
    </w:rPr>
  </w:style>
  <w:style w:type="paragraph" w:styleId="Heading9">
    <w:name w:val="heading 9"/>
    <w:basedOn w:val="Normal"/>
    <w:next w:val="Normal"/>
    <w:link w:val="Heading9Char"/>
    <w:qFormat/>
    <w:rsid w:val="007668D0"/>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rsid w:val="0031753A"/>
  </w:style>
  <w:style w:type="character" w:styleId="FollowedHyperlink">
    <w:name w:val="FollowedHyperlink"/>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qFormat/>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rsid w:val="007668D0"/>
    <w:rPr>
      <w:b/>
      <w:bCs/>
      <w:sz w:val="22"/>
      <w:szCs w:val="22"/>
      <w:lang w:eastAsia="en-US"/>
    </w:rPr>
  </w:style>
  <w:style w:type="character" w:customStyle="1" w:styleId="Heading7Char">
    <w:name w:val="Heading 7 Char"/>
    <w:basedOn w:val="DefaultParagraphFont"/>
    <w:link w:val="Heading7"/>
    <w:rsid w:val="007668D0"/>
    <w:rPr>
      <w:sz w:val="24"/>
      <w:szCs w:val="24"/>
      <w:lang w:eastAsia="en-US"/>
    </w:rPr>
  </w:style>
  <w:style w:type="character" w:customStyle="1" w:styleId="Heading8Char">
    <w:name w:val="Heading 8 Char"/>
    <w:basedOn w:val="DefaultParagraphFont"/>
    <w:link w:val="Heading8"/>
    <w:rsid w:val="007668D0"/>
    <w:rPr>
      <w:i/>
      <w:iCs/>
      <w:sz w:val="24"/>
      <w:szCs w:val="24"/>
      <w:lang w:eastAsia="en-US"/>
    </w:rPr>
  </w:style>
  <w:style w:type="character" w:customStyle="1" w:styleId="Heading9Char">
    <w:name w:val="Heading 9 Char"/>
    <w:basedOn w:val="DefaultParagraphFont"/>
    <w:link w:val="Heading9"/>
    <w:rsid w:val="007668D0"/>
    <w:rPr>
      <w:rFonts w:ascii="Arial" w:hAnsi="Arial" w:cs="Arial"/>
      <w:sz w:val="22"/>
      <w:szCs w:val="22"/>
      <w:lang w:eastAsia="en-US"/>
    </w:rPr>
  </w:style>
  <w:style w:type="paragraph" w:styleId="BodyText">
    <w:name w:val="Body Text"/>
    <w:basedOn w:val="Normal"/>
    <w:link w:val="BodyTextChar"/>
    <w:rsid w:val="007668D0"/>
    <w:pPr>
      <w:spacing w:after="284" w:line="280" w:lineRule="atLeast"/>
    </w:pPr>
    <w:rPr>
      <w:rFonts w:ascii="Garamond" w:hAnsi="Garamond" w:cs="Arial"/>
      <w:sz w:val="22"/>
    </w:rPr>
  </w:style>
  <w:style w:type="character" w:customStyle="1" w:styleId="BodyTextChar">
    <w:name w:val="Body Text Char"/>
    <w:basedOn w:val="DefaultParagraphFont"/>
    <w:link w:val="BodyText"/>
    <w:rsid w:val="007668D0"/>
    <w:rPr>
      <w:rFonts w:ascii="Garamond" w:hAnsi="Garamond" w:cs="Arial"/>
      <w:sz w:val="22"/>
      <w:lang w:eastAsia="en-US"/>
    </w:rPr>
  </w:style>
  <w:style w:type="paragraph" w:styleId="ListBullet">
    <w:name w:val="List Bullet"/>
    <w:basedOn w:val="Normal"/>
    <w:link w:val="ListBulletChar1"/>
    <w:rsid w:val="007668D0"/>
    <w:pPr>
      <w:numPr>
        <w:numId w:val="8"/>
      </w:numPr>
      <w:spacing w:after="20" w:line="280" w:lineRule="atLeast"/>
    </w:pPr>
    <w:rPr>
      <w:rFonts w:ascii="Garamond" w:hAnsi="Garamond" w:cs="Arial"/>
      <w:sz w:val="22"/>
    </w:rPr>
  </w:style>
  <w:style w:type="paragraph" w:styleId="ListNumber">
    <w:name w:val="List Number"/>
    <w:basedOn w:val="Normal"/>
    <w:rsid w:val="007668D0"/>
    <w:pPr>
      <w:numPr>
        <w:numId w:val="10"/>
      </w:numPr>
      <w:spacing w:after="284" w:line="280" w:lineRule="atLeast"/>
    </w:pPr>
    <w:rPr>
      <w:rFonts w:ascii="Garamond" w:hAnsi="Garamond" w:cs="Arial"/>
      <w:sz w:val="22"/>
    </w:rPr>
  </w:style>
  <w:style w:type="paragraph" w:customStyle="1" w:styleId="AppendixTitle">
    <w:name w:val="Appendix Title"/>
    <w:basedOn w:val="Normal"/>
    <w:next w:val="BodyText"/>
    <w:rsid w:val="007668D0"/>
    <w:pPr>
      <w:spacing w:after="2520"/>
    </w:pPr>
    <w:rPr>
      <w:rFonts w:ascii="Garamond" w:hAnsi="Garamond" w:cs="Arial"/>
      <w:bCs/>
      <w:kern w:val="28"/>
      <w:sz w:val="48"/>
      <w:szCs w:val="32"/>
    </w:rPr>
  </w:style>
  <w:style w:type="paragraph" w:styleId="ListBullet2">
    <w:name w:val="List Bullet 2"/>
    <w:basedOn w:val="Normal"/>
    <w:rsid w:val="007668D0"/>
    <w:pPr>
      <w:numPr>
        <w:ilvl w:val="1"/>
        <w:numId w:val="8"/>
      </w:numPr>
      <w:spacing w:after="20" w:line="260" w:lineRule="atLeast"/>
    </w:pPr>
    <w:rPr>
      <w:rFonts w:ascii="Garamond" w:hAnsi="Garamond" w:cs="Arial"/>
      <w:sz w:val="22"/>
    </w:rPr>
  </w:style>
  <w:style w:type="paragraph" w:styleId="ListNumber2">
    <w:name w:val="List Number 2"/>
    <w:basedOn w:val="Normal"/>
    <w:rsid w:val="007668D0"/>
    <w:pPr>
      <w:numPr>
        <w:ilvl w:val="1"/>
        <w:numId w:val="10"/>
      </w:numPr>
      <w:spacing w:after="284" w:line="280" w:lineRule="atLeast"/>
    </w:pPr>
    <w:rPr>
      <w:rFonts w:ascii="Garamond" w:hAnsi="Garamond" w:cs="Arial"/>
      <w:sz w:val="22"/>
    </w:rPr>
  </w:style>
  <w:style w:type="paragraph" w:styleId="ListNumber3">
    <w:name w:val="List Number 3"/>
    <w:basedOn w:val="Normal"/>
    <w:rsid w:val="007668D0"/>
    <w:pPr>
      <w:numPr>
        <w:ilvl w:val="2"/>
        <w:numId w:val="10"/>
      </w:numPr>
      <w:spacing w:after="284" w:line="280" w:lineRule="atLeast"/>
    </w:pPr>
    <w:rPr>
      <w:rFonts w:ascii="Garamond" w:hAnsi="Garamond" w:cs="Arial"/>
      <w:sz w:val="22"/>
    </w:rPr>
  </w:style>
  <w:style w:type="paragraph" w:customStyle="1" w:styleId="MarginNotes">
    <w:name w:val="Margin Notes"/>
    <w:rsid w:val="007668D0"/>
    <w:rPr>
      <w:rFonts w:ascii="Arial" w:hAnsi="Arial" w:cs="Arial"/>
      <w:sz w:val="16"/>
      <w:lang w:val="en-GB" w:eastAsia="en-US"/>
    </w:rPr>
  </w:style>
  <w:style w:type="paragraph" w:customStyle="1" w:styleId="SectionTitle">
    <w:name w:val="Section Title"/>
    <w:next w:val="BodyText"/>
    <w:rsid w:val="007668D0"/>
    <w:pPr>
      <w:spacing w:after="2520"/>
    </w:pPr>
    <w:rPr>
      <w:rFonts w:ascii="Garamond" w:hAnsi="Garamond" w:cs="Arial"/>
      <w:sz w:val="48"/>
      <w:lang w:val="en-GB" w:eastAsia="en-US"/>
    </w:rPr>
  </w:style>
  <w:style w:type="paragraph" w:customStyle="1" w:styleId="TableHeading">
    <w:name w:val="Table Heading"/>
    <w:link w:val="TableHeadingChar"/>
    <w:rsid w:val="007668D0"/>
    <w:rPr>
      <w:rFonts w:ascii="Arial" w:hAnsi="Arial" w:cs="Arial"/>
      <w:b/>
      <w:bCs/>
      <w:kern w:val="28"/>
      <w:sz w:val="16"/>
      <w:szCs w:val="32"/>
      <w:lang w:val="en-GB" w:eastAsia="en-US"/>
    </w:rPr>
  </w:style>
  <w:style w:type="paragraph" w:customStyle="1" w:styleId="TableText">
    <w:name w:val="Table Text"/>
    <w:link w:val="TableTextChar"/>
    <w:rsid w:val="007668D0"/>
    <w:rPr>
      <w:rFonts w:ascii="Arial" w:hAnsi="Arial" w:cs="Arial"/>
      <w:sz w:val="16"/>
      <w:lang w:val="en-GB" w:eastAsia="en-US"/>
    </w:rPr>
  </w:style>
  <w:style w:type="paragraph" w:customStyle="1" w:styleId="TintBoxTextBlack">
    <w:name w:val="Tint Box Text Black"/>
    <w:rsid w:val="007668D0"/>
    <w:pPr>
      <w:spacing w:after="280" w:line="280" w:lineRule="atLeast"/>
    </w:pPr>
    <w:rPr>
      <w:rFonts w:ascii="Arial" w:hAnsi="Arial" w:cs="Arial"/>
      <w:b/>
      <w:lang w:val="en-GB" w:eastAsia="en-US"/>
    </w:rPr>
  </w:style>
  <w:style w:type="paragraph" w:customStyle="1" w:styleId="TintBoxTextWhite">
    <w:name w:val="Tint Box Text White"/>
    <w:basedOn w:val="TintBoxTextBlack"/>
    <w:rsid w:val="007668D0"/>
    <w:rPr>
      <w:color w:val="FFFFFF"/>
    </w:rPr>
  </w:style>
  <w:style w:type="paragraph" w:customStyle="1" w:styleId="Contents">
    <w:name w:val="Contents"/>
    <w:next w:val="Normal"/>
    <w:rsid w:val="007668D0"/>
    <w:pPr>
      <w:spacing w:after="2520" w:line="580" w:lineRule="atLeast"/>
    </w:pPr>
    <w:rPr>
      <w:rFonts w:ascii="Garamond" w:hAnsi="Garamond" w:cs="Arial"/>
      <w:sz w:val="66"/>
      <w:lang w:val="en-GB" w:eastAsia="en-US"/>
    </w:rPr>
  </w:style>
  <w:style w:type="paragraph" w:customStyle="1" w:styleId="ChapterTitle">
    <w:name w:val="Chapter Title"/>
    <w:basedOn w:val="Subtitle"/>
    <w:rsid w:val="007668D0"/>
    <w:pPr>
      <w:pBdr>
        <w:bottom w:val="single" w:sz="4" w:space="5" w:color="auto"/>
      </w:pBdr>
      <w:spacing w:after="0" w:line="280" w:lineRule="atLeast"/>
      <w:jc w:val="left"/>
      <w:outlineLvl w:val="1"/>
    </w:pPr>
    <w:rPr>
      <w:rFonts w:ascii="Arial" w:hAnsi="Arial" w:cs="Arial"/>
      <w:bCs/>
      <w:kern w:val="28"/>
      <w:sz w:val="20"/>
      <w:lang w:val="en-GB"/>
    </w:rPr>
  </w:style>
  <w:style w:type="paragraph" w:customStyle="1" w:styleId="AppendicesTitle">
    <w:name w:val="Appendices Title"/>
    <w:basedOn w:val="Heading2"/>
    <w:next w:val="Normal"/>
    <w:rsid w:val="007668D0"/>
    <w:pPr>
      <w:keepLines w:val="0"/>
      <w:spacing w:before="0" w:after="0" w:line="260" w:lineRule="atLeast"/>
    </w:pPr>
    <w:rPr>
      <w:rFonts w:ascii="Arial Black" w:hAnsi="Arial Black" w:cs="Arial"/>
      <w:b w:val="0"/>
      <w:color w:val="auto"/>
      <w:kern w:val="32"/>
      <w:sz w:val="19"/>
      <w:szCs w:val="24"/>
    </w:rPr>
  </w:style>
  <w:style w:type="paragraph" w:customStyle="1" w:styleId="ReferenceTitle">
    <w:name w:val="Reference Title"/>
    <w:next w:val="ReferenceText"/>
    <w:rsid w:val="007668D0"/>
    <w:rPr>
      <w:rFonts w:ascii="Arial Black" w:hAnsi="Arial Black" w:cs="Arial"/>
      <w:kern w:val="32"/>
      <w:sz w:val="18"/>
      <w:szCs w:val="24"/>
      <w:lang w:val="en-GB" w:eastAsia="en-US"/>
    </w:rPr>
  </w:style>
  <w:style w:type="paragraph" w:customStyle="1" w:styleId="ReferenceText">
    <w:name w:val="Reference Text"/>
    <w:rsid w:val="007668D0"/>
    <w:rPr>
      <w:rFonts w:ascii="Arial" w:hAnsi="Arial" w:cs="Arial"/>
      <w:kern w:val="32"/>
      <w:sz w:val="18"/>
      <w:szCs w:val="24"/>
      <w:lang w:val="en-GB" w:eastAsia="en-US"/>
    </w:rPr>
  </w:style>
  <w:style w:type="paragraph" w:customStyle="1" w:styleId="Backpage">
    <w:name w:val="Back page"/>
    <w:rsid w:val="007668D0"/>
    <w:rPr>
      <w:rFonts w:ascii="Arial Black" w:hAnsi="Arial Black" w:cs="Arial"/>
      <w:sz w:val="18"/>
      <w:lang w:val="en-GB" w:eastAsia="en-US"/>
    </w:rPr>
  </w:style>
  <w:style w:type="paragraph" w:customStyle="1" w:styleId="Copyright">
    <w:name w:val="Copyright"/>
    <w:rsid w:val="007668D0"/>
    <w:pPr>
      <w:spacing w:line="220" w:lineRule="atLeast"/>
    </w:pPr>
    <w:rPr>
      <w:rFonts w:ascii="Garamond" w:hAnsi="Garamond" w:cs="Arial"/>
      <w:lang w:val="en-GB" w:eastAsia="en-US"/>
    </w:rPr>
  </w:style>
  <w:style w:type="paragraph" w:customStyle="1" w:styleId="TradingName">
    <w:name w:val="Trading Name"/>
    <w:semiHidden/>
    <w:rsid w:val="007668D0"/>
    <w:pPr>
      <w:spacing w:line="180" w:lineRule="atLeast"/>
    </w:pPr>
    <w:rPr>
      <w:rFonts w:ascii="Arial Narrow" w:hAnsi="Arial Narrow" w:cs="Arial"/>
      <w:b/>
      <w:sz w:val="14"/>
      <w:lang w:val="en-GB" w:eastAsia="en-US"/>
    </w:rPr>
  </w:style>
  <w:style w:type="paragraph" w:customStyle="1" w:styleId="PartnerAddress">
    <w:name w:val="Partner Address"/>
    <w:semiHidden/>
    <w:rsid w:val="007668D0"/>
    <w:rPr>
      <w:rFonts w:ascii="Arial Narrow" w:hAnsi="Arial Narrow" w:cs="Arial"/>
      <w:sz w:val="14"/>
      <w:lang w:val="en-GB" w:eastAsia="en-US"/>
    </w:rPr>
  </w:style>
  <w:style w:type="paragraph" w:customStyle="1" w:styleId="HalfLineBreak">
    <w:name w:val="Half Line Break"/>
    <w:semiHidden/>
    <w:rsid w:val="007668D0"/>
    <w:pPr>
      <w:framePr w:wrap="around" w:vAnchor="page" w:hAnchor="page" w:x="9016" w:y="3970"/>
      <w:suppressOverlap/>
    </w:pPr>
    <w:rPr>
      <w:rFonts w:ascii="Arial Narrow" w:hAnsi="Arial Narrow" w:cs="Arial"/>
      <w:b/>
      <w:sz w:val="7"/>
      <w:lang w:val="en-GB" w:eastAsia="en-US"/>
    </w:rPr>
  </w:style>
  <w:style w:type="paragraph" w:customStyle="1" w:styleId="LetterFooter">
    <w:name w:val="Letter Footer"/>
    <w:rsid w:val="007668D0"/>
    <w:pPr>
      <w:spacing w:line="140" w:lineRule="atLeast"/>
    </w:pPr>
    <w:rPr>
      <w:rFonts w:ascii="Arial Narrow" w:hAnsi="Arial Narrow" w:cs="Arial"/>
      <w:sz w:val="11"/>
      <w:lang w:val="en-GB" w:eastAsia="en-US"/>
    </w:rPr>
  </w:style>
  <w:style w:type="paragraph" w:customStyle="1" w:styleId="LetterFooterTitle">
    <w:name w:val="Letter Footer Title"/>
    <w:next w:val="Normal"/>
    <w:semiHidden/>
    <w:rsid w:val="007668D0"/>
    <w:pPr>
      <w:spacing w:line="140" w:lineRule="atLeast"/>
    </w:pPr>
    <w:rPr>
      <w:rFonts w:ascii="Arial Narrow" w:hAnsi="Arial Narrow" w:cs="Arial"/>
      <w:b/>
      <w:sz w:val="11"/>
      <w:lang w:val="en-GB" w:eastAsia="en-US"/>
    </w:rPr>
  </w:style>
  <w:style w:type="paragraph" w:customStyle="1" w:styleId="LandscapeHeader">
    <w:name w:val="Landscape Header"/>
    <w:basedOn w:val="Header"/>
    <w:semiHidden/>
    <w:rsid w:val="007668D0"/>
    <w:pPr>
      <w:tabs>
        <w:tab w:val="clear" w:pos="9299"/>
        <w:tab w:val="right" w:pos="13438"/>
      </w:tabs>
    </w:pPr>
    <w:rPr>
      <w:b/>
      <w:color w:val="747678"/>
      <w:sz w:val="16"/>
      <w:szCs w:val="20"/>
      <w:lang w:val="en-GB"/>
    </w:rPr>
  </w:style>
  <w:style w:type="paragraph" w:customStyle="1" w:styleId="ParagraphBullet">
    <w:name w:val="Paragraph Bullet"/>
    <w:basedOn w:val="Normal"/>
    <w:rsid w:val="007668D0"/>
    <w:pPr>
      <w:numPr>
        <w:numId w:val="15"/>
      </w:numPr>
      <w:spacing w:after="284" w:line="280" w:lineRule="atLeast"/>
    </w:pPr>
    <w:rPr>
      <w:rFonts w:ascii="Garamond" w:hAnsi="Garamond" w:cs="Arial"/>
      <w:sz w:val="22"/>
    </w:rPr>
  </w:style>
  <w:style w:type="paragraph" w:customStyle="1" w:styleId="ParagraphBullet2">
    <w:name w:val="Paragraph Bullet 2"/>
    <w:basedOn w:val="Normal"/>
    <w:rsid w:val="007668D0"/>
    <w:pPr>
      <w:numPr>
        <w:ilvl w:val="1"/>
        <w:numId w:val="15"/>
      </w:numPr>
      <w:spacing w:after="284" w:line="280" w:lineRule="atLeast"/>
    </w:pPr>
    <w:rPr>
      <w:rFonts w:ascii="Garamond" w:hAnsi="Garamond" w:cs="Arial"/>
      <w:sz w:val="22"/>
    </w:rPr>
  </w:style>
  <w:style w:type="paragraph" w:customStyle="1" w:styleId="MarginNotesHeading">
    <w:name w:val="Margin Notes Heading"/>
    <w:basedOn w:val="MarginNotes"/>
    <w:rsid w:val="007668D0"/>
    <w:rPr>
      <w:b/>
    </w:rPr>
  </w:style>
  <w:style w:type="paragraph" w:styleId="Quote">
    <w:name w:val="Quote"/>
    <w:basedOn w:val="BodyText"/>
    <w:link w:val="QuoteChar"/>
    <w:qFormat/>
    <w:rsid w:val="007668D0"/>
    <w:pPr>
      <w:spacing w:line="340" w:lineRule="atLeast"/>
    </w:pPr>
    <w:rPr>
      <w:sz w:val="28"/>
    </w:rPr>
  </w:style>
  <w:style w:type="character" w:customStyle="1" w:styleId="QuoteChar">
    <w:name w:val="Quote Char"/>
    <w:basedOn w:val="DefaultParagraphFont"/>
    <w:link w:val="Quote"/>
    <w:rsid w:val="007668D0"/>
    <w:rPr>
      <w:rFonts w:ascii="Garamond" w:hAnsi="Garamond" w:cs="Arial"/>
      <w:sz w:val="28"/>
      <w:lang w:eastAsia="en-US"/>
    </w:rPr>
  </w:style>
  <w:style w:type="paragraph" w:customStyle="1" w:styleId="AppendixTitleSpan">
    <w:name w:val="Appendix Title Span"/>
    <w:basedOn w:val="AppendixTitle"/>
    <w:qFormat/>
    <w:rsid w:val="007668D0"/>
    <w:pPr>
      <w:framePr w:w="8562" w:wrap="around" w:vAnchor="text" w:hAnchor="margin" w:y="1"/>
    </w:pPr>
  </w:style>
  <w:style w:type="paragraph" w:customStyle="1" w:styleId="SectionTitleSpan">
    <w:name w:val="Section Title Span"/>
    <w:basedOn w:val="SectionTitle"/>
    <w:next w:val="Normal"/>
    <w:qFormat/>
    <w:rsid w:val="007668D0"/>
    <w:pPr>
      <w:framePr w:w="8562" w:wrap="around" w:vAnchor="text" w:hAnchor="margin" w:y="1"/>
    </w:pPr>
  </w:style>
  <w:style w:type="paragraph" w:customStyle="1" w:styleId="ContactDetails">
    <w:name w:val="Contact Details"/>
    <w:rsid w:val="007668D0"/>
    <w:rPr>
      <w:rFonts w:ascii="Arial" w:hAnsi="Arial" w:cs="Arial"/>
      <w:sz w:val="16"/>
      <w:lang w:val="en-GB" w:eastAsia="en-US"/>
    </w:rPr>
  </w:style>
  <w:style w:type="paragraph" w:customStyle="1" w:styleId="ContactDetailsTitle">
    <w:name w:val="Contact Details Title"/>
    <w:basedOn w:val="ContactDetails"/>
    <w:next w:val="ContactDetails"/>
    <w:rsid w:val="007668D0"/>
    <w:rPr>
      <w:b/>
    </w:rPr>
  </w:style>
  <w:style w:type="paragraph" w:styleId="MacroText">
    <w:name w:val="macro"/>
    <w:link w:val="MacroTextChar"/>
    <w:rsid w:val="007668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basedOn w:val="DefaultParagraphFont"/>
    <w:link w:val="MacroText"/>
    <w:rsid w:val="007668D0"/>
    <w:rPr>
      <w:rFonts w:ascii="Courier New" w:hAnsi="Courier New" w:cs="Courier New"/>
      <w:lang w:val="en-GB" w:eastAsia="en-US"/>
    </w:rPr>
  </w:style>
  <w:style w:type="paragraph" w:customStyle="1" w:styleId="AppendixTitleLandscapeSpan">
    <w:name w:val="Appendix Title Landscape Span"/>
    <w:basedOn w:val="AppendixTitleSpan"/>
    <w:next w:val="Normal"/>
    <w:rsid w:val="007668D0"/>
    <w:pPr>
      <w:framePr w:w="13495" w:wrap="around"/>
    </w:pPr>
  </w:style>
  <w:style w:type="paragraph" w:customStyle="1" w:styleId="SectionTitleLandscapeSpan">
    <w:name w:val="Section Title Landscape Span"/>
    <w:basedOn w:val="SectionTitleSpan"/>
    <w:next w:val="Normal"/>
    <w:rsid w:val="007668D0"/>
    <w:pPr>
      <w:framePr w:w="13495" w:wrap="around"/>
    </w:pPr>
  </w:style>
  <w:style w:type="paragraph" w:customStyle="1" w:styleId="NumberedHeading1">
    <w:name w:val="Numbered Heading 1"/>
    <w:next w:val="BodyText"/>
    <w:rsid w:val="007668D0"/>
    <w:pPr>
      <w:numPr>
        <w:numId w:val="12"/>
      </w:numPr>
      <w:spacing w:line="260" w:lineRule="atLeast"/>
    </w:pPr>
    <w:rPr>
      <w:rFonts w:ascii="Arial Black" w:hAnsi="Arial Black" w:cs="Arial"/>
      <w:color w:val="4B217E"/>
      <w:sz w:val="19"/>
      <w:lang w:val="en-GB" w:eastAsia="en-US"/>
    </w:rPr>
  </w:style>
  <w:style w:type="paragraph" w:customStyle="1" w:styleId="NumberedHeading2">
    <w:name w:val="Numbered Heading 2"/>
    <w:next w:val="BodyText"/>
    <w:rsid w:val="007668D0"/>
    <w:pPr>
      <w:numPr>
        <w:ilvl w:val="1"/>
        <w:numId w:val="12"/>
      </w:numPr>
      <w:spacing w:line="260" w:lineRule="atLeast"/>
    </w:pPr>
    <w:rPr>
      <w:rFonts w:ascii="Arial Black" w:hAnsi="Arial Black" w:cs="Arial"/>
      <w:color w:val="4B217E"/>
      <w:sz w:val="19"/>
      <w:lang w:val="en-GB" w:eastAsia="en-US"/>
    </w:rPr>
  </w:style>
  <w:style w:type="paragraph" w:styleId="BalloonText">
    <w:name w:val="Balloon Text"/>
    <w:basedOn w:val="Normal"/>
    <w:link w:val="BalloonTextChar"/>
    <w:rsid w:val="007668D0"/>
    <w:rPr>
      <w:rFonts w:ascii="Tahoma" w:hAnsi="Tahoma" w:cs="Tahoma"/>
      <w:sz w:val="16"/>
      <w:szCs w:val="16"/>
    </w:rPr>
  </w:style>
  <w:style w:type="character" w:customStyle="1" w:styleId="BalloonTextChar">
    <w:name w:val="Balloon Text Char"/>
    <w:basedOn w:val="DefaultParagraphFont"/>
    <w:link w:val="BalloonText"/>
    <w:rsid w:val="007668D0"/>
    <w:rPr>
      <w:rFonts w:ascii="Tahoma" w:hAnsi="Tahoma" w:cs="Tahoma"/>
      <w:sz w:val="16"/>
      <w:szCs w:val="16"/>
      <w:lang w:eastAsia="en-US"/>
    </w:rPr>
  </w:style>
  <w:style w:type="paragraph" w:customStyle="1" w:styleId="Appendix">
    <w:name w:val="Appendix"/>
    <w:basedOn w:val="Normal"/>
    <w:rsid w:val="007668D0"/>
    <w:pPr>
      <w:numPr>
        <w:numId w:val="4"/>
      </w:numPr>
      <w:jc w:val="right"/>
    </w:pPr>
    <w:rPr>
      <w:rFonts w:ascii="Arial" w:hAnsi="Arial" w:cs="Arial"/>
      <w:b/>
      <w:color w:val="808080"/>
      <w:sz w:val="16"/>
    </w:rPr>
  </w:style>
  <w:style w:type="paragraph" w:customStyle="1" w:styleId="BulletOne">
    <w:name w:val="BulletOne"/>
    <w:basedOn w:val="Normal"/>
    <w:rsid w:val="007668D0"/>
    <w:pPr>
      <w:numPr>
        <w:numId w:val="5"/>
      </w:numPr>
    </w:pPr>
    <w:rPr>
      <w:rFonts w:ascii="Garamond" w:hAnsi="Garamond" w:cs="Arial"/>
      <w:sz w:val="22"/>
    </w:rPr>
  </w:style>
  <w:style w:type="paragraph" w:customStyle="1" w:styleId="BulletThree">
    <w:name w:val="BulletThree"/>
    <w:basedOn w:val="Normal"/>
    <w:rsid w:val="007668D0"/>
    <w:pPr>
      <w:numPr>
        <w:numId w:val="6"/>
      </w:numPr>
    </w:pPr>
    <w:rPr>
      <w:rFonts w:ascii="Garamond" w:hAnsi="Garamond" w:cs="Arial"/>
      <w:sz w:val="22"/>
    </w:rPr>
  </w:style>
  <w:style w:type="paragraph" w:customStyle="1" w:styleId="BulletTwo">
    <w:name w:val="BulletTwo"/>
    <w:basedOn w:val="Normal"/>
    <w:rsid w:val="007668D0"/>
    <w:pPr>
      <w:numPr>
        <w:numId w:val="7"/>
      </w:numPr>
    </w:pPr>
    <w:rPr>
      <w:rFonts w:ascii="Garamond" w:hAnsi="Garamond" w:cs="Arial"/>
      <w:sz w:val="22"/>
    </w:rPr>
  </w:style>
  <w:style w:type="paragraph" w:customStyle="1" w:styleId="Indent1">
    <w:name w:val="Indent1"/>
    <w:basedOn w:val="Normal"/>
    <w:rsid w:val="007668D0"/>
    <w:pPr>
      <w:tabs>
        <w:tab w:val="left" w:pos="567"/>
      </w:tabs>
      <w:ind w:left="567" w:hanging="567"/>
    </w:pPr>
    <w:rPr>
      <w:rFonts w:ascii="Garamond" w:hAnsi="Garamond" w:cs="Arial"/>
      <w:sz w:val="22"/>
    </w:rPr>
  </w:style>
  <w:style w:type="paragraph" w:customStyle="1" w:styleId="Indent2">
    <w:name w:val="Indent2"/>
    <w:basedOn w:val="Normal"/>
    <w:rsid w:val="007668D0"/>
    <w:pPr>
      <w:tabs>
        <w:tab w:val="left" w:pos="1134"/>
      </w:tabs>
      <w:ind w:left="1134" w:hanging="567"/>
    </w:pPr>
    <w:rPr>
      <w:rFonts w:ascii="Garamond" w:hAnsi="Garamond" w:cs="Arial"/>
      <w:sz w:val="22"/>
    </w:rPr>
  </w:style>
  <w:style w:type="paragraph" w:customStyle="1" w:styleId="NumBulletOne">
    <w:name w:val="NumBulletOne"/>
    <w:basedOn w:val="Normal"/>
    <w:rsid w:val="007668D0"/>
    <w:pPr>
      <w:numPr>
        <w:numId w:val="13"/>
      </w:numPr>
    </w:pPr>
    <w:rPr>
      <w:rFonts w:ascii="Garamond" w:hAnsi="Garamond" w:cs="Arial"/>
      <w:sz w:val="22"/>
    </w:rPr>
  </w:style>
  <w:style w:type="paragraph" w:customStyle="1" w:styleId="NumBulletThree">
    <w:name w:val="NumBulletThree"/>
    <w:basedOn w:val="Normal"/>
    <w:rsid w:val="007668D0"/>
    <w:pPr>
      <w:numPr>
        <w:ilvl w:val="2"/>
        <w:numId w:val="13"/>
      </w:numPr>
    </w:pPr>
    <w:rPr>
      <w:rFonts w:ascii="Garamond" w:hAnsi="Garamond" w:cs="Arial"/>
      <w:sz w:val="22"/>
    </w:rPr>
  </w:style>
  <w:style w:type="paragraph" w:customStyle="1" w:styleId="NumBulletTwo">
    <w:name w:val="NumBulletTwo"/>
    <w:basedOn w:val="Normal"/>
    <w:rsid w:val="007668D0"/>
    <w:pPr>
      <w:numPr>
        <w:ilvl w:val="1"/>
        <w:numId w:val="13"/>
      </w:numPr>
    </w:pPr>
    <w:rPr>
      <w:rFonts w:ascii="Garamond" w:hAnsi="Garamond" w:cs="Arial"/>
      <w:sz w:val="22"/>
    </w:rPr>
  </w:style>
  <w:style w:type="paragraph" w:customStyle="1" w:styleId="NumHead">
    <w:name w:val="NumHead"/>
    <w:basedOn w:val="Normal"/>
    <w:next w:val="Normal"/>
    <w:rsid w:val="007668D0"/>
    <w:pPr>
      <w:keepNext/>
      <w:numPr>
        <w:numId w:val="14"/>
      </w:numPr>
      <w:spacing w:line="260" w:lineRule="atLeast"/>
    </w:pPr>
    <w:rPr>
      <w:rFonts w:ascii="Arial Black" w:hAnsi="Arial Black" w:cs="Arial"/>
      <w:sz w:val="21"/>
      <w:szCs w:val="21"/>
    </w:rPr>
  </w:style>
  <w:style w:type="paragraph" w:customStyle="1" w:styleId="NumText">
    <w:name w:val="NumText"/>
    <w:basedOn w:val="Normal"/>
    <w:rsid w:val="007668D0"/>
    <w:pPr>
      <w:numPr>
        <w:ilvl w:val="1"/>
        <w:numId w:val="14"/>
      </w:numPr>
      <w:spacing w:line="280" w:lineRule="exact"/>
    </w:pPr>
    <w:rPr>
      <w:rFonts w:ascii="Garamond" w:hAnsi="Garamond" w:cs="Arial"/>
      <w:sz w:val="22"/>
    </w:rPr>
  </w:style>
  <w:style w:type="paragraph" w:customStyle="1" w:styleId="TableBullet">
    <w:name w:val="Table Bullet"/>
    <w:basedOn w:val="TableText"/>
    <w:rsid w:val="007668D0"/>
    <w:pPr>
      <w:numPr>
        <w:numId w:val="16"/>
      </w:numPr>
      <w:tabs>
        <w:tab w:val="clear" w:pos="227"/>
        <w:tab w:val="num" w:pos="454"/>
      </w:tabs>
      <w:ind w:left="454" w:hanging="454"/>
    </w:pPr>
  </w:style>
  <w:style w:type="paragraph" w:customStyle="1" w:styleId="TableFigures">
    <w:name w:val="Table Figures"/>
    <w:basedOn w:val="TableText"/>
    <w:rsid w:val="007668D0"/>
    <w:pPr>
      <w:spacing w:before="25"/>
    </w:pPr>
    <w:rPr>
      <w:sz w:val="18"/>
    </w:rPr>
  </w:style>
  <w:style w:type="paragraph" w:customStyle="1" w:styleId="TableDouble">
    <w:name w:val="Table Double"/>
    <w:basedOn w:val="TableFigures"/>
    <w:rsid w:val="007668D0"/>
    <w:pPr>
      <w:pBdr>
        <w:bottom w:val="double" w:sz="6" w:space="1" w:color="auto"/>
      </w:pBdr>
    </w:pPr>
    <w:rPr>
      <w:sz w:val="16"/>
      <w:szCs w:val="24"/>
    </w:rPr>
  </w:style>
  <w:style w:type="paragraph" w:customStyle="1" w:styleId="TableNumberBullet">
    <w:name w:val="Table Number Bullet"/>
    <w:basedOn w:val="TableText"/>
    <w:rsid w:val="007668D0"/>
    <w:pPr>
      <w:numPr>
        <w:numId w:val="17"/>
      </w:numPr>
      <w:tabs>
        <w:tab w:val="clear" w:pos="227"/>
      </w:tabs>
      <w:ind w:left="454" w:hanging="454"/>
    </w:pPr>
    <w:rPr>
      <w:szCs w:val="24"/>
    </w:rPr>
  </w:style>
  <w:style w:type="paragraph" w:customStyle="1" w:styleId="TableSingle">
    <w:name w:val="Table Single"/>
    <w:basedOn w:val="TableFigures"/>
    <w:rsid w:val="007668D0"/>
    <w:pPr>
      <w:pBdr>
        <w:bottom w:val="single" w:sz="6" w:space="1" w:color="auto"/>
      </w:pBdr>
    </w:pPr>
    <w:rPr>
      <w:szCs w:val="24"/>
    </w:rPr>
  </w:style>
  <w:style w:type="paragraph" w:customStyle="1" w:styleId="TableSubTot">
    <w:name w:val="Table SubTot"/>
    <w:basedOn w:val="TableFigures"/>
    <w:rsid w:val="007668D0"/>
    <w:pPr>
      <w:pBdr>
        <w:top w:val="single" w:sz="6" w:space="1" w:color="auto"/>
      </w:pBdr>
    </w:pPr>
    <w:rPr>
      <w:szCs w:val="24"/>
    </w:rPr>
  </w:style>
  <w:style w:type="paragraph" w:customStyle="1" w:styleId="TableTotal">
    <w:name w:val="Table Total"/>
    <w:basedOn w:val="TableFigures"/>
    <w:rsid w:val="007668D0"/>
    <w:pPr>
      <w:pBdr>
        <w:top w:val="single" w:sz="6" w:space="1" w:color="auto"/>
        <w:bottom w:val="double" w:sz="6" w:space="1" w:color="auto"/>
      </w:pBdr>
    </w:pPr>
  </w:style>
  <w:style w:type="paragraph" w:customStyle="1" w:styleId="FinalPage">
    <w:name w:val="Final Page"/>
    <w:basedOn w:val="Normal"/>
    <w:rsid w:val="007668D0"/>
    <w:pPr>
      <w:spacing w:line="180" w:lineRule="exact"/>
    </w:pPr>
    <w:rPr>
      <w:rFonts w:ascii="Arial" w:hAnsi="Arial" w:cs="Arial"/>
      <w:sz w:val="12"/>
      <w:szCs w:val="16"/>
      <w:lang w:eastAsia="en-GB"/>
    </w:rPr>
  </w:style>
  <w:style w:type="paragraph" w:customStyle="1" w:styleId="MarginNotesBlack">
    <w:name w:val="Margin Notes Black"/>
    <w:basedOn w:val="Normal"/>
    <w:rsid w:val="007668D0"/>
    <w:pPr>
      <w:spacing w:line="220" w:lineRule="exact"/>
    </w:pPr>
    <w:rPr>
      <w:rFonts w:ascii="Arial" w:hAnsi="Arial" w:cs="Garamond"/>
      <w:sz w:val="16"/>
      <w:szCs w:val="24"/>
    </w:rPr>
  </w:style>
  <w:style w:type="paragraph" w:customStyle="1" w:styleId="MarginBulletBlack">
    <w:name w:val="Margin Bullet Black"/>
    <w:basedOn w:val="MarginNotesBlack"/>
    <w:rsid w:val="007668D0"/>
    <w:pPr>
      <w:tabs>
        <w:tab w:val="num" w:pos="2160"/>
      </w:tabs>
      <w:ind w:left="2160" w:hanging="360"/>
    </w:pPr>
  </w:style>
  <w:style w:type="paragraph" w:customStyle="1" w:styleId="MarginNotesWhite">
    <w:name w:val="Margin Notes White"/>
    <w:basedOn w:val="Normal"/>
    <w:rsid w:val="007668D0"/>
    <w:pPr>
      <w:spacing w:line="220" w:lineRule="exact"/>
    </w:pPr>
    <w:rPr>
      <w:rFonts w:ascii="Arial" w:hAnsi="Arial" w:cs="Garamond"/>
      <w:color w:val="FFFFFF"/>
      <w:sz w:val="16"/>
      <w:szCs w:val="16"/>
    </w:rPr>
  </w:style>
  <w:style w:type="paragraph" w:customStyle="1" w:styleId="MarginBulletWhite">
    <w:name w:val="Margin Bullet White"/>
    <w:basedOn w:val="MarginNotesWhite"/>
    <w:rsid w:val="007668D0"/>
    <w:pPr>
      <w:tabs>
        <w:tab w:val="num" w:pos="2160"/>
      </w:tabs>
      <w:ind w:left="2160" w:hanging="360"/>
    </w:pPr>
  </w:style>
  <w:style w:type="paragraph" w:customStyle="1" w:styleId="MarginHeadingBlack">
    <w:name w:val="Margin Heading Black"/>
    <w:basedOn w:val="Normal"/>
    <w:rsid w:val="007668D0"/>
    <w:pPr>
      <w:spacing w:line="320" w:lineRule="exact"/>
    </w:pPr>
    <w:rPr>
      <w:rFonts w:ascii="Arial Black" w:hAnsi="Arial Black" w:cs="Garamond"/>
      <w:sz w:val="16"/>
      <w:szCs w:val="24"/>
    </w:rPr>
  </w:style>
  <w:style w:type="paragraph" w:customStyle="1" w:styleId="MarginHeadingWhite">
    <w:name w:val="Margin Heading White"/>
    <w:basedOn w:val="Normal"/>
    <w:rsid w:val="007668D0"/>
    <w:pPr>
      <w:spacing w:line="320" w:lineRule="exact"/>
    </w:pPr>
    <w:rPr>
      <w:rFonts w:ascii="Arial Black" w:hAnsi="Arial Black" w:cs="Garamond"/>
      <w:color w:val="FFFFFF"/>
      <w:sz w:val="16"/>
      <w:szCs w:val="24"/>
    </w:rPr>
  </w:style>
  <w:style w:type="paragraph" w:customStyle="1" w:styleId="NumSection">
    <w:name w:val="NumSection"/>
    <w:basedOn w:val="SectionTitle"/>
    <w:next w:val="NumHead"/>
    <w:rsid w:val="007668D0"/>
    <w:pPr>
      <w:numPr>
        <w:numId w:val="3"/>
      </w:numPr>
    </w:pPr>
  </w:style>
  <w:style w:type="paragraph" w:customStyle="1" w:styleId="CVTitle">
    <w:name w:val="CV Title"/>
    <w:next w:val="Normal"/>
    <w:qFormat/>
    <w:rsid w:val="007668D0"/>
    <w:rPr>
      <w:rFonts w:ascii="Garamond" w:hAnsi="Garamond" w:cs="Arial"/>
      <w:bCs/>
      <w:kern w:val="28"/>
      <w:sz w:val="66"/>
      <w:szCs w:val="32"/>
      <w:lang w:val="en-GB" w:eastAsia="en-US"/>
    </w:rPr>
  </w:style>
  <w:style w:type="character" w:customStyle="1" w:styleId="FooterChar">
    <w:name w:val="Footer Char"/>
    <w:link w:val="Footer"/>
    <w:rsid w:val="007668D0"/>
    <w:rPr>
      <w:rFonts w:ascii="Arial" w:hAnsi="Arial" w:cs="Arial"/>
      <w:sz w:val="18"/>
      <w:szCs w:val="18"/>
      <w:lang w:eastAsia="en-US"/>
    </w:rPr>
  </w:style>
  <w:style w:type="character" w:customStyle="1" w:styleId="ListBulletChar1">
    <w:name w:val="List Bullet Char1"/>
    <w:link w:val="ListBullet"/>
    <w:rsid w:val="007668D0"/>
    <w:rPr>
      <w:rFonts w:ascii="Garamond" w:hAnsi="Garamond" w:cs="Arial"/>
      <w:sz w:val="22"/>
      <w:lang w:eastAsia="en-US"/>
    </w:rPr>
  </w:style>
  <w:style w:type="paragraph" w:styleId="ListBullet3">
    <w:name w:val="List Bullet 3"/>
    <w:basedOn w:val="BodyText"/>
    <w:rsid w:val="007668D0"/>
    <w:pPr>
      <w:numPr>
        <w:ilvl w:val="2"/>
        <w:numId w:val="9"/>
      </w:numPr>
      <w:spacing w:before="110"/>
    </w:pPr>
  </w:style>
  <w:style w:type="character" w:customStyle="1" w:styleId="ListBulletChar">
    <w:name w:val="List Bullet Char"/>
    <w:rsid w:val="007668D0"/>
    <w:rPr>
      <w:rFonts w:ascii="Garamond" w:hAnsi="Garamond" w:cs="Arial"/>
      <w:sz w:val="22"/>
      <w:lang w:eastAsia="en-US" w:bidi="ar-SA"/>
    </w:rPr>
  </w:style>
  <w:style w:type="paragraph" w:styleId="ListContinue">
    <w:name w:val="List Continue"/>
    <w:basedOn w:val="BodyText"/>
    <w:rsid w:val="007668D0"/>
    <w:pPr>
      <w:spacing w:before="110"/>
      <w:ind w:left="454"/>
    </w:pPr>
  </w:style>
  <w:style w:type="paragraph" w:styleId="ListContinue2">
    <w:name w:val="List Continue 2"/>
    <w:basedOn w:val="BodyText"/>
    <w:rsid w:val="007668D0"/>
    <w:pPr>
      <w:spacing w:before="110"/>
      <w:ind w:left="1134"/>
    </w:pPr>
  </w:style>
  <w:style w:type="paragraph" w:styleId="ListContinue3">
    <w:name w:val="List Continue 3"/>
    <w:basedOn w:val="BodyText"/>
    <w:rsid w:val="007668D0"/>
    <w:pPr>
      <w:spacing w:before="110"/>
      <w:ind w:left="2155"/>
    </w:pPr>
  </w:style>
  <w:style w:type="paragraph" w:styleId="ListContinue4">
    <w:name w:val="List Continue 4"/>
    <w:basedOn w:val="BodyText"/>
    <w:rsid w:val="007668D0"/>
    <w:pPr>
      <w:spacing w:before="110"/>
      <w:ind w:left="3515"/>
    </w:pPr>
  </w:style>
  <w:style w:type="paragraph" w:styleId="ListNumber4">
    <w:name w:val="List Number 4"/>
    <w:basedOn w:val="BodyText"/>
    <w:rsid w:val="007668D0"/>
    <w:pPr>
      <w:numPr>
        <w:ilvl w:val="3"/>
        <w:numId w:val="11"/>
      </w:numPr>
      <w:spacing w:before="110"/>
    </w:pPr>
  </w:style>
  <w:style w:type="character" w:customStyle="1" w:styleId="FootnoteTextChar">
    <w:name w:val="Footnote Text Char"/>
    <w:link w:val="FootnoteText"/>
    <w:rsid w:val="007668D0"/>
    <w:rPr>
      <w:rFonts w:ascii="Arial" w:eastAsia="MS Gothic" w:hAnsi="Arial" w:cs="Arial"/>
      <w:sz w:val="16"/>
      <w:szCs w:val="16"/>
      <w:lang w:eastAsia="en-US"/>
    </w:rPr>
  </w:style>
  <w:style w:type="paragraph" w:styleId="BodyText2">
    <w:name w:val="Body Text 2"/>
    <w:basedOn w:val="BodyText"/>
    <w:link w:val="BodyText2Char"/>
    <w:rsid w:val="007668D0"/>
    <w:pPr>
      <w:ind w:left="567"/>
    </w:pPr>
  </w:style>
  <w:style w:type="character" w:customStyle="1" w:styleId="BodyText2Char">
    <w:name w:val="Body Text 2 Char"/>
    <w:basedOn w:val="DefaultParagraphFont"/>
    <w:link w:val="BodyText2"/>
    <w:rsid w:val="007668D0"/>
    <w:rPr>
      <w:rFonts w:ascii="Garamond" w:hAnsi="Garamond" w:cs="Arial"/>
      <w:sz w:val="22"/>
      <w:lang w:eastAsia="en-US"/>
    </w:rPr>
  </w:style>
  <w:style w:type="paragraph" w:styleId="BodyText3">
    <w:name w:val="Body Text 3"/>
    <w:basedOn w:val="BodyText"/>
    <w:link w:val="BodyText3Char"/>
    <w:rsid w:val="007668D0"/>
    <w:pPr>
      <w:ind w:left="1134"/>
    </w:pPr>
    <w:rPr>
      <w:szCs w:val="16"/>
    </w:rPr>
  </w:style>
  <w:style w:type="character" w:customStyle="1" w:styleId="BodyText3Char">
    <w:name w:val="Body Text 3 Char"/>
    <w:basedOn w:val="DefaultParagraphFont"/>
    <w:link w:val="BodyText3"/>
    <w:rsid w:val="007668D0"/>
    <w:rPr>
      <w:rFonts w:ascii="Garamond" w:hAnsi="Garamond" w:cs="Arial"/>
      <w:sz w:val="22"/>
      <w:szCs w:val="16"/>
      <w:lang w:eastAsia="en-US"/>
    </w:rPr>
  </w:style>
  <w:style w:type="character" w:customStyle="1" w:styleId="HeaderChar">
    <w:name w:val="Header Char"/>
    <w:link w:val="Header"/>
    <w:uiPriority w:val="99"/>
    <w:rsid w:val="007668D0"/>
    <w:rPr>
      <w:rFonts w:ascii="Arial" w:hAnsi="Arial" w:cs="Arial"/>
      <w:sz w:val="18"/>
      <w:szCs w:val="18"/>
      <w:lang w:eastAsia="en-US"/>
    </w:rPr>
  </w:style>
  <w:style w:type="paragraph" w:customStyle="1" w:styleId="Default">
    <w:name w:val="Default"/>
    <w:rsid w:val="007668D0"/>
    <w:pPr>
      <w:autoSpaceDE w:val="0"/>
      <w:autoSpaceDN w:val="0"/>
      <w:adjustRightInd w:val="0"/>
    </w:pPr>
    <w:rPr>
      <w:rFonts w:ascii="Agfa Rotis Serif" w:hAnsi="Agfa Rotis Serif" w:cs="Agfa Rotis Serif"/>
      <w:color w:val="000000"/>
      <w:sz w:val="24"/>
      <w:szCs w:val="24"/>
      <w:lang w:eastAsia="en-GB"/>
    </w:rPr>
  </w:style>
  <w:style w:type="paragraph" w:styleId="ListParagraph">
    <w:name w:val="List Paragraph"/>
    <w:basedOn w:val="Normal"/>
    <w:uiPriority w:val="34"/>
    <w:rsid w:val="007668D0"/>
    <w:pPr>
      <w:ind w:left="720"/>
      <w:contextualSpacing/>
    </w:pPr>
    <w:rPr>
      <w:rFonts w:ascii="Garamond" w:hAnsi="Garamond" w:cs="Arial"/>
      <w:sz w:val="22"/>
    </w:rPr>
  </w:style>
  <w:style w:type="paragraph" w:styleId="TOCHeading">
    <w:name w:val="TOC Heading"/>
    <w:basedOn w:val="Heading1"/>
    <w:next w:val="Normal"/>
    <w:uiPriority w:val="39"/>
    <w:unhideWhenUsed/>
    <w:qFormat/>
    <w:rsid w:val="007668D0"/>
    <w:pPr>
      <w:spacing w:before="480" w:after="0" w:line="276" w:lineRule="auto"/>
      <w:outlineLvl w:val="9"/>
    </w:pPr>
    <w:rPr>
      <w:rFonts w:ascii="Cambria" w:eastAsia="MS Gothic" w:hAnsi="Cambria"/>
      <w:b/>
      <w:color w:val="365F91"/>
      <w:sz w:val="28"/>
      <w:szCs w:val="28"/>
      <w:lang w:val="en-US" w:eastAsia="ja-JP"/>
    </w:rPr>
  </w:style>
  <w:style w:type="paragraph" w:customStyle="1" w:styleId="Pa2">
    <w:name w:val="Pa2"/>
    <w:basedOn w:val="Default"/>
    <w:next w:val="Default"/>
    <w:uiPriority w:val="99"/>
    <w:rsid w:val="007668D0"/>
    <w:pPr>
      <w:spacing w:line="191" w:lineRule="atLeast"/>
    </w:pPr>
    <w:rPr>
      <w:rFonts w:ascii="Rotis Serif Pro" w:hAnsi="Rotis Serif Pro" w:cs="Times New Roman"/>
      <w:color w:val="auto"/>
    </w:rPr>
  </w:style>
  <w:style w:type="character" w:styleId="CommentReference">
    <w:name w:val="annotation reference"/>
    <w:rsid w:val="007668D0"/>
    <w:rPr>
      <w:sz w:val="16"/>
      <w:szCs w:val="16"/>
    </w:rPr>
  </w:style>
  <w:style w:type="paragraph" w:styleId="CommentText">
    <w:name w:val="annotation text"/>
    <w:basedOn w:val="Normal"/>
    <w:link w:val="CommentTextChar"/>
    <w:rsid w:val="007668D0"/>
    <w:rPr>
      <w:rFonts w:ascii="Garamond" w:hAnsi="Garamond" w:cs="Arial"/>
    </w:rPr>
  </w:style>
  <w:style w:type="character" w:customStyle="1" w:styleId="CommentTextChar">
    <w:name w:val="Comment Text Char"/>
    <w:basedOn w:val="DefaultParagraphFont"/>
    <w:link w:val="CommentText"/>
    <w:rsid w:val="007668D0"/>
    <w:rPr>
      <w:rFonts w:ascii="Garamond" w:hAnsi="Garamond" w:cs="Arial"/>
      <w:lang w:eastAsia="en-US"/>
    </w:rPr>
  </w:style>
  <w:style w:type="paragraph" w:styleId="CommentSubject">
    <w:name w:val="annotation subject"/>
    <w:basedOn w:val="CommentText"/>
    <w:next w:val="CommentText"/>
    <w:link w:val="CommentSubjectChar"/>
    <w:rsid w:val="007668D0"/>
    <w:rPr>
      <w:b/>
      <w:bCs/>
    </w:rPr>
  </w:style>
  <w:style w:type="character" w:customStyle="1" w:styleId="CommentSubjectChar">
    <w:name w:val="Comment Subject Char"/>
    <w:basedOn w:val="CommentTextChar"/>
    <w:link w:val="CommentSubject"/>
    <w:rsid w:val="007668D0"/>
    <w:rPr>
      <w:rFonts w:ascii="Garamond" w:hAnsi="Garamond" w:cs="Arial"/>
      <w:b/>
      <w:bCs/>
      <w:lang w:eastAsia="en-US"/>
    </w:rPr>
  </w:style>
  <w:style w:type="paragraph" w:customStyle="1" w:styleId="Pa14">
    <w:name w:val="Pa14"/>
    <w:basedOn w:val="Default"/>
    <w:next w:val="Default"/>
    <w:uiPriority w:val="99"/>
    <w:rsid w:val="007668D0"/>
    <w:pPr>
      <w:spacing w:line="191" w:lineRule="atLeast"/>
    </w:pPr>
    <w:rPr>
      <w:rFonts w:ascii="Rotis Serif Pro" w:hAnsi="Rotis Serif Pro" w:cs="Times New Roman"/>
      <w:color w:val="auto"/>
    </w:rPr>
  </w:style>
  <w:style w:type="paragraph" w:styleId="Revision">
    <w:name w:val="Revision"/>
    <w:hidden/>
    <w:uiPriority w:val="99"/>
    <w:rsid w:val="007668D0"/>
    <w:rPr>
      <w:rFonts w:ascii="Garamond" w:hAnsi="Garamond" w:cs="Arial"/>
      <w:sz w:val="22"/>
      <w:lang w:eastAsia="en-US"/>
    </w:rPr>
  </w:style>
  <w:style w:type="character" w:customStyle="1" w:styleId="TableTextChar">
    <w:name w:val="Table Text Char"/>
    <w:link w:val="TableText"/>
    <w:locked/>
    <w:rsid w:val="007668D0"/>
    <w:rPr>
      <w:rFonts w:ascii="Arial" w:hAnsi="Arial" w:cs="Arial"/>
      <w:sz w:val="16"/>
      <w:lang w:val="en-GB" w:eastAsia="en-US"/>
    </w:rPr>
  </w:style>
  <w:style w:type="character" w:customStyle="1" w:styleId="TableHeadingChar">
    <w:name w:val="Table Heading Char"/>
    <w:link w:val="TableHeading"/>
    <w:locked/>
    <w:rsid w:val="007668D0"/>
    <w:rPr>
      <w:rFonts w:ascii="Arial" w:hAnsi="Arial" w:cs="Arial"/>
      <w:b/>
      <w:bCs/>
      <w:kern w:val="28"/>
      <w:sz w:val="16"/>
      <w:szCs w:val="32"/>
      <w:lang w:val="en-GB" w:eastAsia="en-US"/>
    </w:rPr>
  </w:style>
  <w:style w:type="paragraph" w:customStyle="1" w:styleId="Pa3">
    <w:name w:val="Pa3"/>
    <w:basedOn w:val="Default"/>
    <w:next w:val="Default"/>
    <w:uiPriority w:val="99"/>
    <w:rsid w:val="007668D0"/>
    <w:pPr>
      <w:spacing w:line="201" w:lineRule="atLeast"/>
    </w:pPr>
    <w:rPr>
      <w:rFonts w:ascii="Meta Plus Book" w:hAnsi="Meta Plus Book" w:cs="Times New Roman"/>
      <w:color w:val="auto"/>
    </w:rPr>
  </w:style>
  <w:style w:type="character" w:customStyle="1" w:styleId="A5">
    <w:name w:val="A5"/>
    <w:uiPriority w:val="99"/>
    <w:rsid w:val="007668D0"/>
    <w:rPr>
      <w:rFonts w:cs="Meta Plus Book"/>
      <w:color w:val="000000"/>
      <w:sz w:val="20"/>
      <w:szCs w:val="20"/>
    </w:rPr>
  </w:style>
  <w:style w:type="table" w:styleId="TableColumns2">
    <w:name w:val="Table Columns 2"/>
    <w:basedOn w:val="TableNormal"/>
    <w:rsid w:val="007668D0"/>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7668D0"/>
    <w:pPr>
      <w:spacing w:before="100" w:beforeAutospacing="1" w:after="100" w:afterAutospacing="1"/>
    </w:pPr>
    <w:rPr>
      <w:rFonts w:ascii="Times New Roman" w:hAnsi="Times New Roman"/>
      <w:sz w:val="24"/>
      <w:szCs w:val="24"/>
      <w:lang w:eastAsia="en-AU"/>
    </w:rPr>
  </w:style>
  <w:style w:type="table" w:styleId="LightList-Accent4">
    <w:name w:val="Light List Accent 4"/>
    <w:basedOn w:val="TableNormal"/>
    <w:uiPriority w:val="61"/>
    <w:rsid w:val="007668D0"/>
    <w:rPr>
      <w:lang w:val="en-GB"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PlainText">
    <w:name w:val="Plain Text"/>
    <w:basedOn w:val="Normal"/>
    <w:link w:val="PlainTextChar"/>
    <w:uiPriority w:val="99"/>
    <w:unhideWhenUsed/>
    <w:rsid w:val="007668D0"/>
    <w:rPr>
      <w:rFonts w:ascii="Arial" w:eastAsia="Calibri" w:hAnsi="Arial"/>
      <w:szCs w:val="21"/>
    </w:rPr>
  </w:style>
  <w:style w:type="character" w:customStyle="1" w:styleId="PlainTextChar">
    <w:name w:val="Plain Text Char"/>
    <w:basedOn w:val="DefaultParagraphFont"/>
    <w:link w:val="PlainText"/>
    <w:uiPriority w:val="99"/>
    <w:rsid w:val="007668D0"/>
    <w:rPr>
      <w:rFonts w:ascii="Arial" w:eastAsia="Calibri" w:hAnsi="Arial"/>
      <w:szCs w:val="21"/>
      <w:lang w:eastAsia="en-US"/>
    </w:rPr>
  </w:style>
  <w:style w:type="table" w:customStyle="1" w:styleId="TableGrid1">
    <w:name w:val="Table Grid1"/>
    <w:basedOn w:val="TableNormal"/>
    <w:next w:val="TableGrid"/>
    <w:uiPriority w:val="59"/>
    <w:rsid w:val="007668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8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695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eview-azure.health.vic.gov.au/hospitals-and-health-services/funding-performance-accountability/pricing-funding-framework/guidelines-for-ceo-and-executive-busines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vpsc.vic.gov.au/resources/gifts-benefits-and-hospitality-resource-suite/" TargetMode="External"/><Relationship Id="rId1" Type="http://schemas.openxmlformats.org/officeDocument/2006/relationships/hyperlink" Target="http://www.dtf.vic.gov.au/Publications/Government-Financial-Management-publications/Standing-Directions-of-the-Minister-for-Finance-2016/Standing-Directions-2016-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D85-FBBD-4E6D-8BAC-6D4EF306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01 Navy 2765.dot</Template>
  <TotalTime>20</TotalTime>
  <Pages>16</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Guidelines for CEO and Executive Business Expenditure</vt:lpstr>
    </vt:vector>
  </TitlesOfParts>
  <Company>Department of Health and Human Services</Company>
  <LinksUpToDate>false</LinksUpToDate>
  <CharactersWithSpaces>33499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CEO and Executive Business Expenditure</dc:title>
  <dc:subject>Guidelines for CEO and Executive Business Expenditure</dc:subject>
  <dc:creator>Commissioning, Performance and Regulation</dc:creator>
  <cp:keywords>Guidelines; Business expense, business expenses, expense, expenses, official business, reimbursement, staff reimbursement, allowance, allowances, overtime, overtime meal, overtime meal allowance, meal allowance, travel policy, personal expense policy, claim, claim for</cp:keywords>
  <cp:lastModifiedBy>Sophia Buksh (DHHS)</cp:lastModifiedBy>
  <cp:revision>6</cp:revision>
  <cp:lastPrinted>2017-09-11T02:26:00Z</cp:lastPrinted>
  <dcterms:created xsi:type="dcterms:W3CDTF">2017-09-11T02:26:00Z</dcterms:created>
  <dcterms:modified xsi:type="dcterms:W3CDTF">2017-09-12T01:34:00Z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