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21E83" w14:textId="77777777" w:rsidR="00056EC4" w:rsidRDefault="00E9042A" w:rsidP="00056EC4">
      <w:pPr>
        <w:pStyle w:val="Body"/>
      </w:pPr>
      <w:r>
        <w:rPr>
          <w:noProof/>
        </w:rPr>
        <w:drawing>
          <wp:anchor distT="0" distB="0" distL="114300" distR="114300" simplePos="0" relativeHeight="251658240" behindDoc="1" locked="1" layoutInCell="1" allowOverlap="0" wp14:anchorId="0B11AD37" wp14:editId="402ECF54">
            <wp:simplePos x="0" y="0"/>
            <wp:positionH relativeFrom="page">
              <wp:posOffset>0</wp:posOffset>
            </wp:positionH>
            <wp:positionV relativeFrom="page">
              <wp:posOffset>0</wp:posOffset>
            </wp:positionV>
            <wp:extent cx="7556400" cy="10148400"/>
            <wp:effectExtent l="0" t="0" r="635" b="0"/>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1"/>
                    <a:stretch>
                      <a:fillRect/>
                    </a:stretch>
                  </pic:blipFill>
                  <pic:spPr>
                    <a:xfrm>
                      <a:off x="0" y="0"/>
                      <a:ext cx="75564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2A59F62" w14:textId="77777777" w:rsidTr="00431F42">
        <w:trPr>
          <w:cantSplit/>
        </w:trPr>
        <w:tc>
          <w:tcPr>
            <w:tcW w:w="0" w:type="auto"/>
            <w:tcMar>
              <w:top w:w="0" w:type="dxa"/>
              <w:left w:w="0" w:type="dxa"/>
              <w:right w:w="0" w:type="dxa"/>
            </w:tcMar>
          </w:tcPr>
          <w:p w14:paraId="5DC967F2" w14:textId="7DE11A82" w:rsidR="00AD784C" w:rsidRPr="00431F42" w:rsidRDefault="00204DCF" w:rsidP="00431F42">
            <w:pPr>
              <w:pStyle w:val="Documenttitle"/>
            </w:pPr>
            <w:r w:rsidRPr="00204DCF">
              <w:t>Guidelines for developing fees and charges for Class A cemetery trusts</w:t>
            </w:r>
          </w:p>
        </w:tc>
      </w:tr>
      <w:tr w:rsidR="00430393" w14:paraId="55DF8C92" w14:textId="77777777" w:rsidTr="00431F42">
        <w:trPr>
          <w:cantSplit/>
        </w:trPr>
        <w:tc>
          <w:tcPr>
            <w:tcW w:w="0" w:type="auto"/>
          </w:tcPr>
          <w:p w14:paraId="2D594CAE" w14:textId="77777777" w:rsidR="00430393" w:rsidRDefault="00CE65F4" w:rsidP="00430393">
            <w:pPr>
              <w:pStyle w:val="Bannermarking"/>
            </w:pPr>
            <w:r>
              <w:fldChar w:fldCharType="begin"/>
            </w:r>
            <w:r>
              <w:instrText xml:space="preserve"> FILLIN  "Type the protective marking" \d OFFICIAL \o  \* MERGEFORMAT </w:instrText>
            </w:r>
            <w:r>
              <w:fldChar w:fldCharType="separate"/>
            </w:r>
            <w:r w:rsidR="00204DCF">
              <w:t>OFFICIAL</w:t>
            </w:r>
            <w:r>
              <w:fldChar w:fldCharType="end"/>
            </w:r>
          </w:p>
        </w:tc>
      </w:tr>
    </w:tbl>
    <w:p w14:paraId="7C20A350" w14:textId="77777777" w:rsidR="00FE4081" w:rsidRDefault="00FE4081" w:rsidP="00FE4081">
      <w:pPr>
        <w:pStyle w:val="Body"/>
      </w:pPr>
    </w:p>
    <w:p w14:paraId="0B2631F2"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218F2F76"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5DD31602" w14:textId="77777777" w:rsidTr="00562507">
        <w:trPr>
          <w:cantSplit/>
          <w:trHeight w:val="7088"/>
        </w:trPr>
        <w:tc>
          <w:tcPr>
            <w:tcW w:w="9288" w:type="dxa"/>
          </w:tcPr>
          <w:p w14:paraId="713D758A" w14:textId="0CE6FD95" w:rsidR="009F2182" w:rsidRPr="00BA26F6" w:rsidRDefault="009F2182" w:rsidP="00BA26F6">
            <w:pPr>
              <w:pStyle w:val="Body"/>
              <w:rPr>
                <w:rFonts w:eastAsia="Times New Roman"/>
                <w:color w:val="87189D"/>
                <w:sz w:val="24"/>
                <w:szCs w:val="24"/>
              </w:rPr>
            </w:pPr>
          </w:p>
        </w:tc>
      </w:tr>
      <w:tr w:rsidR="009F2182" w14:paraId="51B26EC7" w14:textId="77777777" w:rsidTr="00562507">
        <w:trPr>
          <w:cantSplit/>
          <w:trHeight w:val="5103"/>
        </w:trPr>
        <w:tc>
          <w:tcPr>
            <w:tcW w:w="9288" w:type="dxa"/>
            <w:vAlign w:val="bottom"/>
          </w:tcPr>
          <w:p w14:paraId="060033B4" w14:textId="016AC736" w:rsidR="009F2182" w:rsidRPr="0055119B" w:rsidRDefault="00204DCF" w:rsidP="00204DCF">
            <w:pPr>
              <w:pStyle w:val="Accessibilitypara"/>
            </w:pPr>
            <w:r w:rsidRPr="0055119B">
              <w:t>To receive this document in another format</w:t>
            </w:r>
            <w:r>
              <w:t>,</w:t>
            </w:r>
            <w:r w:rsidRPr="0055119B">
              <w:t xml:space="preserve"> </w:t>
            </w:r>
            <w:bookmarkStart w:id="0" w:name="_Hlk70512212"/>
            <w:r w:rsidRPr="0055119B">
              <w:t xml:space="preserve">phone </w:t>
            </w:r>
            <w:r w:rsidRPr="003616EC">
              <w:t>1800 034 280</w:t>
            </w:r>
            <w:r w:rsidRPr="0055119B">
              <w:t>, using the National Relay Service 13 36 77 if required, or</w:t>
            </w:r>
            <w:r w:rsidRPr="003616EC">
              <w:t xml:space="preserve"> </w:t>
            </w:r>
            <w:hyperlink r:id="rId18" w:history="1">
              <w:r w:rsidRPr="003616EC">
                <w:rPr>
                  <w:rStyle w:val="Hyperlink"/>
                  <w:u w:val="none"/>
                </w:rPr>
                <w:t>email the Cemetery Sector Governance Support Program</w:t>
              </w:r>
            </w:hyperlink>
            <w:r w:rsidRPr="003616EC">
              <w:t xml:space="preserve"> &lt;cemeteries@health.vic.gov.au&gt;.</w:t>
            </w:r>
            <w:bookmarkEnd w:id="0"/>
          </w:p>
          <w:p w14:paraId="50CC4639" w14:textId="77777777" w:rsidR="009F2182" w:rsidRPr="0055119B" w:rsidRDefault="009F2182" w:rsidP="009F2182">
            <w:pPr>
              <w:pStyle w:val="Imprint"/>
            </w:pPr>
            <w:r w:rsidRPr="0055119B">
              <w:t>Authorised and published by the Victorian Government, 1 Treasury Place, Melbourne.</w:t>
            </w:r>
          </w:p>
          <w:p w14:paraId="47AEDDA3" w14:textId="736BE059"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 xml:space="preserve">, </w:t>
            </w:r>
            <w:r w:rsidR="00DB3697">
              <w:rPr>
                <w:color w:val="auto"/>
              </w:rPr>
              <w:t>May 2021</w:t>
            </w:r>
            <w:r w:rsidRPr="0055119B">
              <w:t>.</w:t>
            </w:r>
          </w:p>
          <w:p w14:paraId="4F65654A" w14:textId="103DA433" w:rsidR="00204DCF" w:rsidRPr="003616EC" w:rsidRDefault="00CE65F4" w:rsidP="00204DCF">
            <w:pPr>
              <w:pStyle w:val="Imprint"/>
              <w:rPr>
                <w:color w:val="auto"/>
              </w:rPr>
            </w:pPr>
            <w:bookmarkStart w:id="1" w:name="_Hlk62746129"/>
            <w:r w:rsidRPr="00CE65F4">
              <w:t>ISBN 978-1-76096-348-4 (pdf/online/MS word)</w:t>
            </w:r>
          </w:p>
          <w:p w14:paraId="1F1A5EC5" w14:textId="4FE16EC7" w:rsidR="009F2182" w:rsidRDefault="009F2182" w:rsidP="00204DCF">
            <w:pPr>
              <w:pStyle w:val="Imprint"/>
            </w:pPr>
            <w:r w:rsidRPr="0055119B">
              <w:t xml:space="preserve">Available </w:t>
            </w:r>
            <w:r w:rsidR="00204DCF">
              <w:rPr>
                <w:color w:val="auto"/>
              </w:rPr>
              <w:t>on the</w:t>
            </w:r>
            <w:r w:rsidR="00204DCF" w:rsidRPr="003616EC">
              <w:rPr>
                <w:color w:val="auto"/>
              </w:rPr>
              <w:t xml:space="preserve"> </w:t>
            </w:r>
            <w:hyperlink r:id="rId19" w:history="1">
              <w:r w:rsidR="00204DCF" w:rsidRPr="003616EC">
                <w:rPr>
                  <w:rStyle w:val="Hyperlink"/>
                  <w:u w:val="none"/>
                </w:rPr>
                <w:t>health.vic website</w:t>
              </w:r>
            </w:hyperlink>
            <w:r w:rsidR="00204DCF">
              <w:rPr>
                <w:color w:val="auto"/>
              </w:rPr>
              <w:t xml:space="preserve"> </w:t>
            </w:r>
            <w:r w:rsidRPr="0055119B">
              <w:t>&lt;</w:t>
            </w:r>
            <w:r w:rsidR="00204DCF" w:rsidRPr="00D6468C">
              <w:rPr>
                <w:color w:val="auto"/>
              </w:rPr>
              <w:t>https://www2.health.vic.gov.au/public-health/cemeteries-and-crematoria/governance-and-finance/finance/class-a-cemetery-trusts-finance</w:t>
            </w:r>
            <w:r w:rsidRPr="00D6468C">
              <w:rPr>
                <w:color w:val="auto"/>
              </w:rPr>
              <w:t>&gt;</w:t>
            </w:r>
            <w:bookmarkEnd w:id="1"/>
          </w:p>
        </w:tc>
      </w:tr>
      <w:tr w:rsidR="0008204A" w14:paraId="4104288D" w14:textId="77777777" w:rsidTr="0008204A">
        <w:trPr>
          <w:cantSplit/>
        </w:trPr>
        <w:tc>
          <w:tcPr>
            <w:tcW w:w="9288" w:type="dxa"/>
          </w:tcPr>
          <w:p w14:paraId="45509F82" w14:textId="77777777" w:rsidR="0008204A" w:rsidRPr="0055119B" w:rsidRDefault="0008204A" w:rsidP="0008204A">
            <w:pPr>
              <w:pStyle w:val="Body"/>
            </w:pPr>
          </w:p>
        </w:tc>
      </w:tr>
    </w:tbl>
    <w:p w14:paraId="57947965" w14:textId="77777777" w:rsidR="0008204A" w:rsidRPr="0008204A" w:rsidRDefault="0008204A" w:rsidP="0008204A">
      <w:pPr>
        <w:pStyle w:val="Body"/>
      </w:pPr>
      <w:r w:rsidRPr="0008204A">
        <w:br w:type="page"/>
      </w:r>
    </w:p>
    <w:p w14:paraId="7601FF2A" w14:textId="77777777" w:rsidR="00AD784C" w:rsidRPr="00B57329" w:rsidRDefault="00AD784C" w:rsidP="002365B4">
      <w:pPr>
        <w:pStyle w:val="TOCheadingreport"/>
      </w:pPr>
      <w:r w:rsidRPr="00B57329">
        <w:lastRenderedPageBreak/>
        <w:t>Contents</w:t>
      </w:r>
    </w:p>
    <w:p w14:paraId="176AD017" w14:textId="006753B5" w:rsidR="00CE65F4"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71895481" w:history="1">
        <w:r w:rsidR="00CE65F4" w:rsidRPr="001E5DFB">
          <w:rPr>
            <w:rStyle w:val="Hyperlink"/>
          </w:rPr>
          <w:t>Objectives</w:t>
        </w:r>
        <w:r w:rsidR="00CE65F4">
          <w:rPr>
            <w:webHidden/>
          </w:rPr>
          <w:tab/>
        </w:r>
        <w:r w:rsidR="00CE65F4">
          <w:rPr>
            <w:webHidden/>
          </w:rPr>
          <w:fldChar w:fldCharType="begin"/>
        </w:r>
        <w:r w:rsidR="00CE65F4">
          <w:rPr>
            <w:webHidden/>
          </w:rPr>
          <w:instrText xml:space="preserve"> PAGEREF _Toc71895481 \h </w:instrText>
        </w:r>
        <w:r w:rsidR="00CE65F4">
          <w:rPr>
            <w:webHidden/>
          </w:rPr>
        </w:r>
        <w:r w:rsidR="00CE65F4">
          <w:rPr>
            <w:webHidden/>
          </w:rPr>
          <w:fldChar w:fldCharType="separate"/>
        </w:r>
        <w:r w:rsidR="00CE65F4">
          <w:rPr>
            <w:webHidden/>
          </w:rPr>
          <w:t>4</w:t>
        </w:r>
        <w:r w:rsidR="00CE65F4">
          <w:rPr>
            <w:webHidden/>
          </w:rPr>
          <w:fldChar w:fldCharType="end"/>
        </w:r>
      </w:hyperlink>
    </w:p>
    <w:p w14:paraId="77BDCB7B" w14:textId="0309E21D" w:rsidR="00CE65F4" w:rsidRDefault="00CE65F4">
      <w:pPr>
        <w:pStyle w:val="TOC1"/>
        <w:rPr>
          <w:rFonts w:asciiTheme="minorHAnsi" w:eastAsiaTheme="minorEastAsia" w:hAnsiTheme="minorHAnsi" w:cstheme="minorBidi"/>
          <w:b w:val="0"/>
          <w:sz w:val="22"/>
          <w:szCs w:val="22"/>
          <w:lang w:eastAsia="en-AU"/>
        </w:rPr>
      </w:pPr>
      <w:hyperlink w:anchor="_Toc71895482" w:history="1">
        <w:r w:rsidRPr="001E5DFB">
          <w:rPr>
            <w:rStyle w:val="Hyperlink"/>
          </w:rPr>
          <w:t>Overview</w:t>
        </w:r>
        <w:r>
          <w:rPr>
            <w:webHidden/>
          </w:rPr>
          <w:tab/>
        </w:r>
        <w:r>
          <w:rPr>
            <w:webHidden/>
          </w:rPr>
          <w:fldChar w:fldCharType="begin"/>
        </w:r>
        <w:r>
          <w:rPr>
            <w:webHidden/>
          </w:rPr>
          <w:instrText xml:space="preserve"> PAGEREF _Toc71895482 \h </w:instrText>
        </w:r>
        <w:r>
          <w:rPr>
            <w:webHidden/>
          </w:rPr>
        </w:r>
        <w:r>
          <w:rPr>
            <w:webHidden/>
          </w:rPr>
          <w:fldChar w:fldCharType="separate"/>
        </w:r>
        <w:r>
          <w:rPr>
            <w:webHidden/>
          </w:rPr>
          <w:t>4</w:t>
        </w:r>
        <w:r>
          <w:rPr>
            <w:webHidden/>
          </w:rPr>
          <w:fldChar w:fldCharType="end"/>
        </w:r>
      </w:hyperlink>
    </w:p>
    <w:p w14:paraId="473438AD" w14:textId="78BAFEFA" w:rsidR="00CE65F4" w:rsidRDefault="00CE65F4">
      <w:pPr>
        <w:pStyle w:val="TOC2"/>
        <w:rPr>
          <w:rFonts w:asciiTheme="minorHAnsi" w:eastAsiaTheme="minorEastAsia" w:hAnsiTheme="minorHAnsi" w:cstheme="minorBidi"/>
          <w:sz w:val="22"/>
          <w:szCs w:val="22"/>
          <w:lang w:eastAsia="en-AU"/>
        </w:rPr>
      </w:pPr>
      <w:hyperlink w:anchor="_Toc71895483" w:history="1">
        <w:r w:rsidRPr="001E5DFB">
          <w:rPr>
            <w:rStyle w:val="Hyperlink"/>
          </w:rPr>
          <w:t>Role of cemetery trusts in setting fees</w:t>
        </w:r>
        <w:r>
          <w:rPr>
            <w:webHidden/>
          </w:rPr>
          <w:tab/>
        </w:r>
        <w:r>
          <w:rPr>
            <w:webHidden/>
          </w:rPr>
          <w:fldChar w:fldCharType="begin"/>
        </w:r>
        <w:r>
          <w:rPr>
            <w:webHidden/>
          </w:rPr>
          <w:instrText xml:space="preserve"> PAGEREF _Toc71895483 \h </w:instrText>
        </w:r>
        <w:r>
          <w:rPr>
            <w:webHidden/>
          </w:rPr>
        </w:r>
        <w:r>
          <w:rPr>
            <w:webHidden/>
          </w:rPr>
          <w:fldChar w:fldCharType="separate"/>
        </w:r>
        <w:r>
          <w:rPr>
            <w:webHidden/>
          </w:rPr>
          <w:t>4</w:t>
        </w:r>
        <w:r>
          <w:rPr>
            <w:webHidden/>
          </w:rPr>
          <w:fldChar w:fldCharType="end"/>
        </w:r>
      </w:hyperlink>
    </w:p>
    <w:p w14:paraId="396F1C97" w14:textId="718BC73E" w:rsidR="00CE65F4" w:rsidRDefault="00CE65F4">
      <w:pPr>
        <w:pStyle w:val="TOC2"/>
        <w:rPr>
          <w:rFonts w:asciiTheme="minorHAnsi" w:eastAsiaTheme="minorEastAsia" w:hAnsiTheme="minorHAnsi" w:cstheme="minorBidi"/>
          <w:sz w:val="22"/>
          <w:szCs w:val="22"/>
          <w:lang w:eastAsia="en-AU"/>
        </w:rPr>
      </w:pPr>
      <w:hyperlink w:anchor="_Toc71895484" w:history="1">
        <w:r w:rsidRPr="001E5DFB">
          <w:rPr>
            <w:rStyle w:val="Hyperlink"/>
          </w:rPr>
          <w:t>Role of the department in reviewing fees</w:t>
        </w:r>
        <w:r>
          <w:rPr>
            <w:webHidden/>
          </w:rPr>
          <w:tab/>
        </w:r>
        <w:r>
          <w:rPr>
            <w:webHidden/>
          </w:rPr>
          <w:fldChar w:fldCharType="begin"/>
        </w:r>
        <w:r>
          <w:rPr>
            <w:webHidden/>
          </w:rPr>
          <w:instrText xml:space="preserve"> PAGEREF _Toc71895484 \h </w:instrText>
        </w:r>
        <w:r>
          <w:rPr>
            <w:webHidden/>
          </w:rPr>
        </w:r>
        <w:r>
          <w:rPr>
            <w:webHidden/>
          </w:rPr>
          <w:fldChar w:fldCharType="separate"/>
        </w:r>
        <w:r>
          <w:rPr>
            <w:webHidden/>
          </w:rPr>
          <w:t>5</w:t>
        </w:r>
        <w:r>
          <w:rPr>
            <w:webHidden/>
          </w:rPr>
          <w:fldChar w:fldCharType="end"/>
        </w:r>
      </w:hyperlink>
    </w:p>
    <w:p w14:paraId="76A89B3A" w14:textId="31769C93" w:rsidR="00CE65F4" w:rsidRDefault="00CE65F4">
      <w:pPr>
        <w:pStyle w:val="TOC1"/>
        <w:rPr>
          <w:rFonts w:asciiTheme="minorHAnsi" w:eastAsiaTheme="minorEastAsia" w:hAnsiTheme="minorHAnsi" w:cstheme="minorBidi"/>
          <w:b w:val="0"/>
          <w:sz w:val="22"/>
          <w:szCs w:val="22"/>
          <w:lang w:eastAsia="en-AU"/>
        </w:rPr>
      </w:pPr>
      <w:hyperlink w:anchor="_Toc71895485" w:history="1">
        <w:r w:rsidRPr="001E5DFB">
          <w:rPr>
            <w:rStyle w:val="Hyperlink"/>
          </w:rPr>
          <w:t>Fee applications</w:t>
        </w:r>
        <w:r>
          <w:rPr>
            <w:webHidden/>
          </w:rPr>
          <w:tab/>
        </w:r>
        <w:r>
          <w:rPr>
            <w:webHidden/>
          </w:rPr>
          <w:fldChar w:fldCharType="begin"/>
        </w:r>
        <w:r>
          <w:rPr>
            <w:webHidden/>
          </w:rPr>
          <w:instrText xml:space="preserve"> PAGEREF _Toc71895485 \h </w:instrText>
        </w:r>
        <w:r>
          <w:rPr>
            <w:webHidden/>
          </w:rPr>
        </w:r>
        <w:r>
          <w:rPr>
            <w:webHidden/>
          </w:rPr>
          <w:fldChar w:fldCharType="separate"/>
        </w:r>
        <w:r>
          <w:rPr>
            <w:webHidden/>
          </w:rPr>
          <w:t>5</w:t>
        </w:r>
        <w:r>
          <w:rPr>
            <w:webHidden/>
          </w:rPr>
          <w:fldChar w:fldCharType="end"/>
        </w:r>
      </w:hyperlink>
    </w:p>
    <w:p w14:paraId="3D580020" w14:textId="78CF1481" w:rsidR="00CE65F4" w:rsidRDefault="00CE65F4">
      <w:pPr>
        <w:pStyle w:val="TOC2"/>
        <w:rPr>
          <w:rFonts w:asciiTheme="minorHAnsi" w:eastAsiaTheme="minorEastAsia" w:hAnsiTheme="minorHAnsi" w:cstheme="minorBidi"/>
          <w:sz w:val="22"/>
          <w:szCs w:val="22"/>
          <w:lang w:eastAsia="en-AU"/>
        </w:rPr>
      </w:pPr>
      <w:hyperlink w:anchor="_Toc71895486" w:history="1">
        <w:r w:rsidRPr="001E5DFB">
          <w:rPr>
            <w:rStyle w:val="Hyperlink"/>
          </w:rPr>
          <w:t>Consultation requirements</w:t>
        </w:r>
        <w:r>
          <w:rPr>
            <w:webHidden/>
          </w:rPr>
          <w:tab/>
        </w:r>
        <w:r>
          <w:rPr>
            <w:webHidden/>
          </w:rPr>
          <w:fldChar w:fldCharType="begin"/>
        </w:r>
        <w:r>
          <w:rPr>
            <w:webHidden/>
          </w:rPr>
          <w:instrText xml:space="preserve"> PAGEREF _Toc71895486 \h </w:instrText>
        </w:r>
        <w:r>
          <w:rPr>
            <w:webHidden/>
          </w:rPr>
        </w:r>
        <w:r>
          <w:rPr>
            <w:webHidden/>
          </w:rPr>
          <w:fldChar w:fldCharType="separate"/>
        </w:r>
        <w:r>
          <w:rPr>
            <w:webHidden/>
          </w:rPr>
          <w:t>5</w:t>
        </w:r>
        <w:r>
          <w:rPr>
            <w:webHidden/>
          </w:rPr>
          <w:fldChar w:fldCharType="end"/>
        </w:r>
      </w:hyperlink>
    </w:p>
    <w:p w14:paraId="74098F6F" w14:textId="16C24F22" w:rsidR="00CE65F4" w:rsidRDefault="00CE65F4">
      <w:pPr>
        <w:pStyle w:val="TOC2"/>
        <w:rPr>
          <w:rFonts w:asciiTheme="minorHAnsi" w:eastAsiaTheme="minorEastAsia" w:hAnsiTheme="minorHAnsi" w:cstheme="minorBidi"/>
          <w:sz w:val="22"/>
          <w:szCs w:val="22"/>
          <w:lang w:eastAsia="en-AU"/>
        </w:rPr>
      </w:pPr>
      <w:hyperlink w:anchor="_Toc71895487" w:history="1">
        <w:r w:rsidRPr="001E5DFB">
          <w:rPr>
            <w:rStyle w:val="Hyperlink"/>
          </w:rPr>
          <w:t>Costing process</w:t>
        </w:r>
        <w:r>
          <w:rPr>
            <w:webHidden/>
          </w:rPr>
          <w:tab/>
        </w:r>
        <w:r>
          <w:rPr>
            <w:webHidden/>
          </w:rPr>
          <w:fldChar w:fldCharType="begin"/>
        </w:r>
        <w:r>
          <w:rPr>
            <w:webHidden/>
          </w:rPr>
          <w:instrText xml:space="preserve"> PAGEREF _Toc71895487 \h </w:instrText>
        </w:r>
        <w:r>
          <w:rPr>
            <w:webHidden/>
          </w:rPr>
        </w:r>
        <w:r>
          <w:rPr>
            <w:webHidden/>
          </w:rPr>
          <w:fldChar w:fldCharType="separate"/>
        </w:r>
        <w:r>
          <w:rPr>
            <w:webHidden/>
          </w:rPr>
          <w:t>7</w:t>
        </w:r>
        <w:r>
          <w:rPr>
            <w:webHidden/>
          </w:rPr>
          <w:fldChar w:fldCharType="end"/>
        </w:r>
      </w:hyperlink>
    </w:p>
    <w:p w14:paraId="2DD07DED" w14:textId="4DBB0D59" w:rsidR="00CE65F4" w:rsidRDefault="00CE65F4">
      <w:pPr>
        <w:pStyle w:val="TOC2"/>
        <w:rPr>
          <w:rFonts w:asciiTheme="minorHAnsi" w:eastAsiaTheme="minorEastAsia" w:hAnsiTheme="minorHAnsi" w:cstheme="minorBidi"/>
          <w:sz w:val="22"/>
          <w:szCs w:val="22"/>
          <w:lang w:eastAsia="en-AU"/>
        </w:rPr>
      </w:pPr>
      <w:hyperlink w:anchor="_Toc71895488" w:history="1">
        <w:r w:rsidRPr="001E5DFB">
          <w:rPr>
            <w:rStyle w:val="Hyperlink"/>
          </w:rPr>
          <w:t>Seeking approval for fees and charges</w:t>
        </w:r>
        <w:r>
          <w:rPr>
            <w:webHidden/>
          </w:rPr>
          <w:tab/>
        </w:r>
        <w:r>
          <w:rPr>
            <w:webHidden/>
          </w:rPr>
          <w:fldChar w:fldCharType="begin"/>
        </w:r>
        <w:r>
          <w:rPr>
            <w:webHidden/>
          </w:rPr>
          <w:instrText xml:space="preserve"> PAGEREF _Toc71895488 \h </w:instrText>
        </w:r>
        <w:r>
          <w:rPr>
            <w:webHidden/>
          </w:rPr>
        </w:r>
        <w:r>
          <w:rPr>
            <w:webHidden/>
          </w:rPr>
          <w:fldChar w:fldCharType="separate"/>
        </w:r>
        <w:r>
          <w:rPr>
            <w:webHidden/>
          </w:rPr>
          <w:t>7</w:t>
        </w:r>
        <w:r>
          <w:rPr>
            <w:webHidden/>
          </w:rPr>
          <w:fldChar w:fldCharType="end"/>
        </w:r>
      </w:hyperlink>
    </w:p>
    <w:p w14:paraId="327BB674" w14:textId="4C528C7C" w:rsidR="00CE65F4" w:rsidRDefault="00CE65F4">
      <w:pPr>
        <w:pStyle w:val="TOC2"/>
        <w:rPr>
          <w:rFonts w:asciiTheme="minorHAnsi" w:eastAsiaTheme="minorEastAsia" w:hAnsiTheme="minorHAnsi" w:cstheme="minorBidi"/>
          <w:sz w:val="22"/>
          <w:szCs w:val="22"/>
          <w:lang w:eastAsia="en-AU"/>
        </w:rPr>
      </w:pPr>
      <w:hyperlink w:anchor="_Toc71895489" w:history="1">
        <w:r w:rsidRPr="001E5DFB">
          <w:rPr>
            <w:rStyle w:val="Hyperlink"/>
          </w:rPr>
          <w:t>Summary of guidelines</w:t>
        </w:r>
        <w:r>
          <w:rPr>
            <w:webHidden/>
          </w:rPr>
          <w:tab/>
        </w:r>
        <w:r>
          <w:rPr>
            <w:webHidden/>
          </w:rPr>
          <w:fldChar w:fldCharType="begin"/>
        </w:r>
        <w:r>
          <w:rPr>
            <w:webHidden/>
          </w:rPr>
          <w:instrText xml:space="preserve"> PAGEREF _Toc71895489 \h </w:instrText>
        </w:r>
        <w:r>
          <w:rPr>
            <w:webHidden/>
          </w:rPr>
        </w:r>
        <w:r>
          <w:rPr>
            <w:webHidden/>
          </w:rPr>
          <w:fldChar w:fldCharType="separate"/>
        </w:r>
        <w:r>
          <w:rPr>
            <w:webHidden/>
          </w:rPr>
          <w:t>8</w:t>
        </w:r>
        <w:r>
          <w:rPr>
            <w:webHidden/>
          </w:rPr>
          <w:fldChar w:fldCharType="end"/>
        </w:r>
      </w:hyperlink>
    </w:p>
    <w:p w14:paraId="22AD9A83" w14:textId="4F13534F" w:rsidR="00FB1F6E" w:rsidRDefault="00AD784C" w:rsidP="00D079AA">
      <w:pPr>
        <w:pStyle w:val="Body"/>
      </w:pPr>
      <w:r>
        <w:fldChar w:fldCharType="end"/>
      </w:r>
    </w:p>
    <w:p w14:paraId="790D4F74" w14:textId="77777777" w:rsidR="00FB1F6E" w:rsidRDefault="00FB1F6E">
      <w:pPr>
        <w:spacing w:after="0" w:line="240" w:lineRule="auto"/>
        <w:rPr>
          <w:rFonts w:eastAsia="Times"/>
        </w:rPr>
      </w:pPr>
      <w:r>
        <w:br w:type="page"/>
      </w:r>
    </w:p>
    <w:p w14:paraId="7992EEA8" w14:textId="77777777" w:rsidR="00204DCF" w:rsidRDefault="00204DCF" w:rsidP="00204DCF">
      <w:pPr>
        <w:pStyle w:val="Heading1"/>
        <w:spacing w:before="0"/>
      </w:pPr>
      <w:bookmarkStart w:id="2" w:name="_Hlk66712316"/>
      <w:bookmarkStart w:id="3" w:name="_Toc71895481"/>
      <w:r>
        <w:lastRenderedPageBreak/>
        <w:t>Objectives</w:t>
      </w:r>
      <w:bookmarkEnd w:id="3"/>
      <w:r>
        <w:t xml:space="preserve"> </w:t>
      </w:r>
    </w:p>
    <w:p w14:paraId="14DAA256" w14:textId="77777777" w:rsidR="00204DCF" w:rsidRDefault="00204DCF" w:rsidP="00204DCF">
      <w:pPr>
        <w:pStyle w:val="Body"/>
      </w:pPr>
      <w:r>
        <w:t>The objectives of these guidelines are to ensure Class A cemetery trusts have a clear understanding of how fees are constructed and to assist trusts to apply for fee adjustments.</w:t>
      </w:r>
    </w:p>
    <w:p w14:paraId="22928819" w14:textId="77777777" w:rsidR="00204DCF" w:rsidRDefault="00204DCF" w:rsidP="00204DCF">
      <w:pPr>
        <w:pStyle w:val="Heading1"/>
      </w:pPr>
      <w:bookmarkStart w:id="4" w:name="_Toc71895482"/>
      <w:r>
        <w:t>Overview</w:t>
      </w:r>
      <w:bookmarkEnd w:id="4"/>
    </w:p>
    <w:p w14:paraId="6A7BEC2A" w14:textId="77777777" w:rsidR="00204DCF" w:rsidRDefault="00204DCF" w:rsidP="00204DCF">
      <w:pPr>
        <w:pStyle w:val="Body"/>
      </w:pPr>
      <w:r>
        <w:t xml:space="preserve">All public cemetery trusts in Victoria are self-funding statutory bodies that are required to set fees to fund their operating activities and to meet their perpetual maintenance obligations under the </w:t>
      </w:r>
      <w:r w:rsidRPr="00204DCF">
        <w:rPr>
          <w:i/>
          <w:iCs/>
        </w:rPr>
        <w:t>Cemeteries and Crematoria Act 2003</w:t>
      </w:r>
      <w:r>
        <w:t xml:space="preserve"> (the Act).  Section 39 of the Act provides cemetery trusts with the power to fix fees and charges for cemetery services.  </w:t>
      </w:r>
    </w:p>
    <w:p w14:paraId="2F1FF33B" w14:textId="77777777" w:rsidR="00204DCF" w:rsidRDefault="00204DCF" w:rsidP="00204DCF">
      <w:pPr>
        <w:pStyle w:val="Body"/>
      </w:pPr>
      <w:r>
        <w:t>These fees and charges must be submitted to the Secretary of the Department of Health (the department), who may approve or disapprove a fee under s. 40(2).</w:t>
      </w:r>
    </w:p>
    <w:p w14:paraId="77C2EE74" w14:textId="77777777" w:rsidR="00204DCF" w:rsidRDefault="00204DCF" w:rsidP="00204DCF">
      <w:pPr>
        <w:pStyle w:val="Body"/>
      </w:pPr>
      <w:r>
        <w:t>These guidelines are made in accordance with s. 42A(1) of the Act. They apply to Class A cemetery trusts (trusts) and set out the steps trusts need to follow when seeking approval from the Secretary of a fee or charge, or a scale of fees and charges, for the introduction of new products or services or for increases in existing fees above the Consumer Price Index (CPI).</w:t>
      </w:r>
    </w:p>
    <w:p w14:paraId="0C42D80C" w14:textId="77777777" w:rsidR="00204DCF" w:rsidRDefault="00204DCF" w:rsidP="00204DCF">
      <w:pPr>
        <w:pStyle w:val="Body"/>
      </w:pPr>
      <w:r>
        <w:t xml:space="preserve">These guidelines do not apply where a trust wishes to reduce or remove a fee or charge, or to increase the fee or charge in accordance with CPI. Fees are automatically increased annually in accordance with CPI. To reduce or remove a fee or charge, the trust can make the request in writing to the department. </w:t>
      </w:r>
    </w:p>
    <w:p w14:paraId="7B66FA3B" w14:textId="77777777" w:rsidR="00204DCF" w:rsidRDefault="00204DCF" w:rsidP="00204DCF">
      <w:pPr>
        <w:pStyle w:val="Heading2"/>
      </w:pPr>
      <w:bookmarkStart w:id="5" w:name="_Toc71895483"/>
      <w:r>
        <w:t>Role of cemetery trusts in setting fees</w:t>
      </w:r>
      <w:bookmarkEnd w:id="5"/>
    </w:p>
    <w:p w14:paraId="389A9A47" w14:textId="77777777" w:rsidR="00204DCF" w:rsidRDefault="00204DCF" w:rsidP="00204DCF">
      <w:pPr>
        <w:pStyle w:val="Body"/>
      </w:pPr>
      <w:r>
        <w:t xml:space="preserve">Cemetery trusts are best placed to determine the services required by the communities they serve and the appropriate level of fees for those services. </w:t>
      </w:r>
    </w:p>
    <w:p w14:paraId="1E1D5E8D" w14:textId="77777777" w:rsidR="00204DCF" w:rsidRDefault="00204DCF" w:rsidP="00204DCF">
      <w:pPr>
        <w:pStyle w:val="Body"/>
      </w:pPr>
      <w:r>
        <w:t>As cemetery trusts are public bodies, there is an expectation that they will set fees for cemetery services that are consistent and transparent. Cemetery trusts are required to provide affordable cemetery services at a standard that reflects community expectations. These guidelines have been developed to assist cemetery trusts with the development of fair and reasonable fees.</w:t>
      </w:r>
    </w:p>
    <w:p w14:paraId="67C10902" w14:textId="134C2F4C" w:rsidR="00204DCF" w:rsidRDefault="00204DCF" w:rsidP="00204DCF">
      <w:pPr>
        <w:pStyle w:val="Body"/>
      </w:pPr>
      <w:r>
        <w:t xml:space="preserve">In fixing fees, a cemetery trust must consider the costs of operating and managing the public cemeteries under its control, including the need to provide for the maintenance of cemeteries in perpetuity. Revenue raised by cemetery trusts through their fees and charges is expected to: </w:t>
      </w:r>
    </w:p>
    <w:p w14:paraId="73837DFF" w14:textId="1785522D" w:rsidR="00204DCF" w:rsidRDefault="00204DCF" w:rsidP="00204DCF">
      <w:pPr>
        <w:pStyle w:val="Bullet1"/>
      </w:pPr>
      <w:r>
        <w:t>encompass current cemetery operational costs (including ongoing maintenance)</w:t>
      </w:r>
    </w:p>
    <w:p w14:paraId="16858B89" w14:textId="69BDC25A" w:rsidR="00204DCF" w:rsidRDefault="00204DCF" w:rsidP="00204DCF">
      <w:pPr>
        <w:pStyle w:val="Bullet1"/>
      </w:pPr>
      <w:r>
        <w:t>cover repairs or replacement costs associated with cemetery facilities and equipment</w:t>
      </w:r>
    </w:p>
    <w:p w14:paraId="1C46CFD4" w14:textId="3E062BE2" w:rsidR="00204DCF" w:rsidRDefault="00204DCF" w:rsidP="00204DCF">
      <w:pPr>
        <w:pStyle w:val="Bullet1"/>
      </w:pPr>
      <w:r>
        <w:t>ensure adequate financial reserves for future operations.</w:t>
      </w:r>
    </w:p>
    <w:p w14:paraId="639FAF50" w14:textId="77777777" w:rsidR="00204DCF" w:rsidRDefault="00204DCF" w:rsidP="00204DCF">
      <w:pPr>
        <w:pStyle w:val="Bodyafterbullets"/>
      </w:pPr>
      <w:r>
        <w:t>When setting fees and charges, trusts should also ensure there is a direct relationship between the fees charged for cemetery services and the actual cost of providing these services. Establishing a direct relationship between the fees charged and the service provided will ensure trusts’ fees are transparent and can be easily justified by the trust to the community.</w:t>
      </w:r>
    </w:p>
    <w:p w14:paraId="00156BDB" w14:textId="77777777" w:rsidR="00204DCF" w:rsidRDefault="00204DCF" w:rsidP="00204DCF">
      <w:pPr>
        <w:pStyle w:val="Body"/>
      </w:pPr>
      <w:r>
        <w:t>Trusts should take the following framework into consideration when reviewing their current scale of fees and charges.</w:t>
      </w:r>
    </w:p>
    <w:p w14:paraId="50D7513A" w14:textId="69771B5F" w:rsidR="00204DCF" w:rsidRDefault="00204DCF" w:rsidP="00204DCF">
      <w:pPr>
        <w:pStyle w:val="Bullet1"/>
      </w:pPr>
      <w:r w:rsidRPr="00204DCF">
        <w:rPr>
          <w:b/>
          <w:bCs/>
        </w:rPr>
        <w:lastRenderedPageBreak/>
        <w:t>Sufficient and sustainable:</w:t>
      </w:r>
      <w:r>
        <w:t xml:space="preserve"> Prices should be sufficient to cover costs and provide for appropriate standards of service, as well as being commensurate with levels required to meet essential operating and capital needs.</w:t>
      </w:r>
    </w:p>
    <w:p w14:paraId="6F53FF67" w14:textId="6048CA15" w:rsidR="00204DCF" w:rsidRDefault="00204DCF" w:rsidP="00204DCF">
      <w:pPr>
        <w:pStyle w:val="Bullet1"/>
      </w:pPr>
      <w:r w:rsidRPr="00204DCF">
        <w:rPr>
          <w:b/>
          <w:bCs/>
        </w:rPr>
        <w:t>Efficient:</w:t>
      </w:r>
      <w:r>
        <w:t xml:space="preserve"> Prices should cover only necessary costs and avoid waste.</w:t>
      </w:r>
    </w:p>
    <w:p w14:paraId="0479F806" w14:textId="604419E5" w:rsidR="00204DCF" w:rsidRDefault="00204DCF" w:rsidP="00204DCF">
      <w:pPr>
        <w:pStyle w:val="Bullet1"/>
      </w:pPr>
      <w:r w:rsidRPr="00204DCF">
        <w:rPr>
          <w:b/>
          <w:bCs/>
        </w:rPr>
        <w:t>Not excessive:</w:t>
      </w:r>
      <w:r>
        <w:t xml:space="preserve"> Prices need to be accessible for Victorian families in line with community expectations.</w:t>
      </w:r>
    </w:p>
    <w:p w14:paraId="562CBD58" w14:textId="032B0EC8" w:rsidR="00204DCF" w:rsidRDefault="00204DCF" w:rsidP="00204DCF">
      <w:pPr>
        <w:pStyle w:val="Bullet1"/>
      </w:pPr>
      <w:r w:rsidRPr="00204DCF">
        <w:rPr>
          <w:b/>
          <w:bCs/>
        </w:rPr>
        <w:t>Consistent and equitable:</w:t>
      </w:r>
      <w:r>
        <w:t xml:space="preserve"> Prices for equivalent services at similar sites should be consistent.</w:t>
      </w:r>
    </w:p>
    <w:p w14:paraId="0D68B788" w14:textId="08F9101D" w:rsidR="00204DCF" w:rsidRDefault="00204DCF" w:rsidP="00204DCF">
      <w:pPr>
        <w:pStyle w:val="Bullet1"/>
      </w:pPr>
      <w:r w:rsidRPr="00204DCF">
        <w:rPr>
          <w:b/>
          <w:bCs/>
        </w:rPr>
        <w:t>Commensurate with services received:</w:t>
      </w:r>
      <w:r>
        <w:t xml:space="preserve"> Customers should be provided with correct pricing signals by removing (where possible) any cross-subsidies included in cemetery prices.</w:t>
      </w:r>
    </w:p>
    <w:p w14:paraId="055598BA" w14:textId="54A64DC9" w:rsidR="00204DCF" w:rsidRDefault="00204DCF" w:rsidP="00204DCF">
      <w:pPr>
        <w:pStyle w:val="Bullet1"/>
      </w:pPr>
      <w:r w:rsidRPr="00204DCF">
        <w:rPr>
          <w:b/>
          <w:bCs/>
        </w:rPr>
        <w:t>Simple and transparent:</w:t>
      </w:r>
      <w:r>
        <w:t xml:space="preserve"> Information on the components of prices should be easy to obtain (such as via itemised billing) and easy for families to understand and compare.</w:t>
      </w:r>
    </w:p>
    <w:p w14:paraId="3FD0D383" w14:textId="7169080F" w:rsidR="00204DCF" w:rsidRDefault="00204DCF" w:rsidP="00204DCF">
      <w:pPr>
        <w:pStyle w:val="Bullet1"/>
      </w:pPr>
      <w:r w:rsidRPr="00204DCF">
        <w:rPr>
          <w:b/>
          <w:bCs/>
        </w:rPr>
        <w:t>Competitively neutral:</w:t>
      </w:r>
      <w:r>
        <w:t xml:space="preserve"> Prices should be competitively neutral where there are alternative non-government providers.</w:t>
      </w:r>
      <w:r w:rsidR="004539E8">
        <w:rPr>
          <w:rStyle w:val="FootnoteReference"/>
        </w:rPr>
        <w:footnoteReference w:id="1"/>
      </w:r>
      <w:r>
        <w:t xml:space="preserve"> </w:t>
      </w:r>
    </w:p>
    <w:p w14:paraId="494F2E6B" w14:textId="2EDC68F7" w:rsidR="00204DCF" w:rsidRDefault="00204DCF" w:rsidP="00204DCF">
      <w:pPr>
        <w:pStyle w:val="Bodyafterbullets"/>
      </w:pPr>
      <w:r>
        <w:t xml:space="preserve">The Department of Treasury and Finance developed guidelines to clarify the government’s policy principles underpinning cost recovery arrangements. The guidelines provide a rigorous framework for government entities to use when considering, developing and reviewing user charges and regulatory fees. They ensure </w:t>
      </w:r>
      <w:r w:rsidR="004539E8">
        <w:t>pricing</w:t>
      </w:r>
      <w:r>
        <w:t xml:space="preserve"> arrangements in Victoria are transparent, efficient, effective and consistent with legislative requirements and consistent with government policy.</w:t>
      </w:r>
      <w:r w:rsidR="004539E8">
        <w:rPr>
          <w:rStyle w:val="FootnoteReference"/>
        </w:rPr>
        <w:footnoteReference w:id="2"/>
      </w:r>
      <w:r>
        <w:t xml:space="preserve"> </w:t>
      </w:r>
    </w:p>
    <w:p w14:paraId="7DB492F0" w14:textId="77777777" w:rsidR="00204DCF" w:rsidRDefault="00204DCF" w:rsidP="00204DCF">
      <w:pPr>
        <w:pStyle w:val="Heading2"/>
      </w:pPr>
      <w:bookmarkStart w:id="6" w:name="_Toc71895484"/>
      <w:r>
        <w:t>Role of the department in reviewing fees</w:t>
      </w:r>
      <w:bookmarkEnd w:id="6"/>
    </w:p>
    <w:p w14:paraId="1375F9C0" w14:textId="77777777" w:rsidR="00204DCF" w:rsidRDefault="00204DCF" w:rsidP="00204DCF">
      <w:pPr>
        <w:pStyle w:val="Body"/>
      </w:pPr>
      <w:r>
        <w:t>The department’s role is to ensure trusts have undertaken an appropriate process when setting fees. Trusts therefore need to provide sufficient detail when submitting their proposed fees and charges.</w:t>
      </w:r>
    </w:p>
    <w:p w14:paraId="2FFAF844" w14:textId="77777777" w:rsidR="00204DCF" w:rsidRDefault="00204DCF" w:rsidP="00204DCF">
      <w:pPr>
        <w:pStyle w:val="Heading1"/>
      </w:pPr>
      <w:bookmarkStart w:id="7" w:name="_Toc71895485"/>
      <w:r>
        <w:t>Fee applications</w:t>
      </w:r>
      <w:bookmarkEnd w:id="7"/>
      <w:r>
        <w:t xml:space="preserve"> </w:t>
      </w:r>
    </w:p>
    <w:p w14:paraId="4A13276A" w14:textId="77777777" w:rsidR="00204DCF" w:rsidRDefault="00204DCF" w:rsidP="00204DCF">
      <w:pPr>
        <w:pStyle w:val="Body"/>
      </w:pPr>
      <w:r>
        <w:t xml:space="preserve">When applying for a fee increase, whether it be an increase to existing fees or the introduction of new fees, trusts must undertake a public consultation process and provide the department with costing work sheets. </w:t>
      </w:r>
    </w:p>
    <w:p w14:paraId="5BDBD7C3" w14:textId="77777777" w:rsidR="00204DCF" w:rsidRDefault="00204DCF" w:rsidP="00204DCF">
      <w:pPr>
        <w:pStyle w:val="Body"/>
      </w:pPr>
      <w:r>
        <w:t>These requirements ensure that the basis for the determination of fees and charges is transparent and allows consumers an opportunity to provide trusts with feedback on proposed products, services and fees.</w:t>
      </w:r>
    </w:p>
    <w:p w14:paraId="1BF12DE8" w14:textId="77777777" w:rsidR="00204DCF" w:rsidRDefault="00204DCF" w:rsidP="00204DCF">
      <w:pPr>
        <w:pStyle w:val="Heading2"/>
      </w:pPr>
      <w:bookmarkStart w:id="8" w:name="_Toc71895486"/>
      <w:r>
        <w:t>Consultation requirements</w:t>
      </w:r>
      <w:bookmarkEnd w:id="8"/>
    </w:p>
    <w:p w14:paraId="0E7ADD80" w14:textId="77777777" w:rsidR="00204DCF" w:rsidRDefault="00204DCF" w:rsidP="00204DCF">
      <w:pPr>
        <w:pStyle w:val="Body"/>
      </w:pPr>
      <w:r>
        <w:t xml:space="preserve">A number of factors influence trusts’ decisions to vary existing fees or create new fees. Therefore, the type of consultation process necessary will vary depending on the type of fee being proposed. </w:t>
      </w:r>
    </w:p>
    <w:p w14:paraId="1A901E2A" w14:textId="77777777" w:rsidR="00204DCF" w:rsidRDefault="00204DCF" w:rsidP="00204DCF">
      <w:pPr>
        <w:pStyle w:val="Body"/>
      </w:pPr>
      <w:r>
        <w:t xml:space="preserve">Class A fee applications can be grouped into the following three categories: </w:t>
      </w:r>
    </w:p>
    <w:p w14:paraId="25E2009C" w14:textId="66550071" w:rsidR="00204DCF" w:rsidRDefault="00204DCF" w:rsidP="00204DCF">
      <w:pPr>
        <w:pStyle w:val="Bullet1"/>
      </w:pPr>
      <w:r>
        <w:lastRenderedPageBreak/>
        <w:t>Development of new products and services (specific)</w:t>
      </w:r>
    </w:p>
    <w:p w14:paraId="6A3E21DB" w14:textId="65FED2EE" w:rsidR="00204DCF" w:rsidRDefault="00204DCF" w:rsidP="00204DCF">
      <w:pPr>
        <w:pStyle w:val="Bullet1"/>
      </w:pPr>
      <w:r>
        <w:t>Development of new products and services (generic)</w:t>
      </w:r>
    </w:p>
    <w:p w14:paraId="6CA5CFCF" w14:textId="7BEED32B" w:rsidR="00204DCF" w:rsidRDefault="00204DCF" w:rsidP="00204DCF">
      <w:pPr>
        <w:pStyle w:val="Bullet1"/>
      </w:pPr>
      <w:r>
        <w:t>Fee increases above the CPI due to higher input costs</w:t>
      </w:r>
    </w:p>
    <w:p w14:paraId="30221EB4" w14:textId="77777777" w:rsidR="00204DCF" w:rsidRDefault="00204DCF" w:rsidP="00204DCF">
      <w:pPr>
        <w:pStyle w:val="Bodyafterbullets"/>
      </w:pPr>
      <w:r>
        <w:t>If a trust is unsure of the correct category for their proposed fee (for example, whether a new service is specific or generic), the trust should contact the Cemetery Sector Governance Support Program.</w:t>
      </w:r>
    </w:p>
    <w:p w14:paraId="2800A573" w14:textId="77777777" w:rsidR="00204DCF" w:rsidRDefault="00204DCF" w:rsidP="00204DCF">
      <w:pPr>
        <w:pStyle w:val="Heading3"/>
      </w:pPr>
      <w:r>
        <w:t>Development of new products and services (specific)</w:t>
      </w:r>
    </w:p>
    <w:p w14:paraId="3BD8003F" w14:textId="77777777" w:rsidR="00204DCF" w:rsidRDefault="00204DCF" w:rsidP="00204DCF">
      <w:pPr>
        <w:pStyle w:val="Body"/>
      </w:pPr>
      <w:r>
        <w:t xml:space="preserve">This category relates to the development of products and services specifically designed to meet the needs of particular cultural or religious groups. It focuses on targeted consultation with an identified group, for which the product or service is being specifically provided, rather than the community as a whole. However, trusts would normally consult with their community advisory committee.  </w:t>
      </w:r>
    </w:p>
    <w:p w14:paraId="688E5810" w14:textId="77777777" w:rsidR="00204DCF" w:rsidRDefault="00204DCF" w:rsidP="00204DCF">
      <w:pPr>
        <w:pStyle w:val="Body"/>
      </w:pPr>
      <w:r>
        <w:t>Trusts will need to undertake consultation during three phases of the product or service development project:</w:t>
      </w:r>
    </w:p>
    <w:p w14:paraId="37D53C39" w14:textId="68987712" w:rsidR="00204DCF" w:rsidRDefault="00204DCF" w:rsidP="00204DCF">
      <w:pPr>
        <w:pStyle w:val="Bullet1"/>
      </w:pPr>
      <w:r>
        <w:t>Project initiation phase: Consultation with stakeholders might involve the identification and initial estimation of project costs as they relate to the design and material aspects of the proposed product or service. An initial pricing framework might be identified and discussed with key stakeholders to identify likely demand for the proposed products or service.</w:t>
      </w:r>
    </w:p>
    <w:p w14:paraId="0A742B74" w14:textId="3CB40561" w:rsidR="00204DCF" w:rsidRDefault="00204DCF" w:rsidP="00204DCF">
      <w:pPr>
        <w:pStyle w:val="Bullet1"/>
      </w:pPr>
      <w:r>
        <w:t xml:space="preserve">Project design phase: Costing and pricing are refined and adjusted where necessary, in consultation with key stakeholders where appropriate. </w:t>
      </w:r>
    </w:p>
    <w:p w14:paraId="25B3C554" w14:textId="4D343DAD" w:rsidR="00204DCF" w:rsidRDefault="00204DCF" w:rsidP="00204DCF">
      <w:pPr>
        <w:pStyle w:val="Bullet1"/>
      </w:pPr>
      <w:r>
        <w:t xml:space="preserve">Formal consultation period: This should occur prior to the final construction/development of the product or service, at the point when the true cost of construction/development can be determined. Trusts should invite stakeholders to provide feedback on the proposed fees by whatever method the trust considers appropriate (for example, mail, email or social media).  </w:t>
      </w:r>
    </w:p>
    <w:p w14:paraId="7CA5E63A" w14:textId="77777777" w:rsidR="00204DCF" w:rsidRDefault="00204DCF" w:rsidP="00204DCF">
      <w:pPr>
        <w:pStyle w:val="Heading3"/>
      </w:pPr>
      <w:r>
        <w:t>Development of new products and services (generic)</w:t>
      </w:r>
    </w:p>
    <w:p w14:paraId="037E408D" w14:textId="77777777" w:rsidR="00204DCF" w:rsidRDefault="00204DCF" w:rsidP="00204DCF">
      <w:pPr>
        <w:pStyle w:val="Body"/>
      </w:pPr>
      <w:r>
        <w:t xml:space="preserve">This category relates to the development of new products and services available to the general public, including the development of new interment sites within a cemetery.  </w:t>
      </w:r>
    </w:p>
    <w:p w14:paraId="1D7F0FE8" w14:textId="77777777" w:rsidR="00204DCF" w:rsidRDefault="00204DCF" w:rsidP="00204DCF">
      <w:pPr>
        <w:pStyle w:val="Body"/>
      </w:pPr>
      <w:r>
        <w:t>As these products and services are available to the public as a whole, trusts will not be in a position to identify or consult with any particular sector of the community during the early stages of planning for these types of development. However, the trust’s community advisory committee should be consulted during the planning of such developments.</w:t>
      </w:r>
    </w:p>
    <w:p w14:paraId="2E91F0FA" w14:textId="77777777" w:rsidR="00204DCF" w:rsidRDefault="00204DCF" w:rsidP="00204DCF">
      <w:pPr>
        <w:pStyle w:val="Body"/>
      </w:pPr>
      <w:r>
        <w:t xml:space="preserve">The formal consultation period will occur once the planning of the product or service is complete but before construction or development commences. At this point, the trust should seek feedback on the proposed pricing through advertising in local newspapers in accordance with the requirements set out below, setting a closing date for submissions no less than four weeks from the date of the advertisement.  </w:t>
      </w:r>
    </w:p>
    <w:p w14:paraId="2FD67B6A" w14:textId="77777777" w:rsidR="00204DCF" w:rsidRDefault="00204DCF" w:rsidP="00204DCF">
      <w:pPr>
        <w:pStyle w:val="Heading3"/>
      </w:pPr>
      <w:r>
        <w:t>Fee increase above CPI due to higher input costs</w:t>
      </w:r>
    </w:p>
    <w:p w14:paraId="52496E1E" w14:textId="77777777" w:rsidR="00204DCF" w:rsidRDefault="00204DCF" w:rsidP="00204DCF">
      <w:pPr>
        <w:pStyle w:val="Body"/>
      </w:pPr>
      <w:r>
        <w:t xml:space="preserve">This category relates to increases in generic cemetery fees above the CPI as a result of increased external and internal input costs. These increases could include changes to suppliers’ costs, adjustment of perpetual maintenance contributions and other cost drivers that impact on price. </w:t>
      </w:r>
    </w:p>
    <w:p w14:paraId="225B048B" w14:textId="7BB8F939" w:rsidR="00922DDB" w:rsidRPr="004539E8" w:rsidRDefault="00204DCF" w:rsidP="004539E8">
      <w:pPr>
        <w:pStyle w:val="Body"/>
      </w:pPr>
      <w:r>
        <w:t xml:space="preserve">This type of fee increase will require a single stage of formal public consultation across the community. Trusts should seek feedback on their proposed fee increases by advertising in local </w:t>
      </w:r>
      <w:r>
        <w:lastRenderedPageBreak/>
        <w:t>newspapers, setting a closing date for submissions no less than four weeks from the date of the advertisement</w:t>
      </w:r>
      <w:r w:rsidR="0044677D">
        <w:t>.</w:t>
      </w:r>
    </w:p>
    <w:p w14:paraId="6A4ED8B4" w14:textId="58FDF98A" w:rsidR="00204DCF" w:rsidRDefault="00204DCF" w:rsidP="00204DCF">
      <w:pPr>
        <w:pStyle w:val="Heading3"/>
      </w:pPr>
      <w:r>
        <w:t>Formal consultation requirements that apply to all fee categories</w:t>
      </w:r>
    </w:p>
    <w:p w14:paraId="6DDC73D7" w14:textId="77777777" w:rsidR="00204DCF" w:rsidRDefault="00204DCF" w:rsidP="00204DCF">
      <w:pPr>
        <w:pStyle w:val="Body"/>
      </w:pPr>
      <w:r>
        <w:t xml:space="preserve">The process for each fee type involves a formal consultation period, once the proposed fees have been determined. If appropriate, this may be contained in the notice or invitation seeking submissions. Alternatively, the notice/invitation may advise how further information may be obtained. During this formal consultation period, trusts are to:  </w:t>
      </w:r>
    </w:p>
    <w:p w14:paraId="3D54E203" w14:textId="69742A02" w:rsidR="00204DCF" w:rsidRDefault="00922DDB" w:rsidP="00204DCF">
      <w:pPr>
        <w:pStyle w:val="Bullet1"/>
      </w:pPr>
      <w:r>
        <w:t>p</w:t>
      </w:r>
      <w:r w:rsidR="00204DCF">
        <w:t>rovide sufficient information for stakeholders to be able to comment on the proposed fees, including the justification for each proposed fee</w:t>
      </w:r>
    </w:p>
    <w:p w14:paraId="7C6F5DEF" w14:textId="4C61BF32" w:rsidR="00204DCF" w:rsidRDefault="00922DDB" w:rsidP="00204DCF">
      <w:pPr>
        <w:pStyle w:val="Bullet1"/>
      </w:pPr>
      <w:r>
        <w:t>e</w:t>
      </w:r>
      <w:r w:rsidR="00204DCF">
        <w:t>nsure that the request for submissions and any further information is accessible to stakeholders without internet access</w:t>
      </w:r>
    </w:p>
    <w:p w14:paraId="577399A7" w14:textId="5CF0B4C8" w:rsidR="00204DCF" w:rsidRDefault="00922DDB" w:rsidP="00204DCF">
      <w:pPr>
        <w:pStyle w:val="Bullet1"/>
      </w:pPr>
      <w:r>
        <w:t>g</w:t>
      </w:r>
      <w:r w:rsidR="00204DCF">
        <w:t>ive genuine consideration to the issues raised in a submission</w:t>
      </w:r>
    </w:p>
    <w:p w14:paraId="08DA7104" w14:textId="13BB93DE" w:rsidR="00204DCF" w:rsidRDefault="00922DDB" w:rsidP="00204DCF">
      <w:pPr>
        <w:pStyle w:val="Bullet1"/>
      </w:pPr>
      <w:r>
        <w:t>p</w:t>
      </w:r>
      <w:r w:rsidR="00204DCF">
        <w:t>rovide a response to all submissions with an explanation why the issues raised have or have not been addressed in the final fee pricing.</w:t>
      </w:r>
    </w:p>
    <w:p w14:paraId="3F2E55A9" w14:textId="77777777" w:rsidR="00204DCF" w:rsidRDefault="00204DCF" w:rsidP="00204DCF">
      <w:pPr>
        <w:pStyle w:val="Heading2"/>
      </w:pPr>
      <w:bookmarkStart w:id="9" w:name="_Toc71895487"/>
      <w:r>
        <w:t>Costing process</w:t>
      </w:r>
      <w:bookmarkEnd w:id="9"/>
    </w:p>
    <w:p w14:paraId="6F98F880" w14:textId="77777777" w:rsidR="00204DCF" w:rsidRDefault="00204DCF" w:rsidP="00204DCF">
      <w:pPr>
        <w:pStyle w:val="Body"/>
      </w:pPr>
      <w:r>
        <w:t xml:space="preserve">Trusts are required to provide the department with detailed costing worksheets identifying the key cost drivers underpinning the proposed fee. These cost drivers are drawn from the Common Chart of Accounts used by each Class A trust.   </w:t>
      </w:r>
    </w:p>
    <w:p w14:paraId="5A824AF9" w14:textId="77777777" w:rsidR="00204DCF" w:rsidRDefault="00204DCF" w:rsidP="00204DCF">
      <w:pPr>
        <w:pStyle w:val="Body"/>
      </w:pPr>
      <w:r>
        <w:t xml:space="preserve">Instructions for the use of the Common Chart of Accounts and the preparation of costing worksheets are detailed in the Common Chart of Accounts. This information will assist trusts to develop their fees using a uniform approach that can be easily assessed and compared between trusts. </w:t>
      </w:r>
    </w:p>
    <w:p w14:paraId="538311B1" w14:textId="375463C9" w:rsidR="00204DCF" w:rsidRDefault="00204DCF" w:rsidP="00204DCF">
      <w:pPr>
        <w:pStyle w:val="Body"/>
      </w:pPr>
      <w:r>
        <w:t xml:space="preserve">Once fees are approved, trusts are expected to periodically reconcile the costs upon which their fees are based with their actual costs, using the costing worksheets, to ensure that the approved fees reflect the requirements of the Department of Treasury &amp; Finance’s </w:t>
      </w:r>
      <w:r w:rsidR="004539E8">
        <w:t>pricing</w:t>
      </w:r>
      <w:r>
        <w:t xml:space="preserve"> guidelines.  </w:t>
      </w:r>
    </w:p>
    <w:p w14:paraId="664A87F8" w14:textId="77777777" w:rsidR="00204DCF" w:rsidRDefault="00204DCF" w:rsidP="00204DCF">
      <w:pPr>
        <w:pStyle w:val="Heading2"/>
      </w:pPr>
      <w:bookmarkStart w:id="10" w:name="_Toc71895488"/>
      <w:r>
        <w:t>Seeking approval for fees and charges</w:t>
      </w:r>
      <w:bookmarkEnd w:id="10"/>
    </w:p>
    <w:p w14:paraId="544F18AC" w14:textId="77777777" w:rsidR="00204DCF" w:rsidRDefault="00204DCF" w:rsidP="00204DCF">
      <w:pPr>
        <w:pStyle w:val="Body"/>
      </w:pPr>
      <w:r>
        <w:t>When applying to the Secretary for approval of fees and charges, trusts will need to provide the detailed costing work sheets (as described above) and evidence of the consultation undertaken. The trust may also be required to provide a Service cost sheet and the Fee setting sheet if the information provided in the costing worksheet is not sufficiently transparent.</w:t>
      </w:r>
    </w:p>
    <w:p w14:paraId="797267AE" w14:textId="77777777" w:rsidR="00204DCF" w:rsidRDefault="00204DCF" w:rsidP="00204DCF">
      <w:pPr>
        <w:pStyle w:val="Body"/>
      </w:pPr>
      <w:r>
        <w:t>The evidence of the formal consultation period will need to include:</w:t>
      </w:r>
    </w:p>
    <w:p w14:paraId="35007F50" w14:textId="6139F0B4" w:rsidR="00204DCF" w:rsidRDefault="00922DDB" w:rsidP="00D27053">
      <w:pPr>
        <w:pStyle w:val="Bullet1"/>
      </w:pPr>
      <w:r>
        <w:t>a</w:t>
      </w:r>
      <w:r w:rsidR="00204DCF">
        <w:t xml:space="preserve"> copy of the notice or invitation, with details of how and when it was made available</w:t>
      </w:r>
    </w:p>
    <w:p w14:paraId="6F20F8B3" w14:textId="2E948DE4" w:rsidR="00204DCF" w:rsidRDefault="00922DDB" w:rsidP="00D27053">
      <w:pPr>
        <w:pStyle w:val="Bullet1"/>
      </w:pPr>
      <w:r>
        <w:t>a</w:t>
      </w:r>
      <w:r w:rsidR="00204DCF">
        <w:t xml:space="preserve"> copy of the submissions received and the responses provided.</w:t>
      </w:r>
    </w:p>
    <w:p w14:paraId="5EF1E6A8" w14:textId="77777777" w:rsidR="00204DCF" w:rsidRDefault="00204DCF" w:rsidP="00D27053">
      <w:pPr>
        <w:pStyle w:val="Bodyafterbullets"/>
      </w:pPr>
      <w:r>
        <w:t xml:space="preserve">Where consultation is required in the earlier stages of the proposal (in addition to the formal consultation period), trusts are to include a letter documenting the steps taken, the issues discussed and the outcomes of this consultation. </w:t>
      </w:r>
    </w:p>
    <w:p w14:paraId="012AB026" w14:textId="77777777" w:rsidR="00204DCF" w:rsidRDefault="00204DCF" w:rsidP="00204DCF">
      <w:pPr>
        <w:pStyle w:val="Body"/>
      </w:pPr>
      <w:r>
        <w:t>The department may from time to time seek additional information from trusts to support their fee applications.</w:t>
      </w:r>
    </w:p>
    <w:p w14:paraId="1897C856" w14:textId="77777777" w:rsidR="00922DDB" w:rsidRDefault="00922DDB">
      <w:pPr>
        <w:spacing w:after="0" w:line="240" w:lineRule="auto"/>
        <w:rPr>
          <w:b/>
          <w:color w:val="53565A"/>
          <w:sz w:val="32"/>
          <w:szCs w:val="28"/>
        </w:rPr>
      </w:pPr>
      <w:r>
        <w:br w:type="page"/>
      </w:r>
    </w:p>
    <w:p w14:paraId="5DB4519C" w14:textId="57B77C7F" w:rsidR="00204DCF" w:rsidRDefault="00204DCF" w:rsidP="00D27053">
      <w:pPr>
        <w:pStyle w:val="Heading2"/>
      </w:pPr>
      <w:bookmarkStart w:id="11" w:name="_Toc71895489"/>
      <w:r>
        <w:lastRenderedPageBreak/>
        <w:t xml:space="preserve">Summary of </w:t>
      </w:r>
      <w:r w:rsidR="00922DDB">
        <w:t>g</w:t>
      </w:r>
      <w:r>
        <w:t>uidelines</w:t>
      </w:r>
      <w:bookmarkEnd w:id="11"/>
    </w:p>
    <w:p w14:paraId="3DCF65E1" w14:textId="560AB540" w:rsidR="00922DDB" w:rsidRPr="00922DDB" w:rsidRDefault="00922DDB" w:rsidP="00922DDB">
      <w:pPr>
        <w:pStyle w:val="Body"/>
        <w:spacing w:after="240"/>
      </w:pPr>
      <w:r w:rsidRPr="00922DDB">
        <w:t>The flowchart below provides a visual representation of the guidelines, to assist in understanding the process. Trusts should always refer to the formal written guidelines.</w:t>
      </w:r>
    </w:p>
    <w:p w14:paraId="27A4880C" w14:textId="3A26FE11" w:rsidR="00BA1F51" w:rsidRDefault="00922DDB" w:rsidP="00204DCF">
      <w:pPr>
        <w:pStyle w:val="Body"/>
      </w:pPr>
      <w:r>
        <w:rPr>
          <w:noProof/>
          <w:lang w:eastAsia="en-AU"/>
        </w:rPr>
        <w:drawing>
          <wp:inline distT="0" distB="0" distL="0" distR="0" wp14:anchorId="04ED9E9B" wp14:editId="77E9030F">
            <wp:extent cx="5770418" cy="3893127"/>
            <wp:effectExtent l="0" t="0" r="1905" b="0"/>
            <wp:docPr id="8" name="Picture 8" descr="Visual representation of the Guidelines for developing fees and charges for Class A cemetery trus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Visual representation of the Guidelines for developing fees and charges for Class A cemetery trusts"/>
                    <pic:cNvPicPr>
                      <a:picLocks noChangeAspect="1" noChangeArrowheads="1"/>
                    </pic:cNvPicPr>
                  </pic:nvPicPr>
                  <pic:blipFill>
                    <a:blip r:embed="rId20">
                      <a:extLst>
                        <a:ext uri="{28A0092B-C50C-407E-A947-70E740481C1C}">
                          <a14:useLocalDpi xmlns:a14="http://schemas.microsoft.com/office/drawing/2010/main" val="0"/>
                        </a:ext>
                      </a:extLst>
                    </a:blip>
                    <a:srcRect t="4924"/>
                    <a:stretch>
                      <a:fillRect/>
                    </a:stretch>
                  </pic:blipFill>
                  <pic:spPr bwMode="auto">
                    <a:xfrm>
                      <a:off x="0" y="0"/>
                      <a:ext cx="5770800" cy="3893385"/>
                    </a:xfrm>
                    <a:prstGeom prst="rect">
                      <a:avLst/>
                    </a:prstGeom>
                    <a:noFill/>
                    <a:ln>
                      <a:noFill/>
                    </a:ln>
                  </pic:spPr>
                </pic:pic>
              </a:graphicData>
            </a:graphic>
          </wp:inline>
        </w:drawing>
      </w:r>
    </w:p>
    <w:p w14:paraId="2768E856" w14:textId="77777777" w:rsidR="00BA1F51" w:rsidRDefault="00BA1F51" w:rsidP="00204DCF">
      <w:pPr>
        <w:pStyle w:val="Body"/>
      </w:pPr>
    </w:p>
    <w:bookmarkEnd w:id="2"/>
    <w:sectPr w:rsidR="00BA1F51" w:rsidSect="00454A7D">
      <w:headerReference w:type="even" r:id="rId21"/>
      <w:headerReference w:type="default" r:id="rId22"/>
      <w:footerReference w:type="even" r:id="rId23"/>
      <w:footerReference w:type="default" r:id="rId24"/>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292B4" w14:textId="77777777" w:rsidR="00204DCF" w:rsidRDefault="00204DCF">
      <w:r>
        <w:separator/>
      </w:r>
    </w:p>
    <w:p w14:paraId="6682FD39" w14:textId="77777777" w:rsidR="00204DCF" w:rsidRDefault="00204DCF"/>
  </w:endnote>
  <w:endnote w:type="continuationSeparator" w:id="0">
    <w:p w14:paraId="15662E41" w14:textId="77777777" w:rsidR="00204DCF" w:rsidRDefault="00204DCF">
      <w:r>
        <w:continuationSeparator/>
      </w:r>
    </w:p>
    <w:p w14:paraId="0C09401E" w14:textId="77777777" w:rsidR="00204DCF" w:rsidRDefault="00204D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
    <w:charset w:val="00"/>
    <w:family w:val="auto"/>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03D16" w14:textId="77777777" w:rsidR="00EB4BC7" w:rsidRDefault="00EB4BC7">
    <w:pPr>
      <w:pStyle w:val="Footer"/>
    </w:pPr>
    <w:r>
      <w:rPr>
        <w:noProof/>
      </w:rPr>
      <mc:AlternateContent>
        <mc:Choice Requires="wps">
          <w:drawing>
            <wp:anchor distT="0" distB="0" distL="114300" distR="114300" simplePos="0" relativeHeight="251687935" behindDoc="0" locked="0" layoutInCell="0" allowOverlap="1" wp14:anchorId="07D379D3" wp14:editId="56F55956">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4DEE0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D379D3"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464DEE0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A925D" w14:textId="77777777" w:rsidR="00431A70" w:rsidRDefault="00EB4BC7">
    <w:pPr>
      <w:pStyle w:val="Footer"/>
    </w:pPr>
    <w:r>
      <w:rPr>
        <w:noProof/>
        <w:lang w:eastAsia="en-AU"/>
      </w:rPr>
      <mc:AlternateContent>
        <mc:Choice Requires="wps">
          <w:drawing>
            <wp:anchor distT="0" distB="0" distL="114300" distR="114300" simplePos="0" relativeHeight="251685887" behindDoc="0" locked="0" layoutInCell="0" allowOverlap="1" wp14:anchorId="1D710F3D" wp14:editId="15624638">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F352C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710F3D"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7BF352C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8AD2D" w14:textId="77777777" w:rsidR="00EB4BC7" w:rsidRDefault="00EB4BC7">
    <w:pPr>
      <w:pStyle w:val="Footer"/>
    </w:pPr>
    <w:r>
      <w:rPr>
        <w:noProof/>
      </w:rPr>
      <mc:AlternateContent>
        <mc:Choice Requires="wps">
          <w:drawing>
            <wp:anchor distT="0" distB="0" distL="114300" distR="114300" simplePos="0" relativeHeight="251686143" behindDoc="0" locked="0" layoutInCell="0" allowOverlap="1" wp14:anchorId="762C8884" wp14:editId="257E164F">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DF25E8"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2C8884"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59DF25E8"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4FAF0" w14:textId="77777777" w:rsidR="00D63636" w:rsidRDefault="002C5B7C">
    <w:pPr>
      <w:pStyle w:val="Footer"/>
    </w:pPr>
    <w:r>
      <w:rPr>
        <w:noProof/>
        <w:lang w:eastAsia="en-AU"/>
      </w:rPr>
      <mc:AlternateContent>
        <mc:Choice Requires="wps">
          <w:drawing>
            <wp:anchor distT="0" distB="0" distL="114300" distR="114300" simplePos="0" relativeHeight="251693568" behindDoc="0" locked="0" layoutInCell="0" allowOverlap="1" wp14:anchorId="712A8CF8" wp14:editId="086EEFBF">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A1240A"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2A8CF8"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3sgIAAE8FAAAOAAAAZHJzL2Uyb0RvYy54bWysVN1v0zAQf0fif7D8wBMsSZN2bVk6lY7C&#10;pG6r1KE9u/5oIiW2Z7ttBuJ/5+wk3Rg8IV7s8/3O9313cdnUFTpwY0slc5ycxRhxSRUr5S7H3+6X&#10;H8YYWUckI5WSPMdP3OLL2ds3F0c95QNVqIpxg0CJtNOjznHhnJ5GkaUFr4k9U5pLAIUyNXHwNLuI&#10;GXIE7XUVDeJ4FB2VYdooyq0F7lUL4lnQLwSn7k4Iyx2qcgy+uXCacG79Gc0uyHRniC5K2rlB/sGL&#10;mpQSjJ5UXRFH0N6Uf6iqS2qUVcKdUVVHSoiS8hADRJPEr6LZFETzEAskx+pTmuz/U0tvD2uDSpbj&#10;DCNJaijRzeZ6vbhhqRhm2WiyZfEgzuhIbAciFQTKybilkMEf7x73yn38SmyxUIy3r+kkzs6H43SU&#10;vO9gXu4K14HjDBqkAx5K5oqOP5wMT/x1RSivuez/tCJLpRw3Ld0puJaMN52C9rpjbC7Z5wOXvwlu&#10;oAmgOzvRtPt+r3THiU+2V1z0ZoH50zfHUdsp5GijIUuu+aQaaPKeb4Hpa94IU/sbqokAhzZ7OrUW&#10;bxyiwDwfjuI0AYgClibJ+Xjo1UTPv7Wx7gtXNfJEjg14HTqKHFbWtaK9iDcm1bKsqtC+lUTHHI/S&#10;YRw+nBBQXkmw4WNoffWUa7ZNKHjax7FV7AnCM6qdDqvpsgQfVsS6NTEwDuA2jLi7g0NUCmypjsKo&#10;UOb73/heHroUUIyOMF45to97YjhG1bWE/p0kWebnMTyAMC+5254r9/VCweQmsEQ0DaSXdVVPCqPq&#10;B9gAc28NICIp2MzxticXDl4AwAahfD4PNEyeJm4lN5p61T6bPrP3zQMxuku/g8Ldqn4AyfRVFVrZ&#10;tg7zvVOiDCXy+W2z2aUdpjYUudswfi28fAep5z04+wU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SSH/97ICAABPBQAA&#10;DgAAAAAAAAAAAAAAAAAuAgAAZHJzL2Uyb0RvYy54bWxQSwECLQAUAAYACAAAACEASA1emt8AAAAL&#10;AQAADwAAAAAAAAAAAAAAAAAMBQAAZHJzL2Rvd25yZXYueG1sUEsFBgAAAAAEAAQA8wAAABgGAAAA&#10;AA==&#10;" o:allowincell="f" filled="f" stroked="f" strokeweight=".5pt">
              <v:textbox inset=",0,,0">
                <w:txbxContent>
                  <w:p w14:paraId="79A1240A"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CF516" w14:textId="77777777" w:rsidR="00431A70" w:rsidRDefault="008977D1">
    <w:pPr>
      <w:pStyle w:val="Footer"/>
    </w:pPr>
    <w:r>
      <w:rPr>
        <w:noProof/>
        <w:lang w:eastAsia="en-AU"/>
      </w:rPr>
      <mc:AlternateContent>
        <mc:Choice Requires="wps">
          <w:drawing>
            <wp:anchor distT="0" distB="0" distL="114300" distR="114300" simplePos="0" relativeHeight="251696640" behindDoc="0" locked="0" layoutInCell="0" allowOverlap="1" wp14:anchorId="22F02A5C" wp14:editId="7295D932">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988AC4"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F02A5C" id="_x0000_t202" coordsize="21600,21600" o:spt="202" path="m,l,21600r21600,l21600,xe">
              <v:stroke joinstyle="miter"/>
              <v:path gradientshapeok="t" o:connecttype="rect"/>
            </v:shapetype>
            <v:shape id="MSIPCM74884611b90139cc3ff5acf2"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96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QOrgIAAEwFAAAOAAAAZHJzL2Uyb0RvYy54bWysVN1v0zAQf0fif7D8wBMsSb9blk6lqDCp&#10;2yp1aM+uYzeREp9nu2sK4n/n7CTdGDwhXuy7+53v+3x5VVcleRLGFqBSmlzElAjFISvUPqXf7lcf&#10;JpRYx1TGSlAipSdh6dX87ZvLo56JHuRQZsIQNKLs7KhTmjunZ1FkeS4qZi9AC4WgBFMxh6zZR5lh&#10;R7RelVEvjkfREUymDXBhLUo/NyCdB/tSCu7upLTCkTKlGJsLpwnnzp/R/JLN9obpvOBtGOwfoqhY&#10;odDp2dRn5hg5mOIPU1XBDViQ7oJDFYGUBRchB8wmiV9ls82ZFiEXLI7V5zLZ/2eW3z5tDCmylPYo&#10;UazCFt1srzfLm/FgMhmMkmQ3jZP+lPO+lEPGJWplwnKs4I93jwdwH78ymy8hEw03m8aD8XDSHyXv&#10;W1gU+9y14GSAA9ICD0Xm8lY+nA7P8k3JuKiE6t40KisAJ0xDtwauVSbq1kBzbUxRMXP6TWuLE4Cj&#10;2er12rf3oFtJfHa8FrLzicKffjKO2s6wQFuNJXL1J6hxwju5RaFveC1N5W9sJUEcZ+x0nitRO8JR&#10;OB6O4n6CEEesnyTjydCbiZ5fa2PdFwEV8URKDUYdxok9ra1rVDsV70zBqijLMLulIseUjvrDODw4&#10;I2i8VOjD59DE6ilX7+rQ7UGXxw6yE6ZnoFkNq/mqwBjWzLoNM7gLGDbut7vDQ5aAvqClKMnBfP+b&#10;3OvjiCJKyRF3K6X28cCMoKS8Vji802Qw8MsYGCTMS+muk6pDtQRc2wR/EM0D6XVd2ZHSQPWA67/w&#10;3hBiiqPPlO46cumQQwC/Dy4Wi0Dj2mnm1mqruTftq+kre18/MKPb8jts3C1028dmr7rQ6DZ9WBwc&#10;yCK0yNe3qWZbdlzZ0OT2e/F/wks+aD1/gvNfAA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DccLQOrgIAAEwFAAAOAAAA&#10;AAAAAAAAAAAAAC4CAABkcnMvZTJvRG9jLnhtbFBLAQItABQABgAIAAAAIQBIDV6a3wAAAAsBAAAP&#10;AAAAAAAAAAAAAAAAAAgFAABkcnMvZG93bnJldi54bWxQSwUGAAAAAAQABADzAAAAFAYAAAAA&#10;" o:allowincell="f" filled="f" stroked="f" strokeweight=".5pt">
              <v:textbox inset=",0,,0">
                <w:txbxContent>
                  <w:p w14:paraId="66988AC4"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88448" behindDoc="0" locked="0" layoutInCell="0" allowOverlap="1" wp14:anchorId="79BA41D4" wp14:editId="797C6D27">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14201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9BA41D4"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nzsAIAAE0FAAAOAAAAZHJzL2Uyb0RvYy54bWysVE1v2zAMvQ/YfxB02Gmr7SZxnKxOkaXI&#10;WiBtA6RDz4osxwZsUZWUxtmw/z5KttOu22nYRaLeo0iKH7q4bOqKPAttSpApjc5CSoTkkJVyl9Jv&#10;D8tPCSXGMpmxCqRI6VEYejl7/+7ioKbiHAqoMqEJGpFmelApLaxV0yAwvBA1M2eghEQyB10zi0e9&#10;CzLNDmi9roLzMIyDA+hMaeDCGESvWpLOvP08F9ze57kRllQpxdisX7Vft24NZhdsutNMFSXvwmD/&#10;EEXNSolOT6aumGVkr8s/TNUl12Agt2cc6gDyvOTCvwFfE4VvXrMpmBL+LZgco05pMv/PLL97XmtS&#10;Zli7iBLJaqzR7eZmvbhNzsfxMIuTJIliNsn4JGbRNg6xnpkwHFP448PTHuzna2aKBWSiPU0n4XA8&#10;SgZx9LGjRbkrbEcmQ+yQjngsM1t0+GgyOuHrinFRC9nfaVWWAFboVu4M3MhMNJ2Bdlvrsmb6+JvW&#10;BlsAe7PTG3R3H0B1SHhyvBJ57xPBn641DspMMUMbhTmyzRdoME09bhB0FW9yXbsda0mQxyY7nhpL&#10;NJZwBMejOBxESHHkBlE0TkbOTPByW2ljvwqoiRNSqjFq30/seWVsq9qrOGcSlmVV+eatJDmkNB6M&#10;Qn/hxKDxSqIP94Y2VifZZtv4cvsAHLKF7IjP09DOhlF8WWIMK2bsmmkcBgwbB9ze45JXgL6gkygp&#10;QH//G+70sUeRpeSAw5VS87RnWlBS3Ujs3kk0HLpp9AcU9Gt026NyXy8A5xYbE6PyotO1VS/mGupH&#10;nP+584YUkxx9pnTbiwuLJyTw/+BiPvcyzp1idiU3ijvTLpsusw/NI9OqS7/Fwt1BP35s+qYKrW5b&#10;h/neQl76Er1ks0s7zqwvcve/uE/h9dlrvfyCs1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8CknzsAIAAE0FAAAO&#10;AAAAAAAAAAAAAAAAAC4CAABkcnMvZTJvRG9jLnhtbFBLAQItABQABgAIAAAAIQAvkEiX4AAAAAsB&#10;AAAPAAAAAAAAAAAAAAAAAAoFAABkcnMvZG93bnJldi54bWxQSwUGAAAAAAQABADzAAAAFwYAAAAA&#10;" o:allowincell="f" filled="f" stroked="f" strokeweight=".5pt">
              <v:textbox inset=",0,,0">
                <w:txbxContent>
                  <w:p w14:paraId="6014201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F35A35" w14:textId="77777777" w:rsidR="00204DCF" w:rsidRDefault="00204DCF" w:rsidP="00207717">
      <w:pPr>
        <w:spacing w:before="120"/>
      </w:pPr>
      <w:r>
        <w:separator/>
      </w:r>
    </w:p>
  </w:footnote>
  <w:footnote w:type="continuationSeparator" w:id="0">
    <w:p w14:paraId="1FF1A7B7" w14:textId="77777777" w:rsidR="00204DCF" w:rsidRDefault="00204DCF">
      <w:r>
        <w:continuationSeparator/>
      </w:r>
    </w:p>
    <w:p w14:paraId="14BBCC02" w14:textId="77777777" w:rsidR="00204DCF" w:rsidRDefault="00204DCF"/>
  </w:footnote>
  <w:footnote w:id="1">
    <w:p w14:paraId="65672A46" w14:textId="43DF7E04" w:rsidR="004539E8" w:rsidRPr="00CE65F4" w:rsidRDefault="004539E8">
      <w:pPr>
        <w:pStyle w:val="FootnoteText"/>
      </w:pPr>
      <w:r>
        <w:rPr>
          <w:rStyle w:val="FootnoteReference"/>
        </w:rPr>
        <w:footnoteRef/>
      </w:r>
      <w:r>
        <w:t xml:space="preserve"> </w:t>
      </w:r>
      <w:r w:rsidRPr="00507278">
        <w:t xml:space="preserve">Refer to the Code of Practice for more </w:t>
      </w:r>
      <w:r w:rsidRPr="00CE65F4">
        <w:t>information about fees for the sale and supply of memorialisation goods and services</w:t>
      </w:r>
      <w:r w:rsidR="00CE65F4">
        <w:t xml:space="preserve"> </w:t>
      </w:r>
      <w:r w:rsidR="00CE65F4" w:rsidRPr="00CE65F4">
        <w:t xml:space="preserve">available on the </w:t>
      </w:r>
      <w:hyperlink r:id="rId1" w:history="1">
        <w:r w:rsidR="00CE65F4" w:rsidRPr="00CE65F4">
          <w:rPr>
            <w:rStyle w:val="Hyperlink"/>
            <w:u w:val="none"/>
          </w:rPr>
          <w:t xml:space="preserve">health.vic </w:t>
        </w:r>
        <w:r w:rsidRPr="00CE65F4">
          <w:rPr>
            <w:rStyle w:val="Hyperlink"/>
            <w:u w:val="none"/>
          </w:rPr>
          <w:t>website</w:t>
        </w:r>
      </w:hyperlink>
      <w:r w:rsidRPr="00CE65F4">
        <w:t xml:space="preserve"> at </w:t>
      </w:r>
      <w:r w:rsidR="00CE65F4" w:rsidRPr="00CE65F4">
        <w:t>&lt;</w:t>
      </w:r>
      <w:r w:rsidRPr="00CE65F4">
        <w:t>https://www2.health.vic.gov.au/public-health/cemeteries-and-crematoria/interments-and-memorials/code-of-practice</w:t>
      </w:r>
      <w:r w:rsidR="00CE65F4" w:rsidRPr="00CE65F4">
        <w:t>&gt;</w:t>
      </w:r>
      <w:r w:rsidRPr="00CE65F4">
        <w:t>.</w:t>
      </w:r>
    </w:p>
  </w:footnote>
  <w:footnote w:id="2">
    <w:p w14:paraId="58B398E8" w14:textId="4B302C0D" w:rsidR="004539E8" w:rsidRDefault="004539E8">
      <w:pPr>
        <w:pStyle w:val="FootnoteText"/>
      </w:pPr>
      <w:r w:rsidRPr="00CE65F4">
        <w:rPr>
          <w:rStyle w:val="FootnoteReference"/>
        </w:rPr>
        <w:footnoteRef/>
      </w:r>
      <w:r w:rsidRPr="00CE65F4">
        <w:t xml:space="preserve"> </w:t>
      </w:r>
      <w:r w:rsidR="00CE65F4">
        <w:t xml:space="preserve">The guidelines are available on </w:t>
      </w:r>
      <w:r w:rsidR="00CE65F4" w:rsidRPr="00CE65F4">
        <w:t xml:space="preserve">the </w:t>
      </w:r>
      <w:hyperlink r:id="rId2" w:history="1">
        <w:r w:rsidR="00CE65F4" w:rsidRPr="00CE65F4">
          <w:rPr>
            <w:rStyle w:val="Hyperlink"/>
            <w:u w:val="none"/>
          </w:rPr>
          <w:t xml:space="preserve">Department of Treasury and Finance </w:t>
        </w:r>
        <w:r w:rsidR="00CE65F4" w:rsidRPr="00CE65F4">
          <w:rPr>
            <w:rStyle w:val="Hyperlink"/>
            <w:u w:val="none"/>
          </w:rPr>
          <w:t>website</w:t>
        </w:r>
      </w:hyperlink>
      <w:r w:rsidR="00CE65F4">
        <w:t xml:space="preserve"> at &lt;</w:t>
      </w:r>
      <w:r w:rsidR="00CE65F4" w:rsidRPr="00CE65F4">
        <w:t>https://www.dtf.vic.gov.au/financial-management-government/indexation-fees-and-penalties</w:t>
      </w:r>
      <w:r w:rsidR="00CE65F4">
        <w:t>&gt;</w:t>
      </w:r>
      <w:r w:rsidRPr="00CE65F4">
        <w:rPr>
          <w:rFonts w:eastAsia="TimesNewRomanPS" w:cs="Lucida Calligraphy"/>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E7F00" w14:textId="77777777" w:rsidR="00CE65F4" w:rsidRDefault="00CE65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000A0" w14:textId="77777777" w:rsidR="00CE65F4" w:rsidRDefault="00CE65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5E723" w14:textId="77777777" w:rsidR="00CE65F4" w:rsidRDefault="00CE65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B883C" w14:textId="77777777"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4F99D" w14:textId="49986D73" w:rsidR="00562811" w:rsidRPr="0051568D" w:rsidRDefault="00BA1F51" w:rsidP="0017674D">
    <w:pPr>
      <w:pStyle w:val="Header"/>
    </w:pPr>
    <w:r w:rsidRPr="00204DCF">
      <w:t>Guidelines for developing fees and charges for Class A cemetery trusts</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1"/>
  </w:num>
  <w:num w:numId="42">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1433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DCF"/>
    <w:rsid w:val="00000719"/>
    <w:rsid w:val="00002D68"/>
    <w:rsid w:val="000033F7"/>
    <w:rsid w:val="00003403"/>
    <w:rsid w:val="00005347"/>
    <w:rsid w:val="000072B6"/>
    <w:rsid w:val="0001021B"/>
    <w:rsid w:val="00011D89"/>
    <w:rsid w:val="000154FD"/>
    <w:rsid w:val="00022271"/>
    <w:rsid w:val="000235E8"/>
    <w:rsid w:val="00024D89"/>
    <w:rsid w:val="000250B6"/>
    <w:rsid w:val="00027351"/>
    <w:rsid w:val="00030CDD"/>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36DC"/>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4DCF"/>
    <w:rsid w:val="00206463"/>
    <w:rsid w:val="00206F2F"/>
    <w:rsid w:val="00207717"/>
    <w:rsid w:val="0021053D"/>
    <w:rsid w:val="00210A92"/>
    <w:rsid w:val="00212B95"/>
    <w:rsid w:val="00215CC8"/>
    <w:rsid w:val="00216C03"/>
    <w:rsid w:val="00220A1A"/>
    <w:rsid w:val="00220C04"/>
    <w:rsid w:val="0022278D"/>
    <w:rsid w:val="0022701F"/>
    <w:rsid w:val="00227C68"/>
    <w:rsid w:val="002333F5"/>
    <w:rsid w:val="00233724"/>
    <w:rsid w:val="00233F35"/>
    <w:rsid w:val="002365B4"/>
    <w:rsid w:val="002432E1"/>
    <w:rsid w:val="00246207"/>
    <w:rsid w:val="00246C5E"/>
    <w:rsid w:val="00250960"/>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BDE"/>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2084E"/>
    <w:rsid w:val="00421EEF"/>
    <w:rsid w:val="00424D65"/>
    <w:rsid w:val="00430393"/>
    <w:rsid w:val="00431806"/>
    <w:rsid w:val="00431A70"/>
    <w:rsid w:val="00431F42"/>
    <w:rsid w:val="00442C6C"/>
    <w:rsid w:val="00443CBE"/>
    <w:rsid w:val="00443E8A"/>
    <w:rsid w:val="004441BC"/>
    <w:rsid w:val="0044677D"/>
    <w:rsid w:val="004468B4"/>
    <w:rsid w:val="00446D86"/>
    <w:rsid w:val="0045230A"/>
    <w:rsid w:val="004539E8"/>
    <w:rsid w:val="00454A7D"/>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083F"/>
    <w:rsid w:val="004C5541"/>
    <w:rsid w:val="004C6EEE"/>
    <w:rsid w:val="004C702B"/>
    <w:rsid w:val="004D0033"/>
    <w:rsid w:val="004D016B"/>
    <w:rsid w:val="004D1B22"/>
    <w:rsid w:val="004D23CC"/>
    <w:rsid w:val="004D36F2"/>
    <w:rsid w:val="004E1106"/>
    <w:rsid w:val="004E138F"/>
    <w:rsid w:val="004E344B"/>
    <w:rsid w:val="004E4649"/>
    <w:rsid w:val="004E48B8"/>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36499"/>
    <w:rsid w:val="00542A03"/>
    <w:rsid w:val="00543903"/>
    <w:rsid w:val="00543BCC"/>
    <w:rsid w:val="00543F11"/>
    <w:rsid w:val="00544135"/>
    <w:rsid w:val="00546305"/>
    <w:rsid w:val="00547A95"/>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424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253"/>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B077C"/>
    <w:rsid w:val="006B6803"/>
    <w:rsid w:val="006D0F16"/>
    <w:rsid w:val="006D2A3F"/>
    <w:rsid w:val="006D2FBC"/>
    <w:rsid w:val="006D6E34"/>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E548D"/>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270A"/>
    <w:rsid w:val="00893AF6"/>
    <w:rsid w:val="00894BC4"/>
    <w:rsid w:val="00896890"/>
    <w:rsid w:val="008977D1"/>
    <w:rsid w:val="008A28A8"/>
    <w:rsid w:val="008A54AC"/>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120B"/>
    <w:rsid w:val="008E4376"/>
    <w:rsid w:val="008E7A0A"/>
    <w:rsid w:val="008E7B49"/>
    <w:rsid w:val="008F59F6"/>
    <w:rsid w:val="00900719"/>
    <w:rsid w:val="009017AC"/>
    <w:rsid w:val="00902A9A"/>
    <w:rsid w:val="00904A1C"/>
    <w:rsid w:val="00905030"/>
    <w:rsid w:val="00906490"/>
    <w:rsid w:val="009111B2"/>
    <w:rsid w:val="009151F5"/>
    <w:rsid w:val="00922DDB"/>
    <w:rsid w:val="00924AE1"/>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3B7A"/>
    <w:rsid w:val="00A157B1"/>
    <w:rsid w:val="00A22229"/>
    <w:rsid w:val="00A24442"/>
    <w:rsid w:val="00A24ADA"/>
    <w:rsid w:val="00A32577"/>
    <w:rsid w:val="00A330BB"/>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0B09"/>
    <w:rsid w:val="00B94C5E"/>
    <w:rsid w:val="00B950BC"/>
    <w:rsid w:val="00B9714C"/>
    <w:rsid w:val="00BA1F51"/>
    <w:rsid w:val="00BA26F6"/>
    <w:rsid w:val="00BA29AD"/>
    <w:rsid w:val="00BA33CF"/>
    <w:rsid w:val="00BA3F8D"/>
    <w:rsid w:val="00BB74AC"/>
    <w:rsid w:val="00BB7A10"/>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5ED3"/>
    <w:rsid w:val="00C863C4"/>
    <w:rsid w:val="00C90DAB"/>
    <w:rsid w:val="00C920EA"/>
    <w:rsid w:val="00C93C3E"/>
    <w:rsid w:val="00CA12E3"/>
    <w:rsid w:val="00CA1476"/>
    <w:rsid w:val="00CA6611"/>
    <w:rsid w:val="00CA6AE6"/>
    <w:rsid w:val="00CA782F"/>
    <w:rsid w:val="00CB187B"/>
    <w:rsid w:val="00CB2835"/>
    <w:rsid w:val="00CB3285"/>
    <w:rsid w:val="00CB4500"/>
    <w:rsid w:val="00CC0C72"/>
    <w:rsid w:val="00CC2BFD"/>
    <w:rsid w:val="00CC6F40"/>
    <w:rsid w:val="00CD3476"/>
    <w:rsid w:val="00CD64DF"/>
    <w:rsid w:val="00CE225F"/>
    <w:rsid w:val="00CE5A7A"/>
    <w:rsid w:val="00CE65F4"/>
    <w:rsid w:val="00CF2F50"/>
    <w:rsid w:val="00CF6198"/>
    <w:rsid w:val="00D02919"/>
    <w:rsid w:val="00D04C61"/>
    <w:rsid w:val="00D05B8D"/>
    <w:rsid w:val="00D05B9B"/>
    <w:rsid w:val="00D065A2"/>
    <w:rsid w:val="00D079AA"/>
    <w:rsid w:val="00D07F00"/>
    <w:rsid w:val="00D1130F"/>
    <w:rsid w:val="00D17B72"/>
    <w:rsid w:val="00D27053"/>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6468C"/>
    <w:rsid w:val="00D714CC"/>
    <w:rsid w:val="00D75EA7"/>
    <w:rsid w:val="00D76ECC"/>
    <w:rsid w:val="00D81ADF"/>
    <w:rsid w:val="00D81F21"/>
    <w:rsid w:val="00D864F2"/>
    <w:rsid w:val="00D943F8"/>
    <w:rsid w:val="00D95470"/>
    <w:rsid w:val="00D96B55"/>
    <w:rsid w:val="00DA2619"/>
    <w:rsid w:val="00DA4239"/>
    <w:rsid w:val="00DA588C"/>
    <w:rsid w:val="00DA65DE"/>
    <w:rsid w:val="00DB0B61"/>
    <w:rsid w:val="00DB1474"/>
    <w:rsid w:val="00DB2962"/>
    <w:rsid w:val="00DB3697"/>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0A6E"/>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80DE3"/>
    <w:rsid w:val="00E82C55"/>
    <w:rsid w:val="00E8787E"/>
    <w:rsid w:val="00E9042A"/>
    <w:rsid w:val="00E92AC3"/>
    <w:rsid w:val="00EA2F6A"/>
    <w:rsid w:val="00EB00E0"/>
    <w:rsid w:val="00EB05D5"/>
    <w:rsid w:val="00EB4BC7"/>
    <w:rsid w:val="00EB56B9"/>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2AAA"/>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2938865D"/>
  <w15:docId w15:val="{F37158FE-2666-46CE-975F-73A9706EC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cemeteries@health.vic.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2.health.vic.gov.au/public-health/cemeteries-and-crematoria/governance-and-finance/finance/class-a-cemetery-trusts-fin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s://www.dtf.vic.gov.au/financial-management-government/indexation-fees-and-penalties" TargetMode="External"/><Relationship Id="rId1" Type="http://schemas.openxmlformats.org/officeDocument/2006/relationships/hyperlink" Target="https://www2.health.vic.gov.au/public-health/cemeteries-and-crematoria/interments-and-memorials/code-of-pract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GroupData\Office%20Templates\DH%20visual%20style%202021\DH%20Orange%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71bad440-a7e7-46c6-81bd-18ed54663c6a"/>
    <ds:schemaRef ds:uri="http://purl.org/dc/terms/"/>
    <ds:schemaRef ds:uri="http://schemas.openxmlformats.org/package/2006/metadata/core-properties"/>
    <ds:schemaRef ds:uri="f9efe166-4f28-4f85-8235-ea2c89133434"/>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DH Orange report.dotx</Template>
  <TotalTime>11</TotalTime>
  <Pages>8</Pages>
  <Words>1888</Words>
  <Characters>11562</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Guidelines for developing fees and charges for Class A cemetery trusts</vt:lpstr>
    </vt:vector>
  </TitlesOfParts>
  <Manager/>
  <Company>Victoria State Government, Department of Health</Company>
  <LinksUpToDate>false</LinksUpToDate>
  <CharactersWithSpaces>13424</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developing fees and charges for Class A cemetery trusts</dc:title>
  <dc:subject>Guidelines for developing fees and charges for Class A cemetery trusts</dc:subject>
  <dc:creator>Cemeteries@health.vic.gov.au</dc:creator>
  <cp:keywords>Guidelines for developing fees and charges for Class A cemetery trusts</cp:keywords>
  <dc:description/>
  <cp:lastModifiedBy>Anna Ravenscroft (Health)</cp:lastModifiedBy>
  <cp:revision>5</cp:revision>
  <cp:lastPrinted>2021-01-29T05:27:00Z</cp:lastPrinted>
  <dcterms:created xsi:type="dcterms:W3CDTF">2021-05-13T23:12:00Z</dcterms:created>
  <dcterms:modified xsi:type="dcterms:W3CDTF">2021-05-14T04:43:00Z</dcterms:modified>
  <cp:category>Guidelines for developing fees and charges for Class A cemetery trusts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2021-05-14T04:43:22Z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ies>
</file>