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750063" w:rsidP="00DF22E3">
      <w:pPr>
        <w:pStyle w:val="Spacerparatopoffirstpage"/>
      </w:pPr>
      <w: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rsidR="00A62D44" w:rsidRPr="004C6EEE" w:rsidRDefault="00A62D44" w:rsidP="00DF22E3">
      <w:pPr>
        <w:pStyle w:val="Sectionbreakfirstpage"/>
        <w:sectPr w:rsidR="00A62D44" w:rsidRPr="004C6EEE" w:rsidSect="005A654E">
          <w:footerReference w:type="default" r:id="rId9"/>
          <w:pgSz w:w="11906" w:h="16838" w:code="9"/>
          <w:pgMar w:top="567" w:right="851" w:bottom="1418" w:left="851" w:header="510" w:footer="510" w:gutter="0"/>
          <w:cols w:num="2"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331271" w:rsidP="00DF22E3">
            <w:pPr>
              <w:pStyle w:val="DHHSmainheading"/>
            </w:pPr>
            <w:r>
              <w:t>Pest control technical note – Wildlife and pest animal control</w:t>
            </w:r>
          </w:p>
        </w:tc>
      </w:tr>
      <w:tr w:rsidR="00AD784C" w:rsidTr="00357B4E">
        <w:trPr>
          <w:trHeight w:hRule="exact" w:val="1162"/>
        </w:trPr>
        <w:tc>
          <w:tcPr>
            <w:tcW w:w="8046" w:type="dxa"/>
            <w:shd w:val="clear" w:color="auto" w:fill="auto"/>
            <w:tcMar>
              <w:top w:w="170" w:type="dxa"/>
              <w:bottom w:w="510" w:type="dxa"/>
            </w:tcMar>
          </w:tcPr>
          <w:p w:rsidR="00357B4E" w:rsidRPr="00AD784C" w:rsidRDefault="00331271" w:rsidP="00DF22E3">
            <w:pPr>
              <w:pStyle w:val="DHHSmainsubheading"/>
              <w:rPr>
                <w:szCs w:val="28"/>
              </w:rPr>
            </w:pPr>
            <w:r>
              <w:rPr>
                <w:szCs w:val="28"/>
              </w:rPr>
              <w:t xml:space="preserve">Number 6        Updated </w:t>
            </w:r>
            <w:r w:rsidR="007F4B39">
              <w:rPr>
                <w:szCs w:val="28"/>
              </w:rPr>
              <w:t>December</w:t>
            </w:r>
            <w:r>
              <w:rPr>
                <w:szCs w:val="28"/>
              </w:rPr>
              <w:t xml:space="preserve"> 201</w:t>
            </w:r>
            <w:r w:rsidR="007F4B39">
              <w:rPr>
                <w:szCs w:val="28"/>
              </w:rPr>
              <w:t>9</w:t>
            </w:r>
          </w:p>
        </w:tc>
      </w:tr>
    </w:tbl>
    <w:p w:rsidR="00033CD2" w:rsidRDefault="00033CD2" w:rsidP="00DF22E3">
      <w:pPr>
        <w:spacing w:after="80"/>
        <w:rPr>
          <w:rFonts w:ascii="Arial" w:hAnsi="Arial" w:cs="Arial"/>
        </w:rPr>
        <w:sectPr w:rsidR="00033CD2" w:rsidSect="006868E7">
          <w:headerReference w:type="default" r:id="rId10"/>
          <w:footerReference w:type="default" r:id="rId11"/>
          <w:type w:val="continuous"/>
          <w:pgSz w:w="11906" w:h="16838" w:code="9"/>
          <w:pgMar w:top="1418" w:right="851" w:bottom="1134" w:left="851" w:header="567" w:footer="510" w:gutter="0"/>
          <w:cols w:space="340"/>
          <w:titlePg/>
          <w:docGrid w:linePitch="360"/>
        </w:sectPr>
      </w:pPr>
    </w:p>
    <w:p w:rsidR="00033CD2" w:rsidRPr="00033CD2" w:rsidRDefault="006868E7" w:rsidP="00DF22E3">
      <w:pPr>
        <w:pStyle w:val="DHHSbody"/>
        <w:jc w:val="both"/>
      </w:pPr>
      <w:r>
        <w:br/>
      </w:r>
      <w:r w:rsidR="00033CD2">
        <w:t>T</w:t>
      </w:r>
      <w:r w:rsidR="00033CD2" w:rsidRPr="00033CD2">
        <w:t xml:space="preserve">his technical note is designed to bring to your attention the Victorian legislation relevant to the pest control industry. </w:t>
      </w:r>
    </w:p>
    <w:p w:rsidR="00033CD2" w:rsidRPr="00033CD2" w:rsidRDefault="00033CD2" w:rsidP="00DF22E3">
      <w:pPr>
        <w:pStyle w:val="DHHSbody"/>
        <w:jc w:val="both"/>
      </w:pPr>
      <w:r w:rsidRPr="00033CD2">
        <w:t xml:space="preserve">Copies of the Acts referred to can be obtained from the Victorian Legislation and Parliamentary Documents web site at: </w:t>
      </w:r>
    </w:p>
    <w:p w:rsidR="00033CD2" w:rsidRPr="00331271" w:rsidRDefault="00A13B83" w:rsidP="00DF22E3">
      <w:pPr>
        <w:pStyle w:val="DHHSbody"/>
        <w:jc w:val="both"/>
        <w:rPr>
          <w:sz w:val="19"/>
          <w:szCs w:val="24"/>
          <w:lang w:eastAsia="en-AU"/>
        </w:rPr>
      </w:pPr>
      <w:hyperlink r:id="rId12" w:history="1">
        <w:r w:rsidR="00033CD2" w:rsidRPr="00033CD2">
          <w:rPr>
            <w:color w:val="0000FF"/>
            <w:sz w:val="19"/>
            <w:szCs w:val="24"/>
            <w:u w:val="single"/>
            <w:lang w:eastAsia="en-AU"/>
          </w:rPr>
          <w:t>http://www.legislation.vic.gov.au/</w:t>
        </w:r>
      </w:hyperlink>
    </w:p>
    <w:p w:rsidR="00033CD2" w:rsidRPr="00033CD2" w:rsidRDefault="00033CD2" w:rsidP="00DF22E3">
      <w:pPr>
        <w:pStyle w:val="Heading1"/>
        <w:jc w:val="both"/>
        <w:rPr>
          <w:b/>
          <w:sz w:val="26"/>
          <w:szCs w:val="26"/>
        </w:rPr>
      </w:pPr>
      <w:r w:rsidRPr="00033CD2">
        <w:t>Licensing by the Department of Health</w:t>
      </w:r>
      <w:r w:rsidR="00331271">
        <w:t xml:space="preserve"> and Human Services</w:t>
      </w:r>
    </w:p>
    <w:p w:rsidR="00033CD2" w:rsidRPr="00033CD2" w:rsidRDefault="00750063" w:rsidP="00DF22E3">
      <w:pPr>
        <w:pStyle w:val="DHHSbody"/>
        <w:jc w:val="both"/>
        <w:rPr>
          <w:szCs w:val="24"/>
          <w:lang w:eastAsia="en-AU"/>
        </w:rPr>
      </w:pPr>
      <w:r>
        <w:rPr>
          <w:noProof/>
          <w:sz w:val="18"/>
          <w:szCs w:val="24"/>
        </w:rPr>
        <w:drawing>
          <wp:anchor distT="0" distB="0" distL="114300" distR="114300" simplePos="0" relativeHeight="251663872" behindDoc="1" locked="0" layoutInCell="1" allowOverlap="1">
            <wp:simplePos x="0" y="0"/>
            <wp:positionH relativeFrom="column">
              <wp:posOffset>1804670</wp:posOffset>
            </wp:positionH>
            <wp:positionV relativeFrom="paragraph">
              <wp:posOffset>210820</wp:posOffset>
            </wp:positionV>
            <wp:extent cx="1371600" cy="1143000"/>
            <wp:effectExtent l="0" t="0" r="0" b="0"/>
            <wp:wrapTight wrapText="bothSides">
              <wp:wrapPolygon edited="0">
                <wp:start x="4500" y="0"/>
                <wp:lineTo x="2100" y="3600"/>
                <wp:lineTo x="1500" y="4680"/>
                <wp:lineTo x="0" y="9720"/>
                <wp:lineTo x="0" y="14760"/>
                <wp:lineTo x="1500" y="17280"/>
                <wp:lineTo x="1500" y="18720"/>
                <wp:lineTo x="9600" y="21240"/>
                <wp:lineTo x="15000" y="21240"/>
                <wp:lineTo x="16200" y="21240"/>
                <wp:lineTo x="17100" y="21240"/>
                <wp:lineTo x="20400" y="18000"/>
                <wp:lineTo x="20100" y="17280"/>
                <wp:lineTo x="21300" y="14040"/>
                <wp:lineTo x="21300" y="10080"/>
                <wp:lineTo x="20100" y="7920"/>
                <wp:lineTo x="18000" y="5760"/>
                <wp:lineTo x="18900" y="2880"/>
                <wp:lineTo x="17100" y="1800"/>
                <wp:lineTo x="6900" y="0"/>
                <wp:lineTo x="4500" y="0"/>
              </wp:wrapPolygon>
            </wp:wrapTight>
            <wp:docPr id="36" name="Picture 36" descr="cartoon silhouette of pest control operator and a few b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pic:spPr>
                </pic:pic>
              </a:graphicData>
            </a:graphic>
            <wp14:sizeRelH relativeFrom="page">
              <wp14:pctWidth>0</wp14:pctWidth>
            </wp14:sizeRelH>
            <wp14:sizeRelV relativeFrom="page">
              <wp14:pctHeight>0</wp14:pctHeight>
            </wp14:sizeRelV>
          </wp:anchor>
        </w:drawing>
      </w:r>
      <w:r w:rsidR="00033CD2" w:rsidRPr="00033CD2">
        <w:rPr>
          <w:szCs w:val="24"/>
          <w:lang w:eastAsia="en-AU"/>
        </w:rPr>
        <w:t xml:space="preserve">A pest control operator (“PCO”) is defined in the Public Health and Wellbeing Act 2008 as </w:t>
      </w:r>
      <w:r w:rsidR="002A452A">
        <w:rPr>
          <w:szCs w:val="24"/>
          <w:lang w:eastAsia="en-AU"/>
        </w:rPr>
        <w:t>‘</w:t>
      </w:r>
      <w:r w:rsidR="00033CD2" w:rsidRPr="00033CD2">
        <w:rPr>
          <w:szCs w:val="24"/>
          <w:lang w:eastAsia="en-AU"/>
        </w:rPr>
        <w:t xml:space="preserve">a person who carries on or holds themselves out in any way as carrying on the business of controlling, </w:t>
      </w:r>
      <w:r w:rsidR="00527BB6">
        <w:rPr>
          <w:szCs w:val="24"/>
          <w:lang w:eastAsia="en-AU"/>
        </w:rPr>
        <w:t>destroying or repelling pests</w:t>
      </w:r>
      <w:r w:rsidR="002A452A">
        <w:rPr>
          <w:szCs w:val="24"/>
          <w:lang w:eastAsia="en-AU"/>
        </w:rPr>
        <w:t>’</w:t>
      </w:r>
      <w:r w:rsidR="00527BB6">
        <w:rPr>
          <w:szCs w:val="24"/>
          <w:lang w:eastAsia="en-AU"/>
        </w:rPr>
        <w:t xml:space="preserve">. </w:t>
      </w:r>
    </w:p>
    <w:p w:rsidR="00033CD2" w:rsidRPr="00033CD2" w:rsidRDefault="00033CD2" w:rsidP="00DF22E3">
      <w:pPr>
        <w:pStyle w:val="DHHSbody"/>
        <w:jc w:val="both"/>
        <w:rPr>
          <w:szCs w:val="24"/>
          <w:lang w:eastAsia="en-AU"/>
        </w:rPr>
      </w:pPr>
      <w:r w:rsidRPr="00033CD2">
        <w:rPr>
          <w:szCs w:val="24"/>
          <w:lang w:eastAsia="en-AU"/>
        </w:rPr>
        <w:t>Anyone who uses pesticides, or permits another person to use pesticides, in the course of the business of a pest control operator in Victoria is required to hold a licence issued under section</w:t>
      </w:r>
      <w:r w:rsidR="002A452A">
        <w:rPr>
          <w:szCs w:val="24"/>
          <w:lang w:eastAsia="en-AU"/>
        </w:rPr>
        <w:t xml:space="preserve"> 101</w:t>
      </w:r>
      <w:r w:rsidRPr="00033CD2">
        <w:rPr>
          <w:szCs w:val="24"/>
          <w:lang w:eastAsia="en-AU"/>
        </w:rPr>
        <w:t xml:space="preserve"> of the Victorian Public Health and Wellbeing Act 2008 (“</w:t>
      </w:r>
      <w:r w:rsidR="00DE07AF">
        <w:rPr>
          <w:szCs w:val="24"/>
          <w:lang w:eastAsia="en-AU"/>
        </w:rPr>
        <w:t xml:space="preserve">pest control licence”) </w:t>
      </w:r>
      <w:r w:rsidRPr="00033CD2">
        <w:rPr>
          <w:szCs w:val="24"/>
          <w:lang w:eastAsia="en-AU"/>
        </w:rPr>
        <w:t>unless the pesticide is being used for any of the purposes specified under section 100 of the Public Health and Wellbeing Act 2008. For further information please refer to technical</w:t>
      </w:r>
      <w:r w:rsidR="00331271">
        <w:rPr>
          <w:szCs w:val="24"/>
          <w:lang w:eastAsia="en-AU"/>
        </w:rPr>
        <w:t xml:space="preserve"> note number 5 – </w:t>
      </w:r>
      <w:r w:rsidR="00C62F86">
        <w:rPr>
          <w:szCs w:val="24"/>
          <w:lang w:eastAsia="en-AU"/>
        </w:rPr>
        <w:t>Legislation and Licensing</w:t>
      </w:r>
      <w:r w:rsidR="00331271">
        <w:rPr>
          <w:szCs w:val="24"/>
          <w:lang w:eastAsia="en-AU"/>
        </w:rPr>
        <w:t>.</w:t>
      </w:r>
    </w:p>
    <w:p w:rsidR="00033CD2" w:rsidRPr="00033CD2" w:rsidRDefault="00033CD2" w:rsidP="00DF22E3">
      <w:pPr>
        <w:pStyle w:val="DHHSbody"/>
        <w:jc w:val="both"/>
        <w:rPr>
          <w:szCs w:val="24"/>
          <w:lang w:eastAsia="en-AU"/>
        </w:rPr>
      </w:pPr>
      <w:r w:rsidRPr="00033CD2">
        <w:rPr>
          <w:szCs w:val="24"/>
          <w:lang w:eastAsia="en-AU"/>
        </w:rPr>
        <w:t xml:space="preserve">The Department of Health and Human Services  issues licences to individuals who have attained the appropriate qualification. </w:t>
      </w:r>
      <w:r w:rsidRPr="00033CD2">
        <w:rPr>
          <w:szCs w:val="24"/>
        </w:rPr>
        <w:t xml:space="preserve">A </w:t>
      </w:r>
      <w:r w:rsidR="006D0995">
        <w:rPr>
          <w:szCs w:val="24"/>
        </w:rPr>
        <w:t>pest control licence</w:t>
      </w:r>
      <w:r w:rsidRPr="00033CD2">
        <w:rPr>
          <w:szCs w:val="24"/>
        </w:rPr>
        <w:t xml:space="preserve"> will list one or more authorisations depending on the type of pest control work the licence holder is qualified to undertake. The authorisations available are: </w:t>
      </w:r>
    </w:p>
    <w:p w:rsidR="007F4B39" w:rsidRDefault="007F4B39" w:rsidP="007F4B39">
      <w:pPr>
        <w:pStyle w:val="DHHSbody"/>
        <w:numPr>
          <w:ilvl w:val="0"/>
          <w:numId w:val="17"/>
        </w:numPr>
        <w:jc w:val="both"/>
      </w:pPr>
      <w:r>
        <w:t>Pesticides (except fumigants) that have been formulated for the control of any pest, to control any pest (including rodents) except a pest animal or timber pests.</w:t>
      </w:r>
    </w:p>
    <w:p w:rsidR="007F4B39" w:rsidRDefault="007F4B39" w:rsidP="007F4B39">
      <w:pPr>
        <w:pStyle w:val="DHHSbody"/>
        <w:numPr>
          <w:ilvl w:val="0"/>
          <w:numId w:val="17"/>
        </w:numPr>
        <w:jc w:val="both"/>
      </w:pPr>
      <w:r>
        <w:t xml:space="preserve">Pesticides (except fumigants) that have been formulated for the control of any pest, to control any pest (including rodents and timber pests) </w:t>
      </w:r>
      <w:bookmarkStart w:id="0" w:name="_GoBack"/>
      <w:bookmarkEnd w:id="0"/>
      <w:r>
        <w:t>except a pest animal.</w:t>
      </w:r>
    </w:p>
    <w:p w:rsidR="007F4B39" w:rsidRDefault="007F4B39" w:rsidP="007F4B39">
      <w:pPr>
        <w:pStyle w:val="DHHSbody"/>
        <w:numPr>
          <w:ilvl w:val="0"/>
          <w:numId w:val="17"/>
        </w:numPr>
        <w:jc w:val="both"/>
      </w:pPr>
      <w:r>
        <w:t>Pesticides that have been formulated for the control of pest animals; to protect an area or place in a building used for commercial purposes or domestic premises or privately owned land adjacent to domestic premises.</w:t>
      </w:r>
    </w:p>
    <w:p w:rsidR="007F4B39" w:rsidRDefault="007F4B39" w:rsidP="007F4B39">
      <w:pPr>
        <w:pStyle w:val="DHHSbody"/>
        <w:numPr>
          <w:ilvl w:val="0"/>
          <w:numId w:val="17"/>
        </w:numPr>
        <w:jc w:val="both"/>
      </w:pPr>
      <w:r>
        <w:t>Pesticides that are in the form of fumigants.</w:t>
      </w:r>
    </w:p>
    <w:p w:rsidR="00033CD2" w:rsidRPr="00331271" w:rsidRDefault="00033CD2" w:rsidP="00DF22E3">
      <w:pPr>
        <w:pStyle w:val="DHHSbody"/>
        <w:jc w:val="both"/>
        <w:rPr>
          <w:szCs w:val="24"/>
        </w:rPr>
      </w:pPr>
      <w:r w:rsidRPr="00033CD2">
        <w:rPr>
          <w:szCs w:val="24"/>
        </w:rPr>
        <w:t>If a PCO intends to undertake wildlife control (</w:t>
      </w:r>
      <w:proofErr w:type="spellStart"/>
      <w:r w:rsidRPr="00033CD2">
        <w:rPr>
          <w:szCs w:val="24"/>
        </w:rPr>
        <w:t>eg.</w:t>
      </w:r>
      <w:proofErr w:type="spellEnd"/>
      <w:r w:rsidRPr="00033CD2">
        <w:rPr>
          <w:szCs w:val="24"/>
        </w:rPr>
        <w:t xml:space="preserve"> possums), they must also hold a Wildlife </w:t>
      </w:r>
      <w:r w:rsidR="006D0995">
        <w:rPr>
          <w:szCs w:val="24"/>
        </w:rPr>
        <w:t xml:space="preserve">Controller </w:t>
      </w:r>
      <w:r w:rsidR="006868E7">
        <w:rPr>
          <w:szCs w:val="24"/>
        </w:rPr>
        <w:br/>
      </w:r>
      <w:r w:rsidRPr="00033CD2">
        <w:rPr>
          <w:szCs w:val="24"/>
        </w:rPr>
        <w:t xml:space="preserve">Licence or an Authority To Control Wildlife issued by the </w:t>
      </w:r>
      <w:r w:rsidR="00331271">
        <w:rPr>
          <w:szCs w:val="24"/>
        </w:rPr>
        <w:t>Department of Environment, Land, Water and Planning.</w:t>
      </w:r>
    </w:p>
    <w:p w:rsidR="00033CD2" w:rsidRPr="00033CD2" w:rsidRDefault="00033CD2" w:rsidP="00DF22E3">
      <w:pPr>
        <w:pStyle w:val="Heading2"/>
        <w:jc w:val="both"/>
        <w:rPr>
          <w:bCs/>
          <w:sz w:val="26"/>
          <w:szCs w:val="26"/>
        </w:rPr>
      </w:pPr>
      <w:r w:rsidRPr="00033CD2">
        <w:rPr>
          <w:rFonts w:eastAsia="MS Mincho"/>
        </w:rPr>
        <w:t>Pest Animal Control</w:t>
      </w:r>
    </w:p>
    <w:p w:rsidR="00033CD2" w:rsidRPr="00033CD2" w:rsidRDefault="00033CD2" w:rsidP="00DF22E3">
      <w:pPr>
        <w:pStyle w:val="DHHSbody"/>
        <w:jc w:val="both"/>
        <w:rPr>
          <w:szCs w:val="24"/>
        </w:rPr>
      </w:pPr>
      <w:r w:rsidRPr="00033CD2">
        <w:rPr>
          <w:szCs w:val="24"/>
        </w:rPr>
        <w:t xml:space="preserve">Under the Act, a person holding a </w:t>
      </w:r>
      <w:r w:rsidR="00DE07AF">
        <w:rPr>
          <w:szCs w:val="24"/>
        </w:rPr>
        <w:t xml:space="preserve">pest control licence </w:t>
      </w:r>
      <w:r w:rsidRPr="00033CD2">
        <w:rPr>
          <w:szCs w:val="24"/>
        </w:rPr>
        <w:t>with an authorisation to use “pesticides formulated for the control of pest animals” may only control those animals defined as pest animals under the Catchment and Land Protection Act 1994.</w:t>
      </w:r>
    </w:p>
    <w:p w:rsidR="00033CD2" w:rsidRPr="00033CD2" w:rsidRDefault="00750063" w:rsidP="00DF22E3">
      <w:pPr>
        <w:pStyle w:val="DHHSbody"/>
        <w:jc w:val="both"/>
        <w:rPr>
          <w:szCs w:val="24"/>
        </w:rPr>
      </w:pPr>
      <w:r>
        <w:rPr>
          <w:noProof/>
          <w:szCs w:val="24"/>
        </w:rPr>
        <w:drawing>
          <wp:anchor distT="0" distB="0" distL="114300" distR="114300" simplePos="0" relativeHeight="251662848" behindDoc="0" locked="0" layoutInCell="1" allowOverlap="1">
            <wp:simplePos x="0" y="0"/>
            <wp:positionH relativeFrom="column">
              <wp:posOffset>1761490</wp:posOffset>
            </wp:positionH>
            <wp:positionV relativeFrom="paragraph">
              <wp:posOffset>190500</wp:posOffset>
            </wp:positionV>
            <wp:extent cx="1102995" cy="808990"/>
            <wp:effectExtent l="0" t="0" r="0" b="0"/>
            <wp:wrapTight wrapText="bothSides">
              <wp:wrapPolygon edited="0">
                <wp:start x="19399" y="0"/>
                <wp:lineTo x="11192" y="1017"/>
                <wp:lineTo x="373" y="6104"/>
                <wp:lineTo x="0" y="18819"/>
                <wp:lineTo x="746" y="20345"/>
                <wp:lineTo x="6342" y="20854"/>
                <wp:lineTo x="8580" y="20854"/>
                <wp:lineTo x="8953" y="17802"/>
                <wp:lineTo x="12684" y="15768"/>
                <wp:lineTo x="14549" y="10173"/>
                <wp:lineTo x="18280" y="9155"/>
                <wp:lineTo x="21264" y="6104"/>
                <wp:lineTo x="20891" y="0"/>
                <wp:lineTo x="19399" y="0"/>
              </wp:wrapPolygon>
            </wp:wrapTight>
            <wp:docPr id="35" name="Picture 35" descr="cartoon 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2995" cy="808990"/>
                    </a:xfrm>
                    <a:prstGeom prst="rect">
                      <a:avLst/>
                    </a:prstGeom>
                    <a:noFill/>
                  </pic:spPr>
                </pic:pic>
              </a:graphicData>
            </a:graphic>
            <wp14:sizeRelH relativeFrom="page">
              <wp14:pctWidth>0</wp14:pctWidth>
            </wp14:sizeRelH>
            <wp14:sizeRelV relativeFrom="page">
              <wp14:pctHeight>0</wp14:pctHeight>
            </wp14:sizeRelV>
          </wp:anchor>
        </w:drawing>
      </w:r>
      <w:r w:rsidR="00033CD2" w:rsidRPr="00033CD2">
        <w:rPr>
          <w:szCs w:val="24"/>
        </w:rPr>
        <w:t xml:space="preserve">The Catchment and Land Protection Act 1994 defines “pest animal” as: </w:t>
      </w:r>
    </w:p>
    <w:p w:rsidR="00033CD2" w:rsidRPr="00033CD2" w:rsidRDefault="00033CD2" w:rsidP="00DF22E3">
      <w:pPr>
        <w:pStyle w:val="DHHSbody"/>
        <w:jc w:val="both"/>
      </w:pPr>
      <w:r w:rsidRPr="00033CD2">
        <w:t>prohibited pest animal;</w:t>
      </w:r>
    </w:p>
    <w:p w:rsidR="00033CD2" w:rsidRPr="00033CD2" w:rsidRDefault="00033CD2" w:rsidP="00DF22E3">
      <w:pPr>
        <w:pStyle w:val="DHHSbody"/>
        <w:jc w:val="both"/>
      </w:pPr>
      <w:r w:rsidRPr="00033CD2">
        <w:t>controlled pest animal;</w:t>
      </w:r>
    </w:p>
    <w:p w:rsidR="00033CD2" w:rsidRPr="00033CD2" w:rsidRDefault="00033CD2" w:rsidP="00DF22E3">
      <w:pPr>
        <w:pStyle w:val="DHHSbody"/>
        <w:jc w:val="both"/>
      </w:pPr>
      <w:r w:rsidRPr="00033CD2">
        <w:t>regulated pest animal; or</w:t>
      </w:r>
    </w:p>
    <w:p w:rsidR="00033CD2" w:rsidRDefault="00033CD2" w:rsidP="00DF22E3">
      <w:pPr>
        <w:pStyle w:val="DHHSbody"/>
        <w:jc w:val="both"/>
        <w:rPr>
          <w:bCs/>
        </w:rPr>
      </w:pPr>
      <w:r w:rsidRPr="00FF37A2">
        <w:rPr>
          <w:b/>
          <w:bCs/>
        </w:rPr>
        <w:t>established pest animal</w:t>
      </w:r>
      <w:r w:rsidR="00331271">
        <w:rPr>
          <w:b/>
          <w:bCs/>
          <w:vertAlign w:val="superscript"/>
        </w:rPr>
        <w:t xml:space="preserve"> </w:t>
      </w:r>
      <w:r w:rsidR="00331271" w:rsidRPr="00FF37A2">
        <w:rPr>
          <w:bCs/>
        </w:rPr>
        <w:t>(see below)</w:t>
      </w:r>
    </w:p>
    <w:p w:rsidR="0094390E" w:rsidRDefault="0094390E" w:rsidP="00DF22E3">
      <w:pPr>
        <w:pStyle w:val="DHHSbody"/>
        <w:jc w:val="both"/>
        <w:rPr>
          <w:b/>
          <w:bCs/>
        </w:rPr>
      </w:pPr>
      <w:r>
        <w:rPr>
          <w:b/>
          <w:bCs/>
        </w:rPr>
        <w:t>Scientific name</w:t>
      </w:r>
      <w:r>
        <w:rPr>
          <w:b/>
          <w:bCs/>
        </w:rPr>
        <w:tab/>
      </w:r>
      <w:r>
        <w:rPr>
          <w:b/>
          <w:bCs/>
        </w:rPr>
        <w:tab/>
        <w:t>Common Name</w:t>
      </w:r>
    </w:p>
    <w:p w:rsidR="0094390E" w:rsidRDefault="0094390E" w:rsidP="00DF22E3">
      <w:pPr>
        <w:pStyle w:val="DHHSbody"/>
        <w:jc w:val="both"/>
        <w:rPr>
          <w:bCs/>
        </w:rPr>
      </w:pPr>
      <w:r w:rsidRPr="00650480">
        <w:rPr>
          <w:bCs/>
          <w:i/>
        </w:rPr>
        <w:t xml:space="preserve">Vulpes </w:t>
      </w:r>
      <w:proofErr w:type="spellStart"/>
      <w:r w:rsidRPr="00650480">
        <w:rPr>
          <w:bCs/>
          <w:i/>
        </w:rPr>
        <w:t>Vulpes</w:t>
      </w:r>
      <w:proofErr w:type="spellEnd"/>
      <w:r>
        <w:rPr>
          <w:bCs/>
        </w:rPr>
        <w:tab/>
      </w:r>
      <w:r>
        <w:rPr>
          <w:bCs/>
        </w:rPr>
        <w:tab/>
      </w:r>
      <w:r>
        <w:rPr>
          <w:bCs/>
        </w:rPr>
        <w:tab/>
        <w:t>Red Fox</w:t>
      </w:r>
    </w:p>
    <w:p w:rsidR="0094390E" w:rsidRDefault="0094390E" w:rsidP="00DF22E3">
      <w:pPr>
        <w:pStyle w:val="DHHSbody"/>
        <w:jc w:val="both"/>
        <w:rPr>
          <w:bCs/>
        </w:rPr>
      </w:pPr>
      <w:r w:rsidRPr="00650480">
        <w:rPr>
          <w:bCs/>
          <w:i/>
        </w:rPr>
        <w:t xml:space="preserve">Lepus </w:t>
      </w:r>
      <w:proofErr w:type="spellStart"/>
      <w:r w:rsidRPr="00650480">
        <w:rPr>
          <w:bCs/>
          <w:i/>
        </w:rPr>
        <w:t>europaeus</w:t>
      </w:r>
      <w:proofErr w:type="spellEnd"/>
      <w:r w:rsidR="00650480">
        <w:rPr>
          <w:bCs/>
        </w:rPr>
        <w:tab/>
      </w:r>
      <w:r w:rsidR="00650480">
        <w:rPr>
          <w:bCs/>
        </w:rPr>
        <w:tab/>
        <w:t>European Hare</w:t>
      </w:r>
    </w:p>
    <w:p w:rsidR="00650480" w:rsidRDefault="00650480" w:rsidP="00DF22E3">
      <w:pPr>
        <w:pStyle w:val="DHHSbody"/>
        <w:jc w:val="both"/>
        <w:rPr>
          <w:bCs/>
        </w:rPr>
      </w:pPr>
      <w:r>
        <w:rPr>
          <w:bCs/>
          <w:i/>
        </w:rPr>
        <w:t>Capra hircus</w:t>
      </w:r>
      <w:r>
        <w:rPr>
          <w:bCs/>
          <w:i/>
        </w:rPr>
        <w:tab/>
      </w:r>
      <w:r>
        <w:rPr>
          <w:bCs/>
          <w:i/>
        </w:rPr>
        <w:tab/>
      </w:r>
      <w:r>
        <w:rPr>
          <w:bCs/>
          <w:i/>
        </w:rPr>
        <w:tab/>
      </w:r>
      <w:r>
        <w:rPr>
          <w:bCs/>
        </w:rPr>
        <w:t>Goat</w:t>
      </w:r>
    </w:p>
    <w:p w:rsidR="00650480" w:rsidRDefault="00650480" w:rsidP="00DF22E3">
      <w:pPr>
        <w:pStyle w:val="DHHSbody"/>
        <w:jc w:val="both"/>
        <w:rPr>
          <w:bCs/>
        </w:rPr>
      </w:pPr>
      <w:r>
        <w:rPr>
          <w:bCs/>
          <w:i/>
        </w:rPr>
        <w:t xml:space="preserve">Sus </w:t>
      </w:r>
      <w:proofErr w:type="spellStart"/>
      <w:r>
        <w:rPr>
          <w:bCs/>
          <w:i/>
        </w:rPr>
        <w:t>scrofa</w:t>
      </w:r>
      <w:proofErr w:type="spellEnd"/>
      <w:r>
        <w:rPr>
          <w:bCs/>
          <w:i/>
        </w:rPr>
        <w:tab/>
      </w:r>
      <w:r>
        <w:rPr>
          <w:bCs/>
          <w:i/>
        </w:rPr>
        <w:tab/>
      </w:r>
      <w:r>
        <w:rPr>
          <w:bCs/>
          <w:i/>
        </w:rPr>
        <w:tab/>
      </w:r>
      <w:r>
        <w:rPr>
          <w:bCs/>
        </w:rPr>
        <w:t>Pig</w:t>
      </w:r>
    </w:p>
    <w:p w:rsidR="00650480" w:rsidRDefault="00650480" w:rsidP="00DF22E3">
      <w:pPr>
        <w:pStyle w:val="DHHSbody"/>
        <w:jc w:val="both"/>
        <w:rPr>
          <w:bCs/>
        </w:rPr>
      </w:pPr>
      <w:proofErr w:type="spellStart"/>
      <w:r>
        <w:rPr>
          <w:bCs/>
          <w:i/>
        </w:rPr>
        <w:t>Canus</w:t>
      </w:r>
      <w:proofErr w:type="spellEnd"/>
      <w:r>
        <w:rPr>
          <w:bCs/>
          <w:i/>
        </w:rPr>
        <w:t xml:space="preserve"> lupus </w:t>
      </w:r>
      <w:proofErr w:type="spellStart"/>
      <w:r>
        <w:rPr>
          <w:bCs/>
          <w:i/>
        </w:rPr>
        <w:t>familiaris</w:t>
      </w:r>
      <w:proofErr w:type="spellEnd"/>
      <w:r>
        <w:rPr>
          <w:bCs/>
          <w:i/>
        </w:rPr>
        <w:tab/>
      </w:r>
      <w:r>
        <w:rPr>
          <w:bCs/>
          <w:i/>
        </w:rPr>
        <w:tab/>
      </w:r>
      <w:r>
        <w:rPr>
          <w:bCs/>
        </w:rPr>
        <w:t>Dog</w:t>
      </w:r>
    </w:p>
    <w:p w:rsidR="00650480" w:rsidRDefault="00650480" w:rsidP="00DF22E3">
      <w:pPr>
        <w:pStyle w:val="DHHSbody"/>
        <w:jc w:val="both"/>
        <w:rPr>
          <w:bCs/>
        </w:rPr>
      </w:pPr>
      <w:proofErr w:type="spellStart"/>
      <w:r>
        <w:rPr>
          <w:bCs/>
          <w:i/>
        </w:rPr>
        <w:t>Canus</w:t>
      </w:r>
      <w:proofErr w:type="spellEnd"/>
      <w:r>
        <w:rPr>
          <w:bCs/>
          <w:i/>
        </w:rPr>
        <w:t xml:space="preserve"> lupus dingo x </w:t>
      </w:r>
      <w:r>
        <w:rPr>
          <w:bCs/>
          <w:i/>
        </w:rPr>
        <w:tab/>
      </w:r>
      <w:r>
        <w:rPr>
          <w:bCs/>
          <w:i/>
        </w:rPr>
        <w:tab/>
      </w:r>
      <w:r>
        <w:rPr>
          <w:bCs/>
        </w:rPr>
        <w:t>Dingo-dog Hybrid</w:t>
      </w:r>
    </w:p>
    <w:p w:rsidR="00650480" w:rsidRPr="0037769A" w:rsidRDefault="00650480" w:rsidP="00DF22E3">
      <w:pPr>
        <w:pStyle w:val="DHHSbody"/>
        <w:jc w:val="both"/>
        <w:rPr>
          <w:bCs/>
        </w:rPr>
      </w:pPr>
      <w:r>
        <w:rPr>
          <w:bCs/>
          <w:i/>
        </w:rPr>
        <w:t xml:space="preserve">Oryctolagus </w:t>
      </w:r>
      <w:r w:rsidR="0037769A">
        <w:rPr>
          <w:bCs/>
          <w:i/>
        </w:rPr>
        <w:t>cuniculus</w:t>
      </w:r>
      <w:r w:rsidR="0037769A">
        <w:rPr>
          <w:bCs/>
          <w:i/>
        </w:rPr>
        <w:tab/>
      </w:r>
      <w:r w:rsidR="0037769A">
        <w:rPr>
          <w:bCs/>
          <w:i/>
        </w:rPr>
        <w:tab/>
      </w:r>
      <w:r w:rsidR="0037769A">
        <w:rPr>
          <w:bCs/>
        </w:rPr>
        <w:t>European Rabbit</w:t>
      </w:r>
    </w:p>
    <w:p w:rsidR="00033CD2" w:rsidRPr="00033CD2" w:rsidRDefault="006D0995" w:rsidP="00DF22E3">
      <w:pPr>
        <w:pStyle w:val="DHHSbody"/>
        <w:jc w:val="both"/>
        <w:rPr>
          <w:szCs w:val="24"/>
        </w:rPr>
      </w:pPr>
      <w:r>
        <w:rPr>
          <w:szCs w:val="24"/>
        </w:rPr>
        <w:lastRenderedPageBreak/>
        <w:br/>
      </w:r>
      <w:r w:rsidR="00033CD2" w:rsidRPr="00033CD2">
        <w:rPr>
          <w:szCs w:val="24"/>
        </w:rPr>
        <w:t xml:space="preserve">Animal species are classified as prohibited pest animals, controlled pest animals, regulated pest animals or established pest animals according to their potential to threaten primary production, Crown land, the environment and community health. </w:t>
      </w:r>
    </w:p>
    <w:p w:rsidR="00033CD2" w:rsidRPr="00033CD2" w:rsidRDefault="00033CD2" w:rsidP="00DF22E3">
      <w:pPr>
        <w:pStyle w:val="DHHSbody"/>
        <w:jc w:val="both"/>
      </w:pPr>
    </w:p>
    <w:p w:rsidR="00033CD2" w:rsidRPr="00033CD2" w:rsidRDefault="00750063" w:rsidP="00DF22E3">
      <w:pPr>
        <w:pStyle w:val="DHHSbody"/>
        <w:jc w:val="both"/>
        <w:rPr>
          <w:szCs w:val="24"/>
        </w:rPr>
      </w:pPr>
      <w:r>
        <w:rPr>
          <w:noProof/>
          <w:szCs w:val="24"/>
          <w:lang w:val="en-US"/>
        </w:rPr>
        <w:drawing>
          <wp:anchor distT="0" distB="0" distL="114300" distR="114300" simplePos="0" relativeHeight="251668992" behindDoc="0" locked="0" layoutInCell="1" allowOverlap="1">
            <wp:simplePos x="0" y="0"/>
            <wp:positionH relativeFrom="column">
              <wp:posOffset>-103505</wp:posOffset>
            </wp:positionH>
            <wp:positionV relativeFrom="paragraph">
              <wp:posOffset>-146050</wp:posOffset>
            </wp:positionV>
            <wp:extent cx="949325" cy="1371600"/>
            <wp:effectExtent l="0" t="0" r="0" b="0"/>
            <wp:wrapTight wrapText="bothSides">
              <wp:wrapPolygon edited="0">
                <wp:start x="11703" y="0"/>
                <wp:lineTo x="10403" y="300"/>
                <wp:lineTo x="8235" y="3600"/>
                <wp:lineTo x="8235" y="4800"/>
                <wp:lineTo x="0" y="14400"/>
                <wp:lineTo x="0" y="17400"/>
                <wp:lineTo x="2167" y="19200"/>
                <wp:lineTo x="2601" y="21000"/>
                <wp:lineTo x="3034" y="21300"/>
                <wp:lineTo x="7369" y="21300"/>
                <wp:lineTo x="20805" y="20100"/>
                <wp:lineTo x="21239" y="12900"/>
                <wp:lineTo x="19072" y="4800"/>
                <wp:lineTo x="20805" y="2700"/>
                <wp:lineTo x="19938" y="2100"/>
                <wp:lineTo x="13870" y="0"/>
                <wp:lineTo x="11703" y="0"/>
              </wp:wrapPolygon>
            </wp:wrapTight>
            <wp:docPr id="41" name="Picture 41" descr="cartoon 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9325" cy="1371600"/>
                    </a:xfrm>
                    <a:prstGeom prst="rect">
                      <a:avLst/>
                    </a:prstGeom>
                    <a:noFill/>
                  </pic:spPr>
                </pic:pic>
              </a:graphicData>
            </a:graphic>
            <wp14:sizeRelH relativeFrom="page">
              <wp14:pctWidth>0</wp14:pctWidth>
            </wp14:sizeRelH>
            <wp14:sizeRelV relativeFrom="page">
              <wp14:pctHeight>0</wp14:pctHeight>
            </wp14:sizeRelV>
          </wp:anchor>
        </w:drawing>
      </w:r>
      <w:r w:rsidR="00033CD2" w:rsidRPr="00033CD2">
        <w:rPr>
          <w:szCs w:val="24"/>
        </w:rPr>
        <w:t xml:space="preserve">Under section 20(1)(f) of the Catchment and Land Protection Act 1994 a landowner must take all reasonable steps to prevent the spread of, and as far as possible eradicate, established pest animal in relation to their land. This is a service that a PCO would be contracted to provide. </w:t>
      </w:r>
    </w:p>
    <w:p w:rsidR="00033CD2" w:rsidRPr="00033CD2" w:rsidRDefault="00033CD2" w:rsidP="00DF22E3">
      <w:pPr>
        <w:pStyle w:val="DHHSbody"/>
        <w:jc w:val="both"/>
        <w:rPr>
          <w:szCs w:val="24"/>
        </w:rPr>
      </w:pPr>
      <w:r w:rsidRPr="00033CD2">
        <w:rPr>
          <w:szCs w:val="24"/>
        </w:rPr>
        <w:t xml:space="preserve">If a PCO intends to control an established pest animal using pesticides to protect an area or place used for commercial or domestic purposes, the PCO will require a pest control licence with a pest animal </w:t>
      </w:r>
      <w:r w:rsidR="006D0995">
        <w:rPr>
          <w:szCs w:val="24"/>
        </w:rPr>
        <w:t>authorisation</w:t>
      </w:r>
      <w:r w:rsidRPr="00033CD2">
        <w:rPr>
          <w:szCs w:val="24"/>
        </w:rPr>
        <w:t xml:space="preserve">.  </w:t>
      </w:r>
      <w:r w:rsidR="00B812B7">
        <w:rPr>
          <w:szCs w:val="24"/>
        </w:rPr>
        <w:br/>
      </w:r>
    </w:p>
    <w:p w:rsidR="00033CD2" w:rsidRPr="00033CD2" w:rsidRDefault="00750063" w:rsidP="00DF22E3">
      <w:pPr>
        <w:pStyle w:val="DHHSbody"/>
        <w:jc w:val="both"/>
        <w:rPr>
          <w:b/>
        </w:rPr>
      </w:pPr>
      <w:r>
        <w:rPr>
          <w:b/>
          <w:noProof/>
          <w:lang w:eastAsia="en-AU"/>
        </w:rPr>
        <mc:AlternateContent>
          <mc:Choice Requires="wps">
            <w:drawing>
              <wp:anchor distT="0" distB="0" distL="114300" distR="114300" simplePos="0" relativeHeight="251670016" behindDoc="0" locked="0" layoutInCell="1" allowOverlap="1">
                <wp:simplePos x="0" y="0"/>
                <wp:positionH relativeFrom="column">
                  <wp:posOffset>344805</wp:posOffset>
                </wp:positionH>
                <wp:positionV relativeFrom="paragraph">
                  <wp:posOffset>62865</wp:posOffset>
                </wp:positionV>
                <wp:extent cx="2068830" cy="468630"/>
                <wp:effectExtent l="18415" t="10795" r="17780" b="1587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468630"/>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accent6">
                                  <a:lumMod val="60000"/>
                                  <a:lumOff val="40000"/>
                                </a:schemeClr>
                              </a:solidFill>
                            </a14:hiddenFill>
                          </a:ext>
                        </a:extLst>
                      </wps:spPr>
                      <wps:txbx>
                        <w:txbxContent>
                          <w:p w:rsidR="00033CD2" w:rsidRPr="000C16E2" w:rsidRDefault="00033CD2" w:rsidP="00814247">
                            <w:pPr>
                              <w:pStyle w:val="BodyText2"/>
                              <w:spacing w:line="240" w:lineRule="auto"/>
                              <w:jc w:val="center"/>
                              <w:rPr>
                                <w:rFonts w:ascii="Arial" w:hAnsi="Arial" w:cs="Arial"/>
                                <w:b/>
                                <w:sz w:val="16"/>
                                <w:szCs w:val="16"/>
                              </w:rPr>
                            </w:pPr>
                            <w:r w:rsidRPr="00137E4C">
                              <w:rPr>
                                <w:rFonts w:ascii="Arial" w:hAnsi="Arial" w:cs="Arial"/>
                                <w:b/>
                                <w:i/>
                                <w:sz w:val="16"/>
                                <w:szCs w:val="16"/>
                              </w:rPr>
                              <w:t>Please note:</w:t>
                            </w:r>
                            <w:r w:rsidR="000C16E2">
                              <w:rPr>
                                <w:rFonts w:ascii="Arial" w:hAnsi="Arial" w:cs="Arial"/>
                                <w:b/>
                                <w:sz w:val="16"/>
                                <w:szCs w:val="16"/>
                              </w:rPr>
                              <w:br/>
                            </w:r>
                            <w:r w:rsidRPr="000C16E2">
                              <w:rPr>
                                <w:rFonts w:ascii="Arial" w:hAnsi="Arial" w:cs="Arial"/>
                                <w:b/>
                                <w:sz w:val="16"/>
                                <w:szCs w:val="16"/>
                              </w:rPr>
                              <w:t xml:space="preserve"> Rodents are not defined </w:t>
                            </w:r>
                            <w:r w:rsidR="000C16E2">
                              <w:rPr>
                                <w:rFonts w:ascii="Arial" w:hAnsi="Arial" w:cs="Arial"/>
                                <w:b/>
                                <w:sz w:val="16"/>
                                <w:szCs w:val="16"/>
                              </w:rPr>
                              <w:br/>
                            </w:r>
                            <w:r w:rsidRPr="000C16E2">
                              <w:rPr>
                                <w:rFonts w:ascii="Arial" w:hAnsi="Arial" w:cs="Arial"/>
                                <w:b/>
                                <w:sz w:val="16"/>
                                <w:szCs w:val="16"/>
                              </w:rPr>
                              <w:t>as a pest animal.</w:t>
                            </w:r>
                          </w:p>
                          <w:p w:rsidR="00033CD2" w:rsidRPr="0064305D" w:rsidRDefault="00033CD2" w:rsidP="00033CD2">
                            <w:pPr>
                              <w:ind w:left="360"/>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27.15pt;margin-top:4.95pt;width:162.9pt;height:3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" filled="f" fillcolor="#fabf8f [1945]" strokeweight="1.5pt">
                <v:textbox>
                  <w:txbxContent>
                    <w:p w:rsidR="00033CD2" w:rsidRPr="000C16E2" w:rsidRDefault="00033CD2" w:rsidP="00814247">
                      <w:pPr>
                        <w:pStyle w:val="BodyText2"/>
                        <w:spacing w:line="240" w:lineRule="auto"/>
                        <w:jc w:val="center"/>
                        <w:rPr>
                          <w:rFonts w:ascii="Arial" w:hAnsi="Arial" w:cs="Arial"/>
                          <w:b/>
                          <w:sz w:val="16"/>
                          <w:szCs w:val="16"/>
                        </w:rPr>
                      </w:pPr>
                      <w:r w:rsidRPr="00137E4C">
                        <w:rPr>
                          <w:rFonts w:ascii="Arial" w:hAnsi="Arial" w:cs="Arial"/>
                          <w:b/>
                          <w:i/>
                          <w:sz w:val="16"/>
                          <w:szCs w:val="16"/>
                        </w:rPr>
                        <w:t>Please note:</w:t>
                      </w:r>
                      <w:r w:rsidR="000C16E2">
                        <w:rPr>
                          <w:rFonts w:ascii="Arial" w:hAnsi="Arial" w:cs="Arial"/>
                          <w:b/>
                          <w:sz w:val="16"/>
                          <w:szCs w:val="16"/>
                        </w:rPr>
                        <w:br/>
                      </w:r>
                      <w:r w:rsidRPr="000C16E2">
                        <w:rPr>
                          <w:rFonts w:ascii="Arial" w:hAnsi="Arial" w:cs="Arial"/>
                          <w:b/>
                          <w:sz w:val="16"/>
                          <w:szCs w:val="16"/>
                        </w:rPr>
                        <w:t xml:space="preserve"> Rodents are not defined </w:t>
                      </w:r>
                      <w:r w:rsidR="000C16E2">
                        <w:rPr>
                          <w:rFonts w:ascii="Arial" w:hAnsi="Arial" w:cs="Arial"/>
                          <w:b/>
                          <w:sz w:val="16"/>
                          <w:szCs w:val="16"/>
                        </w:rPr>
                        <w:br/>
                      </w:r>
                      <w:r w:rsidRPr="000C16E2">
                        <w:rPr>
                          <w:rFonts w:ascii="Arial" w:hAnsi="Arial" w:cs="Arial"/>
                          <w:b/>
                          <w:sz w:val="16"/>
                          <w:szCs w:val="16"/>
                        </w:rPr>
                        <w:t>as a pest animal.</w:t>
                      </w:r>
                    </w:p>
                    <w:p w:rsidR="00033CD2" w:rsidRPr="0064305D" w:rsidRDefault="00033CD2" w:rsidP="00033CD2">
                      <w:pPr>
                        <w:ind w:left="360"/>
                        <w:jc w:val="center"/>
                        <w:rPr>
                          <w:rFonts w:ascii="Arial" w:hAnsi="Arial" w:cs="Arial"/>
                        </w:rPr>
                      </w:pPr>
                    </w:p>
                  </w:txbxContent>
                </v:textbox>
              </v:shape>
            </w:pict>
          </mc:Fallback>
        </mc:AlternateContent>
      </w:r>
    </w:p>
    <w:p w:rsidR="00033CD2" w:rsidRPr="00033CD2" w:rsidRDefault="00033CD2" w:rsidP="00DF22E3">
      <w:pPr>
        <w:pStyle w:val="DHHSbody"/>
        <w:jc w:val="both"/>
        <w:rPr>
          <w:b/>
        </w:rPr>
      </w:pPr>
    </w:p>
    <w:p w:rsidR="00033CD2" w:rsidRPr="00033CD2" w:rsidRDefault="00033CD2" w:rsidP="00DF22E3">
      <w:pPr>
        <w:pStyle w:val="DHHSbody"/>
        <w:jc w:val="both"/>
        <w:rPr>
          <w:b/>
        </w:rPr>
      </w:pPr>
    </w:p>
    <w:p w:rsidR="00033CD2" w:rsidRPr="00033CD2" w:rsidRDefault="00033CD2" w:rsidP="00DF22E3">
      <w:pPr>
        <w:pStyle w:val="Heading1"/>
        <w:jc w:val="both"/>
        <w:rPr>
          <w:sz w:val="26"/>
          <w:szCs w:val="26"/>
        </w:rPr>
      </w:pPr>
      <w:r w:rsidRPr="00033CD2">
        <w:t xml:space="preserve">Licensing by the Department </w:t>
      </w:r>
      <w:r w:rsidR="006D0995">
        <w:t>of Environment, Land, Water and Planning</w:t>
      </w:r>
    </w:p>
    <w:p w:rsidR="00033CD2" w:rsidRPr="000C16E2" w:rsidRDefault="00033CD2" w:rsidP="00DF22E3">
      <w:pPr>
        <w:pStyle w:val="DHHSbody"/>
        <w:jc w:val="both"/>
      </w:pPr>
      <w:r w:rsidRPr="00033CD2">
        <w:t xml:space="preserve">The </w:t>
      </w:r>
      <w:r w:rsidRPr="00033CD2">
        <w:rPr>
          <w:i/>
        </w:rPr>
        <w:t>Wildlife Act</w:t>
      </w:r>
      <w:r w:rsidRPr="00033CD2">
        <w:t xml:space="preserve"> 1975 and the </w:t>
      </w:r>
      <w:r w:rsidRPr="00033CD2">
        <w:rPr>
          <w:i/>
        </w:rPr>
        <w:t>Wildlife Regulations</w:t>
      </w:r>
      <w:r w:rsidR="006D0995">
        <w:t xml:space="preserve"> 2013</w:t>
      </w:r>
      <w:r w:rsidRPr="00033CD2">
        <w:t xml:space="preserve">, administered by the </w:t>
      </w:r>
      <w:r w:rsidR="006D0995" w:rsidRPr="006D0995">
        <w:t>Department of Environment, Land, Water and Planning</w:t>
      </w:r>
      <w:r w:rsidR="006D0995">
        <w:t xml:space="preserve"> (DELWP)</w:t>
      </w:r>
      <w:r w:rsidR="006D0995" w:rsidRPr="006D0995">
        <w:t xml:space="preserve"> </w:t>
      </w:r>
      <w:r w:rsidRPr="00033CD2">
        <w:t>were established in order to protect wildlife throughout</w:t>
      </w:r>
      <w:r w:rsidRPr="00033CD2">
        <w:rPr>
          <w:color w:val="FF0000"/>
        </w:rPr>
        <w:t xml:space="preserve"> </w:t>
      </w:r>
      <w:r w:rsidRPr="00033CD2">
        <w:t xml:space="preserve">Victoria from extinction, while also making provisions for regulated possession, trade and utilisation of wildlife for private and commercial purposes through licensing.  </w:t>
      </w:r>
    </w:p>
    <w:p w:rsidR="00033CD2" w:rsidRPr="00033CD2" w:rsidRDefault="00033CD2" w:rsidP="00DF22E3">
      <w:pPr>
        <w:pStyle w:val="Heading1"/>
        <w:jc w:val="both"/>
        <w:rPr>
          <w:b/>
          <w:sz w:val="26"/>
          <w:szCs w:val="26"/>
        </w:rPr>
      </w:pPr>
      <w:r w:rsidRPr="00033CD2">
        <w:t>What is Wildlife?</w:t>
      </w:r>
      <w:r w:rsidRPr="00033CD2">
        <w:rPr>
          <w:sz w:val="19"/>
          <w:szCs w:val="26"/>
        </w:rPr>
        <w:t xml:space="preserve"> </w:t>
      </w:r>
    </w:p>
    <w:p w:rsidR="00033CD2" w:rsidRPr="00033CD2" w:rsidRDefault="00750063" w:rsidP="00DF22E3">
      <w:pPr>
        <w:pStyle w:val="DHHSbody"/>
        <w:jc w:val="both"/>
        <w:rPr>
          <w:lang w:val="en-US"/>
        </w:rPr>
      </w:pPr>
      <w:r>
        <w:rPr>
          <w:noProof/>
          <w:szCs w:val="24"/>
          <w:lang w:val="en-US"/>
        </w:rPr>
        <w:drawing>
          <wp:anchor distT="0" distB="0" distL="114300" distR="114300" simplePos="0" relativeHeight="251665920" behindDoc="0" locked="0" layoutInCell="1" allowOverlap="1">
            <wp:simplePos x="0" y="0"/>
            <wp:positionH relativeFrom="column">
              <wp:posOffset>1637030</wp:posOffset>
            </wp:positionH>
            <wp:positionV relativeFrom="paragraph">
              <wp:posOffset>234950</wp:posOffset>
            </wp:positionV>
            <wp:extent cx="1371600" cy="1022350"/>
            <wp:effectExtent l="0" t="0" r="0" b="0"/>
            <wp:wrapTight wrapText="bothSides">
              <wp:wrapPolygon edited="0">
                <wp:start x="9000" y="0"/>
                <wp:lineTo x="5700" y="402"/>
                <wp:lineTo x="0" y="4427"/>
                <wp:lineTo x="0" y="10465"/>
                <wp:lineTo x="300" y="12880"/>
                <wp:lineTo x="3900" y="19319"/>
                <wp:lineTo x="5100" y="20929"/>
                <wp:lineTo x="5700" y="21332"/>
                <wp:lineTo x="8700" y="21332"/>
                <wp:lineTo x="16500" y="19722"/>
                <wp:lineTo x="20100" y="12880"/>
                <wp:lineTo x="21300" y="8452"/>
                <wp:lineTo x="21300" y="4025"/>
                <wp:lineTo x="17100" y="402"/>
                <wp:lineTo x="14100" y="0"/>
                <wp:lineTo x="9000" y="0"/>
              </wp:wrapPolygon>
            </wp:wrapTight>
            <wp:docPr id="38" name="Picture 38" descr="cartoon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022350"/>
                    </a:xfrm>
                    <a:prstGeom prst="rect">
                      <a:avLst/>
                    </a:prstGeom>
                    <a:noFill/>
                  </pic:spPr>
                </pic:pic>
              </a:graphicData>
            </a:graphic>
            <wp14:sizeRelH relativeFrom="page">
              <wp14:pctWidth>0</wp14:pctWidth>
            </wp14:sizeRelH>
            <wp14:sizeRelV relativeFrom="page">
              <wp14:pctHeight>0</wp14:pctHeight>
            </wp14:sizeRelV>
          </wp:anchor>
        </w:drawing>
      </w:r>
      <w:r w:rsidR="00033CD2" w:rsidRPr="00033CD2">
        <w:rPr>
          <w:sz w:val="19"/>
          <w:szCs w:val="24"/>
          <w:lang w:val="en-US"/>
        </w:rPr>
        <w:t>“</w:t>
      </w:r>
      <w:r w:rsidR="00033CD2" w:rsidRPr="00033CD2">
        <w:rPr>
          <w:lang w:val="en-US"/>
        </w:rPr>
        <w:t xml:space="preserve">Wildlife”, as defined under the </w:t>
      </w:r>
      <w:r w:rsidR="00033CD2" w:rsidRPr="00033CD2">
        <w:rPr>
          <w:i/>
          <w:lang w:val="en-US"/>
        </w:rPr>
        <w:t>Wildlife Act</w:t>
      </w:r>
      <w:r w:rsidR="00033CD2" w:rsidRPr="00033CD2">
        <w:rPr>
          <w:lang w:val="en-US"/>
        </w:rPr>
        <w:t xml:space="preserve"> 1975, includes:</w:t>
      </w:r>
    </w:p>
    <w:p w:rsidR="00033CD2" w:rsidRPr="00033CD2" w:rsidRDefault="00033CD2" w:rsidP="005A654E">
      <w:pPr>
        <w:pStyle w:val="DHHSbullet1"/>
        <w:rPr>
          <w:lang w:val="en-US"/>
        </w:rPr>
      </w:pPr>
      <w:r w:rsidRPr="00033CD2">
        <w:rPr>
          <w:lang w:val="en-US"/>
        </w:rPr>
        <w:t>any animal of a vertebrate taxon which is indigenous to Australia;</w:t>
      </w:r>
    </w:p>
    <w:p w:rsidR="00033CD2" w:rsidRPr="00033CD2" w:rsidRDefault="00033CD2" w:rsidP="005A654E">
      <w:pPr>
        <w:pStyle w:val="DHHSbullet1"/>
        <w:rPr>
          <w:lang w:val="en-US"/>
        </w:rPr>
      </w:pPr>
      <w:r w:rsidRPr="00033CD2">
        <w:rPr>
          <w:lang w:val="en-US"/>
        </w:rPr>
        <w:t xml:space="preserve">all kinds of deer, non-indigenous quail, pheasants, and partridges; </w:t>
      </w:r>
    </w:p>
    <w:p w:rsidR="0094390E" w:rsidRDefault="0094390E" w:rsidP="005A654E">
      <w:pPr>
        <w:pStyle w:val="DHHSbullet1"/>
        <w:rPr>
          <w:lang w:val="en-US"/>
        </w:rPr>
      </w:pPr>
    </w:p>
    <w:p w:rsidR="0094390E" w:rsidRDefault="0094390E" w:rsidP="0094390E">
      <w:pPr>
        <w:pStyle w:val="DHHSbullet1"/>
        <w:numPr>
          <w:ilvl w:val="0"/>
          <w:numId w:val="0"/>
        </w:numPr>
        <w:rPr>
          <w:lang w:val="en-US"/>
        </w:rPr>
      </w:pPr>
    </w:p>
    <w:p w:rsidR="00033CD2" w:rsidRPr="00033CD2" w:rsidRDefault="00033CD2" w:rsidP="005A654E">
      <w:pPr>
        <w:pStyle w:val="DHHSbullet1"/>
        <w:rPr>
          <w:lang w:val="en-US"/>
        </w:rPr>
      </w:pPr>
      <w:r w:rsidRPr="00033CD2">
        <w:rPr>
          <w:lang w:val="en-US"/>
        </w:rPr>
        <w:t xml:space="preserve">any taxon of animal which the Governor in Council declares to be wildlife for the purposes of the </w:t>
      </w:r>
      <w:r w:rsidRPr="00033CD2">
        <w:rPr>
          <w:i/>
          <w:lang w:val="en-US"/>
        </w:rPr>
        <w:t>Wildlife Act</w:t>
      </w:r>
      <w:r w:rsidRPr="00033CD2">
        <w:rPr>
          <w:lang w:val="en-US"/>
        </w:rPr>
        <w:t xml:space="preserve"> 1975;</w:t>
      </w:r>
    </w:p>
    <w:p w:rsidR="00033CD2" w:rsidRPr="00033CD2" w:rsidRDefault="00033CD2" w:rsidP="005A654E">
      <w:pPr>
        <w:pStyle w:val="DHHSbullet1"/>
        <w:rPr>
          <w:lang w:val="en-US"/>
        </w:rPr>
      </w:pPr>
      <w:r w:rsidRPr="00033CD2">
        <w:rPr>
          <w:lang w:val="en-US"/>
        </w:rPr>
        <w:t xml:space="preserve">any taxon of terrestrial invertebrate animal which is listed under the </w:t>
      </w:r>
      <w:r w:rsidRPr="00033CD2">
        <w:rPr>
          <w:i/>
          <w:lang w:val="en-US"/>
        </w:rPr>
        <w:t>Flora and Fauna Guarantee Act</w:t>
      </w:r>
      <w:r w:rsidRPr="00033CD2">
        <w:rPr>
          <w:lang w:val="en-US"/>
        </w:rPr>
        <w:t xml:space="preserve"> 1988;</w:t>
      </w:r>
    </w:p>
    <w:p w:rsidR="00033CD2" w:rsidRPr="00033CD2" w:rsidRDefault="00033CD2" w:rsidP="005A654E">
      <w:pPr>
        <w:pStyle w:val="DHHSbullet1"/>
        <w:rPr>
          <w:lang w:val="en-US"/>
        </w:rPr>
      </w:pPr>
      <w:r w:rsidRPr="00033CD2">
        <w:rPr>
          <w:lang w:val="en-US"/>
        </w:rPr>
        <w:t>any hybrids of a taxon of animal specified above; and</w:t>
      </w:r>
    </w:p>
    <w:p w:rsidR="00033CD2" w:rsidRPr="00033CD2" w:rsidRDefault="00033CD2" w:rsidP="005A654E">
      <w:pPr>
        <w:pStyle w:val="DHHSbullet1"/>
        <w:rPr>
          <w:lang w:val="en-US"/>
        </w:rPr>
      </w:pPr>
      <w:r w:rsidRPr="00033CD2">
        <w:rPr>
          <w:lang w:val="en-US"/>
        </w:rPr>
        <w:t xml:space="preserve">includes any such animal or any member of a </w:t>
      </w:r>
      <w:proofErr w:type="spellStart"/>
      <w:r w:rsidRPr="00033CD2">
        <w:rPr>
          <w:lang w:val="en-US"/>
        </w:rPr>
        <w:t>taxon</w:t>
      </w:r>
      <w:proofErr w:type="spellEnd"/>
      <w:r w:rsidRPr="00033CD2">
        <w:rPr>
          <w:lang w:val="en-US"/>
        </w:rPr>
        <w:t xml:space="preserve"> which is bred or kept in captivity or confinement. </w:t>
      </w:r>
    </w:p>
    <w:p w:rsidR="00033CD2" w:rsidRPr="00033CD2" w:rsidRDefault="00033CD2" w:rsidP="00DF22E3">
      <w:pPr>
        <w:pStyle w:val="DHHSbody"/>
        <w:jc w:val="both"/>
      </w:pPr>
      <w:r w:rsidRPr="00033CD2">
        <w:t xml:space="preserve">The term “wildlife” refers to wildlife in </w:t>
      </w:r>
      <w:r w:rsidRPr="00033CD2">
        <w:rPr>
          <w:b/>
        </w:rPr>
        <w:t>any</w:t>
      </w:r>
      <w:r w:rsidRPr="00033CD2">
        <w:t xml:space="preserve"> form whether dead or alive and includes any individual part of an animal.</w:t>
      </w:r>
    </w:p>
    <w:p w:rsidR="00033CD2" w:rsidRPr="00033CD2" w:rsidRDefault="00033CD2" w:rsidP="00DF22E3">
      <w:pPr>
        <w:pStyle w:val="DHHSbody"/>
        <w:jc w:val="both"/>
        <w:rPr>
          <w:sz w:val="19"/>
          <w:szCs w:val="24"/>
        </w:rPr>
      </w:pPr>
      <w:r w:rsidRPr="00033CD2">
        <w:t xml:space="preserve">All wildlife is protected under the </w:t>
      </w:r>
      <w:r w:rsidRPr="00033CD2">
        <w:rPr>
          <w:i/>
        </w:rPr>
        <w:t>Wildlife Act</w:t>
      </w:r>
      <w:r w:rsidRPr="00033CD2">
        <w:t xml:space="preserve"> 1975. However, there are some circumstances in which wildlife may be declared to be unprotected.</w:t>
      </w:r>
    </w:p>
    <w:p w:rsidR="00033CD2" w:rsidRPr="00033CD2" w:rsidRDefault="00033CD2" w:rsidP="00DF22E3">
      <w:pPr>
        <w:pStyle w:val="DHHSbody"/>
        <w:jc w:val="both"/>
        <w:rPr>
          <w:sz w:val="18"/>
          <w:szCs w:val="24"/>
        </w:rPr>
      </w:pPr>
    </w:p>
    <w:p w:rsidR="00033CD2" w:rsidRPr="00033CD2" w:rsidRDefault="00033CD2" w:rsidP="00DF22E3">
      <w:pPr>
        <w:pStyle w:val="DHHSbody"/>
        <w:jc w:val="both"/>
        <w:rPr>
          <w:b/>
          <w:bCs/>
          <w:sz w:val="26"/>
          <w:szCs w:val="26"/>
        </w:rPr>
      </w:pPr>
      <w:r w:rsidRPr="00862CDE">
        <w:rPr>
          <w:rStyle w:val="Heading2Char"/>
        </w:rPr>
        <w:t>Wildlife Licences</w:t>
      </w:r>
    </w:p>
    <w:p w:rsidR="00033CD2" w:rsidRPr="00033CD2" w:rsidRDefault="00033CD2" w:rsidP="00DF22E3">
      <w:pPr>
        <w:pStyle w:val="DHHSbody"/>
        <w:jc w:val="both"/>
      </w:pPr>
      <w:r w:rsidRPr="00033CD2">
        <w:t xml:space="preserve">Under Part VII of the </w:t>
      </w:r>
      <w:r w:rsidRPr="00033CD2">
        <w:rPr>
          <w:i/>
        </w:rPr>
        <w:t>Wildlife Act</w:t>
      </w:r>
      <w:r w:rsidRPr="00033CD2">
        <w:t xml:space="preserve"> 1975 it is an offence to hunt, take, destroy, buy, sell, acquire, receive, dispose of, keep, possess, control, breed, process, display, swap, keep, trade, kill, release,</w:t>
      </w:r>
      <w:r w:rsidRPr="00033CD2">
        <w:rPr>
          <w:color w:val="FF0000"/>
        </w:rPr>
        <w:t xml:space="preserve"> </w:t>
      </w:r>
      <w:r w:rsidRPr="00033CD2">
        <w:t xml:space="preserve">take samples from or experiment on wildlife without prior written approval from the Secretary to the </w:t>
      </w:r>
      <w:r w:rsidR="00F74038" w:rsidRPr="006D0995">
        <w:t>Department of Environment, Land, Water and Planning</w:t>
      </w:r>
      <w:r w:rsidR="00F74038">
        <w:t>.</w:t>
      </w:r>
      <w:r w:rsidR="00F74038" w:rsidRPr="00033CD2">
        <w:t xml:space="preserve"> </w:t>
      </w:r>
      <w:r w:rsidRPr="00033CD2">
        <w:t xml:space="preserve">This is usually in the form of a Wildlife </w:t>
      </w:r>
      <w:r w:rsidR="00F74038">
        <w:t xml:space="preserve">Controller </w:t>
      </w:r>
      <w:r w:rsidRPr="00033CD2">
        <w:t xml:space="preserve">Licence or an Authority To Control Wildlife (ATCW). </w:t>
      </w:r>
    </w:p>
    <w:p w:rsidR="00033CD2" w:rsidRPr="00033CD2" w:rsidRDefault="007B1987" w:rsidP="00DF22E3">
      <w:pPr>
        <w:pStyle w:val="DHHSbody"/>
        <w:jc w:val="both"/>
      </w:pPr>
      <w:r>
        <w:t>DELWP</w:t>
      </w:r>
      <w:r w:rsidR="00033CD2" w:rsidRPr="00033CD2">
        <w:t xml:space="preserve"> may issue licences under Section 22(1) of the </w:t>
      </w:r>
      <w:r w:rsidR="00033CD2" w:rsidRPr="00033CD2">
        <w:rPr>
          <w:i/>
        </w:rPr>
        <w:t>Wildlife Act</w:t>
      </w:r>
      <w:r w:rsidR="00F74038">
        <w:t xml:space="preserve"> 1975 in any of the 12</w:t>
      </w:r>
      <w:r w:rsidR="00033CD2" w:rsidRPr="00033CD2">
        <w:t xml:space="preserve"> categories prescribed in the </w:t>
      </w:r>
      <w:r w:rsidR="00033CD2" w:rsidRPr="00033CD2">
        <w:rPr>
          <w:i/>
        </w:rPr>
        <w:t>Wildlife Regulations</w:t>
      </w:r>
      <w:r w:rsidR="00F74038">
        <w:t xml:space="preserve"> 2013</w:t>
      </w:r>
      <w:r w:rsidR="00033CD2" w:rsidRPr="00033CD2">
        <w:t xml:space="preserve">. Each category makes provisions for the lawful undertaking of different activities involving wildlife. </w:t>
      </w:r>
    </w:p>
    <w:p w:rsidR="00033CD2" w:rsidRPr="00033CD2" w:rsidRDefault="00033CD2" w:rsidP="00DF22E3">
      <w:pPr>
        <w:pStyle w:val="DHHSbody"/>
        <w:jc w:val="both"/>
      </w:pPr>
      <w:r w:rsidRPr="00033CD2">
        <w:t xml:space="preserve">If you are participating in any other activities involving wildlife, such as production, display or taxidermy, please contact the </w:t>
      </w:r>
      <w:r w:rsidR="00F74038">
        <w:t>DELWP</w:t>
      </w:r>
      <w:r w:rsidRPr="00033CD2">
        <w:t xml:space="preserve"> for licensing details. </w:t>
      </w:r>
    </w:p>
    <w:p w:rsidR="00033CD2" w:rsidRPr="00033CD2" w:rsidRDefault="00033CD2" w:rsidP="00DF22E3">
      <w:pPr>
        <w:pStyle w:val="Heading2"/>
        <w:jc w:val="both"/>
        <w:rPr>
          <w:bCs/>
          <w:sz w:val="26"/>
          <w:szCs w:val="26"/>
        </w:rPr>
      </w:pPr>
      <w:r w:rsidRPr="00033CD2">
        <w:rPr>
          <w:rFonts w:eastAsia="MS Mincho"/>
        </w:rPr>
        <w:t>Wildlife Controller Licence</w:t>
      </w:r>
    </w:p>
    <w:p w:rsidR="00DF22E3" w:rsidRDefault="007B1987" w:rsidP="00DF22E3">
      <w:pPr>
        <w:pStyle w:val="DHHSbody"/>
        <w:jc w:val="both"/>
        <w:rPr>
          <w:i/>
          <w:sz w:val="19"/>
          <w:szCs w:val="24"/>
        </w:rPr>
      </w:pPr>
      <w:r w:rsidRPr="007B1987">
        <w:t>A Wildlife Controller Licence authorises the licence holder to take any wildlife listed in Schedule 6</w:t>
      </w:r>
      <w:r>
        <w:t xml:space="preserve"> of the Wildlife Regulations 2013</w:t>
      </w:r>
      <w:r w:rsidRPr="007B1987">
        <w:t xml:space="preserve"> and specified in the licence from the wild and to destroy, dispose of or sell the wildlife, in circumstances where the wildlife is damaging property or is a danger to persons.</w:t>
      </w:r>
      <w:r>
        <w:rPr>
          <w:i/>
          <w:sz w:val="19"/>
          <w:szCs w:val="24"/>
        </w:rPr>
        <w:t xml:space="preserve"> </w:t>
      </w:r>
    </w:p>
    <w:p w:rsidR="00A12705" w:rsidRDefault="000C16E2" w:rsidP="00DF22E3">
      <w:pPr>
        <w:pStyle w:val="DHHSbody"/>
        <w:jc w:val="both"/>
        <w:rPr>
          <w:rStyle w:val="Heading2Char"/>
        </w:rPr>
      </w:pPr>
      <w:r>
        <w:br/>
      </w:r>
    </w:p>
    <w:p w:rsidR="00A12705" w:rsidRDefault="00A12705" w:rsidP="00DF22E3">
      <w:pPr>
        <w:pStyle w:val="DHHSbody"/>
        <w:jc w:val="both"/>
        <w:rPr>
          <w:rStyle w:val="Heading2Char"/>
        </w:rPr>
      </w:pPr>
    </w:p>
    <w:p w:rsidR="00033CD2" w:rsidRPr="007B1987" w:rsidRDefault="00033CD2" w:rsidP="00DF22E3">
      <w:pPr>
        <w:pStyle w:val="DHHSbody"/>
        <w:jc w:val="both"/>
        <w:rPr>
          <w:i/>
          <w:sz w:val="19"/>
          <w:szCs w:val="24"/>
        </w:rPr>
      </w:pPr>
      <w:r w:rsidRPr="007B1987">
        <w:rPr>
          <w:rStyle w:val="Heading2Char"/>
        </w:rPr>
        <w:lastRenderedPageBreak/>
        <w:t>Conditions</w:t>
      </w:r>
    </w:p>
    <w:p w:rsidR="00033CD2" w:rsidRPr="00033CD2" w:rsidRDefault="00BC3BD5" w:rsidP="00DF22E3">
      <w:pPr>
        <w:pStyle w:val="DHHSbody"/>
        <w:jc w:val="both"/>
      </w:pPr>
      <w:r>
        <w:t>Wildlife Controller Licences are</w:t>
      </w:r>
      <w:r w:rsidR="00033CD2" w:rsidRPr="00033CD2">
        <w:t xml:space="preserve"> subject to a number of conditions. These conditions specify:</w:t>
      </w:r>
    </w:p>
    <w:p w:rsidR="00033CD2" w:rsidRPr="00033CD2" w:rsidRDefault="00750063" w:rsidP="005A654E">
      <w:pPr>
        <w:pStyle w:val="DHHSbullet1"/>
      </w:pPr>
      <w:r>
        <w:rPr>
          <w:noProof/>
          <w:lang w:val="en-US"/>
        </w:rPr>
        <w:drawing>
          <wp:anchor distT="0" distB="0" distL="114300" distR="114300" simplePos="0" relativeHeight="251666944" behindDoc="0" locked="0" layoutInCell="1" allowOverlap="1">
            <wp:simplePos x="0" y="0"/>
            <wp:positionH relativeFrom="column">
              <wp:posOffset>1953895</wp:posOffset>
            </wp:positionH>
            <wp:positionV relativeFrom="paragraph">
              <wp:posOffset>103505</wp:posOffset>
            </wp:positionV>
            <wp:extent cx="1114425" cy="857250"/>
            <wp:effectExtent l="0" t="0" r="0" b="0"/>
            <wp:wrapTight wrapText="bothSides">
              <wp:wrapPolygon edited="0">
                <wp:start x="369" y="0"/>
                <wp:lineTo x="0" y="9600"/>
                <wp:lineTo x="0" y="11520"/>
                <wp:lineTo x="369" y="17280"/>
                <wp:lineTo x="4800" y="21120"/>
                <wp:lineTo x="6277" y="21120"/>
                <wp:lineTo x="9969" y="21120"/>
                <wp:lineTo x="12923" y="21120"/>
                <wp:lineTo x="21046" y="17280"/>
                <wp:lineTo x="21415" y="4320"/>
                <wp:lineTo x="13662" y="960"/>
                <wp:lineTo x="2954" y="0"/>
                <wp:lineTo x="369" y="0"/>
              </wp:wrapPolygon>
            </wp:wrapTight>
            <wp:docPr id="39" name="Picture 39" descr="animal transport enclo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4425" cy="857250"/>
                    </a:xfrm>
                    <a:prstGeom prst="rect">
                      <a:avLst/>
                    </a:prstGeom>
                    <a:noFill/>
                  </pic:spPr>
                </pic:pic>
              </a:graphicData>
            </a:graphic>
            <wp14:sizeRelH relativeFrom="page">
              <wp14:pctWidth>0</wp14:pctWidth>
            </wp14:sizeRelH>
            <wp14:sizeRelV relativeFrom="page">
              <wp14:pctHeight>0</wp14:pctHeight>
            </wp14:sizeRelV>
          </wp:anchor>
        </w:drawing>
      </w:r>
      <w:r w:rsidR="00033CD2" w:rsidRPr="00033CD2">
        <w:t xml:space="preserve">the taxa which may be controlled; </w:t>
      </w:r>
    </w:p>
    <w:p w:rsidR="00033CD2" w:rsidRPr="00033CD2" w:rsidRDefault="00033CD2" w:rsidP="005A654E">
      <w:pPr>
        <w:pStyle w:val="DHHSbullet1"/>
      </w:pPr>
      <w:r w:rsidRPr="00033CD2">
        <w:t xml:space="preserve">the methods which may be used; and </w:t>
      </w:r>
    </w:p>
    <w:p w:rsidR="00033CD2" w:rsidRPr="00033CD2" w:rsidRDefault="00033CD2" w:rsidP="005A654E">
      <w:pPr>
        <w:pStyle w:val="DHHSbullet1"/>
      </w:pPr>
      <w:r w:rsidRPr="00033CD2">
        <w:t>the transportation and release or disposal of captured wildlife.</w:t>
      </w:r>
    </w:p>
    <w:p w:rsidR="00033CD2" w:rsidRPr="00033CD2" w:rsidRDefault="00033CD2" w:rsidP="005A654E">
      <w:pPr>
        <w:pStyle w:val="DHHSbullet1"/>
      </w:pPr>
      <w:r w:rsidRPr="00033CD2">
        <w:t>In addition to this the licence holder must also:</w:t>
      </w:r>
    </w:p>
    <w:p w:rsidR="00033CD2" w:rsidRPr="00033CD2" w:rsidRDefault="00033CD2" w:rsidP="005A654E">
      <w:pPr>
        <w:pStyle w:val="DHHSbullet1"/>
      </w:pPr>
      <w:r w:rsidRPr="00033CD2">
        <w:t xml:space="preserve">allow inspection of the licensed premises, (other than a private dwelling, where a warrant is required), by an authorised officer; </w:t>
      </w:r>
    </w:p>
    <w:p w:rsidR="00033CD2" w:rsidRPr="00033CD2" w:rsidRDefault="00033CD2" w:rsidP="005A654E">
      <w:pPr>
        <w:pStyle w:val="DHHSbullet1"/>
      </w:pPr>
      <w:r w:rsidRPr="00033CD2">
        <w:t xml:space="preserve">maintain complete, accurate, legible, records and submit returns (a summary of wildlife transactions) annually; and  </w:t>
      </w:r>
    </w:p>
    <w:p w:rsidR="00033CD2" w:rsidRPr="00033CD2" w:rsidRDefault="00033CD2" w:rsidP="005A654E">
      <w:pPr>
        <w:pStyle w:val="DHHSbullet1"/>
      </w:pPr>
      <w:r w:rsidRPr="00033CD2">
        <w:t xml:space="preserve">only operate on lands with the consent of the landowner or land manager. </w:t>
      </w:r>
      <w:r w:rsidR="005A654E">
        <w:br/>
      </w:r>
    </w:p>
    <w:p w:rsidR="00033CD2" w:rsidRPr="00033CD2" w:rsidRDefault="00033CD2" w:rsidP="00814247">
      <w:pPr>
        <w:pStyle w:val="DHHSbody"/>
      </w:pPr>
      <w:r w:rsidRPr="00814247">
        <w:t xml:space="preserve">A </w:t>
      </w:r>
      <w:r w:rsidR="00DB6AC0" w:rsidRPr="00814247">
        <w:t>licensed wildlife controller</w:t>
      </w:r>
      <w:r w:rsidRPr="00814247">
        <w:t xml:space="preserve"> may control </w:t>
      </w:r>
      <w:r w:rsidR="00814247">
        <w:t xml:space="preserve">the </w:t>
      </w:r>
      <w:r w:rsidR="00814247" w:rsidRPr="00814247">
        <w:t>Sulphur-cres</w:t>
      </w:r>
      <w:r w:rsidR="00814247">
        <w:t xml:space="preserve">ted Cockatoo, </w:t>
      </w:r>
      <w:r w:rsidR="00814247" w:rsidRPr="00814247">
        <w:t xml:space="preserve">Long-billed Corella </w:t>
      </w:r>
      <w:r w:rsidR="00814247">
        <w:t xml:space="preserve">and Galah; </w:t>
      </w:r>
      <w:r w:rsidR="00814247" w:rsidRPr="00814247">
        <w:t>Common Brushtail P</w:t>
      </w:r>
      <w:r w:rsidR="00814247">
        <w:t xml:space="preserve">ossum; </w:t>
      </w:r>
      <w:r w:rsidR="00814247" w:rsidRPr="00814247">
        <w:t>Common Wombat</w:t>
      </w:r>
      <w:r w:rsidR="00814247">
        <w:t>;</w:t>
      </w:r>
      <w:r w:rsidR="00814247" w:rsidRPr="00814247">
        <w:t xml:space="preserve"> and all indigenous reptiles without an ATCW</w:t>
      </w:r>
      <w:r w:rsidR="00DB6AC0" w:rsidRPr="00814247">
        <w:t>.</w:t>
      </w:r>
      <w:r w:rsidR="00DB6AC0">
        <w:t xml:space="preserve"> </w:t>
      </w:r>
      <w:r w:rsidR="00DB6AC0" w:rsidRPr="00DB6AC0">
        <w:t>It is a requirement under Regulation 64 of the Wildlife Regulations 2013 that a royalty of $5.00 be paid (plus $0.50 GST) by the licence holder for each bird taken from the wild under a Wildlife Controller Licence.  This royalty is collected through the purchase of parrot rings from the Department of Environment, Land, Water and Planning.</w:t>
      </w:r>
    </w:p>
    <w:p w:rsidR="00BC3BD5" w:rsidRDefault="00750063" w:rsidP="00DF22E3">
      <w:pPr>
        <w:pStyle w:val="DHHSbody"/>
        <w:jc w:val="both"/>
      </w:pPr>
      <w:r>
        <w:rPr>
          <w:rStyle w:val="Heading2Char"/>
          <w:noProof/>
        </w:rPr>
        <w:drawing>
          <wp:anchor distT="0" distB="0" distL="114300" distR="114300" simplePos="0" relativeHeight="251667968" behindDoc="0" locked="0" layoutInCell="1" allowOverlap="1">
            <wp:simplePos x="0" y="0"/>
            <wp:positionH relativeFrom="column">
              <wp:posOffset>2074545</wp:posOffset>
            </wp:positionH>
            <wp:positionV relativeFrom="paragraph">
              <wp:posOffset>1676400</wp:posOffset>
            </wp:positionV>
            <wp:extent cx="1143000" cy="837565"/>
            <wp:effectExtent l="0" t="0" r="0" b="0"/>
            <wp:wrapTight wrapText="bothSides">
              <wp:wrapPolygon edited="0">
                <wp:start x="0" y="0"/>
                <wp:lineTo x="0" y="3439"/>
                <wp:lineTo x="2880" y="8352"/>
                <wp:lineTo x="5040" y="16212"/>
                <wp:lineTo x="5040" y="17195"/>
                <wp:lineTo x="11520" y="20634"/>
                <wp:lineTo x="13320" y="21125"/>
                <wp:lineTo x="18360" y="21125"/>
                <wp:lineTo x="20880" y="10317"/>
                <wp:lineTo x="20520" y="7861"/>
                <wp:lineTo x="2520" y="0"/>
                <wp:lineTo x="0" y="0"/>
              </wp:wrapPolygon>
            </wp:wrapTight>
            <wp:docPr id="40" name="Picture 40" descr="drawing of a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837565"/>
                    </a:xfrm>
                    <a:prstGeom prst="rect">
                      <a:avLst/>
                    </a:prstGeom>
                    <a:noFill/>
                  </pic:spPr>
                </pic:pic>
              </a:graphicData>
            </a:graphic>
            <wp14:sizeRelH relativeFrom="page">
              <wp14:pctWidth>0</wp14:pctWidth>
            </wp14:sizeRelH>
            <wp14:sizeRelV relativeFrom="page">
              <wp14:pctHeight>0</wp14:pctHeight>
            </wp14:sizeRelV>
          </wp:anchor>
        </w:drawing>
      </w:r>
      <w:r w:rsidR="00033CD2" w:rsidRPr="00033CD2">
        <w:t xml:space="preserve">It is an offence against the </w:t>
      </w:r>
      <w:r w:rsidR="00033CD2" w:rsidRPr="00033CD2">
        <w:rPr>
          <w:i/>
        </w:rPr>
        <w:t>Wildlife Act</w:t>
      </w:r>
      <w:r w:rsidR="00033CD2" w:rsidRPr="00033CD2">
        <w:t xml:space="preserve"> 1975 to fail to comply with any of the conditions placed upon a Wildlife</w:t>
      </w:r>
      <w:r w:rsidR="00DB6AC0">
        <w:t xml:space="preserve"> Controller</w:t>
      </w:r>
      <w:r w:rsidR="00033CD2" w:rsidRPr="00033CD2">
        <w:t xml:space="preserve"> Licence, or ATCW, or to act outside the entitlements granted by the licence or ATCW. A Wildlife</w:t>
      </w:r>
      <w:r w:rsidR="004160AB">
        <w:t xml:space="preserve"> Controller</w:t>
      </w:r>
      <w:r w:rsidR="00033CD2" w:rsidRPr="00033CD2">
        <w:t xml:space="preserve"> Licence or ATCW may be suspended or cancelled if the licence holder is found to be guilty of an offence against the </w:t>
      </w:r>
      <w:r w:rsidR="00033CD2" w:rsidRPr="00033CD2">
        <w:rPr>
          <w:i/>
        </w:rPr>
        <w:t>Wildlife Act</w:t>
      </w:r>
      <w:r w:rsidR="00033CD2" w:rsidRPr="00033CD2">
        <w:t xml:space="preserve"> 1975 or has breached a condition of licence. </w:t>
      </w:r>
    </w:p>
    <w:p w:rsidR="00033CD2" w:rsidRPr="00DB6AC0" w:rsidRDefault="00DB6AC0" w:rsidP="00DF22E3">
      <w:pPr>
        <w:pStyle w:val="DHHSbody"/>
        <w:jc w:val="both"/>
      </w:pPr>
      <w:r>
        <w:br/>
      </w:r>
      <w:r w:rsidR="00033CD2" w:rsidRPr="00DB6AC0">
        <w:rPr>
          <w:rStyle w:val="Heading2Char"/>
        </w:rPr>
        <w:t>Licence Application</w:t>
      </w:r>
    </w:p>
    <w:p w:rsidR="00033CD2" w:rsidRPr="003C5D06" w:rsidRDefault="00033CD2" w:rsidP="00DF22E3">
      <w:pPr>
        <w:pStyle w:val="DHHSbody"/>
        <w:jc w:val="both"/>
      </w:pPr>
      <w:r w:rsidRPr="00033CD2">
        <w:t xml:space="preserve">To obtain a licence to control wildlife, an applicant must complete the appropriate form </w:t>
      </w:r>
      <w:r w:rsidR="003C5D06">
        <w:t xml:space="preserve">with proof of identity </w:t>
      </w:r>
      <w:r w:rsidRPr="00033CD2">
        <w:t xml:space="preserve">and return it to the </w:t>
      </w:r>
      <w:r w:rsidR="003C5D06">
        <w:t>DELWP</w:t>
      </w:r>
      <w:r w:rsidRPr="00033CD2">
        <w:t xml:space="preserve">. Applicants </w:t>
      </w:r>
      <w:r w:rsidR="003C5D06">
        <w:t>may be</w:t>
      </w:r>
      <w:r w:rsidRPr="00033CD2">
        <w:t xml:space="preserve"> subject</w:t>
      </w:r>
      <w:r w:rsidR="003C5D06">
        <w:t xml:space="preserve">ed to an </w:t>
      </w:r>
      <w:r w:rsidRPr="00033CD2">
        <w:t>interview with an authorised officer, which may also involve an inspection of the proposed licensed premises. If accepted, the applicant will be invoiced for</w:t>
      </w:r>
      <w:r w:rsidR="005A654E">
        <w:t xml:space="preserve"> payment of the prescribed fee. </w:t>
      </w:r>
      <w:r w:rsidR="005A654E" w:rsidRPr="005A654E">
        <w:t xml:space="preserve">The fees for </w:t>
      </w:r>
      <w:r w:rsidR="005A654E" w:rsidRPr="005A654E">
        <w:t xml:space="preserve">a </w:t>
      </w:r>
      <w:r w:rsidR="005A654E">
        <w:t>wildlife controller licence</w:t>
      </w:r>
      <w:r w:rsidR="005A654E" w:rsidRPr="005A654E">
        <w:t xml:space="preserve"> increase each financial year in line with the Reserve Bank’s Consumer Price Index. As a result, new fees come into effect annually on 1 July. Current fee information is available on the DEWLP website at: https://www.wildlife.vic.gov.au/keeping-and-trading-wildlife/commercial-wildlife-licences</w:t>
      </w:r>
    </w:p>
    <w:p w:rsidR="00033CD2" w:rsidRPr="00033CD2" w:rsidRDefault="00033CD2" w:rsidP="00DF22E3">
      <w:pPr>
        <w:pStyle w:val="Heading2"/>
        <w:jc w:val="both"/>
        <w:rPr>
          <w:bCs/>
          <w:sz w:val="26"/>
          <w:szCs w:val="26"/>
        </w:rPr>
      </w:pPr>
      <w:r w:rsidRPr="00033CD2">
        <w:t>Authority to Control Wildlife (ATCW)</w:t>
      </w:r>
    </w:p>
    <w:p w:rsidR="00033CD2" w:rsidRPr="00033CD2" w:rsidRDefault="00033CD2" w:rsidP="00DF22E3">
      <w:pPr>
        <w:pStyle w:val="DHHSbody"/>
        <w:jc w:val="both"/>
        <w:rPr>
          <w:lang w:val="en-US"/>
        </w:rPr>
      </w:pPr>
      <w:r w:rsidRPr="00033CD2">
        <w:t xml:space="preserve">Written authorisations are also issued by the </w:t>
      </w:r>
      <w:r w:rsidR="00BC3BD5">
        <w:t xml:space="preserve">DELWP </w:t>
      </w:r>
      <w:r w:rsidRPr="00033CD2">
        <w:t xml:space="preserve">under section 28(A) of the </w:t>
      </w:r>
      <w:r w:rsidRPr="00033CD2">
        <w:rPr>
          <w:i/>
        </w:rPr>
        <w:t>Wildlife Act</w:t>
      </w:r>
      <w:r w:rsidRPr="00033CD2">
        <w:t xml:space="preserve"> 1975, allowing an individual to partake in activities involving wildlife, including destruction and disposal, provided that the </w:t>
      </w:r>
      <w:r w:rsidR="00BC3BD5">
        <w:t>DELWP</w:t>
      </w:r>
      <w:r w:rsidRPr="00033CD2">
        <w:t xml:space="preserve"> is satisfied that the authorisation is necessary. Circumstances under which an authorisation may be necessary include: </w:t>
      </w:r>
    </w:p>
    <w:p w:rsidR="00033CD2" w:rsidRPr="00033CD2" w:rsidRDefault="00033CD2" w:rsidP="005A654E">
      <w:pPr>
        <w:pStyle w:val="DHHSbullet1lastline"/>
        <w:rPr>
          <w:lang w:val="en-US"/>
        </w:rPr>
      </w:pPr>
      <w:r w:rsidRPr="00033CD2">
        <w:rPr>
          <w:lang w:val="en-US"/>
        </w:rPr>
        <w:t>Where wildlife is damaging any building, vineyard, orchard, crop, tree, pasture, habitat or other property owned, occupied or administered by the person to whom the authorisation is to be issued or property adjacent to or in proximity to such property; and</w:t>
      </w:r>
    </w:p>
    <w:p w:rsidR="00033CD2" w:rsidRPr="00033CD2" w:rsidRDefault="00033CD2" w:rsidP="005A654E">
      <w:pPr>
        <w:pStyle w:val="DHHSbullet1lastline"/>
      </w:pPr>
      <w:r w:rsidRPr="00033CD2">
        <w:t>For the purposes of ensuring the health or safety of any person or class of persons.</w:t>
      </w:r>
    </w:p>
    <w:p w:rsidR="00033CD2" w:rsidRPr="00033CD2" w:rsidRDefault="00033CD2" w:rsidP="00DF22E3">
      <w:pPr>
        <w:pStyle w:val="DHHSbody"/>
        <w:jc w:val="both"/>
      </w:pPr>
      <w:r w:rsidRPr="00033CD2">
        <w:t xml:space="preserve">An ATCW specifies the taxa, number of individual animals, permitted method of control, location and the circumstance under which the wildlife is authorised to be controlled.  </w:t>
      </w:r>
      <w:r w:rsidRPr="00033CD2">
        <w:rPr>
          <w:lang w:val="en-US"/>
        </w:rPr>
        <w:t>An ATCW is also subject to conditions.</w:t>
      </w:r>
      <w:r w:rsidRPr="00033CD2">
        <w:t xml:space="preserve"> </w:t>
      </w:r>
    </w:p>
    <w:p w:rsidR="00033CD2" w:rsidRPr="005A654E" w:rsidRDefault="00033CD2" w:rsidP="00DF22E3">
      <w:pPr>
        <w:pStyle w:val="DHHSbody"/>
        <w:jc w:val="both"/>
        <w:rPr>
          <w:lang w:val="en-US"/>
        </w:rPr>
      </w:pPr>
      <w:r w:rsidRPr="00033CD2">
        <w:rPr>
          <w:lang w:val="en-US"/>
        </w:rPr>
        <w:t xml:space="preserve">To </w:t>
      </w:r>
      <w:r w:rsidR="00814247">
        <w:rPr>
          <w:lang w:val="en-US"/>
        </w:rPr>
        <w:t>apply</w:t>
      </w:r>
      <w:r w:rsidRPr="00033CD2">
        <w:rPr>
          <w:lang w:val="en-US"/>
        </w:rPr>
        <w:t xml:space="preserve"> an ATCW an applicant must complete the appropriate form and return it to the </w:t>
      </w:r>
      <w:r w:rsidR="005A654E">
        <w:rPr>
          <w:lang w:val="en-US"/>
        </w:rPr>
        <w:t>DELWP</w:t>
      </w:r>
      <w:r w:rsidR="00814247">
        <w:rPr>
          <w:lang w:val="en-US"/>
        </w:rPr>
        <w:t>.</w:t>
      </w:r>
    </w:p>
    <w:p w:rsidR="006868E7" w:rsidRPr="00033CD2" w:rsidRDefault="006868E7" w:rsidP="006868E7">
      <w:pPr>
        <w:pStyle w:val="Heading2"/>
        <w:jc w:val="both"/>
        <w:rPr>
          <w:bCs/>
          <w:sz w:val="26"/>
          <w:szCs w:val="26"/>
        </w:rPr>
      </w:pPr>
      <w:r>
        <w:t>DELWP</w:t>
      </w:r>
      <w:r w:rsidRPr="00033CD2">
        <w:t xml:space="preserve"> Contact Details</w:t>
      </w:r>
    </w:p>
    <w:p w:rsidR="00033CD2" w:rsidRPr="00814247" w:rsidRDefault="006868E7" w:rsidP="00814247">
      <w:pPr>
        <w:pStyle w:val="DHHSbody"/>
      </w:pPr>
      <w:r w:rsidRPr="00033CD2">
        <w:t xml:space="preserve">For further information wildlife control or licensing by The </w:t>
      </w:r>
      <w:r w:rsidRPr="005A654E">
        <w:t>Department of Enviro</w:t>
      </w:r>
      <w:r>
        <w:t>nment, Land, Water and Planning</w:t>
      </w:r>
      <w:r w:rsidRPr="00033CD2">
        <w:t xml:space="preserve"> please contact the </w:t>
      </w:r>
      <w:r>
        <w:t>DELWP</w:t>
      </w:r>
      <w:r w:rsidRPr="00033CD2">
        <w:t xml:space="preserve"> Customer Service Centre on 136 186 or visit the </w:t>
      </w:r>
      <w:r>
        <w:t xml:space="preserve">DELWP website at </w:t>
      </w:r>
      <w:hyperlink r:id="rId19" w:history="1">
        <w:r w:rsidRPr="00222845">
          <w:rPr>
            <w:rStyle w:val="Hyperlink"/>
          </w:rPr>
          <w:t>https://www.wildlife.vic.gov.au/</w:t>
        </w:r>
      </w:hyperlink>
      <w:r>
        <w:br/>
      </w:r>
      <w:r w:rsidR="00033CD2" w:rsidRPr="006868E7">
        <w:t>Definition of Terms</w:t>
      </w:r>
    </w:p>
    <w:p w:rsidR="00033CD2" w:rsidRPr="006868E7" w:rsidRDefault="00033CD2" w:rsidP="006868E7">
      <w:pPr>
        <w:pStyle w:val="DHHSbody"/>
        <w:spacing w:line="240" w:lineRule="auto"/>
        <w:rPr>
          <w:b/>
          <w:lang w:val="en-US"/>
        </w:rPr>
      </w:pPr>
      <w:r w:rsidRPr="006868E7">
        <w:rPr>
          <w:b/>
          <w:lang w:val="en-US"/>
        </w:rPr>
        <w:t>Taxon:</w:t>
      </w:r>
      <w:r w:rsidRPr="006868E7">
        <w:rPr>
          <w:b/>
          <w:lang w:val="en-US"/>
        </w:rPr>
        <w:tab/>
      </w:r>
    </w:p>
    <w:p w:rsidR="00033CD2" w:rsidRPr="006868E7" w:rsidRDefault="00033CD2" w:rsidP="006868E7">
      <w:pPr>
        <w:pStyle w:val="DHHSbody"/>
        <w:spacing w:line="240" w:lineRule="auto"/>
      </w:pPr>
      <w:r w:rsidRPr="006868E7">
        <w:t>A group of genetically similar organisms that are classified together as a species, genus, family, etc.</w:t>
      </w:r>
    </w:p>
    <w:p w:rsidR="00033CD2" w:rsidRPr="006868E7" w:rsidRDefault="00033CD2" w:rsidP="006868E7">
      <w:pPr>
        <w:pStyle w:val="DHHSbody"/>
        <w:spacing w:line="240" w:lineRule="auto"/>
        <w:rPr>
          <w:b/>
          <w:lang w:val="en-US"/>
        </w:rPr>
      </w:pPr>
      <w:r w:rsidRPr="006868E7">
        <w:rPr>
          <w:b/>
          <w:lang w:val="en-US"/>
        </w:rPr>
        <w:t>Vertebrate:</w:t>
      </w:r>
    </w:p>
    <w:p w:rsidR="00033CD2" w:rsidRPr="006868E7" w:rsidRDefault="00033CD2" w:rsidP="006868E7">
      <w:pPr>
        <w:pStyle w:val="DHHSbody"/>
        <w:spacing w:line="240" w:lineRule="auto"/>
      </w:pPr>
      <w:r w:rsidRPr="006868E7">
        <w:t>An animal having a backbone.</w:t>
      </w:r>
    </w:p>
    <w:p w:rsidR="00033CD2" w:rsidRPr="006868E7" w:rsidRDefault="00033CD2" w:rsidP="006868E7">
      <w:pPr>
        <w:pStyle w:val="DHHSbody"/>
        <w:spacing w:line="240" w:lineRule="auto"/>
        <w:rPr>
          <w:b/>
          <w:lang w:val="en-US"/>
        </w:rPr>
      </w:pPr>
      <w:r w:rsidRPr="006868E7">
        <w:rPr>
          <w:b/>
          <w:lang w:val="en-US"/>
        </w:rPr>
        <w:t>Indigenous:</w:t>
      </w:r>
    </w:p>
    <w:p w:rsidR="00033CD2" w:rsidRPr="006868E7" w:rsidRDefault="00033CD2" w:rsidP="006868E7">
      <w:pPr>
        <w:pStyle w:val="DHHSbody"/>
        <w:spacing w:line="240" w:lineRule="auto"/>
      </w:pPr>
      <w:r w:rsidRPr="006868E7">
        <w:t>Originating or occurring naturally in a particular place.</w:t>
      </w:r>
    </w:p>
    <w:p w:rsidR="005A654E" w:rsidRPr="006868E7" w:rsidRDefault="005A654E" w:rsidP="006868E7">
      <w:pPr>
        <w:pStyle w:val="DHHSbody"/>
        <w:spacing w:line="240" w:lineRule="auto"/>
        <w:rPr>
          <w:lang w:val="en-US"/>
        </w:rPr>
      </w:pPr>
    </w:p>
    <w:tbl>
      <w:tblPr>
        <w:tblW w:w="4529" w:type="pct"/>
        <w:tblInd w:w="113" w:type="dxa"/>
        <w:tblCellMar>
          <w:top w:w="113" w:type="dxa"/>
          <w:bottom w:w="57" w:type="dxa"/>
        </w:tblCellMar>
        <w:tblLook w:val="00A0" w:firstRow="1" w:lastRow="0" w:firstColumn="1" w:lastColumn="0" w:noHBand="0" w:noVBand="0"/>
      </w:tblPr>
      <w:tblGrid>
        <w:gridCol w:w="4458"/>
      </w:tblGrid>
      <w:tr w:rsidR="006868E7" w:rsidRPr="002802E3" w:rsidTr="006868E7">
        <w:trPr>
          <w:cantSplit/>
          <w:trHeight w:val="780"/>
        </w:trPr>
        <w:tc>
          <w:tcPr>
            <w:tcW w:w="5000" w:type="pct"/>
            <w:tcBorders>
              <w:top w:val="single" w:sz="4" w:space="0" w:color="auto"/>
              <w:left w:val="single" w:sz="4" w:space="0" w:color="auto"/>
              <w:bottom w:val="single" w:sz="4" w:space="0" w:color="auto"/>
              <w:right w:val="single" w:sz="4" w:space="0" w:color="auto"/>
            </w:tcBorders>
            <w:vAlign w:val="bottom"/>
          </w:tcPr>
          <w:p w:rsidR="006868E7" w:rsidRPr="006868E7" w:rsidRDefault="006868E7" w:rsidP="00D2318A">
            <w:pPr>
              <w:pStyle w:val="DHHSbody"/>
              <w:jc w:val="both"/>
              <w:rPr>
                <w:i/>
                <w:sz w:val="16"/>
                <w:szCs w:val="16"/>
              </w:rPr>
            </w:pPr>
            <w:r w:rsidRPr="006868E7">
              <w:rPr>
                <w:i/>
                <w:sz w:val="16"/>
                <w:szCs w:val="16"/>
              </w:rPr>
              <w:lastRenderedPageBreak/>
              <w:t>To receive this publication in an accessible format  email pestcontrol@dhhs.vic.gov.au</w:t>
            </w:r>
          </w:p>
          <w:p w:rsidR="006868E7" w:rsidRPr="006868E7" w:rsidRDefault="006868E7" w:rsidP="00D2318A">
            <w:pPr>
              <w:pStyle w:val="DHHSbody"/>
              <w:jc w:val="both"/>
              <w:rPr>
                <w:sz w:val="16"/>
                <w:szCs w:val="16"/>
              </w:rPr>
            </w:pPr>
            <w:r w:rsidRPr="006868E7">
              <w:rPr>
                <w:sz w:val="16"/>
                <w:szCs w:val="16"/>
              </w:rPr>
              <w:t>Authorised and published by the Victorian Government, 1 Treasury Place, Melbourne.</w:t>
            </w:r>
          </w:p>
          <w:p w:rsidR="006868E7" w:rsidRDefault="006868E7" w:rsidP="00D2318A">
            <w:pPr>
              <w:pStyle w:val="DHHSbody"/>
              <w:jc w:val="both"/>
              <w:rPr>
                <w:sz w:val="16"/>
                <w:szCs w:val="16"/>
              </w:rPr>
            </w:pPr>
            <w:r w:rsidRPr="006868E7">
              <w:rPr>
                <w:sz w:val="16"/>
                <w:szCs w:val="16"/>
              </w:rPr>
              <w:t>© State of Victoria, Department of Health and Human Services March, 2018.</w:t>
            </w:r>
          </w:p>
          <w:p w:rsidR="004659E3" w:rsidRPr="006868E7" w:rsidRDefault="004659E3" w:rsidP="00D2318A">
            <w:pPr>
              <w:pStyle w:val="DHHSbody"/>
              <w:jc w:val="both"/>
              <w:rPr>
                <w:sz w:val="16"/>
                <w:szCs w:val="16"/>
              </w:rPr>
            </w:pPr>
            <w:r>
              <w:rPr>
                <w:sz w:val="16"/>
                <w:szCs w:val="16"/>
              </w:rPr>
              <w:t>The Department would like to acknowledge</w:t>
            </w:r>
            <w:r w:rsidR="00E12AFF">
              <w:rPr>
                <w:sz w:val="16"/>
                <w:szCs w:val="16"/>
              </w:rPr>
              <w:t xml:space="preserve"> and thank</w:t>
            </w:r>
            <w:r w:rsidR="00B54A0F">
              <w:rPr>
                <w:sz w:val="16"/>
                <w:szCs w:val="16"/>
              </w:rPr>
              <w:t xml:space="preserve"> the DE</w:t>
            </w:r>
            <w:r>
              <w:rPr>
                <w:sz w:val="16"/>
                <w:szCs w:val="16"/>
              </w:rPr>
              <w:t>L</w:t>
            </w:r>
            <w:r w:rsidR="00B54A0F">
              <w:rPr>
                <w:sz w:val="16"/>
                <w:szCs w:val="16"/>
              </w:rPr>
              <w:t>W</w:t>
            </w:r>
            <w:r>
              <w:rPr>
                <w:sz w:val="16"/>
                <w:szCs w:val="16"/>
              </w:rPr>
              <w:t xml:space="preserve">P </w:t>
            </w:r>
            <w:r w:rsidR="00E12AFF">
              <w:rPr>
                <w:sz w:val="16"/>
                <w:szCs w:val="16"/>
              </w:rPr>
              <w:t>for their contribution to</w:t>
            </w:r>
            <w:r>
              <w:rPr>
                <w:sz w:val="16"/>
                <w:szCs w:val="16"/>
              </w:rPr>
              <w:t xml:space="preserve"> this technical note.</w:t>
            </w:r>
          </w:p>
          <w:p w:rsidR="006868E7" w:rsidRPr="004F33AA" w:rsidRDefault="006868E7" w:rsidP="00D2318A">
            <w:pPr>
              <w:pStyle w:val="DHHSbody"/>
              <w:rPr>
                <w:color w:val="D50032"/>
                <w:sz w:val="16"/>
                <w:szCs w:val="16"/>
              </w:rPr>
            </w:pPr>
            <w:r w:rsidRPr="006868E7">
              <w:rPr>
                <w:sz w:val="16"/>
                <w:szCs w:val="16"/>
              </w:rPr>
              <w:t xml:space="preserve">Available at </w:t>
            </w:r>
            <w:hyperlink r:id="rId20" w:history="1">
              <w:r w:rsidRPr="006868E7">
                <w:rPr>
                  <w:rStyle w:val="Hyperlink"/>
                  <w:sz w:val="16"/>
                  <w:szCs w:val="16"/>
                </w:rPr>
                <w:t>https://www2.health.vic.gov.au/public-health/environmental-health/pesticide-use-and-pest-control</w:t>
              </w:r>
            </w:hyperlink>
          </w:p>
        </w:tc>
      </w:tr>
    </w:tbl>
    <w:p w:rsidR="00B2752E" w:rsidRPr="00906490" w:rsidRDefault="00B2752E" w:rsidP="005A654E">
      <w:pPr>
        <w:pStyle w:val="DHHSbody"/>
      </w:pPr>
    </w:p>
    <w:sectPr w:rsidR="00B2752E" w:rsidRPr="00906490" w:rsidSect="005A654E">
      <w:type w:val="continuous"/>
      <w:pgSz w:w="11906" w:h="16838" w:code="9"/>
      <w:pgMar w:top="1418" w:right="851" w:bottom="1134" w:left="851" w:header="567" w:footer="510"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B83" w:rsidRDefault="00A13B83">
      <w:r>
        <w:separator/>
      </w:r>
    </w:p>
  </w:endnote>
  <w:endnote w:type="continuationSeparator" w:id="0">
    <w:p w:rsidR="00A13B83" w:rsidRDefault="00A1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750063" w:rsidP="0051568D">
    <w:pPr>
      <w:pStyle w:val="DHHSfooter"/>
    </w:pPr>
    <w:r>
      <w:rPr>
        <w:noProof/>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0C16E2">
      <w:t>ggg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C81BF9" w:rsidP="00C81BF9">
    <w:pPr>
      <w:pStyle w:val="DHHSbody"/>
    </w:pPr>
    <w:r>
      <w:t>Technical Note Number</w:t>
    </w:r>
    <w:r w:rsidR="000C16E2">
      <w:t xml:space="preserve"> 6 – Wildlife and pest animal control</w:t>
    </w:r>
    <w:r w:rsidR="009D70A4" w:rsidRPr="00A11421">
      <w:tab/>
    </w:r>
    <w:r>
      <w:tab/>
    </w:r>
    <w:r>
      <w:tab/>
    </w:r>
    <w:r>
      <w:tab/>
    </w:r>
    <w:r>
      <w:tab/>
    </w:r>
    <w:r>
      <w:tab/>
    </w:r>
    <w:r>
      <w:tab/>
    </w:r>
    <w:r w:rsidR="009D70A4" w:rsidRPr="00A11421">
      <w:fldChar w:fldCharType="begin"/>
    </w:r>
    <w:r w:rsidR="009D70A4" w:rsidRPr="00A11421">
      <w:instrText xml:space="preserve"> PAGE </w:instrText>
    </w:r>
    <w:r w:rsidR="009D70A4" w:rsidRPr="00A11421">
      <w:fldChar w:fldCharType="separate"/>
    </w:r>
    <w:r w:rsidR="00B54A0F">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B83" w:rsidRDefault="00A13B83" w:rsidP="002862F1">
      <w:pPr>
        <w:spacing w:before="120"/>
      </w:pPr>
      <w:r>
        <w:separator/>
      </w:r>
    </w:p>
  </w:footnote>
  <w:footnote w:type="continuationSeparator" w:id="0">
    <w:p w:rsidR="00A13B83" w:rsidRDefault="00A13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9DF1D91"/>
    <w:multiLevelType w:val="hybridMultilevel"/>
    <w:tmpl w:val="D41479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D48428C"/>
    <w:multiLevelType w:val="hybridMultilevel"/>
    <w:tmpl w:val="551EDD2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B1760"/>
    <w:multiLevelType w:val="hybridMultilevel"/>
    <w:tmpl w:val="F38CD50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EB06AA"/>
    <w:multiLevelType w:val="hybridMultilevel"/>
    <w:tmpl w:val="92E0477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4034B9"/>
    <w:multiLevelType w:val="hybridMultilevel"/>
    <w:tmpl w:val="AF82B1C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08411E"/>
    <w:multiLevelType w:val="hybridMultilevel"/>
    <w:tmpl w:val="9B9C2A9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6BD3F11"/>
    <w:multiLevelType w:val="hybridMultilevel"/>
    <w:tmpl w:val="50C4CF0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5D5063"/>
    <w:multiLevelType w:val="hybridMultilevel"/>
    <w:tmpl w:val="61382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324798"/>
    <w:multiLevelType w:val="hybridMultilevel"/>
    <w:tmpl w:val="A9ACBC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7"/>
  </w:num>
  <w:num w:numId="10">
    <w:abstractNumId w:val="3"/>
  </w:num>
  <w:num w:numId="11">
    <w:abstractNumId w:val="5"/>
  </w:num>
  <w:num w:numId="12">
    <w:abstractNumId w:val="13"/>
  </w:num>
  <w:num w:numId="13">
    <w:abstractNumId w:val="8"/>
  </w:num>
  <w:num w:numId="14">
    <w:abstractNumId w:val="9"/>
  </w:num>
  <w:num w:numId="15">
    <w:abstractNumId w:val="11"/>
  </w:num>
  <w:num w:numId="16">
    <w:abstractNumId w:val="6"/>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D2"/>
    <w:rsid w:val="000072B6"/>
    <w:rsid w:val="0001021B"/>
    <w:rsid w:val="00011D89"/>
    <w:rsid w:val="00024D89"/>
    <w:rsid w:val="000250B6"/>
    <w:rsid w:val="00033CD2"/>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0B7F"/>
    <w:rsid w:val="000B543D"/>
    <w:rsid w:val="000B5BF7"/>
    <w:rsid w:val="000B6BC8"/>
    <w:rsid w:val="000C16E2"/>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7E4C"/>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52A"/>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1271"/>
    <w:rsid w:val="0033259D"/>
    <w:rsid w:val="003406C6"/>
    <w:rsid w:val="003418CC"/>
    <w:rsid w:val="003459BD"/>
    <w:rsid w:val="00350D38"/>
    <w:rsid w:val="00351B36"/>
    <w:rsid w:val="00357B4E"/>
    <w:rsid w:val="0037318E"/>
    <w:rsid w:val="003744CF"/>
    <w:rsid w:val="00374717"/>
    <w:rsid w:val="0037676C"/>
    <w:rsid w:val="0037769A"/>
    <w:rsid w:val="003816A5"/>
    <w:rsid w:val="003829E5"/>
    <w:rsid w:val="00383B35"/>
    <w:rsid w:val="003956CC"/>
    <w:rsid w:val="00395C9A"/>
    <w:rsid w:val="003A6B67"/>
    <w:rsid w:val="003B15E6"/>
    <w:rsid w:val="003C2045"/>
    <w:rsid w:val="003C43A1"/>
    <w:rsid w:val="003C4FC0"/>
    <w:rsid w:val="003C55F4"/>
    <w:rsid w:val="003C5D06"/>
    <w:rsid w:val="003C7A3F"/>
    <w:rsid w:val="003D2766"/>
    <w:rsid w:val="003D3E8F"/>
    <w:rsid w:val="003D6475"/>
    <w:rsid w:val="003F0445"/>
    <w:rsid w:val="003F0CF0"/>
    <w:rsid w:val="003F14B1"/>
    <w:rsid w:val="003F3289"/>
    <w:rsid w:val="00401FCF"/>
    <w:rsid w:val="00406285"/>
    <w:rsid w:val="004148F9"/>
    <w:rsid w:val="004160AB"/>
    <w:rsid w:val="0042084E"/>
    <w:rsid w:val="00421EEF"/>
    <w:rsid w:val="00424D65"/>
    <w:rsid w:val="00442C6C"/>
    <w:rsid w:val="00443CBE"/>
    <w:rsid w:val="00443E8A"/>
    <w:rsid w:val="004441BC"/>
    <w:rsid w:val="004468B4"/>
    <w:rsid w:val="0045230A"/>
    <w:rsid w:val="00457337"/>
    <w:rsid w:val="004659E3"/>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27BB6"/>
    <w:rsid w:val="00536499"/>
    <w:rsid w:val="00543903"/>
    <w:rsid w:val="00543F11"/>
    <w:rsid w:val="00547A95"/>
    <w:rsid w:val="00572031"/>
    <w:rsid w:val="00576E84"/>
    <w:rsid w:val="00582B8C"/>
    <w:rsid w:val="0058757E"/>
    <w:rsid w:val="00596A4B"/>
    <w:rsid w:val="00597507"/>
    <w:rsid w:val="005A654E"/>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480"/>
    <w:rsid w:val="0065092E"/>
    <w:rsid w:val="006557A7"/>
    <w:rsid w:val="00656290"/>
    <w:rsid w:val="006621D7"/>
    <w:rsid w:val="0066302A"/>
    <w:rsid w:val="00670597"/>
    <w:rsid w:val="006706D0"/>
    <w:rsid w:val="00677574"/>
    <w:rsid w:val="0068454C"/>
    <w:rsid w:val="006868E7"/>
    <w:rsid w:val="00691B62"/>
    <w:rsid w:val="006933B5"/>
    <w:rsid w:val="00693D14"/>
    <w:rsid w:val="006A18C2"/>
    <w:rsid w:val="006B077C"/>
    <w:rsid w:val="006B6803"/>
    <w:rsid w:val="006D0995"/>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063"/>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1987"/>
    <w:rsid w:val="007B589F"/>
    <w:rsid w:val="007B6186"/>
    <w:rsid w:val="007B73BC"/>
    <w:rsid w:val="007C20B9"/>
    <w:rsid w:val="007C7301"/>
    <w:rsid w:val="007C7859"/>
    <w:rsid w:val="007D2BDE"/>
    <w:rsid w:val="007D2FB6"/>
    <w:rsid w:val="007D6E2D"/>
    <w:rsid w:val="007E0DE2"/>
    <w:rsid w:val="007E3B98"/>
    <w:rsid w:val="007F31B6"/>
    <w:rsid w:val="007F4B39"/>
    <w:rsid w:val="007F546C"/>
    <w:rsid w:val="007F625F"/>
    <w:rsid w:val="007F665E"/>
    <w:rsid w:val="00800412"/>
    <w:rsid w:val="0080587B"/>
    <w:rsid w:val="00806468"/>
    <w:rsid w:val="00814247"/>
    <w:rsid w:val="008155F0"/>
    <w:rsid w:val="00816735"/>
    <w:rsid w:val="00820141"/>
    <w:rsid w:val="00820E0C"/>
    <w:rsid w:val="008338A2"/>
    <w:rsid w:val="00834BE5"/>
    <w:rsid w:val="00841AA9"/>
    <w:rsid w:val="00853EE4"/>
    <w:rsid w:val="00855535"/>
    <w:rsid w:val="0086255E"/>
    <w:rsid w:val="00862CD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42536"/>
    <w:rsid w:val="0094390E"/>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2705"/>
    <w:rsid w:val="00A13B83"/>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688"/>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4A0F"/>
    <w:rsid w:val="00B57329"/>
    <w:rsid w:val="00B62B50"/>
    <w:rsid w:val="00B635B7"/>
    <w:rsid w:val="00B63AE8"/>
    <w:rsid w:val="00B65950"/>
    <w:rsid w:val="00B66D83"/>
    <w:rsid w:val="00B672C0"/>
    <w:rsid w:val="00B75646"/>
    <w:rsid w:val="00B812B7"/>
    <w:rsid w:val="00B90729"/>
    <w:rsid w:val="00B907DA"/>
    <w:rsid w:val="00B950BC"/>
    <w:rsid w:val="00B9714C"/>
    <w:rsid w:val="00BA3F8D"/>
    <w:rsid w:val="00BB7A10"/>
    <w:rsid w:val="00BC3BD5"/>
    <w:rsid w:val="00BC48CE"/>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2F86"/>
    <w:rsid w:val="00C63B9C"/>
    <w:rsid w:val="00C6682F"/>
    <w:rsid w:val="00C7275E"/>
    <w:rsid w:val="00C74C5D"/>
    <w:rsid w:val="00C81BF9"/>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B6AC0"/>
    <w:rsid w:val="00DC090B"/>
    <w:rsid w:val="00DC1679"/>
    <w:rsid w:val="00DC2CF1"/>
    <w:rsid w:val="00DC4FCF"/>
    <w:rsid w:val="00DC50E0"/>
    <w:rsid w:val="00DC6386"/>
    <w:rsid w:val="00DD1130"/>
    <w:rsid w:val="00DD1951"/>
    <w:rsid w:val="00DD6628"/>
    <w:rsid w:val="00DE07AF"/>
    <w:rsid w:val="00DE3250"/>
    <w:rsid w:val="00DE6028"/>
    <w:rsid w:val="00DE78A3"/>
    <w:rsid w:val="00DF1A71"/>
    <w:rsid w:val="00DF22E3"/>
    <w:rsid w:val="00DF68C7"/>
    <w:rsid w:val="00DF731A"/>
    <w:rsid w:val="00E00E41"/>
    <w:rsid w:val="00E12AFF"/>
    <w:rsid w:val="00E170DC"/>
    <w:rsid w:val="00E26818"/>
    <w:rsid w:val="00E27FFC"/>
    <w:rsid w:val="00E30B15"/>
    <w:rsid w:val="00E40181"/>
    <w:rsid w:val="00E56A01"/>
    <w:rsid w:val="00E629A1"/>
    <w:rsid w:val="00E6794C"/>
    <w:rsid w:val="00E71591"/>
    <w:rsid w:val="00E7287F"/>
    <w:rsid w:val="00E82C55"/>
    <w:rsid w:val="00E9198F"/>
    <w:rsid w:val="00E92AC3"/>
    <w:rsid w:val="00EA38B4"/>
    <w:rsid w:val="00EB00E0"/>
    <w:rsid w:val="00EB05A3"/>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4038"/>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37A2"/>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3F15AC-1CC2-44B8-91A9-AE0B0B15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6868E7"/>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odyText2">
    <w:name w:val="Body Text 2"/>
    <w:basedOn w:val="Normal"/>
    <w:link w:val="BodyText2Char"/>
    <w:uiPriority w:val="99"/>
    <w:semiHidden/>
    <w:unhideWhenUsed/>
    <w:rsid w:val="00033CD2"/>
    <w:pPr>
      <w:spacing w:after="120" w:line="480" w:lineRule="auto"/>
    </w:pPr>
  </w:style>
  <w:style w:type="character" w:customStyle="1" w:styleId="BodyText2Char">
    <w:name w:val="Body Text 2 Char"/>
    <w:basedOn w:val="DefaultParagraphFont"/>
    <w:link w:val="BodyText2"/>
    <w:uiPriority w:val="99"/>
    <w:semiHidden/>
    <w:rsid w:val="00033CD2"/>
    <w:rPr>
      <w:rFonts w:ascii="Cambria" w:hAnsi="Cambria"/>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s://www2.health.vic.gov.au/public-health/environmental-health/pesticide-use-and-pest-contr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eader" Target="header1.xml"/><Relationship Id="rId19" Type="http://schemas.openxmlformats.org/officeDocument/2006/relationships/hyperlink" Target="https://www.wildlife.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D6AD-4A70-470D-A606-30D7A13D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4</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10725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 Rout (DHHS)</dc:creator>
  <cp:lastModifiedBy>Steve Marty (DHHS)</cp:lastModifiedBy>
  <cp:revision>33</cp:revision>
  <cp:lastPrinted>2015-08-21T03:17:00Z</cp:lastPrinted>
  <dcterms:created xsi:type="dcterms:W3CDTF">2018-03-15T23:10:00Z</dcterms:created>
  <dcterms:modified xsi:type="dcterms:W3CDTF">2020-01-12T23:02:00Z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