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D23BCF"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66290"/>
            <wp:effectExtent l="0" t="0" r="0" b="0"/>
            <wp:wrapNone/>
            <wp:docPr id="21" name="Picture 21" descr="Factsheet Banner 08 Blu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tsheet Banner 08 Blu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0137"/>
      </w:tblGrid>
      <w:tr w:rsidR="00EF36AF" w:rsidTr="00D33E72">
        <w:trPr>
          <w:trHeight w:val="1276"/>
        </w:trPr>
        <w:tc>
          <w:tcPr>
            <w:tcW w:w="10137" w:type="dxa"/>
            <w:shd w:val="clear" w:color="auto" w:fill="auto"/>
            <w:vAlign w:val="bottom"/>
          </w:tcPr>
          <w:p w:rsidR="00607524" w:rsidRPr="00607524" w:rsidRDefault="00607524" w:rsidP="00607524">
            <w:pPr>
              <w:rPr>
                <w:rFonts w:ascii="Arial" w:hAnsi="Arial" w:cs="Arial"/>
                <w:color w:val="FFFFFF"/>
                <w:sz w:val="50"/>
                <w:szCs w:val="50"/>
              </w:rPr>
            </w:pPr>
            <w:bookmarkStart w:id="0" w:name="_GoBack"/>
            <w:r w:rsidRPr="00607524">
              <w:rPr>
                <w:rFonts w:ascii="Arial" w:hAnsi="Arial" w:cs="Arial"/>
                <w:color w:val="FFFFFF"/>
                <w:sz w:val="50"/>
                <w:szCs w:val="50"/>
              </w:rPr>
              <w:t>Recording diagnoses in CMI/ODS</w:t>
            </w:r>
          </w:p>
          <w:bookmarkEnd w:id="0"/>
          <w:p w:rsidR="004946F4" w:rsidRPr="00161AA0" w:rsidRDefault="004946F4" w:rsidP="00070B61">
            <w:pPr>
              <w:pStyle w:val="DHHSmainheading"/>
            </w:pPr>
          </w:p>
        </w:tc>
      </w:tr>
      <w:tr w:rsidR="005D6597" w:rsidTr="00DE6028">
        <w:trPr>
          <w:trHeight w:val="494"/>
        </w:trPr>
        <w:tc>
          <w:tcPr>
            <w:tcW w:w="10137" w:type="dxa"/>
            <w:shd w:val="clear" w:color="auto" w:fill="auto"/>
            <w:tcMar>
              <w:top w:w="510" w:type="dxa"/>
            </w:tcMar>
          </w:tcPr>
          <w:p w:rsidR="005D6597" w:rsidRDefault="00183657" w:rsidP="004F6936">
            <w:pPr>
              <w:pStyle w:val="DHHSmainsubheading"/>
            </w:pPr>
            <w:r>
              <w:rPr>
                <w:sz w:val="30"/>
                <w:szCs w:val="30"/>
              </w:rPr>
              <w:t>Program management circular</w:t>
            </w:r>
          </w:p>
        </w:tc>
      </w:tr>
    </w:tbl>
    <w:p w:rsidR="00FA6DEF" w:rsidRPr="00B23EA5" w:rsidRDefault="00FE5ADD" w:rsidP="00FE5ADD">
      <w:pPr>
        <w:tabs>
          <w:tab w:val="left" w:pos="6804"/>
        </w:tabs>
        <w:rPr>
          <w:rFonts w:ascii="Arial" w:hAnsi="Arial" w:cs="Arial"/>
          <w:color w:val="3366FF"/>
          <w:sz w:val="32"/>
          <w:szCs w:val="32"/>
        </w:rPr>
      </w:pPr>
      <w:r>
        <w:rPr>
          <w:rFonts w:ascii="Arial" w:hAnsi="Arial" w:cs="Arial"/>
          <w:color w:val="3366FF"/>
          <w:sz w:val="32"/>
          <w:szCs w:val="32"/>
        </w:rPr>
        <w:t>Revised: July 2015</w:t>
      </w:r>
      <w:r w:rsidR="00FA6DEF" w:rsidRPr="00B23EA5">
        <w:rPr>
          <w:rFonts w:ascii="Arial" w:hAnsi="Arial" w:cs="Arial"/>
          <w:color w:val="3366FF"/>
          <w:sz w:val="32"/>
          <w:szCs w:val="32"/>
        </w:rPr>
        <w:tab/>
      </w:r>
      <w:r>
        <w:rPr>
          <w:rFonts w:ascii="Arial" w:hAnsi="Arial" w:cs="Arial"/>
          <w:color w:val="3366FF"/>
          <w:sz w:val="32"/>
          <w:szCs w:val="32"/>
        </w:rPr>
        <w:t>Review Date: July 2016</w:t>
      </w:r>
    </w:p>
    <w:p w:rsidR="00576E84" w:rsidRDefault="009F02A3">
      <w:pPr>
        <w:pStyle w:val="TOC1"/>
      </w:pPr>
      <w:r>
        <w:fldChar w:fldCharType="begin"/>
      </w:r>
      <w:r>
        <w:instrText xml:space="preserve"> TOC \h \z \t "Heading 1,1,Heading 2,2" </w:instrText>
      </w:r>
      <w:r>
        <w:fldChar w:fldCharType="separate"/>
      </w:r>
      <w:hyperlink w:anchor="_Toc410976287" w:history="1">
        <w:r w:rsidR="00FE5ADD">
          <w:rPr>
            <w:rStyle w:val="Hyperlink"/>
          </w:rPr>
          <w:t>key Message</w:t>
        </w:r>
        <w:r w:rsidR="00576E84">
          <w:rPr>
            <w:webHidden/>
          </w:rPr>
          <w:tab/>
        </w:r>
        <w:r w:rsidR="00576E84">
          <w:rPr>
            <w:webHidden/>
          </w:rPr>
          <w:fldChar w:fldCharType="begin"/>
        </w:r>
        <w:r w:rsidR="00576E84">
          <w:rPr>
            <w:webHidden/>
          </w:rPr>
          <w:instrText xml:space="preserve"> PAGEREF _Toc410976287 \h </w:instrText>
        </w:r>
        <w:r w:rsidR="00576E84">
          <w:rPr>
            <w:webHidden/>
          </w:rPr>
        </w:r>
        <w:r w:rsidR="00576E84">
          <w:rPr>
            <w:webHidden/>
          </w:rPr>
          <w:fldChar w:fldCharType="separate"/>
        </w:r>
        <w:r w:rsidR="00D23BCF">
          <w:rPr>
            <w:webHidden/>
          </w:rPr>
          <w:t>1</w:t>
        </w:r>
        <w:r w:rsidR="00576E84">
          <w:rPr>
            <w:webHidden/>
          </w:rPr>
          <w:fldChar w:fldCharType="end"/>
        </w:r>
      </w:hyperlink>
    </w:p>
    <w:p w:rsidR="00FE5ADD" w:rsidRPr="00F320C1" w:rsidRDefault="00FE5ADD" w:rsidP="00FE5ADD">
      <w:pPr>
        <w:pStyle w:val="TOC1"/>
        <w:rPr>
          <w:rFonts w:ascii="Calibri" w:hAnsi="Calibri"/>
          <w:b w:val="0"/>
          <w:sz w:val="22"/>
          <w:szCs w:val="22"/>
          <w:lang w:eastAsia="en-AU"/>
        </w:rPr>
      </w:pPr>
      <w:hyperlink w:anchor="_Toc410976287" w:history="1">
        <w:r>
          <w:rPr>
            <w:rStyle w:val="Hyperlink"/>
          </w:rPr>
          <w:t>Purpose</w:t>
        </w:r>
        <w:r>
          <w:rPr>
            <w:webHidden/>
          </w:rPr>
          <w:tab/>
        </w:r>
        <w:r>
          <w:rPr>
            <w:webHidden/>
          </w:rPr>
          <w:fldChar w:fldCharType="begin"/>
        </w:r>
        <w:r>
          <w:rPr>
            <w:webHidden/>
          </w:rPr>
          <w:instrText xml:space="preserve"> PAGEREF _Toc410976287 \h </w:instrText>
        </w:r>
        <w:r>
          <w:rPr>
            <w:webHidden/>
          </w:rPr>
        </w:r>
        <w:r>
          <w:rPr>
            <w:webHidden/>
          </w:rPr>
          <w:fldChar w:fldCharType="separate"/>
        </w:r>
        <w:r>
          <w:rPr>
            <w:webHidden/>
          </w:rPr>
          <w:t>1</w:t>
        </w:r>
        <w:r>
          <w:rPr>
            <w:webHidden/>
          </w:rPr>
          <w:fldChar w:fldCharType="end"/>
        </w:r>
      </w:hyperlink>
    </w:p>
    <w:p w:rsidR="00FE5ADD" w:rsidRPr="00F320C1" w:rsidRDefault="00FE5ADD" w:rsidP="00FE5ADD">
      <w:pPr>
        <w:pStyle w:val="TOC1"/>
        <w:rPr>
          <w:rFonts w:ascii="Calibri" w:hAnsi="Calibri"/>
          <w:b w:val="0"/>
          <w:sz w:val="22"/>
          <w:szCs w:val="22"/>
          <w:lang w:eastAsia="en-AU"/>
        </w:rPr>
      </w:pPr>
      <w:hyperlink w:anchor="_Toc410976287" w:history="1">
        <w:r>
          <w:rPr>
            <w:rStyle w:val="Hyperlink"/>
          </w:rPr>
          <w:t>Background</w:t>
        </w:r>
        <w:r>
          <w:rPr>
            <w:webHidden/>
          </w:rPr>
          <w:tab/>
        </w:r>
        <w:r>
          <w:rPr>
            <w:webHidden/>
          </w:rPr>
          <w:fldChar w:fldCharType="begin"/>
        </w:r>
        <w:r>
          <w:rPr>
            <w:webHidden/>
          </w:rPr>
          <w:instrText xml:space="preserve"> PAGEREF _Toc410976287 \h </w:instrText>
        </w:r>
        <w:r>
          <w:rPr>
            <w:webHidden/>
          </w:rPr>
        </w:r>
        <w:r>
          <w:rPr>
            <w:webHidden/>
          </w:rPr>
          <w:fldChar w:fldCharType="separate"/>
        </w:r>
        <w:r>
          <w:rPr>
            <w:webHidden/>
          </w:rPr>
          <w:t>1</w:t>
        </w:r>
        <w:r>
          <w:rPr>
            <w:webHidden/>
          </w:rPr>
          <w:fldChar w:fldCharType="end"/>
        </w:r>
      </w:hyperlink>
    </w:p>
    <w:p w:rsidR="00FE5ADD" w:rsidRDefault="00FE5ADD" w:rsidP="00FE5ADD">
      <w:pPr>
        <w:pStyle w:val="TOC1"/>
      </w:pPr>
      <w:hyperlink w:anchor="_Toc410976287" w:history="1">
        <w:r>
          <w:rPr>
            <w:rStyle w:val="Hyperlink"/>
          </w:rPr>
          <w:t>Recording Diagnoses</w:t>
        </w:r>
        <w:r>
          <w:rPr>
            <w:webHidden/>
          </w:rPr>
          <w:tab/>
        </w:r>
        <w:r>
          <w:rPr>
            <w:webHidden/>
          </w:rPr>
          <w:t>2</w:t>
        </w:r>
      </w:hyperlink>
    </w:p>
    <w:p w:rsidR="00FE5ADD" w:rsidRPr="00F320C1" w:rsidRDefault="00FE5ADD" w:rsidP="00FE5ADD">
      <w:pPr>
        <w:pStyle w:val="TOC1"/>
        <w:rPr>
          <w:rFonts w:ascii="Calibri" w:hAnsi="Calibri"/>
          <w:b w:val="0"/>
          <w:sz w:val="22"/>
          <w:szCs w:val="22"/>
          <w:lang w:eastAsia="en-AU"/>
        </w:rPr>
      </w:pPr>
      <w:hyperlink w:anchor="_Toc410976287" w:history="1">
        <w:r>
          <w:rPr>
            <w:rStyle w:val="Hyperlink"/>
          </w:rPr>
          <w:t>Bed Based Services</w:t>
        </w:r>
        <w:r>
          <w:rPr>
            <w:webHidden/>
          </w:rPr>
          <w:tab/>
        </w:r>
        <w:r>
          <w:rPr>
            <w:webHidden/>
          </w:rPr>
          <w:t>2</w:t>
        </w:r>
      </w:hyperlink>
    </w:p>
    <w:p w:rsidR="00576E84" w:rsidRDefault="007009D5">
      <w:pPr>
        <w:pStyle w:val="TOC2"/>
      </w:pPr>
      <w:hyperlink w:anchor="_Toc410976288" w:history="1">
        <w:r w:rsidR="00FE5ADD">
          <w:rPr>
            <w:rStyle w:val="Hyperlink"/>
          </w:rPr>
          <w:t>Acute</w:t>
        </w:r>
        <w:r w:rsidR="00576E84">
          <w:rPr>
            <w:webHidden/>
          </w:rPr>
          <w:tab/>
        </w:r>
        <w:r w:rsidR="00FE5ADD">
          <w:rPr>
            <w:webHidden/>
          </w:rPr>
          <w:t>2</w:t>
        </w:r>
      </w:hyperlink>
    </w:p>
    <w:p w:rsidR="00FE5ADD" w:rsidRPr="00F320C1" w:rsidRDefault="00FE5ADD" w:rsidP="00FE5ADD">
      <w:pPr>
        <w:pStyle w:val="TOC2"/>
        <w:rPr>
          <w:rFonts w:ascii="Calibri" w:hAnsi="Calibri"/>
          <w:sz w:val="22"/>
          <w:szCs w:val="22"/>
          <w:lang w:eastAsia="en-AU"/>
        </w:rPr>
      </w:pPr>
      <w:hyperlink w:anchor="_Toc410976288" w:history="1">
        <w:r>
          <w:rPr>
            <w:rStyle w:val="Hyperlink"/>
          </w:rPr>
          <w:t>Non-acute and residental</w:t>
        </w:r>
        <w:r>
          <w:rPr>
            <w:webHidden/>
          </w:rPr>
          <w:tab/>
        </w:r>
        <w:r>
          <w:rPr>
            <w:webHidden/>
          </w:rPr>
          <w:t>2</w:t>
        </w:r>
      </w:hyperlink>
    </w:p>
    <w:p w:rsidR="00576E84" w:rsidRPr="00F320C1" w:rsidRDefault="007009D5">
      <w:pPr>
        <w:pStyle w:val="TOC1"/>
        <w:rPr>
          <w:rFonts w:ascii="Calibri" w:hAnsi="Calibri"/>
          <w:b w:val="0"/>
          <w:sz w:val="22"/>
          <w:szCs w:val="22"/>
          <w:lang w:eastAsia="en-AU"/>
        </w:rPr>
      </w:pPr>
      <w:hyperlink w:anchor="_Toc410976289" w:history="1">
        <w:r w:rsidR="00FE5ADD">
          <w:rPr>
            <w:rStyle w:val="Hyperlink"/>
          </w:rPr>
          <w:t>Ambulatory Community</w:t>
        </w:r>
        <w:r w:rsidR="00576E84">
          <w:rPr>
            <w:webHidden/>
          </w:rPr>
          <w:tab/>
        </w:r>
        <w:r w:rsidR="00576E84">
          <w:rPr>
            <w:webHidden/>
          </w:rPr>
          <w:fldChar w:fldCharType="begin"/>
        </w:r>
        <w:r w:rsidR="00576E84">
          <w:rPr>
            <w:webHidden/>
          </w:rPr>
          <w:instrText xml:space="preserve"> PAGEREF _Toc410976289 \h </w:instrText>
        </w:r>
        <w:r w:rsidR="00576E84">
          <w:rPr>
            <w:webHidden/>
          </w:rPr>
        </w:r>
        <w:r w:rsidR="00576E84">
          <w:rPr>
            <w:webHidden/>
          </w:rPr>
          <w:fldChar w:fldCharType="separate"/>
        </w:r>
        <w:r w:rsidR="00D23BCF">
          <w:rPr>
            <w:webHidden/>
          </w:rPr>
          <w:t>2</w:t>
        </w:r>
        <w:r w:rsidR="00576E84">
          <w:rPr>
            <w:webHidden/>
          </w:rPr>
          <w:fldChar w:fldCharType="end"/>
        </w:r>
      </w:hyperlink>
    </w:p>
    <w:p w:rsidR="00576E84" w:rsidRDefault="007009D5">
      <w:pPr>
        <w:pStyle w:val="TOC2"/>
      </w:pPr>
      <w:hyperlink w:anchor="_Toc410976290" w:history="1">
        <w:r w:rsidR="00FE5ADD">
          <w:rPr>
            <w:rStyle w:val="Hyperlink"/>
          </w:rPr>
          <w:t>Community clients</w:t>
        </w:r>
        <w:r w:rsidR="00576E84">
          <w:rPr>
            <w:webHidden/>
          </w:rPr>
          <w:tab/>
        </w:r>
        <w:r w:rsidR="00576E84">
          <w:rPr>
            <w:webHidden/>
          </w:rPr>
          <w:fldChar w:fldCharType="begin"/>
        </w:r>
        <w:r w:rsidR="00576E84">
          <w:rPr>
            <w:webHidden/>
          </w:rPr>
          <w:instrText xml:space="preserve"> PAGEREF _Toc410976290 \h </w:instrText>
        </w:r>
        <w:r w:rsidR="00576E84">
          <w:rPr>
            <w:webHidden/>
          </w:rPr>
        </w:r>
        <w:r w:rsidR="00576E84">
          <w:rPr>
            <w:webHidden/>
          </w:rPr>
          <w:fldChar w:fldCharType="separate"/>
        </w:r>
        <w:r w:rsidR="00D23BCF">
          <w:rPr>
            <w:webHidden/>
          </w:rPr>
          <w:t>2</w:t>
        </w:r>
        <w:r w:rsidR="00576E84">
          <w:rPr>
            <w:webHidden/>
          </w:rPr>
          <w:fldChar w:fldCharType="end"/>
        </w:r>
      </w:hyperlink>
    </w:p>
    <w:p w:rsidR="00FE5ADD" w:rsidRDefault="00FE5ADD" w:rsidP="00FE5ADD">
      <w:pPr>
        <w:pStyle w:val="TOC2"/>
      </w:pPr>
      <w:hyperlink w:anchor="_Toc410976290" w:history="1">
        <w:r>
          <w:rPr>
            <w:rStyle w:val="Hyperlink"/>
          </w:rPr>
          <w:t>Community clients with cases and episodes</w:t>
        </w:r>
        <w:r>
          <w:rPr>
            <w:webHidden/>
          </w:rPr>
          <w:tab/>
        </w:r>
        <w:r>
          <w:rPr>
            <w:webHidden/>
          </w:rPr>
          <w:t>3</w:t>
        </w:r>
      </w:hyperlink>
    </w:p>
    <w:p w:rsidR="00FE5ADD" w:rsidRDefault="00FE5ADD" w:rsidP="00FE5ADD">
      <w:pPr>
        <w:pStyle w:val="TOC2"/>
      </w:pPr>
      <w:hyperlink w:anchor="_Toc410976290" w:history="1">
        <w:r>
          <w:rPr>
            <w:rStyle w:val="Hyperlink"/>
          </w:rPr>
          <w:t>Case Closure</w:t>
        </w:r>
        <w:r>
          <w:rPr>
            <w:webHidden/>
          </w:rPr>
          <w:tab/>
        </w:r>
        <w:r>
          <w:rPr>
            <w:webHidden/>
          </w:rPr>
          <w:t>3</w:t>
        </w:r>
      </w:hyperlink>
    </w:p>
    <w:p w:rsidR="00FE5ADD" w:rsidRPr="00F320C1" w:rsidRDefault="00FE5ADD" w:rsidP="00FE5ADD">
      <w:pPr>
        <w:pStyle w:val="TOC1"/>
        <w:rPr>
          <w:rFonts w:ascii="Calibri" w:hAnsi="Calibri"/>
          <w:b w:val="0"/>
          <w:sz w:val="22"/>
          <w:szCs w:val="22"/>
          <w:lang w:eastAsia="en-AU"/>
        </w:rPr>
      </w:pPr>
      <w:hyperlink w:anchor="_Toc410976289" w:history="1">
        <w:r>
          <w:rPr>
            <w:rStyle w:val="Hyperlink"/>
          </w:rPr>
          <w:t>Other</w:t>
        </w:r>
        <w:r>
          <w:rPr>
            <w:webHidden/>
          </w:rPr>
          <w:tab/>
        </w:r>
        <w:r>
          <w:rPr>
            <w:webHidden/>
          </w:rPr>
          <w:t>3</w:t>
        </w:r>
      </w:hyperlink>
    </w:p>
    <w:p w:rsidR="00FE5ADD" w:rsidRPr="00F320C1" w:rsidRDefault="00FE5ADD" w:rsidP="00FE5ADD">
      <w:pPr>
        <w:pStyle w:val="TOC1"/>
        <w:rPr>
          <w:rFonts w:ascii="Calibri" w:hAnsi="Calibri"/>
          <w:b w:val="0"/>
          <w:sz w:val="22"/>
          <w:szCs w:val="22"/>
          <w:lang w:eastAsia="en-AU"/>
        </w:rPr>
      </w:pPr>
      <w:hyperlink w:anchor="_Toc410976289" w:history="1">
        <w:r>
          <w:rPr>
            <w:rStyle w:val="Hyperlink"/>
          </w:rPr>
          <w:t>About Management Circulars</w:t>
        </w:r>
        <w:r>
          <w:rPr>
            <w:webHidden/>
          </w:rPr>
          <w:tab/>
        </w:r>
        <w:r>
          <w:rPr>
            <w:webHidden/>
          </w:rPr>
          <w:t>3</w:t>
        </w:r>
      </w:hyperlink>
    </w:p>
    <w:p w:rsidR="0074696E" w:rsidRPr="004C6EEE" w:rsidRDefault="009F02A3" w:rsidP="00FE5ADD">
      <w:pPr>
        <w:pStyle w:val="DHHSbody"/>
        <w:spacing w:before="240"/>
      </w:pPr>
      <w:r>
        <w:rPr>
          <w:rFonts w:eastAsia="Times New Roman"/>
        </w:rPr>
        <w:fldChar w:fldCharType="end"/>
      </w:r>
    </w:p>
    <w:p w:rsidR="00A62D44" w:rsidRPr="004C6EEE" w:rsidRDefault="00A62D44" w:rsidP="004C6EEE">
      <w:pPr>
        <w:pStyle w:val="Sectionbreakfirstpage"/>
        <w:sectPr w:rsidR="00A62D44" w:rsidRPr="004C6EEE" w:rsidSect="00D33E72">
          <w:footerReference w:type="default" r:id="rId9"/>
          <w:footerReference w:type="first" r:id="rId10"/>
          <w:pgSz w:w="11906" w:h="16838" w:code="9"/>
          <w:pgMar w:top="851" w:right="851" w:bottom="1418" w:left="851" w:header="510" w:footer="510" w:gutter="0"/>
          <w:cols w:space="708"/>
          <w:docGrid w:linePitch="360"/>
        </w:sectPr>
      </w:pPr>
    </w:p>
    <w:p w:rsidR="00893AF6" w:rsidRPr="00B63AE8" w:rsidRDefault="00607524" w:rsidP="00B63AE8">
      <w:pPr>
        <w:pStyle w:val="Heading1"/>
      </w:pPr>
      <w:r>
        <w:lastRenderedPageBreak/>
        <w:t>Key Message</w:t>
      </w:r>
    </w:p>
    <w:p w:rsidR="00607524" w:rsidRPr="00607524" w:rsidRDefault="00607524" w:rsidP="00607524">
      <w:pPr>
        <w:spacing w:line="312" w:lineRule="auto"/>
        <w:rPr>
          <w:rFonts w:ascii="Arial" w:hAnsi="Arial" w:cs="Arial"/>
        </w:rPr>
      </w:pPr>
      <w:bookmarkStart w:id="1" w:name="_Toc256778633"/>
      <w:r w:rsidRPr="00607524">
        <w:rPr>
          <w:rFonts w:ascii="Arial" w:hAnsi="Arial" w:cs="Arial"/>
        </w:rPr>
        <w:t>An admission</w:t>
      </w:r>
      <w:r w:rsidRPr="00607524">
        <w:rPr>
          <w:rFonts w:ascii="Arial" w:hAnsi="Arial" w:cs="Arial"/>
          <w:vertAlign w:val="superscript"/>
        </w:rPr>
        <w:t>1</w:t>
      </w:r>
      <w:r w:rsidRPr="00607524">
        <w:rPr>
          <w:rFonts w:ascii="Arial" w:hAnsi="Arial" w:cs="Arial"/>
        </w:rPr>
        <w:t xml:space="preserve"> diagnosis is required for all non-acute and residential episodes of care.</w:t>
      </w:r>
    </w:p>
    <w:p w:rsidR="00607524" w:rsidRPr="00607524" w:rsidRDefault="00607524" w:rsidP="00607524">
      <w:pPr>
        <w:spacing w:line="312" w:lineRule="auto"/>
        <w:rPr>
          <w:rFonts w:ascii="Arial" w:hAnsi="Arial" w:cs="Arial"/>
        </w:rPr>
      </w:pPr>
    </w:p>
    <w:p w:rsidR="00607524" w:rsidRPr="00607524" w:rsidRDefault="00607524" w:rsidP="00607524">
      <w:pPr>
        <w:spacing w:line="312" w:lineRule="auto"/>
        <w:rPr>
          <w:rFonts w:ascii="Arial" w:hAnsi="Arial" w:cs="Arial"/>
        </w:rPr>
      </w:pPr>
      <w:r w:rsidRPr="00607524">
        <w:rPr>
          <w:rFonts w:ascii="Arial" w:hAnsi="Arial" w:cs="Arial"/>
        </w:rPr>
        <w:t>A separation</w:t>
      </w:r>
      <w:r w:rsidRPr="00607524">
        <w:rPr>
          <w:rFonts w:ascii="Arial" w:hAnsi="Arial" w:cs="Arial"/>
          <w:vertAlign w:val="superscript"/>
        </w:rPr>
        <w:t>1</w:t>
      </w:r>
      <w:r w:rsidRPr="00607524">
        <w:rPr>
          <w:rFonts w:ascii="Arial" w:hAnsi="Arial" w:cs="Arial"/>
        </w:rPr>
        <w:t xml:space="preserve"> diagnosis is required for all admitted, non-acute and residential episodes of care.</w:t>
      </w:r>
    </w:p>
    <w:p w:rsidR="00607524" w:rsidRPr="00607524" w:rsidRDefault="00607524" w:rsidP="00607524">
      <w:pPr>
        <w:spacing w:line="312" w:lineRule="auto"/>
        <w:rPr>
          <w:rFonts w:ascii="Arial" w:hAnsi="Arial" w:cs="Arial"/>
        </w:rPr>
      </w:pPr>
    </w:p>
    <w:p w:rsidR="00607524" w:rsidRDefault="00607524" w:rsidP="00607524">
      <w:pPr>
        <w:spacing w:line="312" w:lineRule="auto"/>
        <w:rPr>
          <w:rFonts w:ascii="Arial" w:hAnsi="Arial" w:cs="Arial"/>
        </w:rPr>
      </w:pPr>
      <w:r w:rsidRPr="00607524">
        <w:rPr>
          <w:rFonts w:ascii="Arial" w:hAnsi="Arial" w:cs="Arial"/>
        </w:rPr>
        <w:t>A community</w:t>
      </w:r>
      <w:r w:rsidRPr="00607524">
        <w:rPr>
          <w:rFonts w:ascii="Arial" w:hAnsi="Arial" w:cs="Arial"/>
          <w:vertAlign w:val="superscript"/>
        </w:rPr>
        <w:t>1</w:t>
      </w:r>
      <w:r w:rsidRPr="00607524">
        <w:rPr>
          <w:rFonts w:ascii="Arial" w:hAnsi="Arial" w:cs="Arial"/>
        </w:rPr>
        <w:t xml:space="preserve"> diagnosis is required for all community clients.</w:t>
      </w:r>
    </w:p>
    <w:p w:rsidR="00607524" w:rsidRPr="00B63AE8" w:rsidRDefault="00607524" w:rsidP="00607524">
      <w:pPr>
        <w:pStyle w:val="Heading1"/>
      </w:pPr>
      <w:r>
        <w:t>Purpose</w:t>
      </w:r>
    </w:p>
    <w:bookmarkEnd w:id="1"/>
    <w:p w:rsidR="00607524" w:rsidRDefault="00607524" w:rsidP="00607524">
      <w:pPr>
        <w:spacing w:line="288" w:lineRule="auto"/>
        <w:rPr>
          <w:rFonts w:ascii="Arial" w:hAnsi="Arial" w:cs="Arial"/>
        </w:rPr>
      </w:pPr>
      <w:r w:rsidRPr="00C9641D">
        <w:rPr>
          <w:rFonts w:ascii="Arial" w:hAnsi="Arial" w:cs="Arial"/>
        </w:rPr>
        <w:t>To provide advice about when to record diagnoses in CMI/ODS for persons receiving treatment in public mental health services.</w:t>
      </w:r>
    </w:p>
    <w:p w:rsidR="00607524" w:rsidRPr="00B63AE8" w:rsidRDefault="00607524" w:rsidP="00607524">
      <w:pPr>
        <w:pStyle w:val="Heading1"/>
      </w:pPr>
      <w:r>
        <w:t>Background</w:t>
      </w:r>
    </w:p>
    <w:p w:rsidR="00607524" w:rsidRPr="00F70236" w:rsidRDefault="00607524" w:rsidP="00607524">
      <w:pPr>
        <w:autoSpaceDE w:val="0"/>
        <w:autoSpaceDN w:val="0"/>
        <w:adjustRightInd w:val="0"/>
        <w:spacing w:line="312" w:lineRule="auto"/>
        <w:rPr>
          <w:rFonts w:ascii="Arial" w:hAnsi="Arial" w:cs="Arial"/>
          <w:lang w:eastAsia="en-AU"/>
        </w:rPr>
      </w:pPr>
      <w:r w:rsidRPr="00F70236">
        <w:rPr>
          <w:rFonts w:ascii="Arial" w:hAnsi="Arial" w:cs="Arial"/>
          <w:lang w:eastAsia="en-AU"/>
        </w:rPr>
        <w:t>CMI/ODS is the Victorian public mental health client information management system and comprises:</w:t>
      </w:r>
    </w:p>
    <w:p w:rsidR="00607524" w:rsidRPr="00F70236" w:rsidRDefault="00607524" w:rsidP="00607524">
      <w:pPr>
        <w:numPr>
          <w:ilvl w:val="0"/>
          <w:numId w:val="5"/>
        </w:numPr>
        <w:tabs>
          <w:tab w:val="clear" w:pos="720"/>
          <w:tab w:val="left" w:pos="362"/>
        </w:tabs>
        <w:autoSpaceDE w:val="0"/>
        <w:autoSpaceDN w:val="0"/>
        <w:adjustRightInd w:val="0"/>
        <w:spacing w:line="312" w:lineRule="auto"/>
        <w:ind w:left="362" w:hanging="362"/>
        <w:rPr>
          <w:rFonts w:ascii="Arial" w:hAnsi="Arial" w:cs="Arial"/>
          <w:lang w:eastAsia="en-AU"/>
        </w:rPr>
      </w:pPr>
      <w:r w:rsidRPr="00F70236">
        <w:rPr>
          <w:rFonts w:ascii="Arial" w:hAnsi="Arial" w:cs="Arial"/>
          <w:lang w:eastAsia="en-AU"/>
        </w:rPr>
        <w:t>Cli</w:t>
      </w:r>
      <w:r>
        <w:rPr>
          <w:rFonts w:ascii="Arial" w:hAnsi="Arial" w:cs="Arial"/>
          <w:lang w:eastAsia="en-AU"/>
        </w:rPr>
        <w:t>ent Management Interface (CMI).  T</w:t>
      </w:r>
      <w:r w:rsidRPr="00F70236">
        <w:rPr>
          <w:rFonts w:ascii="Arial" w:hAnsi="Arial" w:cs="Arial"/>
          <w:lang w:eastAsia="en-AU"/>
        </w:rPr>
        <w:t>he CMI is the local client information system used by each public mental health service</w:t>
      </w:r>
    </w:p>
    <w:p w:rsidR="00607524" w:rsidRPr="00F70236" w:rsidRDefault="00607524" w:rsidP="00607524">
      <w:pPr>
        <w:numPr>
          <w:ilvl w:val="0"/>
          <w:numId w:val="5"/>
        </w:numPr>
        <w:tabs>
          <w:tab w:val="clear" w:pos="720"/>
          <w:tab w:val="left" w:pos="362"/>
        </w:tabs>
        <w:autoSpaceDE w:val="0"/>
        <w:autoSpaceDN w:val="0"/>
        <w:adjustRightInd w:val="0"/>
        <w:spacing w:line="312" w:lineRule="auto"/>
        <w:ind w:left="362" w:hanging="362"/>
        <w:rPr>
          <w:rFonts w:ascii="Arial" w:hAnsi="Arial" w:cs="Arial"/>
          <w:lang w:eastAsia="en-AU"/>
        </w:rPr>
      </w:pPr>
      <w:r>
        <w:rPr>
          <w:rFonts w:ascii="Arial" w:hAnsi="Arial" w:cs="Arial"/>
          <w:lang w:eastAsia="en-AU"/>
        </w:rPr>
        <w:t>Operational Data Store (ODS).  T</w:t>
      </w:r>
      <w:r w:rsidRPr="00F70236">
        <w:rPr>
          <w:rFonts w:ascii="Arial" w:hAnsi="Arial" w:cs="Arial"/>
          <w:lang w:eastAsia="en-AU"/>
        </w:rPr>
        <w:t>he ODS manages a set of select data items from each CMI and is used to:</w:t>
      </w:r>
    </w:p>
    <w:p w:rsidR="00607524" w:rsidRPr="00607524" w:rsidRDefault="00607524" w:rsidP="00607524">
      <w:pPr>
        <w:pStyle w:val="ListParagraph"/>
        <w:numPr>
          <w:ilvl w:val="0"/>
          <w:numId w:val="6"/>
        </w:numPr>
        <w:autoSpaceDE w:val="0"/>
        <w:autoSpaceDN w:val="0"/>
        <w:adjustRightInd w:val="0"/>
        <w:spacing w:line="312" w:lineRule="auto"/>
        <w:rPr>
          <w:rFonts w:ascii="Arial" w:hAnsi="Arial" w:cs="Arial"/>
          <w:lang w:eastAsia="en-AU"/>
        </w:rPr>
      </w:pPr>
      <w:r w:rsidRPr="00607524">
        <w:rPr>
          <w:rFonts w:ascii="Arial" w:hAnsi="Arial" w:cs="Arial"/>
          <w:lang w:eastAsia="en-AU"/>
        </w:rPr>
        <w:t xml:space="preserve">allocate a unique (mental health) registration number for each client, known as the </w:t>
      </w:r>
      <w:proofErr w:type="spellStart"/>
      <w:r w:rsidRPr="00607524">
        <w:rPr>
          <w:rFonts w:ascii="Arial" w:hAnsi="Arial" w:cs="Arial"/>
          <w:lang w:eastAsia="en-AU"/>
        </w:rPr>
        <w:t>statewide</w:t>
      </w:r>
      <w:proofErr w:type="spellEnd"/>
      <w:r w:rsidRPr="00607524">
        <w:rPr>
          <w:rFonts w:ascii="Arial" w:hAnsi="Arial" w:cs="Arial"/>
          <w:lang w:eastAsia="en-AU"/>
        </w:rPr>
        <w:t xml:space="preserve"> unit record (UR) number</w:t>
      </w:r>
    </w:p>
    <w:p w:rsidR="00607524" w:rsidRPr="00607524" w:rsidRDefault="00607524" w:rsidP="00607524">
      <w:pPr>
        <w:pStyle w:val="ListParagraph"/>
        <w:numPr>
          <w:ilvl w:val="0"/>
          <w:numId w:val="6"/>
        </w:numPr>
        <w:autoSpaceDE w:val="0"/>
        <w:autoSpaceDN w:val="0"/>
        <w:adjustRightInd w:val="0"/>
        <w:spacing w:line="312" w:lineRule="auto"/>
        <w:rPr>
          <w:rFonts w:ascii="Arial" w:hAnsi="Arial" w:cs="Arial"/>
          <w:lang w:eastAsia="en-AU"/>
        </w:rPr>
      </w:pPr>
      <w:r w:rsidRPr="00607524">
        <w:rPr>
          <w:rFonts w:ascii="Arial" w:hAnsi="Arial" w:cs="Arial"/>
          <w:lang w:eastAsia="en-AU"/>
        </w:rPr>
        <w:lastRenderedPageBreak/>
        <w:t>share select client-level data between Victorian public area mental health services (AMHS) to support continuity of treatment and care</w:t>
      </w:r>
    </w:p>
    <w:p w:rsidR="00607524" w:rsidRPr="00607524" w:rsidRDefault="00607524" w:rsidP="00607524">
      <w:pPr>
        <w:pStyle w:val="ListParagraph"/>
        <w:numPr>
          <w:ilvl w:val="0"/>
          <w:numId w:val="6"/>
        </w:numPr>
        <w:autoSpaceDE w:val="0"/>
        <w:autoSpaceDN w:val="0"/>
        <w:adjustRightInd w:val="0"/>
        <w:spacing w:line="312" w:lineRule="auto"/>
        <w:rPr>
          <w:rFonts w:ascii="Arial" w:hAnsi="Arial" w:cs="Arial"/>
          <w:lang w:eastAsia="en-AU"/>
        </w:rPr>
      </w:pPr>
      <w:r w:rsidRPr="00607524">
        <w:rPr>
          <w:rFonts w:ascii="Arial" w:hAnsi="Arial" w:cs="Arial"/>
          <w:lang w:eastAsia="en-AU"/>
        </w:rPr>
        <w:t>ensure the legal basis for providing treatment is evident to all public mental health service providers where a client may be unable or unwilling to consent to treatment</w:t>
      </w:r>
    </w:p>
    <w:p w:rsidR="00607524" w:rsidRPr="00607524" w:rsidRDefault="00607524" w:rsidP="00607524">
      <w:pPr>
        <w:pStyle w:val="ListParagraph"/>
        <w:numPr>
          <w:ilvl w:val="0"/>
          <w:numId w:val="6"/>
        </w:numPr>
        <w:autoSpaceDE w:val="0"/>
        <w:autoSpaceDN w:val="0"/>
        <w:adjustRightInd w:val="0"/>
        <w:spacing w:line="312" w:lineRule="auto"/>
        <w:rPr>
          <w:rFonts w:ascii="Arial" w:hAnsi="Arial" w:cs="Arial"/>
          <w:lang w:eastAsia="en-AU"/>
        </w:rPr>
      </w:pPr>
      <w:r w:rsidRPr="00607524">
        <w:rPr>
          <w:rFonts w:ascii="Arial" w:hAnsi="Arial" w:cs="Arial"/>
          <w:lang w:eastAsia="en-AU"/>
        </w:rPr>
        <w:t>meet the various reporting requirements of the Department of Health</w:t>
      </w:r>
    </w:p>
    <w:p w:rsidR="00607524" w:rsidRDefault="00607524" w:rsidP="00607524">
      <w:pPr>
        <w:pStyle w:val="ListParagraph"/>
        <w:numPr>
          <w:ilvl w:val="0"/>
          <w:numId w:val="6"/>
        </w:numPr>
        <w:spacing w:line="288" w:lineRule="auto"/>
        <w:rPr>
          <w:rFonts w:ascii="Arial" w:hAnsi="Arial" w:cs="Arial"/>
        </w:rPr>
      </w:pPr>
      <w:proofErr w:type="gramStart"/>
      <w:r w:rsidRPr="00607524">
        <w:rPr>
          <w:rFonts w:ascii="Arial" w:hAnsi="Arial" w:cs="Arial"/>
          <w:lang w:eastAsia="en-AU"/>
        </w:rPr>
        <w:t>support</w:t>
      </w:r>
      <w:proofErr w:type="gramEnd"/>
      <w:r w:rsidRPr="00607524">
        <w:rPr>
          <w:rFonts w:ascii="Arial" w:hAnsi="Arial" w:cs="Arial"/>
          <w:lang w:eastAsia="en-AU"/>
        </w:rPr>
        <w:t xml:space="preserve"> the statutory functions of the Chief Psychiatrist and the Mental Health Review Board.</w:t>
      </w:r>
    </w:p>
    <w:p w:rsidR="00607524" w:rsidRPr="00B63AE8" w:rsidRDefault="00FE5ADD" w:rsidP="00607524">
      <w:pPr>
        <w:pStyle w:val="Heading1"/>
      </w:pPr>
      <w:r>
        <w:t>Recording Diagnoses</w:t>
      </w:r>
    </w:p>
    <w:p w:rsidR="00607524" w:rsidRPr="00C9641D" w:rsidRDefault="00607524" w:rsidP="00607524">
      <w:pPr>
        <w:spacing w:line="312" w:lineRule="auto"/>
        <w:rPr>
          <w:rFonts w:ascii="Arial" w:hAnsi="Arial" w:cs="Arial"/>
        </w:rPr>
      </w:pPr>
      <w:r w:rsidRPr="00C9641D">
        <w:rPr>
          <w:rFonts w:ascii="Arial" w:hAnsi="Arial" w:cs="Arial"/>
        </w:rPr>
        <w:t xml:space="preserve">Recording diagnoses assists in the clinical management of individual clients and provides essential information to guide the Department of </w:t>
      </w:r>
      <w:r w:rsidRPr="007379B0">
        <w:rPr>
          <w:rFonts w:ascii="Arial" w:hAnsi="Arial" w:cs="Arial"/>
        </w:rPr>
        <w:t>Health</w:t>
      </w:r>
      <w:r w:rsidRPr="00C9641D">
        <w:rPr>
          <w:rFonts w:ascii="Arial" w:hAnsi="Arial" w:cs="Arial"/>
        </w:rPr>
        <w:t xml:space="preserve"> in developing policies and priorities for resource allocation. It is also a mandatory data element in national minimum datasets as specified under the Australian Health Care Agreement to which the State of </w:t>
      </w:r>
      <w:smartTag w:uri="urn:schemas-microsoft-com:office:smarttags" w:element="State">
        <w:smartTag w:uri="urn:schemas-microsoft-com:office:smarttags" w:element="place">
          <w:r w:rsidRPr="00C9641D">
            <w:rPr>
              <w:rFonts w:ascii="Arial" w:hAnsi="Arial" w:cs="Arial"/>
            </w:rPr>
            <w:t>Victoria</w:t>
          </w:r>
        </w:smartTag>
      </w:smartTag>
      <w:r w:rsidRPr="00C9641D">
        <w:rPr>
          <w:rFonts w:ascii="Arial" w:hAnsi="Arial" w:cs="Arial"/>
        </w:rPr>
        <w:t xml:space="preserve"> is a signatory.</w:t>
      </w:r>
    </w:p>
    <w:p w:rsidR="00607524" w:rsidRDefault="00607524" w:rsidP="00607524">
      <w:pPr>
        <w:spacing w:line="312" w:lineRule="auto"/>
        <w:rPr>
          <w:rFonts w:ascii="Arial" w:hAnsi="Arial" w:cs="Arial"/>
        </w:rPr>
      </w:pPr>
    </w:p>
    <w:p w:rsidR="00607524" w:rsidRPr="00C9641D" w:rsidRDefault="00607524" w:rsidP="00607524">
      <w:pPr>
        <w:spacing w:line="312" w:lineRule="auto"/>
        <w:rPr>
          <w:rFonts w:ascii="Arial" w:hAnsi="Arial" w:cs="Arial"/>
        </w:rPr>
      </w:pPr>
      <w:proofErr w:type="gramStart"/>
      <w:r w:rsidRPr="00C9641D">
        <w:rPr>
          <w:rFonts w:ascii="Arial" w:hAnsi="Arial" w:cs="Arial"/>
        </w:rPr>
        <w:t>‘A diagnosis is the decision reached, after assessment, of the nature and identity of the disease or condition of a patient’ (</w:t>
      </w:r>
      <w:r w:rsidRPr="00C9641D">
        <w:rPr>
          <w:rFonts w:ascii="Arial" w:hAnsi="Arial" w:cs="Arial"/>
          <w:i/>
          <w:iCs/>
        </w:rPr>
        <w:t>National Health Data Dictionary</w:t>
      </w:r>
      <w:r w:rsidRPr="00C9641D">
        <w:rPr>
          <w:rFonts w:ascii="Arial" w:hAnsi="Arial" w:cs="Arial"/>
        </w:rPr>
        <w:t>, Version 1</w:t>
      </w:r>
      <w:r w:rsidRPr="007379B0">
        <w:rPr>
          <w:rFonts w:ascii="Arial" w:hAnsi="Arial" w:cs="Arial"/>
        </w:rPr>
        <w:t>5</w:t>
      </w:r>
      <w:r w:rsidRPr="00C9641D">
        <w:rPr>
          <w:rFonts w:ascii="Arial" w:hAnsi="Arial" w:cs="Arial"/>
        </w:rPr>
        <w:t>).</w:t>
      </w:r>
      <w:proofErr w:type="gramEnd"/>
    </w:p>
    <w:p w:rsidR="00607524" w:rsidRPr="00C9641D" w:rsidRDefault="00607524" w:rsidP="00607524">
      <w:pPr>
        <w:spacing w:line="312" w:lineRule="auto"/>
        <w:rPr>
          <w:rFonts w:ascii="Arial" w:hAnsi="Arial" w:cs="Arial"/>
        </w:rPr>
      </w:pPr>
    </w:p>
    <w:p w:rsidR="00607524" w:rsidRDefault="00607524" w:rsidP="00607524">
      <w:pPr>
        <w:spacing w:line="288" w:lineRule="auto"/>
        <w:rPr>
          <w:rFonts w:ascii="Arial" w:hAnsi="Arial" w:cs="Arial"/>
        </w:rPr>
      </w:pPr>
      <w:r w:rsidRPr="00C9641D">
        <w:rPr>
          <w:rFonts w:ascii="Arial" w:hAnsi="Arial" w:cs="Arial"/>
        </w:rPr>
        <w:t xml:space="preserve">Diagnoses represent the major or principal condition and other primary conditions, complications or co-morbidities and associated conditions treated or investigated during the relevant episode of care. Diagnoses must be coded in accordance with the agreed </w:t>
      </w:r>
      <w:r w:rsidRPr="00C9641D">
        <w:rPr>
          <w:rFonts w:ascii="Arial" w:hAnsi="Arial" w:cs="Arial"/>
          <w:i/>
          <w:iCs/>
        </w:rPr>
        <w:t>Australian Coding Standards – Victorian Additions</w:t>
      </w:r>
      <w:r w:rsidRPr="00C9641D">
        <w:rPr>
          <w:rFonts w:ascii="Arial" w:hAnsi="Arial" w:cs="Arial"/>
        </w:rPr>
        <w:t xml:space="preserve">, and advice as published from time to time in the </w:t>
      </w:r>
      <w:r w:rsidRPr="007379B0">
        <w:rPr>
          <w:rFonts w:ascii="Arial" w:hAnsi="Arial" w:cs="Arial"/>
        </w:rPr>
        <w:t>Department of Health</w:t>
      </w:r>
      <w:r w:rsidRPr="007379B0">
        <w:rPr>
          <w:rFonts w:ascii="Arial" w:hAnsi="Arial" w:cs="Arial"/>
          <w:i/>
          <w:iCs/>
        </w:rPr>
        <w:t xml:space="preserve"> ‘ICD - </w:t>
      </w:r>
      <w:r w:rsidRPr="007379B0">
        <w:rPr>
          <w:rFonts w:ascii="Arial" w:hAnsi="Arial" w:cs="Arial"/>
        </w:rPr>
        <w:t>clinical coding information.’</w:t>
      </w:r>
    </w:p>
    <w:p w:rsidR="00607524" w:rsidRPr="00B63AE8" w:rsidRDefault="00607524" w:rsidP="00607524">
      <w:pPr>
        <w:pStyle w:val="Heading1"/>
      </w:pPr>
      <w:r>
        <w:t>Bed Based Services</w:t>
      </w:r>
    </w:p>
    <w:p w:rsidR="00607524" w:rsidRPr="00B63AE8" w:rsidRDefault="00607524" w:rsidP="00607524">
      <w:pPr>
        <w:pStyle w:val="Heading2"/>
      </w:pPr>
      <w:r>
        <w:t>Acute</w:t>
      </w:r>
    </w:p>
    <w:p w:rsidR="00607524" w:rsidRDefault="00607524" w:rsidP="00607524">
      <w:pPr>
        <w:spacing w:line="288" w:lineRule="auto"/>
        <w:rPr>
          <w:rFonts w:ascii="Arial" w:hAnsi="Arial" w:cs="Arial"/>
        </w:rPr>
      </w:pPr>
      <w:r w:rsidRPr="00C9641D">
        <w:rPr>
          <w:rFonts w:ascii="Arial" w:hAnsi="Arial" w:cs="Arial"/>
        </w:rPr>
        <w:t>Every admitted episode of care must have a separation</w:t>
      </w:r>
      <w:r w:rsidRPr="00C9641D">
        <w:rPr>
          <w:rFonts w:ascii="Arial" w:hAnsi="Arial" w:cs="Arial"/>
          <w:vertAlign w:val="superscript"/>
        </w:rPr>
        <w:t>1</w:t>
      </w:r>
      <w:r w:rsidRPr="00C9641D">
        <w:rPr>
          <w:rFonts w:ascii="Arial" w:hAnsi="Arial" w:cs="Arial"/>
        </w:rPr>
        <w:t xml:space="preserve"> diagnosis assigned within six weeks of the end of the month of separation. This requirement is aligned with the Victorian Admitted Episodes Dataset (VAED) reporting requirements for admitted episodes and is intended to assist health services in their compliance with the reporting requirements of both systems. </w:t>
      </w:r>
      <w:r w:rsidRPr="007379B0">
        <w:rPr>
          <w:rFonts w:ascii="Arial" w:hAnsi="Arial" w:cs="Arial"/>
        </w:rPr>
        <w:t>Services may need to record diagnoses earlier to facilitate analysis of their outcome measurement data.  For same-day ECT procedure ‘Task‘ event, a separation</w:t>
      </w:r>
      <w:r w:rsidRPr="007379B0">
        <w:rPr>
          <w:rFonts w:ascii="Arial" w:hAnsi="Arial" w:cs="Arial"/>
          <w:vertAlign w:val="superscript"/>
        </w:rPr>
        <w:t xml:space="preserve">1 </w:t>
      </w:r>
      <w:r w:rsidRPr="007379B0">
        <w:rPr>
          <w:rFonts w:ascii="Arial" w:hAnsi="Arial" w:cs="Arial"/>
        </w:rPr>
        <w:t>diagnosis must be record</w:t>
      </w:r>
      <w:r>
        <w:rPr>
          <w:rFonts w:ascii="Arial" w:hAnsi="Arial" w:cs="Arial"/>
        </w:rPr>
        <w:t xml:space="preserve">ed for each course of treatment using the diagnosis associated with the </w:t>
      </w:r>
      <w:proofErr w:type="spellStart"/>
      <w:r>
        <w:rPr>
          <w:rFonts w:ascii="Arial" w:hAnsi="Arial" w:cs="Arial"/>
        </w:rPr>
        <w:t>reson</w:t>
      </w:r>
      <w:proofErr w:type="spellEnd"/>
      <w:r>
        <w:rPr>
          <w:rFonts w:ascii="Arial" w:hAnsi="Arial" w:cs="Arial"/>
        </w:rPr>
        <w:t xml:space="preserve"> for ECT as specified by the treating psychiatrist on the consent form.</w:t>
      </w:r>
    </w:p>
    <w:p w:rsidR="00607524" w:rsidRPr="00B63AE8" w:rsidRDefault="00607524" w:rsidP="00607524">
      <w:pPr>
        <w:pStyle w:val="Heading2"/>
      </w:pPr>
      <w:r>
        <w:t>Non-acute and residential</w:t>
      </w:r>
    </w:p>
    <w:p w:rsidR="00607524" w:rsidRPr="00C9641D" w:rsidRDefault="00607524" w:rsidP="00607524">
      <w:pPr>
        <w:spacing w:line="312" w:lineRule="auto"/>
        <w:rPr>
          <w:rFonts w:ascii="Arial" w:hAnsi="Arial" w:cs="Arial"/>
        </w:rPr>
      </w:pPr>
      <w:r w:rsidRPr="00C9641D">
        <w:rPr>
          <w:rFonts w:ascii="Arial" w:hAnsi="Arial" w:cs="Arial"/>
        </w:rPr>
        <w:t>Separation</w:t>
      </w:r>
      <w:r w:rsidRPr="00C9641D">
        <w:rPr>
          <w:rFonts w:ascii="Arial" w:hAnsi="Arial" w:cs="Arial"/>
          <w:vertAlign w:val="superscript"/>
        </w:rPr>
        <w:t>1</w:t>
      </w:r>
      <w:r w:rsidRPr="00C9641D">
        <w:rPr>
          <w:rFonts w:ascii="Arial" w:hAnsi="Arial" w:cs="Arial"/>
        </w:rPr>
        <w:t xml:space="preserve"> diagnosis must be entered in the same way as acute inpatient services (as above).</w:t>
      </w:r>
    </w:p>
    <w:p w:rsidR="00607524" w:rsidRPr="00C9641D" w:rsidRDefault="00607524" w:rsidP="00607524">
      <w:pPr>
        <w:spacing w:line="312" w:lineRule="auto"/>
        <w:rPr>
          <w:rFonts w:ascii="Arial" w:hAnsi="Arial" w:cs="Arial"/>
        </w:rPr>
      </w:pPr>
      <w:r w:rsidRPr="00C9641D">
        <w:rPr>
          <w:rFonts w:ascii="Arial" w:hAnsi="Arial" w:cs="Arial"/>
        </w:rPr>
        <w:t>Non-acute and residential admitted episodes must also be assigned an admission</w:t>
      </w:r>
      <w:r w:rsidRPr="00C9641D">
        <w:rPr>
          <w:rFonts w:ascii="Arial" w:hAnsi="Arial" w:cs="Arial"/>
          <w:vertAlign w:val="superscript"/>
        </w:rPr>
        <w:t>1</w:t>
      </w:r>
      <w:r w:rsidRPr="00C9641D">
        <w:rPr>
          <w:rFonts w:ascii="Arial" w:hAnsi="Arial" w:cs="Arial"/>
        </w:rPr>
        <w:t xml:space="preserve"> diagnosis.</w:t>
      </w:r>
    </w:p>
    <w:p w:rsidR="00607524" w:rsidRPr="00C9641D" w:rsidRDefault="00607524" w:rsidP="00607524">
      <w:pPr>
        <w:spacing w:line="312" w:lineRule="auto"/>
        <w:rPr>
          <w:rFonts w:ascii="Arial" w:hAnsi="Arial" w:cs="Arial"/>
        </w:rPr>
      </w:pPr>
      <w:r w:rsidRPr="00C9641D">
        <w:rPr>
          <w:rFonts w:ascii="Arial" w:hAnsi="Arial" w:cs="Arial"/>
        </w:rPr>
        <w:t>These episodes of care must have an admission</w:t>
      </w:r>
      <w:r w:rsidRPr="00C9641D">
        <w:rPr>
          <w:rFonts w:ascii="Arial" w:hAnsi="Arial" w:cs="Arial"/>
          <w:vertAlign w:val="superscript"/>
        </w:rPr>
        <w:t>1</w:t>
      </w:r>
      <w:r w:rsidRPr="00C9641D">
        <w:rPr>
          <w:rFonts w:ascii="Arial" w:hAnsi="Arial" w:cs="Arial"/>
        </w:rPr>
        <w:t xml:space="preserve"> diagnosis assigned within six weeks of the end of the month of admission for episodes of less than one month the separation</w:t>
      </w:r>
      <w:r w:rsidRPr="00C9641D">
        <w:rPr>
          <w:rFonts w:ascii="Arial" w:hAnsi="Arial" w:cs="Arial"/>
          <w:vertAlign w:val="superscript"/>
        </w:rPr>
        <w:t>1</w:t>
      </w:r>
      <w:r w:rsidRPr="00C9641D">
        <w:rPr>
          <w:rFonts w:ascii="Arial" w:hAnsi="Arial" w:cs="Arial"/>
        </w:rPr>
        <w:t xml:space="preserve"> diagnosis is sufficient).</w:t>
      </w:r>
    </w:p>
    <w:p w:rsidR="00607524" w:rsidRPr="00B63AE8" w:rsidRDefault="00607524" w:rsidP="00607524">
      <w:pPr>
        <w:pStyle w:val="Heading1"/>
      </w:pPr>
      <w:r>
        <w:t>Ambulatory Community</w:t>
      </w:r>
    </w:p>
    <w:p w:rsidR="00607524" w:rsidRPr="00B63AE8" w:rsidRDefault="00607524" w:rsidP="00607524">
      <w:pPr>
        <w:pStyle w:val="Heading2"/>
      </w:pPr>
      <w:r>
        <w:t>Community clients</w:t>
      </w:r>
    </w:p>
    <w:p w:rsidR="00607524" w:rsidRPr="00C9641D" w:rsidRDefault="00607524" w:rsidP="00607524">
      <w:pPr>
        <w:spacing w:line="312" w:lineRule="auto"/>
        <w:rPr>
          <w:rFonts w:ascii="Arial" w:hAnsi="Arial" w:cs="Arial"/>
        </w:rPr>
      </w:pPr>
      <w:r w:rsidRPr="00C9641D">
        <w:rPr>
          <w:rFonts w:ascii="Arial" w:hAnsi="Arial" w:cs="Arial"/>
        </w:rPr>
        <w:t>Registered community clients who do not have a case or episode, are required to have a community</w:t>
      </w:r>
      <w:r w:rsidRPr="00C9641D">
        <w:rPr>
          <w:rFonts w:ascii="Arial" w:hAnsi="Arial" w:cs="Arial"/>
          <w:vertAlign w:val="superscript"/>
        </w:rPr>
        <w:t>1</w:t>
      </w:r>
      <w:r w:rsidRPr="00C9641D">
        <w:rPr>
          <w:rFonts w:ascii="Arial" w:hAnsi="Arial" w:cs="Arial"/>
        </w:rPr>
        <w:t xml:space="preserve"> event diagnosis recorded within four weeks of the end of the month of registration.</w:t>
      </w:r>
    </w:p>
    <w:p w:rsidR="00607524" w:rsidRPr="00B63AE8" w:rsidRDefault="00607524" w:rsidP="00607524">
      <w:pPr>
        <w:pStyle w:val="Heading2"/>
      </w:pPr>
      <w:r>
        <w:lastRenderedPageBreak/>
        <w:t>Community clients</w:t>
      </w:r>
      <w:r>
        <w:t xml:space="preserve"> with case and episodes</w:t>
      </w:r>
    </w:p>
    <w:p w:rsidR="00607524" w:rsidRPr="00C9641D" w:rsidRDefault="00607524" w:rsidP="00607524">
      <w:pPr>
        <w:spacing w:line="312" w:lineRule="auto"/>
        <w:rPr>
          <w:rFonts w:ascii="Arial" w:hAnsi="Arial" w:cs="Arial"/>
        </w:rPr>
      </w:pPr>
      <w:r w:rsidRPr="00C9641D">
        <w:rPr>
          <w:rFonts w:ascii="Arial" w:hAnsi="Arial" w:cs="Arial"/>
        </w:rPr>
        <w:t>Diagnoses for clients with community episodes (and therefore a case) must be assigned a community</w:t>
      </w:r>
      <w:r w:rsidRPr="00C9641D">
        <w:rPr>
          <w:rFonts w:ascii="Arial" w:hAnsi="Arial" w:cs="Arial"/>
          <w:vertAlign w:val="superscript"/>
        </w:rPr>
        <w:t>1</w:t>
      </w:r>
      <w:r w:rsidRPr="00C9641D">
        <w:rPr>
          <w:rFonts w:ascii="Arial" w:hAnsi="Arial" w:cs="Arial"/>
        </w:rPr>
        <w:t xml:space="preserve"> diagnosis within four weeks of the end of the month of the episode start.</w:t>
      </w:r>
    </w:p>
    <w:p w:rsidR="00607524" w:rsidRPr="00C9641D" w:rsidRDefault="00607524" w:rsidP="00607524">
      <w:pPr>
        <w:spacing w:line="312" w:lineRule="auto"/>
        <w:rPr>
          <w:rFonts w:ascii="Arial" w:hAnsi="Arial" w:cs="Arial"/>
        </w:rPr>
      </w:pPr>
      <w:r w:rsidRPr="00C9641D">
        <w:rPr>
          <w:rFonts w:ascii="Arial" w:hAnsi="Arial" w:cs="Arial"/>
        </w:rPr>
        <w:t>Ongoing community episodes are required to have that diagnosis reviewed and updated at intervals no further apart than 12 months (that is, within four weeks of the end of the month of the episode start date).</w:t>
      </w:r>
    </w:p>
    <w:p w:rsidR="00607524" w:rsidRDefault="00607524" w:rsidP="00607524">
      <w:pPr>
        <w:spacing w:line="312" w:lineRule="auto"/>
        <w:rPr>
          <w:rFonts w:ascii="Arial" w:hAnsi="Arial" w:cs="Arial"/>
        </w:rPr>
      </w:pPr>
      <w:r w:rsidRPr="00C9641D">
        <w:rPr>
          <w:rFonts w:ascii="Arial" w:hAnsi="Arial" w:cs="Arial"/>
        </w:rPr>
        <w:t>If the final episode is from a bed-based service, diagnoses must be entered as outlined above.</w:t>
      </w:r>
    </w:p>
    <w:p w:rsidR="00607524" w:rsidRPr="00B63AE8" w:rsidRDefault="00607524" w:rsidP="00607524">
      <w:pPr>
        <w:pStyle w:val="Heading2"/>
      </w:pPr>
      <w:r>
        <w:t>C</w:t>
      </w:r>
      <w:r>
        <w:t>ase closure</w:t>
      </w:r>
    </w:p>
    <w:p w:rsidR="00607524" w:rsidRPr="00B11302" w:rsidRDefault="00607524" w:rsidP="00607524">
      <w:pPr>
        <w:spacing w:line="312" w:lineRule="auto"/>
        <w:rPr>
          <w:rFonts w:ascii="Arial" w:hAnsi="Arial" w:cs="Arial"/>
        </w:rPr>
      </w:pPr>
      <w:r w:rsidRPr="00B11302">
        <w:rPr>
          <w:rFonts w:ascii="Arial" w:hAnsi="Arial" w:cs="Arial"/>
        </w:rPr>
        <w:t>A diagnosis is required for the finalisation of the episode (case closure). If this is a community</w:t>
      </w:r>
      <w:r w:rsidRPr="00B11302">
        <w:rPr>
          <w:rFonts w:ascii="Arial" w:hAnsi="Arial" w:cs="Arial"/>
          <w:vertAlign w:val="superscript"/>
        </w:rPr>
        <w:t>1</w:t>
      </w:r>
      <w:r w:rsidRPr="00B11302">
        <w:rPr>
          <w:rFonts w:ascii="Arial" w:hAnsi="Arial" w:cs="Arial"/>
        </w:rPr>
        <w:t xml:space="preserve"> episode the diagnosis must be entered within four weeks of the end of the month of the episode end (and therefore case closure).</w:t>
      </w:r>
    </w:p>
    <w:p w:rsidR="00607524" w:rsidRPr="00B11302" w:rsidRDefault="00607524" w:rsidP="00607524">
      <w:pPr>
        <w:spacing w:line="312" w:lineRule="auto"/>
        <w:rPr>
          <w:rFonts w:ascii="Arial" w:hAnsi="Arial" w:cs="Arial"/>
        </w:rPr>
      </w:pPr>
      <w:r w:rsidRPr="00B11302">
        <w:rPr>
          <w:rFonts w:ascii="Arial" w:hAnsi="Arial" w:cs="Arial"/>
        </w:rPr>
        <w:t>If the final episode is from a bed-based service, diagnoses must be entered as outlined above.</w:t>
      </w:r>
    </w:p>
    <w:p w:rsidR="00607524" w:rsidRPr="00B63AE8" w:rsidRDefault="00607524" w:rsidP="00607524">
      <w:pPr>
        <w:pStyle w:val="Heading1"/>
      </w:pPr>
      <w:r>
        <w:t>Other</w:t>
      </w:r>
    </w:p>
    <w:p w:rsidR="00607524" w:rsidRPr="00B11302" w:rsidRDefault="00607524" w:rsidP="00607524">
      <w:pPr>
        <w:spacing w:line="312" w:lineRule="auto"/>
        <w:rPr>
          <w:rFonts w:ascii="Arial" w:hAnsi="Arial" w:cs="Arial"/>
        </w:rPr>
      </w:pPr>
      <w:r w:rsidRPr="00B11302">
        <w:rPr>
          <w:rFonts w:ascii="Arial" w:hAnsi="Arial" w:cs="Arial"/>
        </w:rPr>
        <w:t>Other diagnosis events such as ISP</w:t>
      </w:r>
      <w:r w:rsidRPr="00B11302">
        <w:rPr>
          <w:rFonts w:ascii="Arial" w:hAnsi="Arial" w:cs="Arial"/>
          <w:vertAlign w:val="superscript"/>
        </w:rPr>
        <w:t xml:space="preserve">1 </w:t>
      </w:r>
      <w:r w:rsidRPr="00B11302">
        <w:rPr>
          <w:rFonts w:ascii="Arial" w:hAnsi="Arial" w:cs="Arial"/>
        </w:rPr>
        <w:t>and assessment</w:t>
      </w:r>
      <w:r w:rsidRPr="00B11302">
        <w:rPr>
          <w:rFonts w:ascii="Arial" w:hAnsi="Arial" w:cs="Arial"/>
          <w:vertAlign w:val="superscript"/>
        </w:rPr>
        <w:t>1</w:t>
      </w:r>
      <w:r w:rsidRPr="00B11302">
        <w:rPr>
          <w:rFonts w:ascii="Arial" w:hAnsi="Arial" w:cs="Arial"/>
        </w:rPr>
        <w:t xml:space="preserve"> are linked to the specific function. These diagnosis events are not mandatory and at this stage are for local use.</w:t>
      </w:r>
    </w:p>
    <w:p w:rsidR="00607524" w:rsidRPr="00B11302" w:rsidRDefault="00607524" w:rsidP="00607524">
      <w:pPr>
        <w:spacing w:line="312" w:lineRule="auto"/>
        <w:rPr>
          <w:rFonts w:ascii="Arial" w:hAnsi="Arial" w:cs="Arial"/>
        </w:rPr>
      </w:pPr>
      <w:r w:rsidRPr="00B11302">
        <w:rPr>
          <w:rFonts w:ascii="Arial" w:hAnsi="Arial" w:cs="Arial"/>
        </w:rPr>
        <w:t>Where diagnoses are required for reporting to the Chief Psychiatrist (</w:t>
      </w:r>
      <w:r w:rsidRPr="001E661F">
        <w:rPr>
          <w:rFonts w:ascii="Arial" w:hAnsi="Arial" w:cs="Arial"/>
        </w:rPr>
        <w:t>for example,</w:t>
      </w:r>
      <w:r>
        <w:rPr>
          <w:rFonts w:ascii="Arial" w:hAnsi="Arial" w:cs="Arial"/>
        </w:rPr>
        <w:t xml:space="preserve"> </w:t>
      </w:r>
      <w:r w:rsidRPr="00B11302">
        <w:rPr>
          <w:rFonts w:ascii="Arial" w:hAnsi="Arial" w:cs="Arial"/>
        </w:rPr>
        <w:t>Reportable Death Records), separation</w:t>
      </w:r>
      <w:r w:rsidRPr="00B11302">
        <w:rPr>
          <w:rFonts w:ascii="Arial" w:hAnsi="Arial" w:cs="Arial"/>
          <w:vertAlign w:val="superscript"/>
        </w:rPr>
        <w:t>1</w:t>
      </w:r>
      <w:r w:rsidRPr="00B11302">
        <w:rPr>
          <w:rFonts w:ascii="Arial" w:hAnsi="Arial" w:cs="Arial"/>
        </w:rPr>
        <w:t xml:space="preserve"> or community</w:t>
      </w:r>
      <w:r w:rsidRPr="00B11302">
        <w:rPr>
          <w:rFonts w:ascii="Arial" w:hAnsi="Arial" w:cs="Arial"/>
          <w:vertAlign w:val="superscript"/>
        </w:rPr>
        <w:t>1</w:t>
      </w:r>
      <w:r w:rsidRPr="00B11302">
        <w:rPr>
          <w:rFonts w:ascii="Arial" w:hAnsi="Arial" w:cs="Arial"/>
        </w:rPr>
        <w:t xml:space="preserve"> diagnoses are adequate for this purpose.</w:t>
      </w:r>
    </w:p>
    <w:p w:rsidR="00607524" w:rsidRPr="00B63AE8" w:rsidRDefault="00607524" w:rsidP="00607524">
      <w:pPr>
        <w:pStyle w:val="Heading1"/>
      </w:pPr>
      <w:r>
        <w:t>About Management Circulars</w:t>
      </w:r>
    </w:p>
    <w:p w:rsidR="00607524" w:rsidRPr="00607524" w:rsidRDefault="00607524" w:rsidP="00607524">
      <w:pPr>
        <w:pStyle w:val="DHHeading1"/>
      </w:pPr>
      <w:r w:rsidRPr="00607524">
        <w:t>The information provided in this circular is intended as general information and not as legal advice.  Mental health service management should ensure that policies and procedures are developed and implemented to enable staff to collect and use health information in accordance with relevant legislation.</w:t>
      </w:r>
    </w:p>
    <w:p w:rsidR="00607524" w:rsidRDefault="00607524" w:rsidP="00607524">
      <w:pPr>
        <w:spacing w:line="288" w:lineRule="auto"/>
        <w:rPr>
          <w:rFonts w:ascii="Arial" w:hAnsi="Arial" w:cs="Arial"/>
        </w:rPr>
      </w:pPr>
    </w:p>
    <w:p w:rsidR="00607524" w:rsidRDefault="00607524" w:rsidP="00607524">
      <w:pPr>
        <w:spacing w:line="288" w:lineRule="auto"/>
        <w:rPr>
          <w:rFonts w:ascii="Arial" w:hAnsi="Arial" w:cs="Arial"/>
        </w:rPr>
      </w:pPr>
    </w:p>
    <w:p w:rsidR="00607524" w:rsidRPr="00E546EA" w:rsidRDefault="00607524" w:rsidP="00607524">
      <w:pPr>
        <w:spacing w:line="312" w:lineRule="auto"/>
        <w:rPr>
          <w:rFonts w:ascii="Arial" w:hAnsi="Arial" w:cs="Arial"/>
          <w:sz w:val="18"/>
          <w:szCs w:val="18"/>
        </w:rPr>
      </w:pPr>
      <w:r w:rsidRPr="00E546EA">
        <w:rPr>
          <w:rFonts w:ascii="Arial" w:hAnsi="Arial" w:cs="Arial"/>
          <w:sz w:val="18"/>
          <w:szCs w:val="18"/>
          <w:vertAlign w:val="superscript"/>
        </w:rPr>
        <w:t>1</w:t>
      </w:r>
      <w:r w:rsidRPr="00E546EA">
        <w:rPr>
          <w:rFonts w:ascii="Arial" w:hAnsi="Arial" w:cs="Arial"/>
          <w:sz w:val="18"/>
          <w:szCs w:val="18"/>
        </w:rPr>
        <w:t xml:space="preserve"> These are actual diagnosis events and must be used at the appropriate occasion, such as ‘Separation’ diagnosis event to record the separation diagnosis</w:t>
      </w:r>
    </w:p>
    <w:p w:rsidR="002802E3" w:rsidRPr="002802E3" w:rsidRDefault="002802E3" w:rsidP="002802E3">
      <w:pPr>
        <w:spacing w:after="120" w:line="270" w:lineRule="atLeast"/>
        <w:rPr>
          <w:rFonts w:ascii="Arial" w:eastAsia="Times" w:hAnsi="Arial"/>
          <w:i/>
          <w:color w:val="CC0066"/>
          <w:sz w:val="24"/>
          <w:szCs w:val="24"/>
        </w:rPr>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F320C1">
        <w:trPr>
          <w:cantSplit/>
        </w:trPr>
        <w:tc>
          <w:tcPr>
            <w:tcW w:w="4942" w:type="dxa"/>
            <w:tcBorders>
              <w:top w:val="single" w:sz="4" w:space="0" w:color="auto"/>
              <w:left w:val="single" w:sz="4" w:space="0" w:color="auto"/>
              <w:bottom w:val="single" w:sz="4" w:space="0" w:color="auto"/>
              <w:right w:val="single" w:sz="4" w:space="0" w:color="auto"/>
            </w:tcBorders>
            <w:vAlign w:val="bottom"/>
          </w:tcPr>
          <w:p w:rsidR="00607524" w:rsidRPr="002802E3" w:rsidRDefault="00607524" w:rsidP="00607524">
            <w:pPr>
              <w:spacing w:after="120" w:line="270" w:lineRule="atLeast"/>
              <w:rPr>
                <w:rFonts w:ascii="Arial" w:eastAsia="Times" w:hAnsi="Arial"/>
              </w:rPr>
            </w:pPr>
            <w:r w:rsidRPr="002802E3">
              <w:rPr>
                <w:rFonts w:ascii="Arial" w:eastAsia="Times" w:hAnsi="Arial"/>
              </w:rPr>
              <w:t xml:space="preserve">Authorised and published by the Victorian Government, 1 Treasury Place, Melbourne. </w:t>
            </w:r>
          </w:p>
          <w:p w:rsidR="00607524" w:rsidRPr="002802E3" w:rsidRDefault="00607524" w:rsidP="00607524">
            <w:pPr>
              <w:spacing w:after="120" w:line="270" w:lineRule="atLeast"/>
              <w:rPr>
                <w:rFonts w:ascii="Arial" w:eastAsia="Times" w:hAnsi="Arial"/>
              </w:rPr>
            </w:pPr>
            <w:r w:rsidRPr="002802E3">
              <w:rPr>
                <w:rFonts w:ascii="Arial" w:eastAsia="Times" w:hAnsi="Arial"/>
              </w:rPr>
              <w:t xml:space="preserve">© State of Victoria, </w:t>
            </w:r>
            <w:r>
              <w:rPr>
                <w:rFonts w:ascii="Arial" w:eastAsia="Times" w:hAnsi="Arial"/>
                <w:color w:val="CC0066"/>
              </w:rPr>
              <w:t>March 2015</w:t>
            </w:r>
            <w:r w:rsidRPr="002802E3">
              <w:rPr>
                <w:rFonts w:ascii="Arial" w:eastAsia="Times" w:hAnsi="Arial"/>
                <w:color w:val="CC0066"/>
              </w:rPr>
              <w:t xml:space="preserve">. Except where otherwise indicated, the images in this publication show models and illustrative settings only, and do </w:t>
            </w:r>
            <w:r>
              <w:rPr>
                <w:rFonts w:ascii="Arial" w:eastAsia="Times" w:hAnsi="Arial"/>
                <w:color w:val="CC0066"/>
              </w:rPr>
              <w:t xml:space="preserve">not </w:t>
            </w:r>
            <w:r w:rsidRPr="002802E3">
              <w:rPr>
                <w:rFonts w:ascii="Arial" w:eastAsia="Times" w:hAnsi="Arial"/>
                <w:color w:val="CC0066"/>
              </w:rPr>
              <w:t>necessarily depict actual services, facilities or recipients of services. This publication may contain images of deceased Aboriginal and Torres Strait Islander peoples.</w:t>
            </w:r>
          </w:p>
          <w:p w:rsidR="002802E3" w:rsidRPr="002802E3" w:rsidRDefault="00607524" w:rsidP="00607524">
            <w:pPr>
              <w:spacing w:after="120" w:line="270" w:lineRule="atLeast"/>
              <w:rPr>
                <w:rFonts w:ascii="Arial" w:eastAsia="Times" w:hAnsi="Arial"/>
              </w:rPr>
            </w:pPr>
            <w:r w:rsidRPr="002802E3">
              <w:rPr>
                <w:rFonts w:ascii="Arial" w:eastAsia="Times" w:hAnsi="Arial"/>
                <w:szCs w:val="19"/>
                <w:lang w:val="en-US"/>
              </w:rPr>
              <w:t xml:space="preserve">Available at </w:t>
            </w:r>
            <w:r w:rsidRPr="004543C1">
              <w:rPr>
                <w:rFonts w:ascii="Arial" w:eastAsia="Times" w:hAnsi="Arial"/>
                <w:szCs w:val="19"/>
                <w:lang w:val="en-US"/>
              </w:rPr>
              <w:t>http://www.health.vic.gov.au/mhdr-info/rules.htm</w:t>
            </w:r>
          </w:p>
        </w:tc>
      </w:tr>
    </w:tbl>
    <w:p w:rsidR="00B2752E" w:rsidRPr="00906490" w:rsidRDefault="00B2752E" w:rsidP="00FF6D9D">
      <w:pPr>
        <w:pStyle w:val="DHHSbody"/>
      </w:pPr>
    </w:p>
    <w:sectPr w:rsidR="00B2752E" w:rsidRPr="00906490" w:rsidSect="00D23BCF">
      <w:headerReference w:type="default" r:id="rId11"/>
      <w:footerReference w:type="default" r:id="rId12"/>
      <w:type w:val="continuous"/>
      <w:pgSz w:w="11906" w:h="16838"/>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50" w:rsidRDefault="008A4C50">
      <w:r>
        <w:separator/>
      </w:r>
    </w:p>
  </w:endnote>
  <w:endnote w:type="continuationSeparator" w:id="0">
    <w:p w:rsidR="008A4C50" w:rsidRDefault="008A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D23BCF" w:rsidP="00F65AA9">
    <w:pPr>
      <w:pStyle w:val="Footerfirstpage"/>
    </w:pPr>
    <w:r>
      <w:rPr>
        <w:lang w:val="en-AU" w:eastAsia="en-AU"/>
      </w:rPr>
      <w:drawing>
        <wp:anchor distT="0" distB="0" distL="114300" distR="114300" simplePos="0" relativeHeight="251657728" behindDoc="0" locked="1" layoutInCell="1" allowOverlap="1">
          <wp:simplePos x="0" y="0"/>
          <wp:positionH relativeFrom="page">
            <wp:posOffset>0</wp:posOffset>
          </wp:positionH>
          <wp:positionV relativeFrom="page">
            <wp:posOffset>9901555</wp:posOffset>
          </wp:positionV>
          <wp:extent cx="7559675" cy="796925"/>
          <wp:effectExtent l="0" t="0" r="3175" b="3175"/>
          <wp:wrapNone/>
          <wp:docPr id="7" name="Picture 7"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Health &amp; Human Services - State Government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32720B" w:rsidRDefault="009D70A4" w:rsidP="00C33388">
    <w:pPr>
      <w:pStyle w:val="Footerfirstpage"/>
    </w:pPr>
    <w:r w:rsidRPr="008F0962">
      <w:t>Department of Human Service</w:t>
    </w:r>
    <w:r>
      <w:t>s</w:t>
    </w:r>
    <w:r>
      <w:tab/>
    </w:r>
    <w:r w:rsidR="00D23BCF">
      <w:rPr>
        <w:lang w:val="en-AU" w:eastAsia="en-AU"/>
      </w:rPr>
      <w:drawing>
        <wp:inline distT="0" distB="0" distL="0" distR="0">
          <wp:extent cx="914400" cy="522605"/>
          <wp:effectExtent l="0" t="0" r="0" b="0"/>
          <wp:docPr id="2" name="Picture 2" descr="Victorian Government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26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7009D5" w:rsidP="00A11421">
    <w:pPr>
      <w:pStyle w:val="Footer"/>
    </w:pPr>
    <w:r w:rsidRPr="007009D5">
      <w:t>Recording diagnoses in CMI/ODS</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50" w:rsidRDefault="008A4C50" w:rsidP="002862F1">
      <w:pPr>
        <w:spacing w:before="120"/>
      </w:pPr>
      <w:r>
        <w:separator/>
      </w:r>
    </w:p>
  </w:footnote>
  <w:footnote w:type="continuationSeparator" w:id="0">
    <w:p w:rsidR="008A4C50" w:rsidRDefault="008A4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9D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81A8B"/>
    <w:multiLevelType w:val="hybridMultilevel"/>
    <w:tmpl w:val="1220A224"/>
    <w:lvl w:ilvl="0" w:tplc="040A67C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C3697E"/>
    <w:multiLevelType w:val="hybridMultilevel"/>
    <w:tmpl w:val="8D42B19A"/>
    <w:lvl w:ilvl="0" w:tplc="04090001">
      <w:start w:val="1"/>
      <w:numFmt w:val="bullet"/>
      <w:lvlText w:val=""/>
      <w:lvlJc w:val="left"/>
      <w:pPr>
        <w:tabs>
          <w:tab w:val="num" w:pos="720"/>
        </w:tabs>
        <w:ind w:left="720" w:hanging="360"/>
      </w:pPr>
      <w:rPr>
        <w:rFonts w:ascii="Symbol" w:hAnsi="Symbol" w:hint="default"/>
      </w:rPr>
    </w:lvl>
    <w:lvl w:ilvl="1" w:tplc="A3FED7AC">
      <w:start w:val="2"/>
      <w:numFmt w:val="bullet"/>
      <w:lvlText w:val="-"/>
      <w:lvlJc w:val="left"/>
      <w:pPr>
        <w:tabs>
          <w:tab w:val="num" w:pos="360"/>
        </w:tabs>
        <w:ind w:left="360" w:hanging="360"/>
      </w:pPr>
      <w:rPr>
        <w:rFonts w:ascii="Verdana" w:eastAsia="Webdings" w:hAnsi="Verdana" w:cs="Webdings" w:hint="default"/>
      </w:rPr>
    </w:lvl>
    <w:lvl w:ilvl="2" w:tplc="FB382C90">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2"/>
  </w:num>
  <w:num w:numId="2">
    <w:abstractNumId w:val="3"/>
  </w:num>
  <w:num w:numId="3">
    <w:abstractNumId w:val="2"/>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CF"/>
    <w:rsid w:val="000072B6"/>
    <w:rsid w:val="0001021B"/>
    <w:rsid w:val="00011D89"/>
    <w:rsid w:val="00024D89"/>
    <w:rsid w:val="00033D81"/>
    <w:rsid w:val="00041BF0"/>
    <w:rsid w:val="0004536B"/>
    <w:rsid w:val="00046B68"/>
    <w:rsid w:val="000527DD"/>
    <w:rsid w:val="000578B2"/>
    <w:rsid w:val="00060959"/>
    <w:rsid w:val="00070B61"/>
    <w:rsid w:val="00074219"/>
    <w:rsid w:val="00074ED5"/>
    <w:rsid w:val="00094DA3"/>
    <w:rsid w:val="00096CD1"/>
    <w:rsid w:val="000A012C"/>
    <w:rsid w:val="000A0EB9"/>
    <w:rsid w:val="000A186C"/>
    <w:rsid w:val="000B543D"/>
    <w:rsid w:val="000B5BF7"/>
    <w:rsid w:val="000B64D4"/>
    <w:rsid w:val="000B6BC8"/>
    <w:rsid w:val="000C42EA"/>
    <w:rsid w:val="000C4546"/>
    <w:rsid w:val="000D1242"/>
    <w:rsid w:val="000E3CC7"/>
    <w:rsid w:val="000E6BD4"/>
    <w:rsid w:val="000F1F1E"/>
    <w:rsid w:val="000F2259"/>
    <w:rsid w:val="0010392D"/>
    <w:rsid w:val="00104FE3"/>
    <w:rsid w:val="00120BD3"/>
    <w:rsid w:val="00122FEA"/>
    <w:rsid w:val="001232BD"/>
    <w:rsid w:val="00124ED5"/>
    <w:rsid w:val="001447B3"/>
    <w:rsid w:val="00161939"/>
    <w:rsid w:val="00161AA0"/>
    <w:rsid w:val="00162093"/>
    <w:rsid w:val="001771DD"/>
    <w:rsid w:val="00177995"/>
    <w:rsid w:val="00177A8C"/>
    <w:rsid w:val="00183657"/>
    <w:rsid w:val="00186B33"/>
    <w:rsid w:val="00192F9D"/>
    <w:rsid w:val="00196EB8"/>
    <w:rsid w:val="001979FF"/>
    <w:rsid w:val="00197B17"/>
    <w:rsid w:val="001A3ACE"/>
    <w:rsid w:val="001C2A72"/>
    <w:rsid w:val="001D0B75"/>
    <w:rsid w:val="001D3C09"/>
    <w:rsid w:val="001D44E8"/>
    <w:rsid w:val="001D60EC"/>
    <w:rsid w:val="001E44DF"/>
    <w:rsid w:val="001E68A5"/>
    <w:rsid w:val="001F6E46"/>
    <w:rsid w:val="001F7C91"/>
    <w:rsid w:val="00206463"/>
    <w:rsid w:val="00206F2F"/>
    <w:rsid w:val="0021053D"/>
    <w:rsid w:val="00210A92"/>
    <w:rsid w:val="00216C03"/>
    <w:rsid w:val="00220C04"/>
    <w:rsid w:val="0022701F"/>
    <w:rsid w:val="002333F5"/>
    <w:rsid w:val="00246C5E"/>
    <w:rsid w:val="00251343"/>
    <w:rsid w:val="002620BC"/>
    <w:rsid w:val="00263A90"/>
    <w:rsid w:val="0026408B"/>
    <w:rsid w:val="00267C3E"/>
    <w:rsid w:val="002709BB"/>
    <w:rsid w:val="002802E3"/>
    <w:rsid w:val="0028213D"/>
    <w:rsid w:val="002862F1"/>
    <w:rsid w:val="00291373"/>
    <w:rsid w:val="0029597D"/>
    <w:rsid w:val="002962C3"/>
    <w:rsid w:val="002A3492"/>
    <w:rsid w:val="002A483C"/>
    <w:rsid w:val="002B1729"/>
    <w:rsid w:val="002B4DD4"/>
    <w:rsid w:val="002B5277"/>
    <w:rsid w:val="002B77C1"/>
    <w:rsid w:val="002C2728"/>
    <w:rsid w:val="002E01D0"/>
    <w:rsid w:val="002E161D"/>
    <w:rsid w:val="002E6C95"/>
    <w:rsid w:val="002E7C36"/>
    <w:rsid w:val="002F5F31"/>
    <w:rsid w:val="00302216"/>
    <w:rsid w:val="00303E53"/>
    <w:rsid w:val="00306E5F"/>
    <w:rsid w:val="00307E14"/>
    <w:rsid w:val="00314054"/>
    <w:rsid w:val="00316F27"/>
    <w:rsid w:val="00327870"/>
    <w:rsid w:val="0033259D"/>
    <w:rsid w:val="00335D42"/>
    <w:rsid w:val="003406C6"/>
    <w:rsid w:val="003418CC"/>
    <w:rsid w:val="003459BD"/>
    <w:rsid w:val="00350D38"/>
    <w:rsid w:val="003744CF"/>
    <w:rsid w:val="00374717"/>
    <w:rsid w:val="0037676C"/>
    <w:rsid w:val="003829E5"/>
    <w:rsid w:val="003956CC"/>
    <w:rsid w:val="00395C9A"/>
    <w:rsid w:val="003A6B67"/>
    <w:rsid w:val="003B15E6"/>
    <w:rsid w:val="003C2045"/>
    <w:rsid w:val="003C43A1"/>
    <w:rsid w:val="003C4FC0"/>
    <w:rsid w:val="003C55F4"/>
    <w:rsid w:val="003C7A3F"/>
    <w:rsid w:val="003D3E8F"/>
    <w:rsid w:val="003D6475"/>
    <w:rsid w:val="003F0445"/>
    <w:rsid w:val="003F0CF0"/>
    <w:rsid w:val="003F3289"/>
    <w:rsid w:val="00401FCF"/>
    <w:rsid w:val="00406285"/>
    <w:rsid w:val="004148F9"/>
    <w:rsid w:val="0042084E"/>
    <w:rsid w:val="00421EEF"/>
    <w:rsid w:val="00424D65"/>
    <w:rsid w:val="00442C6C"/>
    <w:rsid w:val="00443CBE"/>
    <w:rsid w:val="00443E8A"/>
    <w:rsid w:val="004441BC"/>
    <w:rsid w:val="0045230A"/>
    <w:rsid w:val="00457337"/>
    <w:rsid w:val="0047372D"/>
    <w:rsid w:val="004743DD"/>
    <w:rsid w:val="00474CEA"/>
    <w:rsid w:val="00483968"/>
    <w:rsid w:val="00484F86"/>
    <w:rsid w:val="00490746"/>
    <w:rsid w:val="00490852"/>
    <w:rsid w:val="004946F4"/>
    <w:rsid w:val="0049487E"/>
    <w:rsid w:val="004A3E81"/>
    <w:rsid w:val="004A5C62"/>
    <w:rsid w:val="004A707D"/>
    <w:rsid w:val="004C6EEE"/>
    <w:rsid w:val="004C702B"/>
    <w:rsid w:val="004D016B"/>
    <w:rsid w:val="004D1B22"/>
    <w:rsid w:val="004D36F2"/>
    <w:rsid w:val="004E4649"/>
    <w:rsid w:val="004E5C2B"/>
    <w:rsid w:val="004F00DD"/>
    <w:rsid w:val="004F2133"/>
    <w:rsid w:val="004F55F1"/>
    <w:rsid w:val="004F6936"/>
    <w:rsid w:val="00503DC6"/>
    <w:rsid w:val="00506F5D"/>
    <w:rsid w:val="005126D0"/>
    <w:rsid w:val="00536499"/>
    <w:rsid w:val="00543903"/>
    <w:rsid w:val="00547A95"/>
    <w:rsid w:val="00572031"/>
    <w:rsid w:val="00576E84"/>
    <w:rsid w:val="0058757E"/>
    <w:rsid w:val="00596A4B"/>
    <w:rsid w:val="00597507"/>
    <w:rsid w:val="005B21B6"/>
    <w:rsid w:val="005B7A63"/>
    <w:rsid w:val="005C49DA"/>
    <w:rsid w:val="005C50F3"/>
    <w:rsid w:val="005C5D91"/>
    <w:rsid w:val="005D07B8"/>
    <w:rsid w:val="005D6597"/>
    <w:rsid w:val="005E14E7"/>
    <w:rsid w:val="005E447E"/>
    <w:rsid w:val="005F0775"/>
    <w:rsid w:val="005F0CF5"/>
    <w:rsid w:val="005F21EB"/>
    <w:rsid w:val="00605908"/>
    <w:rsid w:val="00607524"/>
    <w:rsid w:val="00610D7C"/>
    <w:rsid w:val="00613414"/>
    <w:rsid w:val="0062408D"/>
    <w:rsid w:val="006240CC"/>
    <w:rsid w:val="00627DA7"/>
    <w:rsid w:val="006358B4"/>
    <w:rsid w:val="006419AA"/>
    <w:rsid w:val="00644B7E"/>
    <w:rsid w:val="00646A68"/>
    <w:rsid w:val="0065092E"/>
    <w:rsid w:val="006557A7"/>
    <w:rsid w:val="00656290"/>
    <w:rsid w:val="006621D7"/>
    <w:rsid w:val="0066302A"/>
    <w:rsid w:val="00670597"/>
    <w:rsid w:val="00677574"/>
    <w:rsid w:val="0068454C"/>
    <w:rsid w:val="00691B62"/>
    <w:rsid w:val="006A18C2"/>
    <w:rsid w:val="006B077C"/>
    <w:rsid w:val="006D2A3F"/>
    <w:rsid w:val="006E138B"/>
    <w:rsid w:val="006F1FDC"/>
    <w:rsid w:val="007009D5"/>
    <w:rsid w:val="007013EF"/>
    <w:rsid w:val="007216AA"/>
    <w:rsid w:val="00721AB5"/>
    <w:rsid w:val="00721DEF"/>
    <w:rsid w:val="00724A43"/>
    <w:rsid w:val="007346E4"/>
    <w:rsid w:val="00740F22"/>
    <w:rsid w:val="00741F1A"/>
    <w:rsid w:val="007450F8"/>
    <w:rsid w:val="0074696E"/>
    <w:rsid w:val="00750135"/>
    <w:rsid w:val="00754E36"/>
    <w:rsid w:val="00763139"/>
    <w:rsid w:val="00772D5E"/>
    <w:rsid w:val="00776928"/>
    <w:rsid w:val="00786F16"/>
    <w:rsid w:val="00796E20"/>
    <w:rsid w:val="00797C32"/>
    <w:rsid w:val="007B0914"/>
    <w:rsid w:val="007B1374"/>
    <w:rsid w:val="007B589F"/>
    <w:rsid w:val="007B6186"/>
    <w:rsid w:val="007C7301"/>
    <w:rsid w:val="007C7859"/>
    <w:rsid w:val="007D2BDE"/>
    <w:rsid w:val="007D2FB6"/>
    <w:rsid w:val="007E0DE2"/>
    <w:rsid w:val="007F31B6"/>
    <w:rsid w:val="007F546C"/>
    <w:rsid w:val="007F665E"/>
    <w:rsid w:val="00800412"/>
    <w:rsid w:val="0080587B"/>
    <w:rsid w:val="00806468"/>
    <w:rsid w:val="008155F0"/>
    <w:rsid w:val="00816735"/>
    <w:rsid w:val="00820141"/>
    <w:rsid w:val="00820E0C"/>
    <w:rsid w:val="00853EE4"/>
    <w:rsid w:val="00855535"/>
    <w:rsid w:val="008633F0"/>
    <w:rsid w:val="00867D9D"/>
    <w:rsid w:val="00872E0A"/>
    <w:rsid w:val="00875285"/>
    <w:rsid w:val="00884B62"/>
    <w:rsid w:val="0088529C"/>
    <w:rsid w:val="0089270A"/>
    <w:rsid w:val="00893AF6"/>
    <w:rsid w:val="00894BC4"/>
    <w:rsid w:val="008A4C50"/>
    <w:rsid w:val="008B2EE4"/>
    <w:rsid w:val="008B4D3D"/>
    <w:rsid w:val="008B57C7"/>
    <w:rsid w:val="008C2F92"/>
    <w:rsid w:val="008D4236"/>
    <w:rsid w:val="008D462F"/>
    <w:rsid w:val="008E4376"/>
    <w:rsid w:val="00900719"/>
    <w:rsid w:val="00906490"/>
    <w:rsid w:val="009111B2"/>
    <w:rsid w:val="00924AE1"/>
    <w:rsid w:val="009269B1"/>
    <w:rsid w:val="00937BD9"/>
    <w:rsid w:val="00950E2C"/>
    <w:rsid w:val="00951D50"/>
    <w:rsid w:val="009525EB"/>
    <w:rsid w:val="00961400"/>
    <w:rsid w:val="00963646"/>
    <w:rsid w:val="009853E1"/>
    <w:rsid w:val="00986E6B"/>
    <w:rsid w:val="00991769"/>
    <w:rsid w:val="00994386"/>
    <w:rsid w:val="009A279E"/>
    <w:rsid w:val="009B0A6F"/>
    <w:rsid w:val="009B59E9"/>
    <w:rsid w:val="009B629A"/>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61C"/>
    <w:rsid w:val="00A62D44"/>
    <w:rsid w:val="00A7161C"/>
    <w:rsid w:val="00A77AA3"/>
    <w:rsid w:val="00A872E5"/>
    <w:rsid w:val="00A96E65"/>
    <w:rsid w:val="00A97C72"/>
    <w:rsid w:val="00AA63D4"/>
    <w:rsid w:val="00AB06E8"/>
    <w:rsid w:val="00AB1CD3"/>
    <w:rsid w:val="00AB352F"/>
    <w:rsid w:val="00AC274B"/>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3F9A"/>
    <w:rsid w:val="00B2417B"/>
    <w:rsid w:val="00B24E6F"/>
    <w:rsid w:val="00B26CB5"/>
    <w:rsid w:val="00B2752E"/>
    <w:rsid w:val="00B307CC"/>
    <w:rsid w:val="00B45141"/>
    <w:rsid w:val="00B5273A"/>
    <w:rsid w:val="00B62B50"/>
    <w:rsid w:val="00B635B7"/>
    <w:rsid w:val="00B63AE8"/>
    <w:rsid w:val="00B65950"/>
    <w:rsid w:val="00B672C0"/>
    <w:rsid w:val="00B75646"/>
    <w:rsid w:val="00B76915"/>
    <w:rsid w:val="00B90729"/>
    <w:rsid w:val="00B907DA"/>
    <w:rsid w:val="00B950BC"/>
    <w:rsid w:val="00B9714C"/>
    <w:rsid w:val="00BB7A10"/>
    <w:rsid w:val="00BC7D4F"/>
    <w:rsid w:val="00BC7ED7"/>
    <w:rsid w:val="00BD2850"/>
    <w:rsid w:val="00BE28D2"/>
    <w:rsid w:val="00BF7F58"/>
    <w:rsid w:val="00C01381"/>
    <w:rsid w:val="00C079B8"/>
    <w:rsid w:val="00C123EA"/>
    <w:rsid w:val="00C12A49"/>
    <w:rsid w:val="00C133EE"/>
    <w:rsid w:val="00C268D5"/>
    <w:rsid w:val="00C27DE9"/>
    <w:rsid w:val="00C33388"/>
    <w:rsid w:val="00C4173A"/>
    <w:rsid w:val="00C602FF"/>
    <w:rsid w:val="00C61174"/>
    <w:rsid w:val="00C6148F"/>
    <w:rsid w:val="00C62F7A"/>
    <w:rsid w:val="00C63B9C"/>
    <w:rsid w:val="00C6682F"/>
    <w:rsid w:val="00C7275E"/>
    <w:rsid w:val="00C74C5D"/>
    <w:rsid w:val="00C863C4"/>
    <w:rsid w:val="00C93C3E"/>
    <w:rsid w:val="00CA12E3"/>
    <w:rsid w:val="00CA6611"/>
    <w:rsid w:val="00CC2BFD"/>
    <w:rsid w:val="00CD3476"/>
    <w:rsid w:val="00CD64DF"/>
    <w:rsid w:val="00CF2F50"/>
    <w:rsid w:val="00D02919"/>
    <w:rsid w:val="00D04C61"/>
    <w:rsid w:val="00D05B8D"/>
    <w:rsid w:val="00D07F00"/>
    <w:rsid w:val="00D23BCF"/>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3250"/>
    <w:rsid w:val="00DE6028"/>
    <w:rsid w:val="00DE78A3"/>
    <w:rsid w:val="00DF1A71"/>
    <w:rsid w:val="00DF68C7"/>
    <w:rsid w:val="00E170DC"/>
    <w:rsid w:val="00E26818"/>
    <w:rsid w:val="00E27FFC"/>
    <w:rsid w:val="00E30B15"/>
    <w:rsid w:val="00E40181"/>
    <w:rsid w:val="00E5169A"/>
    <w:rsid w:val="00E629A1"/>
    <w:rsid w:val="00E82C55"/>
    <w:rsid w:val="00E92AC3"/>
    <w:rsid w:val="00EB00E0"/>
    <w:rsid w:val="00EC059F"/>
    <w:rsid w:val="00EC1F24"/>
    <w:rsid w:val="00EC77B9"/>
    <w:rsid w:val="00ED5B9B"/>
    <w:rsid w:val="00ED6BAD"/>
    <w:rsid w:val="00ED7447"/>
    <w:rsid w:val="00EE1488"/>
    <w:rsid w:val="00EE4D5D"/>
    <w:rsid w:val="00EF109B"/>
    <w:rsid w:val="00EF36AF"/>
    <w:rsid w:val="00F00F9C"/>
    <w:rsid w:val="00F02ABA"/>
    <w:rsid w:val="00F0437A"/>
    <w:rsid w:val="00F11037"/>
    <w:rsid w:val="00F250A9"/>
    <w:rsid w:val="00F30FF4"/>
    <w:rsid w:val="00F320C1"/>
    <w:rsid w:val="00F331AD"/>
    <w:rsid w:val="00F43A37"/>
    <w:rsid w:val="00F4641B"/>
    <w:rsid w:val="00F46EB8"/>
    <w:rsid w:val="00F511E4"/>
    <w:rsid w:val="00F52D09"/>
    <w:rsid w:val="00F52E08"/>
    <w:rsid w:val="00F55B21"/>
    <w:rsid w:val="00F56EF6"/>
    <w:rsid w:val="00F64696"/>
    <w:rsid w:val="00F65AA9"/>
    <w:rsid w:val="00F6768F"/>
    <w:rsid w:val="00F72C2C"/>
    <w:rsid w:val="00F76CAB"/>
    <w:rsid w:val="00F772C6"/>
    <w:rsid w:val="00F85195"/>
    <w:rsid w:val="00F938BA"/>
    <w:rsid w:val="00FA2C46"/>
    <w:rsid w:val="00FA6DEF"/>
    <w:rsid w:val="00FB4CDA"/>
    <w:rsid w:val="00FC0F81"/>
    <w:rsid w:val="00FC395C"/>
    <w:rsid w:val="00FD3766"/>
    <w:rsid w:val="00FD47C4"/>
    <w:rsid w:val="00FE2DCF"/>
    <w:rsid w:val="00FE5ADD"/>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335D42"/>
    <w:rPr>
      <w:rFonts w:ascii="Tahoma" w:hAnsi="Tahoma" w:cs="Tahoma"/>
      <w:sz w:val="16"/>
      <w:szCs w:val="16"/>
    </w:rPr>
  </w:style>
  <w:style w:type="character" w:customStyle="1" w:styleId="BalloonTextChar">
    <w:name w:val="Balloon Text Char"/>
    <w:basedOn w:val="DefaultParagraphFont"/>
    <w:link w:val="BalloonText"/>
    <w:uiPriority w:val="99"/>
    <w:semiHidden/>
    <w:rsid w:val="00335D42"/>
    <w:rPr>
      <w:rFonts w:ascii="Tahoma" w:hAnsi="Tahoma" w:cs="Tahoma"/>
      <w:sz w:val="16"/>
      <w:szCs w:val="16"/>
      <w:lang w:eastAsia="en-US"/>
    </w:rPr>
  </w:style>
  <w:style w:type="paragraph" w:styleId="ListParagraph">
    <w:name w:val="List Paragraph"/>
    <w:basedOn w:val="Normal"/>
    <w:uiPriority w:val="72"/>
    <w:semiHidden/>
    <w:qFormat/>
    <w:rsid w:val="00607524"/>
    <w:pPr>
      <w:ind w:left="720"/>
      <w:contextualSpacing/>
    </w:pPr>
  </w:style>
  <w:style w:type="paragraph" w:customStyle="1" w:styleId="DHHeading1">
    <w:name w:val="DH Heading 1"/>
    <w:autoRedefine/>
    <w:qFormat/>
    <w:rsid w:val="00607524"/>
    <w:pPr>
      <w:spacing w:line="288" w:lineRule="auto"/>
    </w:pPr>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335D42"/>
    <w:rPr>
      <w:rFonts w:ascii="Tahoma" w:hAnsi="Tahoma" w:cs="Tahoma"/>
      <w:sz w:val="16"/>
      <w:szCs w:val="16"/>
    </w:rPr>
  </w:style>
  <w:style w:type="character" w:customStyle="1" w:styleId="BalloonTextChar">
    <w:name w:val="Balloon Text Char"/>
    <w:basedOn w:val="DefaultParagraphFont"/>
    <w:link w:val="BalloonText"/>
    <w:uiPriority w:val="99"/>
    <w:semiHidden/>
    <w:rsid w:val="00335D42"/>
    <w:rPr>
      <w:rFonts w:ascii="Tahoma" w:hAnsi="Tahoma" w:cs="Tahoma"/>
      <w:sz w:val="16"/>
      <w:szCs w:val="16"/>
      <w:lang w:eastAsia="en-US"/>
    </w:rPr>
  </w:style>
  <w:style w:type="paragraph" w:styleId="ListParagraph">
    <w:name w:val="List Paragraph"/>
    <w:basedOn w:val="Normal"/>
    <w:uiPriority w:val="72"/>
    <w:semiHidden/>
    <w:qFormat/>
    <w:rsid w:val="00607524"/>
    <w:pPr>
      <w:ind w:left="720"/>
      <w:contextualSpacing/>
    </w:pPr>
  </w:style>
  <w:style w:type="paragraph" w:customStyle="1" w:styleId="DHHeading1">
    <w:name w:val="DH Heading 1"/>
    <w:autoRedefine/>
    <w:qFormat/>
    <w:rsid w:val="00607524"/>
    <w:pPr>
      <w:spacing w:line="288" w:lineRule="auto"/>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08 Blue 285</Template>
  <TotalTime>13</TotalTime>
  <Pages>3</Pages>
  <Words>936</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6792</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Thomas</dc:creator>
  <cp:lastModifiedBy>Ian Thomas</cp:lastModifiedBy>
  <cp:revision>5</cp:revision>
  <cp:lastPrinted>2015-01-28T04:08:00Z</cp:lastPrinted>
  <dcterms:created xsi:type="dcterms:W3CDTF">2015-07-30T01:44:00Z</dcterms:created>
  <dcterms:modified xsi:type="dcterms:W3CDTF">2015-07-30T01:59:00Z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