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3C6A" w14:textId="77777777" w:rsidR="0074696E" w:rsidRPr="004C6EEE" w:rsidRDefault="00B628F3" w:rsidP="00AD784C">
      <w:pPr>
        <w:pStyle w:val="Spacerparatopoffirstpage"/>
      </w:pPr>
      <w:r>
        <w:drawing>
          <wp:anchor distT="0" distB="0" distL="114300" distR="114300" simplePos="0" relativeHeight="251657728" behindDoc="1" locked="1" layoutInCell="0" allowOverlap="1" wp14:anchorId="54CA8034" wp14:editId="77A528EC">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8632F"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472"/>
      </w:tblGrid>
      <w:tr w:rsidR="00AD784C" w14:paraId="768B25FB" w14:textId="77777777" w:rsidTr="00B628F3">
        <w:trPr>
          <w:trHeight w:val="1247"/>
        </w:trPr>
        <w:tc>
          <w:tcPr>
            <w:tcW w:w="8472" w:type="dxa"/>
            <w:shd w:val="clear" w:color="auto" w:fill="auto"/>
            <w:vAlign w:val="bottom"/>
          </w:tcPr>
          <w:p w14:paraId="2EB1D027" w14:textId="77777777" w:rsidR="00AD784C" w:rsidRPr="00161AA0" w:rsidRDefault="00B628F3" w:rsidP="00A91406">
            <w:pPr>
              <w:pStyle w:val="DHHSmainheading"/>
            </w:pPr>
            <w:r>
              <w:t>Victorian Alcohol and Drug Collection VADC Bulletin</w:t>
            </w:r>
          </w:p>
        </w:tc>
      </w:tr>
      <w:tr w:rsidR="00AD784C" w14:paraId="67862756" w14:textId="77777777" w:rsidTr="00B628F3">
        <w:trPr>
          <w:trHeight w:hRule="exact" w:val="1162"/>
        </w:trPr>
        <w:tc>
          <w:tcPr>
            <w:tcW w:w="8472" w:type="dxa"/>
            <w:shd w:val="clear" w:color="auto" w:fill="auto"/>
            <w:tcMar>
              <w:top w:w="170" w:type="dxa"/>
              <w:bottom w:w="510" w:type="dxa"/>
            </w:tcMar>
          </w:tcPr>
          <w:p w14:paraId="533D08C4" w14:textId="2D56103C" w:rsidR="00357B4E" w:rsidRPr="00AD784C" w:rsidRDefault="00B628F3" w:rsidP="00357B4E">
            <w:pPr>
              <w:pStyle w:val="DHHSmainsubheading"/>
              <w:rPr>
                <w:szCs w:val="28"/>
              </w:rPr>
            </w:pPr>
            <w:r>
              <w:rPr>
                <w:szCs w:val="28"/>
              </w:rPr>
              <w:t xml:space="preserve">Edition 7: </w:t>
            </w:r>
            <w:r w:rsidR="00C27BAD">
              <w:rPr>
                <w:szCs w:val="28"/>
              </w:rPr>
              <w:t xml:space="preserve"> </w:t>
            </w:r>
            <w:r w:rsidR="00566A14">
              <w:rPr>
                <w:szCs w:val="28"/>
              </w:rPr>
              <w:t>1</w:t>
            </w:r>
            <w:r w:rsidR="00886432">
              <w:rPr>
                <w:szCs w:val="28"/>
              </w:rPr>
              <w:t>3</w:t>
            </w:r>
            <w:r w:rsidR="009571BD">
              <w:rPr>
                <w:szCs w:val="28"/>
              </w:rPr>
              <w:t xml:space="preserve"> May</w:t>
            </w:r>
            <w:r>
              <w:rPr>
                <w:szCs w:val="28"/>
              </w:rPr>
              <w:t xml:space="preserve"> 2019</w:t>
            </w:r>
          </w:p>
        </w:tc>
      </w:tr>
    </w:tbl>
    <w:p w14:paraId="31D95C54" w14:textId="1C5C7D47" w:rsidR="007D66C0" w:rsidRPr="002454E0" w:rsidRDefault="007D66C0" w:rsidP="007D66C0">
      <w:pPr>
        <w:pStyle w:val="DHHSbody"/>
        <w:rPr>
          <w:b/>
          <w:color w:val="4472C4" w:themeColor="accent1"/>
          <w:sz w:val="22"/>
          <w:szCs w:val="22"/>
        </w:rPr>
      </w:pPr>
      <w:r w:rsidRPr="002454E0">
        <w:rPr>
          <w:b/>
          <w:color w:val="4472C4" w:themeColor="accent1"/>
          <w:sz w:val="22"/>
          <w:szCs w:val="22"/>
        </w:rPr>
        <w:t xml:space="preserve">This document is particularly targeted at vendors to assist </w:t>
      </w:r>
      <w:r w:rsidR="00886432" w:rsidRPr="002454E0">
        <w:rPr>
          <w:b/>
          <w:color w:val="4472C4" w:themeColor="accent1"/>
          <w:sz w:val="22"/>
          <w:szCs w:val="22"/>
        </w:rPr>
        <w:t xml:space="preserve">system </w:t>
      </w:r>
      <w:r w:rsidRPr="002454E0">
        <w:rPr>
          <w:b/>
          <w:color w:val="4472C4" w:themeColor="accent1"/>
          <w:sz w:val="22"/>
          <w:szCs w:val="22"/>
        </w:rPr>
        <w:t xml:space="preserve">configuration for 2019-20. </w:t>
      </w:r>
    </w:p>
    <w:p w14:paraId="233EC3CB" w14:textId="77777777" w:rsidR="0044050E" w:rsidRPr="0044050E" w:rsidRDefault="0044050E" w:rsidP="007D66C0">
      <w:pPr>
        <w:pStyle w:val="DHHSbody"/>
        <w:rPr>
          <w:b/>
          <w:color w:val="2F5496" w:themeColor="accent1" w:themeShade="BF"/>
          <w:sz w:val="22"/>
          <w:szCs w:val="22"/>
        </w:rPr>
      </w:pPr>
    </w:p>
    <w:p w14:paraId="106C0DDC" w14:textId="1D3F0D7B" w:rsidR="0044050E" w:rsidRPr="00C86931" w:rsidRDefault="0044050E" w:rsidP="0044050E">
      <w:pPr>
        <w:pStyle w:val="DHHSbody"/>
        <w:rPr>
          <w:b/>
        </w:rPr>
      </w:pPr>
      <w:r w:rsidRPr="00C86931">
        <w:rPr>
          <w:b/>
        </w:rPr>
        <w:t xml:space="preserve">VADC Bulletins must be read in conjunction with the VADC Data Specification.  We appreciate the timeframes are tight and thank you for your efforts to date. </w:t>
      </w:r>
      <w:r w:rsidR="007A5ADD">
        <w:rPr>
          <w:b/>
        </w:rPr>
        <w:t xml:space="preserve"> </w:t>
      </w:r>
      <w:r w:rsidRPr="00C86931">
        <w:rPr>
          <w:b/>
        </w:rPr>
        <w:t xml:space="preserve">With all AOD providers now transitioned to VADC, the focus </w:t>
      </w:r>
      <w:r w:rsidR="006729B6">
        <w:rPr>
          <w:b/>
        </w:rPr>
        <w:t xml:space="preserve">now </w:t>
      </w:r>
      <w:r w:rsidRPr="00C86931">
        <w:rPr>
          <w:b/>
        </w:rPr>
        <w:t xml:space="preserve">is </w:t>
      </w:r>
      <w:r w:rsidR="006729B6">
        <w:rPr>
          <w:b/>
        </w:rPr>
        <w:t xml:space="preserve">on </w:t>
      </w:r>
      <w:r w:rsidRPr="00C86931">
        <w:rPr>
          <w:b/>
        </w:rPr>
        <w:t>data quality to ensure utility for reporting.</w:t>
      </w:r>
    </w:p>
    <w:p w14:paraId="779E5692" w14:textId="77777777" w:rsidR="0044050E" w:rsidRDefault="0044050E" w:rsidP="007D66C0">
      <w:pPr>
        <w:pStyle w:val="DHHSbody"/>
        <w:rPr>
          <w:b/>
          <w:color w:val="2F5496" w:themeColor="accent1" w:themeShade="BF"/>
        </w:rPr>
      </w:pPr>
    </w:p>
    <w:p w14:paraId="36D49468" w14:textId="77777777" w:rsidR="00AD784C" w:rsidRPr="008D2846" w:rsidRDefault="00AD784C" w:rsidP="008D2846">
      <w:pPr>
        <w:pStyle w:val="DHHSTOCheadingfactsheet"/>
      </w:pPr>
      <w:r w:rsidRPr="008D2846">
        <w:t>Contents</w:t>
      </w:r>
    </w:p>
    <w:p w14:paraId="445A02DB" w14:textId="12D36031" w:rsidR="001E206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8648776" w:history="1">
        <w:r w:rsidR="001E206E" w:rsidRPr="00BB352A">
          <w:rPr>
            <w:rStyle w:val="Hyperlink"/>
          </w:rPr>
          <w:t>VADC 2018-19</w:t>
        </w:r>
        <w:r w:rsidR="001E206E">
          <w:rPr>
            <w:webHidden/>
          </w:rPr>
          <w:tab/>
        </w:r>
        <w:r w:rsidR="001E206E">
          <w:rPr>
            <w:webHidden/>
          </w:rPr>
          <w:fldChar w:fldCharType="begin"/>
        </w:r>
        <w:r w:rsidR="001E206E">
          <w:rPr>
            <w:webHidden/>
          </w:rPr>
          <w:instrText xml:space="preserve"> PAGEREF _Toc8648776 \h </w:instrText>
        </w:r>
        <w:r w:rsidR="001E206E">
          <w:rPr>
            <w:webHidden/>
          </w:rPr>
        </w:r>
        <w:r w:rsidR="001E206E">
          <w:rPr>
            <w:webHidden/>
          </w:rPr>
          <w:fldChar w:fldCharType="separate"/>
        </w:r>
        <w:r w:rsidR="005C6125">
          <w:rPr>
            <w:webHidden/>
          </w:rPr>
          <w:t>1</w:t>
        </w:r>
        <w:r w:rsidR="001E206E">
          <w:rPr>
            <w:webHidden/>
          </w:rPr>
          <w:fldChar w:fldCharType="end"/>
        </w:r>
      </w:hyperlink>
    </w:p>
    <w:p w14:paraId="4C2C5955" w14:textId="35741528" w:rsidR="001E206E" w:rsidRDefault="001C6B98">
      <w:pPr>
        <w:pStyle w:val="TOC2"/>
        <w:tabs>
          <w:tab w:val="left" w:pos="567"/>
        </w:tabs>
        <w:rPr>
          <w:rFonts w:asciiTheme="minorHAnsi" w:eastAsiaTheme="minorEastAsia" w:hAnsiTheme="minorHAnsi" w:cstheme="minorBidi"/>
          <w:sz w:val="22"/>
          <w:szCs w:val="22"/>
          <w:lang w:eastAsia="en-AU"/>
        </w:rPr>
      </w:pPr>
      <w:hyperlink w:anchor="_Toc8648777" w:history="1">
        <w:r w:rsidR="001E206E" w:rsidRPr="00BB352A">
          <w:rPr>
            <w:rStyle w:val="Hyperlink"/>
            <w14:scene3d>
              <w14:camera w14:prst="orthographicFront"/>
              <w14:lightRig w14:rig="threePt" w14:dir="t">
                <w14:rot w14:lat="0" w14:lon="0" w14:rev="0"/>
              </w14:lightRig>
            </w14:scene3d>
          </w:rPr>
          <w:t>1.1</w:t>
        </w:r>
        <w:r w:rsidR="001E206E">
          <w:rPr>
            <w:rFonts w:asciiTheme="minorHAnsi" w:eastAsiaTheme="minorEastAsia" w:hAnsiTheme="minorHAnsi" w:cstheme="minorBidi"/>
            <w:sz w:val="22"/>
            <w:szCs w:val="22"/>
            <w:lang w:eastAsia="en-AU"/>
          </w:rPr>
          <w:tab/>
        </w:r>
        <w:r w:rsidR="001E206E" w:rsidRPr="00BB352A">
          <w:rPr>
            <w:rStyle w:val="Hyperlink"/>
          </w:rPr>
          <w:t>Data Specification - Bulletin 6 correction</w:t>
        </w:r>
        <w:r w:rsidR="001E206E">
          <w:rPr>
            <w:webHidden/>
          </w:rPr>
          <w:tab/>
        </w:r>
        <w:r w:rsidR="001E206E">
          <w:rPr>
            <w:webHidden/>
          </w:rPr>
          <w:fldChar w:fldCharType="begin"/>
        </w:r>
        <w:r w:rsidR="001E206E">
          <w:rPr>
            <w:webHidden/>
          </w:rPr>
          <w:instrText xml:space="preserve"> PAGEREF _Toc8648777 \h </w:instrText>
        </w:r>
        <w:r w:rsidR="001E206E">
          <w:rPr>
            <w:webHidden/>
          </w:rPr>
        </w:r>
        <w:r w:rsidR="001E206E">
          <w:rPr>
            <w:webHidden/>
          </w:rPr>
          <w:fldChar w:fldCharType="separate"/>
        </w:r>
        <w:r w:rsidR="005C6125">
          <w:rPr>
            <w:webHidden/>
          </w:rPr>
          <w:t>1</w:t>
        </w:r>
        <w:r w:rsidR="001E206E">
          <w:rPr>
            <w:webHidden/>
          </w:rPr>
          <w:fldChar w:fldCharType="end"/>
        </w:r>
      </w:hyperlink>
    </w:p>
    <w:p w14:paraId="5C6C008C" w14:textId="14753102" w:rsidR="001E206E" w:rsidRDefault="001C6B98">
      <w:pPr>
        <w:pStyle w:val="TOC2"/>
        <w:tabs>
          <w:tab w:val="left" w:pos="567"/>
        </w:tabs>
        <w:rPr>
          <w:rFonts w:asciiTheme="minorHAnsi" w:eastAsiaTheme="minorEastAsia" w:hAnsiTheme="minorHAnsi" w:cstheme="minorBidi"/>
          <w:sz w:val="22"/>
          <w:szCs w:val="22"/>
          <w:lang w:eastAsia="en-AU"/>
        </w:rPr>
      </w:pPr>
      <w:hyperlink w:anchor="_Toc8648778" w:history="1">
        <w:r w:rsidR="001E206E" w:rsidRPr="00BB352A">
          <w:rPr>
            <w:rStyle w:val="Hyperlink"/>
            <w14:scene3d>
              <w14:camera w14:prst="orthographicFront"/>
              <w14:lightRig w14:rig="threePt" w14:dir="t">
                <w14:rot w14:lat="0" w14:lon="0" w14:rev="0"/>
              </w14:lightRig>
            </w14:scene3d>
          </w:rPr>
          <w:t>1.2</w:t>
        </w:r>
        <w:r w:rsidR="001E206E">
          <w:rPr>
            <w:rFonts w:asciiTheme="minorHAnsi" w:eastAsiaTheme="minorEastAsia" w:hAnsiTheme="minorHAnsi" w:cstheme="minorBidi"/>
            <w:sz w:val="22"/>
            <w:szCs w:val="22"/>
            <w:lang w:eastAsia="en-AU"/>
          </w:rPr>
          <w:tab/>
        </w:r>
        <w:r w:rsidR="001E206E" w:rsidRPr="00BB352A">
          <w:rPr>
            <w:rStyle w:val="Hyperlink"/>
          </w:rPr>
          <w:t>Deletions</w:t>
        </w:r>
        <w:r w:rsidR="001E206E">
          <w:rPr>
            <w:webHidden/>
          </w:rPr>
          <w:tab/>
        </w:r>
        <w:r w:rsidR="001E206E">
          <w:rPr>
            <w:webHidden/>
          </w:rPr>
          <w:fldChar w:fldCharType="begin"/>
        </w:r>
        <w:r w:rsidR="001E206E">
          <w:rPr>
            <w:webHidden/>
          </w:rPr>
          <w:instrText xml:space="preserve"> PAGEREF _Toc8648778 \h </w:instrText>
        </w:r>
        <w:r w:rsidR="001E206E">
          <w:rPr>
            <w:webHidden/>
          </w:rPr>
        </w:r>
        <w:r w:rsidR="001E206E">
          <w:rPr>
            <w:webHidden/>
          </w:rPr>
          <w:fldChar w:fldCharType="separate"/>
        </w:r>
        <w:r w:rsidR="005C6125">
          <w:rPr>
            <w:webHidden/>
          </w:rPr>
          <w:t>2</w:t>
        </w:r>
        <w:r w:rsidR="001E206E">
          <w:rPr>
            <w:webHidden/>
          </w:rPr>
          <w:fldChar w:fldCharType="end"/>
        </w:r>
      </w:hyperlink>
    </w:p>
    <w:p w14:paraId="365DDF90" w14:textId="01B60D4A" w:rsidR="001E206E" w:rsidRDefault="001C6B98">
      <w:pPr>
        <w:pStyle w:val="TOC1"/>
        <w:rPr>
          <w:rFonts w:asciiTheme="minorHAnsi" w:eastAsiaTheme="minorEastAsia" w:hAnsiTheme="minorHAnsi" w:cstheme="minorBidi"/>
          <w:b w:val="0"/>
          <w:sz w:val="22"/>
          <w:szCs w:val="22"/>
          <w:lang w:eastAsia="en-AU"/>
        </w:rPr>
      </w:pPr>
      <w:hyperlink w:anchor="_Toc8648779" w:history="1">
        <w:r w:rsidR="001E206E" w:rsidRPr="00BB352A">
          <w:rPr>
            <w:rStyle w:val="Hyperlink"/>
          </w:rPr>
          <w:t>Overview of changes 2019-20</w:t>
        </w:r>
        <w:r w:rsidR="001E206E">
          <w:rPr>
            <w:webHidden/>
          </w:rPr>
          <w:tab/>
        </w:r>
        <w:r w:rsidR="001E206E">
          <w:rPr>
            <w:webHidden/>
          </w:rPr>
          <w:fldChar w:fldCharType="begin"/>
        </w:r>
        <w:r w:rsidR="001E206E">
          <w:rPr>
            <w:webHidden/>
          </w:rPr>
          <w:instrText xml:space="preserve"> PAGEREF _Toc8648779 \h </w:instrText>
        </w:r>
        <w:r w:rsidR="001E206E">
          <w:rPr>
            <w:webHidden/>
          </w:rPr>
        </w:r>
        <w:r w:rsidR="001E206E">
          <w:rPr>
            <w:webHidden/>
          </w:rPr>
          <w:fldChar w:fldCharType="separate"/>
        </w:r>
        <w:r w:rsidR="005C6125">
          <w:rPr>
            <w:webHidden/>
          </w:rPr>
          <w:t>2</w:t>
        </w:r>
        <w:r w:rsidR="001E206E">
          <w:rPr>
            <w:webHidden/>
          </w:rPr>
          <w:fldChar w:fldCharType="end"/>
        </w:r>
      </w:hyperlink>
    </w:p>
    <w:p w14:paraId="4A5675F2" w14:textId="6DF0AA56" w:rsidR="001E206E" w:rsidRDefault="001C6B98">
      <w:pPr>
        <w:pStyle w:val="TOC2"/>
        <w:tabs>
          <w:tab w:val="left" w:pos="567"/>
        </w:tabs>
        <w:rPr>
          <w:rFonts w:asciiTheme="minorHAnsi" w:eastAsiaTheme="minorEastAsia" w:hAnsiTheme="minorHAnsi" w:cstheme="minorBidi"/>
          <w:sz w:val="22"/>
          <w:szCs w:val="22"/>
          <w:lang w:eastAsia="en-AU"/>
        </w:rPr>
      </w:pPr>
      <w:hyperlink w:anchor="_Toc8648780" w:history="1">
        <w:r w:rsidR="001E206E" w:rsidRPr="00BB352A">
          <w:rPr>
            <w:rStyle w:val="Hyperlink"/>
            <w14:scene3d>
              <w14:camera w14:prst="orthographicFront"/>
              <w14:lightRig w14:rig="threePt" w14:dir="t">
                <w14:rot w14:lat="0" w14:lon="0" w14:rev="0"/>
              </w14:lightRig>
            </w14:scene3d>
          </w:rPr>
          <w:t>1.3</w:t>
        </w:r>
        <w:r w:rsidR="001E206E">
          <w:rPr>
            <w:rFonts w:asciiTheme="minorHAnsi" w:eastAsiaTheme="minorEastAsia" w:hAnsiTheme="minorHAnsi" w:cstheme="minorBidi"/>
            <w:sz w:val="22"/>
            <w:szCs w:val="22"/>
            <w:lang w:eastAsia="en-AU"/>
          </w:rPr>
          <w:tab/>
        </w:r>
        <w:r w:rsidR="001E206E" w:rsidRPr="00BB352A">
          <w:rPr>
            <w:rStyle w:val="Hyperlink"/>
          </w:rPr>
          <w:t>Changes to reporting period rules from 1 July 2019</w:t>
        </w:r>
        <w:r w:rsidR="001E206E">
          <w:rPr>
            <w:webHidden/>
          </w:rPr>
          <w:tab/>
        </w:r>
        <w:r w:rsidR="001E206E">
          <w:rPr>
            <w:webHidden/>
          </w:rPr>
          <w:fldChar w:fldCharType="begin"/>
        </w:r>
        <w:r w:rsidR="001E206E">
          <w:rPr>
            <w:webHidden/>
          </w:rPr>
          <w:instrText xml:space="preserve"> PAGEREF _Toc8648780 \h </w:instrText>
        </w:r>
        <w:r w:rsidR="001E206E">
          <w:rPr>
            <w:webHidden/>
          </w:rPr>
        </w:r>
        <w:r w:rsidR="001E206E">
          <w:rPr>
            <w:webHidden/>
          </w:rPr>
          <w:fldChar w:fldCharType="separate"/>
        </w:r>
        <w:r w:rsidR="005C6125">
          <w:rPr>
            <w:webHidden/>
          </w:rPr>
          <w:t>2</w:t>
        </w:r>
        <w:r w:rsidR="001E206E">
          <w:rPr>
            <w:webHidden/>
          </w:rPr>
          <w:fldChar w:fldCharType="end"/>
        </w:r>
      </w:hyperlink>
    </w:p>
    <w:p w14:paraId="71F7AE8F" w14:textId="1BC0F0DD" w:rsidR="001E206E" w:rsidRDefault="001C6B98">
      <w:pPr>
        <w:pStyle w:val="TOC2"/>
        <w:tabs>
          <w:tab w:val="left" w:pos="567"/>
        </w:tabs>
        <w:rPr>
          <w:rFonts w:asciiTheme="minorHAnsi" w:eastAsiaTheme="minorEastAsia" w:hAnsiTheme="minorHAnsi" w:cstheme="minorBidi"/>
          <w:sz w:val="22"/>
          <w:szCs w:val="22"/>
          <w:lang w:eastAsia="en-AU"/>
        </w:rPr>
      </w:pPr>
      <w:hyperlink w:anchor="_Toc8648781" w:history="1">
        <w:r w:rsidR="001E206E" w:rsidRPr="00BB352A">
          <w:rPr>
            <w:rStyle w:val="Hyperlink"/>
            <w14:scene3d>
              <w14:camera w14:prst="orthographicFront"/>
              <w14:lightRig w14:rig="threePt" w14:dir="t">
                <w14:rot w14:lat="0" w14:lon="0" w14:rev="0"/>
              </w14:lightRig>
            </w14:scene3d>
          </w:rPr>
          <w:t>1.4</w:t>
        </w:r>
        <w:r w:rsidR="001E206E">
          <w:rPr>
            <w:rFonts w:asciiTheme="minorHAnsi" w:eastAsiaTheme="minorEastAsia" w:hAnsiTheme="minorHAnsi" w:cstheme="minorBidi"/>
            <w:sz w:val="22"/>
            <w:szCs w:val="22"/>
            <w:lang w:eastAsia="en-AU"/>
          </w:rPr>
          <w:tab/>
        </w:r>
        <w:r w:rsidR="001E206E" w:rsidRPr="00BB352A">
          <w:rPr>
            <w:rStyle w:val="Hyperlink"/>
          </w:rPr>
          <w:t>Handling of open Service Events from 1 July 2019</w:t>
        </w:r>
        <w:r w:rsidR="001E206E">
          <w:rPr>
            <w:webHidden/>
          </w:rPr>
          <w:tab/>
        </w:r>
        <w:r w:rsidR="001E206E">
          <w:rPr>
            <w:webHidden/>
          </w:rPr>
          <w:fldChar w:fldCharType="begin"/>
        </w:r>
        <w:r w:rsidR="001E206E">
          <w:rPr>
            <w:webHidden/>
          </w:rPr>
          <w:instrText xml:space="preserve"> PAGEREF _Toc8648781 \h </w:instrText>
        </w:r>
        <w:r w:rsidR="001E206E">
          <w:rPr>
            <w:webHidden/>
          </w:rPr>
        </w:r>
        <w:r w:rsidR="001E206E">
          <w:rPr>
            <w:webHidden/>
          </w:rPr>
          <w:fldChar w:fldCharType="separate"/>
        </w:r>
        <w:r w:rsidR="005C6125">
          <w:rPr>
            <w:webHidden/>
          </w:rPr>
          <w:t>2</w:t>
        </w:r>
        <w:r w:rsidR="001E206E">
          <w:rPr>
            <w:webHidden/>
          </w:rPr>
          <w:fldChar w:fldCharType="end"/>
        </w:r>
      </w:hyperlink>
    </w:p>
    <w:p w14:paraId="45F0A87F" w14:textId="1458FDD1" w:rsidR="001E206E" w:rsidRDefault="001C6B98">
      <w:pPr>
        <w:pStyle w:val="TOC2"/>
        <w:tabs>
          <w:tab w:val="left" w:pos="567"/>
        </w:tabs>
        <w:rPr>
          <w:rFonts w:asciiTheme="minorHAnsi" w:eastAsiaTheme="minorEastAsia" w:hAnsiTheme="minorHAnsi" w:cstheme="minorBidi"/>
          <w:sz w:val="22"/>
          <w:szCs w:val="22"/>
          <w:lang w:eastAsia="en-AU"/>
        </w:rPr>
      </w:pPr>
      <w:hyperlink w:anchor="_Toc8648782" w:history="1">
        <w:r w:rsidR="001E206E" w:rsidRPr="00BB352A">
          <w:rPr>
            <w:rStyle w:val="Hyperlink"/>
            <w14:scene3d>
              <w14:camera w14:prst="orthographicFront"/>
              <w14:lightRig w14:rig="threePt" w14:dir="t">
                <w14:rot w14:lat="0" w14:lon="0" w14:rev="0"/>
              </w14:lightRig>
            </w14:scene3d>
          </w:rPr>
          <w:t>1.5</w:t>
        </w:r>
        <w:r w:rsidR="001E206E">
          <w:rPr>
            <w:rFonts w:asciiTheme="minorHAnsi" w:eastAsiaTheme="minorEastAsia" w:hAnsiTheme="minorHAnsi" w:cstheme="minorBidi"/>
            <w:sz w:val="22"/>
            <w:szCs w:val="22"/>
            <w:lang w:eastAsia="en-AU"/>
          </w:rPr>
          <w:tab/>
        </w:r>
        <w:r w:rsidR="001E206E" w:rsidRPr="00BB352A">
          <w:rPr>
            <w:rStyle w:val="Hyperlink"/>
          </w:rPr>
          <w:t>Financial year transition for funding Brief Interventions, Bridging Support and Residential streams</w:t>
        </w:r>
        <w:r w:rsidR="001E206E">
          <w:rPr>
            <w:webHidden/>
          </w:rPr>
          <w:tab/>
        </w:r>
        <w:r w:rsidR="001E206E">
          <w:rPr>
            <w:webHidden/>
          </w:rPr>
          <w:fldChar w:fldCharType="begin"/>
        </w:r>
        <w:r w:rsidR="001E206E">
          <w:rPr>
            <w:webHidden/>
          </w:rPr>
          <w:instrText xml:space="preserve"> PAGEREF _Toc8648782 \h </w:instrText>
        </w:r>
        <w:r w:rsidR="001E206E">
          <w:rPr>
            <w:webHidden/>
          </w:rPr>
        </w:r>
        <w:r w:rsidR="001E206E">
          <w:rPr>
            <w:webHidden/>
          </w:rPr>
          <w:fldChar w:fldCharType="separate"/>
        </w:r>
        <w:r w:rsidR="005C6125">
          <w:rPr>
            <w:webHidden/>
          </w:rPr>
          <w:t>3</w:t>
        </w:r>
        <w:r w:rsidR="001E206E">
          <w:rPr>
            <w:webHidden/>
          </w:rPr>
          <w:fldChar w:fldCharType="end"/>
        </w:r>
      </w:hyperlink>
    </w:p>
    <w:p w14:paraId="3C7CF66A" w14:textId="721B1B9D" w:rsidR="001E206E" w:rsidRDefault="001C6B98">
      <w:pPr>
        <w:pStyle w:val="TOC2"/>
        <w:tabs>
          <w:tab w:val="left" w:pos="567"/>
        </w:tabs>
        <w:rPr>
          <w:rFonts w:asciiTheme="minorHAnsi" w:eastAsiaTheme="minorEastAsia" w:hAnsiTheme="minorHAnsi" w:cstheme="minorBidi"/>
          <w:sz w:val="22"/>
          <w:szCs w:val="22"/>
          <w:lang w:eastAsia="en-AU"/>
        </w:rPr>
      </w:pPr>
      <w:hyperlink w:anchor="_Toc8648783" w:history="1">
        <w:r w:rsidR="001E206E" w:rsidRPr="00BB352A">
          <w:rPr>
            <w:rStyle w:val="Hyperlink"/>
            <w14:scene3d>
              <w14:camera w14:prst="orthographicFront"/>
              <w14:lightRig w14:rig="threePt" w14:dir="t">
                <w14:rot w14:lat="0" w14:lon="0" w14:rev="0"/>
              </w14:lightRig>
            </w14:scene3d>
          </w:rPr>
          <w:t>1.6</w:t>
        </w:r>
        <w:r w:rsidR="001E206E">
          <w:rPr>
            <w:rFonts w:asciiTheme="minorHAnsi" w:eastAsiaTheme="minorEastAsia" w:hAnsiTheme="minorHAnsi" w:cstheme="minorBidi"/>
            <w:sz w:val="22"/>
            <w:szCs w:val="22"/>
            <w:lang w:eastAsia="en-AU"/>
          </w:rPr>
          <w:tab/>
        </w:r>
        <w:r w:rsidR="001E206E" w:rsidRPr="00BB352A">
          <w:rPr>
            <w:rStyle w:val="Hyperlink"/>
          </w:rPr>
          <w:t>New validations from 1 July 2019</w:t>
        </w:r>
        <w:r w:rsidR="001E206E">
          <w:rPr>
            <w:webHidden/>
          </w:rPr>
          <w:tab/>
        </w:r>
        <w:r w:rsidR="001E206E">
          <w:rPr>
            <w:webHidden/>
          </w:rPr>
          <w:fldChar w:fldCharType="begin"/>
        </w:r>
        <w:r w:rsidR="001E206E">
          <w:rPr>
            <w:webHidden/>
          </w:rPr>
          <w:instrText xml:space="preserve"> PAGEREF _Toc8648783 \h </w:instrText>
        </w:r>
        <w:r w:rsidR="001E206E">
          <w:rPr>
            <w:webHidden/>
          </w:rPr>
        </w:r>
        <w:r w:rsidR="001E206E">
          <w:rPr>
            <w:webHidden/>
          </w:rPr>
          <w:fldChar w:fldCharType="separate"/>
        </w:r>
        <w:r w:rsidR="005C6125">
          <w:rPr>
            <w:webHidden/>
          </w:rPr>
          <w:t>3</w:t>
        </w:r>
        <w:r w:rsidR="001E206E">
          <w:rPr>
            <w:webHidden/>
          </w:rPr>
          <w:fldChar w:fldCharType="end"/>
        </w:r>
      </w:hyperlink>
    </w:p>
    <w:p w14:paraId="21061807" w14:textId="212964AB" w:rsidR="001E206E" w:rsidRDefault="001C6B98">
      <w:pPr>
        <w:pStyle w:val="TOC2"/>
        <w:tabs>
          <w:tab w:val="left" w:pos="567"/>
        </w:tabs>
        <w:rPr>
          <w:rFonts w:asciiTheme="minorHAnsi" w:eastAsiaTheme="minorEastAsia" w:hAnsiTheme="minorHAnsi" w:cstheme="minorBidi"/>
          <w:sz w:val="22"/>
          <w:szCs w:val="22"/>
          <w:lang w:eastAsia="en-AU"/>
        </w:rPr>
      </w:pPr>
      <w:hyperlink w:anchor="_Toc8648784" w:history="1">
        <w:r w:rsidR="001E206E" w:rsidRPr="00BB352A">
          <w:rPr>
            <w:rStyle w:val="Hyperlink"/>
            <w14:scene3d>
              <w14:camera w14:prst="orthographicFront"/>
              <w14:lightRig w14:rig="threePt" w14:dir="t">
                <w14:rot w14:lat="0" w14:lon="0" w14:rev="0"/>
              </w14:lightRig>
            </w14:scene3d>
          </w:rPr>
          <w:t>1.7</w:t>
        </w:r>
        <w:r w:rsidR="001E206E">
          <w:rPr>
            <w:rFonts w:asciiTheme="minorHAnsi" w:eastAsiaTheme="minorEastAsia" w:hAnsiTheme="minorHAnsi" w:cstheme="minorBidi"/>
            <w:sz w:val="22"/>
            <w:szCs w:val="22"/>
            <w:lang w:eastAsia="en-AU"/>
          </w:rPr>
          <w:tab/>
        </w:r>
        <w:r w:rsidR="001E206E" w:rsidRPr="00BB352A">
          <w:rPr>
            <w:rStyle w:val="Hyperlink"/>
          </w:rPr>
          <w:t>Vendor validations</w:t>
        </w:r>
        <w:r w:rsidR="001E206E">
          <w:rPr>
            <w:webHidden/>
          </w:rPr>
          <w:tab/>
        </w:r>
        <w:r w:rsidR="001E206E">
          <w:rPr>
            <w:webHidden/>
          </w:rPr>
          <w:fldChar w:fldCharType="begin"/>
        </w:r>
        <w:r w:rsidR="001E206E">
          <w:rPr>
            <w:webHidden/>
          </w:rPr>
          <w:instrText xml:space="preserve"> PAGEREF _Toc8648784 \h </w:instrText>
        </w:r>
        <w:r w:rsidR="001E206E">
          <w:rPr>
            <w:webHidden/>
          </w:rPr>
        </w:r>
        <w:r w:rsidR="001E206E">
          <w:rPr>
            <w:webHidden/>
          </w:rPr>
          <w:fldChar w:fldCharType="separate"/>
        </w:r>
        <w:r w:rsidR="005C6125">
          <w:rPr>
            <w:webHidden/>
          </w:rPr>
          <w:t>3</w:t>
        </w:r>
        <w:r w:rsidR="001E206E">
          <w:rPr>
            <w:webHidden/>
          </w:rPr>
          <w:fldChar w:fldCharType="end"/>
        </w:r>
      </w:hyperlink>
    </w:p>
    <w:p w14:paraId="01D47E04" w14:textId="5DE8FC6A" w:rsidR="001E206E" w:rsidRDefault="001C6B98">
      <w:pPr>
        <w:pStyle w:val="TOC2"/>
        <w:tabs>
          <w:tab w:val="left" w:pos="567"/>
        </w:tabs>
        <w:rPr>
          <w:rFonts w:asciiTheme="minorHAnsi" w:eastAsiaTheme="minorEastAsia" w:hAnsiTheme="minorHAnsi" w:cstheme="minorBidi"/>
          <w:sz w:val="22"/>
          <w:szCs w:val="22"/>
          <w:lang w:eastAsia="en-AU"/>
        </w:rPr>
      </w:pPr>
      <w:hyperlink w:anchor="_Toc8648785" w:history="1">
        <w:r w:rsidR="001E206E" w:rsidRPr="00BB352A">
          <w:rPr>
            <w:rStyle w:val="Hyperlink"/>
            <w14:scene3d>
              <w14:camera w14:prst="orthographicFront"/>
              <w14:lightRig w14:rig="threePt" w14:dir="t">
                <w14:rot w14:lat="0" w14:lon="0" w14:rev="0"/>
              </w14:lightRig>
            </w14:scene3d>
          </w:rPr>
          <w:t>1.8</w:t>
        </w:r>
        <w:r w:rsidR="001E206E">
          <w:rPr>
            <w:rFonts w:asciiTheme="minorHAnsi" w:eastAsiaTheme="minorEastAsia" w:hAnsiTheme="minorHAnsi" w:cstheme="minorBidi"/>
            <w:sz w:val="22"/>
            <w:szCs w:val="22"/>
            <w:lang w:eastAsia="en-AU"/>
          </w:rPr>
          <w:tab/>
        </w:r>
        <w:r w:rsidR="001E206E" w:rsidRPr="00BB352A">
          <w:rPr>
            <w:rStyle w:val="Hyperlink"/>
          </w:rPr>
          <w:t>Documentation</w:t>
        </w:r>
        <w:r w:rsidR="001E206E">
          <w:rPr>
            <w:webHidden/>
          </w:rPr>
          <w:tab/>
        </w:r>
        <w:r w:rsidR="001E206E">
          <w:rPr>
            <w:webHidden/>
          </w:rPr>
          <w:fldChar w:fldCharType="begin"/>
        </w:r>
        <w:r w:rsidR="001E206E">
          <w:rPr>
            <w:webHidden/>
          </w:rPr>
          <w:instrText xml:space="preserve"> PAGEREF _Toc8648785 \h </w:instrText>
        </w:r>
        <w:r w:rsidR="001E206E">
          <w:rPr>
            <w:webHidden/>
          </w:rPr>
        </w:r>
        <w:r w:rsidR="001E206E">
          <w:rPr>
            <w:webHidden/>
          </w:rPr>
          <w:fldChar w:fldCharType="separate"/>
        </w:r>
        <w:r w:rsidR="005C6125">
          <w:rPr>
            <w:webHidden/>
          </w:rPr>
          <w:t>3</w:t>
        </w:r>
        <w:r w:rsidR="001E206E">
          <w:rPr>
            <w:webHidden/>
          </w:rPr>
          <w:fldChar w:fldCharType="end"/>
        </w:r>
      </w:hyperlink>
    </w:p>
    <w:p w14:paraId="4FF31F24" w14:textId="7D438F48" w:rsidR="001E206E" w:rsidRDefault="001C6B98">
      <w:pPr>
        <w:pStyle w:val="TOC2"/>
        <w:tabs>
          <w:tab w:val="left" w:pos="567"/>
        </w:tabs>
        <w:rPr>
          <w:rFonts w:asciiTheme="minorHAnsi" w:eastAsiaTheme="minorEastAsia" w:hAnsiTheme="minorHAnsi" w:cstheme="minorBidi"/>
          <w:sz w:val="22"/>
          <w:szCs w:val="22"/>
          <w:lang w:eastAsia="en-AU"/>
        </w:rPr>
      </w:pPr>
      <w:hyperlink w:anchor="_Toc8648786" w:history="1">
        <w:r w:rsidR="001E206E" w:rsidRPr="00BB352A">
          <w:rPr>
            <w:rStyle w:val="Hyperlink"/>
            <w14:scene3d>
              <w14:camera w14:prst="orthographicFront"/>
              <w14:lightRig w14:rig="threePt" w14:dir="t">
                <w14:rot w14:lat="0" w14:lon="0" w14:rev="0"/>
              </w14:lightRig>
            </w14:scene3d>
          </w:rPr>
          <w:t>1.9</w:t>
        </w:r>
        <w:r w:rsidR="001E206E">
          <w:rPr>
            <w:rFonts w:asciiTheme="minorHAnsi" w:eastAsiaTheme="minorEastAsia" w:hAnsiTheme="minorHAnsi" w:cstheme="minorBidi"/>
            <w:sz w:val="22"/>
            <w:szCs w:val="22"/>
            <w:lang w:eastAsia="en-AU"/>
          </w:rPr>
          <w:tab/>
        </w:r>
        <w:r w:rsidR="001E206E" w:rsidRPr="00BB352A">
          <w:rPr>
            <w:rStyle w:val="Hyperlink"/>
          </w:rPr>
          <w:t>XSD schema</w:t>
        </w:r>
        <w:r w:rsidR="001E206E">
          <w:rPr>
            <w:webHidden/>
          </w:rPr>
          <w:tab/>
        </w:r>
        <w:r w:rsidR="001E206E">
          <w:rPr>
            <w:webHidden/>
          </w:rPr>
          <w:fldChar w:fldCharType="begin"/>
        </w:r>
        <w:r w:rsidR="001E206E">
          <w:rPr>
            <w:webHidden/>
          </w:rPr>
          <w:instrText xml:space="preserve"> PAGEREF _Toc8648786 \h </w:instrText>
        </w:r>
        <w:r w:rsidR="001E206E">
          <w:rPr>
            <w:webHidden/>
          </w:rPr>
        </w:r>
        <w:r w:rsidR="001E206E">
          <w:rPr>
            <w:webHidden/>
          </w:rPr>
          <w:fldChar w:fldCharType="separate"/>
        </w:r>
        <w:r w:rsidR="005C6125">
          <w:rPr>
            <w:webHidden/>
          </w:rPr>
          <w:t>4</w:t>
        </w:r>
        <w:r w:rsidR="001E206E">
          <w:rPr>
            <w:webHidden/>
          </w:rPr>
          <w:fldChar w:fldCharType="end"/>
        </w:r>
      </w:hyperlink>
    </w:p>
    <w:p w14:paraId="3CFE910E" w14:textId="654270C9" w:rsidR="001E206E" w:rsidRDefault="001C6B98">
      <w:pPr>
        <w:pStyle w:val="TOC2"/>
        <w:tabs>
          <w:tab w:val="left" w:pos="800"/>
        </w:tabs>
        <w:rPr>
          <w:rFonts w:asciiTheme="minorHAnsi" w:eastAsiaTheme="minorEastAsia" w:hAnsiTheme="minorHAnsi" w:cstheme="minorBidi"/>
          <w:sz w:val="22"/>
          <w:szCs w:val="22"/>
          <w:lang w:eastAsia="en-AU"/>
        </w:rPr>
      </w:pPr>
      <w:hyperlink w:anchor="_Toc8648787" w:history="1">
        <w:r w:rsidR="001E206E" w:rsidRPr="00BB352A">
          <w:rPr>
            <w:rStyle w:val="Hyperlink"/>
            <w14:scene3d>
              <w14:camera w14:prst="orthographicFront"/>
              <w14:lightRig w14:rig="threePt" w14:dir="t">
                <w14:rot w14:lat="0" w14:lon="0" w14:rev="0"/>
              </w14:lightRig>
            </w14:scene3d>
          </w:rPr>
          <w:t>1.10</w:t>
        </w:r>
        <w:r w:rsidR="001E206E">
          <w:rPr>
            <w:rFonts w:asciiTheme="minorHAnsi" w:eastAsiaTheme="minorEastAsia" w:hAnsiTheme="minorHAnsi" w:cstheme="minorBidi"/>
            <w:sz w:val="22"/>
            <w:szCs w:val="22"/>
            <w:lang w:eastAsia="en-AU"/>
          </w:rPr>
          <w:tab/>
        </w:r>
        <w:r w:rsidR="001E206E" w:rsidRPr="00BB352A">
          <w:rPr>
            <w:rStyle w:val="Hyperlink"/>
          </w:rPr>
          <w:t>Testing for new system extracts</w:t>
        </w:r>
        <w:r w:rsidR="001E206E">
          <w:rPr>
            <w:webHidden/>
          </w:rPr>
          <w:tab/>
        </w:r>
        <w:r w:rsidR="001E206E">
          <w:rPr>
            <w:webHidden/>
          </w:rPr>
          <w:fldChar w:fldCharType="begin"/>
        </w:r>
        <w:r w:rsidR="001E206E">
          <w:rPr>
            <w:webHidden/>
          </w:rPr>
          <w:instrText xml:space="preserve"> PAGEREF _Toc8648787 \h </w:instrText>
        </w:r>
        <w:r w:rsidR="001E206E">
          <w:rPr>
            <w:webHidden/>
          </w:rPr>
        </w:r>
        <w:r w:rsidR="001E206E">
          <w:rPr>
            <w:webHidden/>
          </w:rPr>
          <w:fldChar w:fldCharType="separate"/>
        </w:r>
        <w:r w:rsidR="005C6125">
          <w:rPr>
            <w:webHidden/>
          </w:rPr>
          <w:t>4</w:t>
        </w:r>
        <w:r w:rsidR="001E206E">
          <w:rPr>
            <w:webHidden/>
          </w:rPr>
          <w:fldChar w:fldCharType="end"/>
        </w:r>
      </w:hyperlink>
    </w:p>
    <w:p w14:paraId="0D0FA2ED" w14:textId="7CE33E82" w:rsidR="001E206E" w:rsidRDefault="001C6B98">
      <w:pPr>
        <w:pStyle w:val="TOC2"/>
        <w:tabs>
          <w:tab w:val="left" w:pos="800"/>
        </w:tabs>
        <w:rPr>
          <w:rFonts w:asciiTheme="minorHAnsi" w:eastAsiaTheme="minorEastAsia" w:hAnsiTheme="minorHAnsi" w:cstheme="minorBidi"/>
          <w:sz w:val="22"/>
          <w:szCs w:val="22"/>
          <w:lang w:eastAsia="en-AU"/>
        </w:rPr>
      </w:pPr>
      <w:hyperlink w:anchor="_Toc8648788" w:history="1">
        <w:r w:rsidR="001E206E" w:rsidRPr="00BB352A">
          <w:rPr>
            <w:rStyle w:val="Hyperlink"/>
            <w14:scene3d>
              <w14:camera w14:prst="orthographicFront"/>
              <w14:lightRig w14:rig="threePt" w14:dir="t">
                <w14:rot w14:lat="0" w14:lon="0" w14:rev="0"/>
              </w14:lightRig>
            </w14:scene3d>
          </w:rPr>
          <w:t>1.11</w:t>
        </w:r>
        <w:r w:rsidR="001E206E">
          <w:rPr>
            <w:rFonts w:asciiTheme="minorHAnsi" w:eastAsiaTheme="minorEastAsia" w:hAnsiTheme="minorHAnsi" w:cstheme="minorBidi"/>
            <w:sz w:val="22"/>
            <w:szCs w:val="22"/>
            <w:lang w:eastAsia="en-AU"/>
          </w:rPr>
          <w:tab/>
        </w:r>
        <w:r w:rsidR="001E206E" w:rsidRPr="00BB352A">
          <w:rPr>
            <w:rStyle w:val="Hyperlink"/>
          </w:rPr>
          <w:t>Reference files</w:t>
        </w:r>
        <w:r w:rsidR="001E206E">
          <w:rPr>
            <w:webHidden/>
          </w:rPr>
          <w:tab/>
        </w:r>
        <w:r w:rsidR="001E206E">
          <w:rPr>
            <w:webHidden/>
          </w:rPr>
          <w:fldChar w:fldCharType="begin"/>
        </w:r>
        <w:r w:rsidR="001E206E">
          <w:rPr>
            <w:webHidden/>
          </w:rPr>
          <w:instrText xml:space="preserve"> PAGEREF _Toc8648788 \h </w:instrText>
        </w:r>
        <w:r w:rsidR="001E206E">
          <w:rPr>
            <w:webHidden/>
          </w:rPr>
        </w:r>
        <w:r w:rsidR="001E206E">
          <w:rPr>
            <w:webHidden/>
          </w:rPr>
          <w:fldChar w:fldCharType="separate"/>
        </w:r>
        <w:r w:rsidR="005C6125">
          <w:rPr>
            <w:webHidden/>
          </w:rPr>
          <w:t>4</w:t>
        </w:r>
        <w:r w:rsidR="001E206E">
          <w:rPr>
            <w:webHidden/>
          </w:rPr>
          <w:fldChar w:fldCharType="end"/>
        </w:r>
      </w:hyperlink>
    </w:p>
    <w:p w14:paraId="2BEA1399" w14:textId="5AD127FD" w:rsidR="001E206E" w:rsidRDefault="001C6B98">
      <w:pPr>
        <w:pStyle w:val="TOC2"/>
        <w:tabs>
          <w:tab w:val="left" w:pos="800"/>
        </w:tabs>
        <w:rPr>
          <w:rFonts w:asciiTheme="minorHAnsi" w:eastAsiaTheme="minorEastAsia" w:hAnsiTheme="minorHAnsi" w:cstheme="minorBidi"/>
          <w:sz w:val="22"/>
          <w:szCs w:val="22"/>
          <w:lang w:eastAsia="en-AU"/>
        </w:rPr>
      </w:pPr>
      <w:hyperlink w:anchor="_Toc8648789" w:history="1">
        <w:r w:rsidR="001E206E" w:rsidRPr="00BB352A">
          <w:rPr>
            <w:rStyle w:val="Hyperlink"/>
            <w14:scene3d>
              <w14:camera w14:prst="orthographicFront"/>
              <w14:lightRig w14:rig="threePt" w14:dir="t">
                <w14:rot w14:lat="0" w14:lon="0" w14:rev="0"/>
              </w14:lightRig>
            </w14:scene3d>
          </w:rPr>
          <w:t>1.12</w:t>
        </w:r>
        <w:r w:rsidR="001E206E">
          <w:rPr>
            <w:rFonts w:asciiTheme="minorHAnsi" w:eastAsiaTheme="minorEastAsia" w:hAnsiTheme="minorHAnsi" w:cstheme="minorBidi"/>
            <w:sz w:val="22"/>
            <w:szCs w:val="22"/>
            <w:lang w:eastAsia="en-AU"/>
          </w:rPr>
          <w:tab/>
        </w:r>
        <w:r w:rsidR="001E206E" w:rsidRPr="00BB352A">
          <w:rPr>
            <w:rStyle w:val="Hyperlink"/>
          </w:rPr>
          <w:t>Contact details</w:t>
        </w:r>
        <w:r w:rsidR="001E206E">
          <w:rPr>
            <w:webHidden/>
          </w:rPr>
          <w:tab/>
        </w:r>
        <w:r w:rsidR="001E206E">
          <w:rPr>
            <w:webHidden/>
          </w:rPr>
          <w:fldChar w:fldCharType="begin"/>
        </w:r>
        <w:r w:rsidR="001E206E">
          <w:rPr>
            <w:webHidden/>
          </w:rPr>
          <w:instrText xml:space="preserve"> PAGEREF _Toc8648789 \h </w:instrText>
        </w:r>
        <w:r w:rsidR="001E206E">
          <w:rPr>
            <w:webHidden/>
          </w:rPr>
        </w:r>
        <w:r w:rsidR="001E206E">
          <w:rPr>
            <w:webHidden/>
          </w:rPr>
          <w:fldChar w:fldCharType="separate"/>
        </w:r>
        <w:r w:rsidR="005C6125">
          <w:rPr>
            <w:webHidden/>
          </w:rPr>
          <w:t>4</w:t>
        </w:r>
        <w:r w:rsidR="001E206E">
          <w:rPr>
            <w:webHidden/>
          </w:rPr>
          <w:fldChar w:fldCharType="end"/>
        </w:r>
      </w:hyperlink>
    </w:p>
    <w:p w14:paraId="13320EE7" w14:textId="573FC449" w:rsidR="009919DE" w:rsidRDefault="00AD784C" w:rsidP="009919DE">
      <w:pPr>
        <w:pStyle w:val="Heading1"/>
        <w:spacing w:before="0"/>
      </w:pPr>
      <w:r>
        <w:fldChar w:fldCharType="end"/>
      </w:r>
    </w:p>
    <w:p w14:paraId="02727017" w14:textId="77777777" w:rsidR="009919DE" w:rsidRPr="00BE4A64" w:rsidRDefault="00E22799" w:rsidP="009919DE">
      <w:pPr>
        <w:pStyle w:val="Heading1"/>
        <w:spacing w:before="0"/>
      </w:pPr>
      <w:bookmarkStart w:id="0" w:name="_Toc8648776"/>
      <w:r>
        <w:t xml:space="preserve">VADC </w:t>
      </w:r>
      <w:r w:rsidR="009919DE">
        <w:t>201</w:t>
      </w:r>
      <w:r w:rsidR="009D0AD4">
        <w:t>8-19</w:t>
      </w:r>
      <w:bookmarkEnd w:id="0"/>
    </w:p>
    <w:p w14:paraId="7B42DBDC" w14:textId="77777777" w:rsidR="00E22799" w:rsidRDefault="00E22799" w:rsidP="00E22799">
      <w:pPr>
        <w:pStyle w:val="Heading2"/>
        <w:numPr>
          <w:ilvl w:val="0"/>
          <w:numId w:val="9"/>
        </w:numPr>
      </w:pPr>
      <w:bookmarkStart w:id="1" w:name="_Toc8648777"/>
      <w:r>
        <w:t>Data Specification - Bulletin 6 correction</w:t>
      </w:r>
      <w:bookmarkEnd w:id="1"/>
    </w:p>
    <w:p w14:paraId="4EF983A4" w14:textId="4EBB9533" w:rsidR="00E22799" w:rsidRDefault="00E22799" w:rsidP="00E22799">
      <w:pPr>
        <w:pStyle w:val="DHHSbody"/>
      </w:pPr>
      <w:r>
        <w:t>A typographical error has been identified in VADC Bulletin 6, published 1</w:t>
      </w:r>
      <w:r w:rsidR="006D18FB">
        <w:t>6</w:t>
      </w:r>
      <w:r>
        <w:t xml:space="preserve"> April 2019. </w:t>
      </w:r>
      <w:r w:rsidR="007A5ADD">
        <w:t xml:space="preserve"> </w:t>
      </w:r>
      <w:r>
        <w:t>We apologise for</w:t>
      </w:r>
      <w:r w:rsidR="00AF01D9">
        <w:t xml:space="preserve"> any</w:t>
      </w:r>
      <w:r>
        <w:t xml:space="preserve"> inconvenience the error may have caused.</w:t>
      </w:r>
      <w:r w:rsidR="007A5ADD">
        <w:t xml:space="preserve"> </w:t>
      </w:r>
      <w:r>
        <w:t xml:space="preserve"> Please see correction below.</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350"/>
        <w:gridCol w:w="2410"/>
        <w:gridCol w:w="2126"/>
        <w:gridCol w:w="992"/>
        <w:gridCol w:w="1028"/>
      </w:tblGrid>
      <w:tr w:rsidR="00E22799" w:rsidRPr="003072C6" w14:paraId="7D0BF150" w14:textId="77777777" w:rsidTr="000A6E30">
        <w:tc>
          <w:tcPr>
            <w:tcW w:w="9845" w:type="dxa"/>
            <w:gridSpan w:val="6"/>
            <w:shd w:val="clear" w:color="auto" w:fill="auto"/>
          </w:tcPr>
          <w:p w14:paraId="553C155A" w14:textId="77777777" w:rsidR="00E22799" w:rsidRPr="00A46FC4" w:rsidRDefault="00E22799" w:rsidP="000A6E30">
            <w:pPr>
              <w:pStyle w:val="DHHStabletext"/>
              <w:rPr>
                <w:b/>
              </w:rPr>
            </w:pPr>
            <w:r>
              <w:rPr>
                <w:b/>
                <w:highlight w:val="green"/>
              </w:rPr>
              <w:t>CORRECTION</w:t>
            </w:r>
          </w:p>
        </w:tc>
      </w:tr>
      <w:tr w:rsidR="00E22799" w:rsidRPr="00D874BA" w14:paraId="7D7061B3" w14:textId="77777777" w:rsidTr="00645BA0">
        <w:tc>
          <w:tcPr>
            <w:tcW w:w="939" w:type="dxa"/>
            <w:shd w:val="clear" w:color="auto" w:fill="auto"/>
          </w:tcPr>
          <w:p w14:paraId="4E357F2D" w14:textId="77777777" w:rsidR="00E22799" w:rsidRPr="00D874BA" w:rsidRDefault="00E22799" w:rsidP="000A6E30">
            <w:pPr>
              <w:pStyle w:val="DHHStabletext"/>
              <w:rPr>
                <w:b/>
                <w:color w:val="002060"/>
              </w:rPr>
            </w:pPr>
            <w:r w:rsidRPr="00D874BA">
              <w:rPr>
                <w:b/>
                <w:color w:val="002060"/>
              </w:rPr>
              <w:t>ID</w:t>
            </w:r>
          </w:p>
        </w:tc>
        <w:tc>
          <w:tcPr>
            <w:tcW w:w="2350" w:type="dxa"/>
            <w:shd w:val="clear" w:color="auto" w:fill="auto"/>
          </w:tcPr>
          <w:p w14:paraId="755CB796" w14:textId="77777777" w:rsidR="00E22799" w:rsidRPr="00D874BA" w:rsidRDefault="00E22799" w:rsidP="000A6E30">
            <w:pPr>
              <w:pStyle w:val="DHHStabletext"/>
              <w:rPr>
                <w:b/>
                <w:color w:val="002060"/>
              </w:rPr>
            </w:pPr>
            <w:r w:rsidRPr="00D874BA">
              <w:rPr>
                <w:b/>
                <w:color w:val="002060"/>
              </w:rPr>
              <w:t xml:space="preserve">Edit name/description </w:t>
            </w:r>
          </w:p>
        </w:tc>
        <w:tc>
          <w:tcPr>
            <w:tcW w:w="2410" w:type="dxa"/>
            <w:shd w:val="clear" w:color="auto" w:fill="auto"/>
          </w:tcPr>
          <w:p w14:paraId="00FBF852" w14:textId="77777777" w:rsidR="00E22799" w:rsidRPr="00D874BA" w:rsidRDefault="00E22799" w:rsidP="000A6E30">
            <w:pPr>
              <w:pStyle w:val="DHHStabletext"/>
              <w:rPr>
                <w:b/>
                <w:color w:val="002060"/>
              </w:rPr>
            </w:pPr>
            <w:r w:rsidRPr="00D874BA">
              <w:rPr>
                <w:b/>
                <w:color w:val="002060"/>
              </w:rPr>
              <w:t>Data elements</w:t>
            </w:r>
          </w:p>
        </w:tc>
        <w:tc>
          <w:tcPr>
            <w:tcW w:w="2126" w:type="dxa"/>
          </w:tcPr>
          <w:p w14:paraId="5D721AF5" w14:textId="77777777" w:rsidR="00E22799" w:rsidRPr="00D874BA" w:rsidRDefault="00E22799" w:rsidP="000A6E30">
            <w:pPr>
              <w:pStyle w:val="DHHStabletext"/>
              <w:rPr>
                <w:b/>
                <w:color w:val="002060"/>
              </w:rPr>
            </w:pPr>
            <w:r w:rsidRPr="00D874BA">
              <w:rPr>
                <w:b/>
                <w:color w:val="002060"/>
              </w:rPr>
              <w:t>Pseudo code/rule</w:t>
            </w:r>
          </w:p>
        </w:tc>
        <w:tc>
          <w:tcPr>
            <w:tcW w:w="992" w:type="dxa"/>
          </w:tcPr>
          <w:p w14:paraId="7D81198B" w14:textId="77777777" w:rsidR="00E22799" w:rsidRPr="00D874BA" w:rsidRDefault="00E22799" w:rsidP="000A6E30">
            <w:pPr>
              <w:pStyle w:val="DHHStabletext"/>
              <w:rPr>
                <w:b/>
                <w:color w:val="002060"/>
              </w:rPr>
            </w:pPr>
            <w:r w:rsidRPr="00D874BA">
              <w:rPr>
                <w:b/>
                <w:color w:val="002060"/>
              </w:rPr>
              <w:t>Source</w:t>
            </w:r>
          </w:p>
        </w:tc>
        <w:tc>
          <w:tcPr>
            <w:tcW w:w="1028" w:type="dxa"/>
          </w:tcPr>
          <w:p w14:paraId="5CBDEE6B" w14:textId="77777777" w:rsidR="00E22799" w:rsidRPr="00D874BA" w:rsidRDefault="00E22799" w:rsidP="000A6E30">
            <w:pPr>
              <w:pStyle w:val="DHHStabletext"/>
              <w:rPr>
                <w:b/>
                <w:color w:val="002060"/>
              </w:rPr>
            </w:pPr>
            <w:r w:rsidRPr="00D874BA">
              <w:rPr>
                <w:b/>
                <w:color w:val="002060"/>
              </w:rPr>
              <w:t>Status</w:t>
            </w:r>
          </w:p>
        </w:tc>
      </w:tr>
      <w:tr w:rsidR="00E22799" w:rsidRPr="003072C6" w14:paraId="4E144405" w14:textId="77777777" w:rsidTr="00645BA0">
        <w:tc>
          <w:tcPr>
            <w:tcW w:w="939" w:type="dxa"/>
            <w:tcBorders>
              <w:top w:val="single" w:sz="4" w:space="0" w:color="auto"/>
              <w:left w:val="single" w:sz="4" w:space="0" w:color="auto"/>
              <w:bottom w:val="single" w:sz="4" w:space="0" w:color="auto"/>
              <w:right w:val="single" w:sz="4" w:space="0" w:color="auto"/>
            </w:tcBorders>
            <w:shd w:val="clear" w:color="auto" w:fill="auto"/>
          </w:tcPr>
          <w:p w14:paraId="5B610045" w14:textId="77777777" w:rsidR="00E22799" w:rsidRPr="007B2BFD" w:rsidRDefault="00E22799" w:rsidP="000A6E30">
            <w:pPr>
              <w:pStyle w:val="DHHStabletext"/>
            </w:pPr>
            <w:r w:rsidRPr="007B2BFD">
              <w:t>AoD142</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35434CE" w14:textId="77777777" w:rsidR="00E22799" w:rsidRPr="007B2BFD" w:rsidRDefault="00E22799" w:rsidP="000A6E30">
            <w:pPr>
              <w:pStyle w:val="DHHStabletext"/>
            </w:pPr>
            <w:r w:rsidRPr="007B2BFD">
              <w:t>Drug Concern-</w:t>
            </w:r>
          </w:p>
          <w:p w14:paraId="407A7F3A" w14:textId="77777777" w:rsidR="00E22799" w:rsidRPr="007B2BFD" w:rsidRDefault="00E22799" w:rsidP="000A6E30">
            <w:pPr>
              <w:pStyle w:val="DHHStabletext"/>
            </w:pPr>
            <w:r>
              <w:t>d</w:t>
            </w:r>
            <w:r w:rsidRPr="007B2BFD">
              <w:t xml:space="preserve">ate after client review date </w:t>
            </w:r>
          </w:p>
          <w:p w14:paraId="366FBD58" w14:textId="77777777" w:rsidR="00E22799" w:rsidRPr="007B2BFD" w:rsidRDefault="00E22799" w:rsidP="000A6E30">
            <w:pPr>
              <w:pStyle w:val="DHHStable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BFBAAC" w14:textId="77777777" w:rsidR="00E22799" w:rsidRDefault="00E22799" w:rsidP="000A6E30">
            <w:pPr>
              <w:pStyle w:val="DHHStabletext"/>
            </w:pPr>
            <w:r>
              <w:t>Outcomes-Client review date</w:t>
            </w:r>
          </w:p>
          <w:p w14:paraId="1169534C" w14:textId="77777777" w:rsidR="00E22799" w:rsidRDefault="00E22799" w:rsidP="000A6E30">
            <w:pPr>
              <w:pStyle w:val="DHHStabletext"/>
            </w:pPr>
            <w:r>
              <w:t>Drug Concern-date last use</w:t>
            </w:r>
          </w:p>
        </w:tc>
        <w:tc>
          <w:tcPr>
            <w:tcW w:w="2126" w:type="dxa"/>
            <w:tcBorders>
              <w:top w:val="single" w:sz="4" w:space="0" w:color="auto"/>
              <w:left w:val="single" w:sz="4" w:space="0" w:color="auto"/>
              <w:bottom w:val="single" w:sz="4" w:space="0" w:color="auto"/>
              <w:right w:val="single" w:sz="4" w:space="0" w:color="auto"/>
            </w:tcBorders>
          </w:tcPr>
          <w:p w14:paraId="10AD3300" w14:textId="77777777" w:rsidR="00E22799" w:rsidRDefault="00E22799" w:rsidP="000A6E30">
            <w:pPr>
              <w:pStyle w:val="DHHStabletext"/>
            </w:pPr>
            <w:r>
              <w:t>Outcomes-Client review date &lt; date last use</w:t>
            </w:r>
          </w:p>
        </w:tc>
        <w:tc>
          <w:tcPr>
            <w:tcW w:w="992" w:type="dxa"/>
            <w:tcBorders>
              <w:top w:val="single" w:sz="4" w:space="0" w:color="auto"/>
              <w:left w:val="single" w:sz="4" w:space="0" w:color="auto"/>
              <w:bottom w:val="single" w:sz="4" w:space="0" w:color="auto"/>
              <w:right w:val="single" w:sz="4" w:space="0" w:color="auto"/>
            </w:tcBorders>
          </w:tcPr>
          <w:p w14:paraId="5F8A36CD" w14:textId="77777777" w:rsidR="00E22799" w:rsidRPr="00BB6A2C" w:rsidRDefault="00E22799" w:rsidP="000A6E30">
            <w:pPr>
              <w:pStyle w:val="DHHStabletext"/>
            </w:pPr>
            <w:r w:rsidRPr="0067073E">
              <w:t>DHHS</w:t>
            </w:r>
          </w:p>
        </w:tc>
        <w:tc>
          <w:tcPr>
            <w:tcW w:w="1028" w:type="dxa"/>
            <w:tcBorders>
              <w:top w:val="single" w:sz="4" w:space="0" w:color="auto"/>
              <w:left w:val="single" w:sz="4" w:space="0" w:color="auto"/>
              <w:bottom w:val="single" w:sz="4" w:space="0" w:color="auto"/>
              <w:right w:val="single" w:sz="4" w:space="0" w:color="auto"/>
            </w:tcBorders>
          </w:tcPr>
          <w:p w14:paraId="54655254" w14:textId="77777777" w:rsidR="00E22799" w:rsidRPr="00321375" w:rsidRDefault="00E22799" w:rsidP="000A6E30">
            <w:pPr>
              <w:pStyle w:val="DHHStabletext"/>
            </w:pPr>
            <w:r w:rsidRPr="009571BD">
              <w:rPr>
                <w:strike/>
                <w:highlight w:val="yellow"/>
              </w:rPr>
              <w:t>warning</w:t>
            </w:r>
            <w:r>
              <w:t xml:space="preserve"> error</w:t>
            </w:r>
          </w:p>
        </w:tc>
      </w:tr>
    </w:tbl>
    <w:p w14:paraId="7A82560B" w14:textId="77777777" w:rsidR="00E22799" w:rsidRPr="00016432" w:rsidRDefault="00E22799" w:rsidP="00E22799">
      <w:pPr>
        <w:pStyle w:val="Heading2"/>
        <w:numPr>
          <w:ilvl w:val="0"/>
          <w:numId w:val="9"/>
        </w:numPr>
      </w:pPr>
      <w:bookmarkStart w:id="2" w:name="_Toc8648778"/>
      <w:r>
        <w:lastRenderedPageBreak/>
        <w:t>Deletions</w:t>
      </w:r>
      <w:bookmarkEnd w:id="2"/>
    </w:p>
    <w:p w14:paraId="752BE937" w14:textId="7475B73C" w:rsidR="006B147A" w:rsidRDefault="00E22799" w:rsidP="00567154">
      <w:pPr>
        <w:pStyle w:val="DHHSbody"/>
        <w:rPr>
          <w:rFonts w:cs="Arial"/>
        </w:rPr>
      </w:pPr>
      <w:r w:rsidRPr="009D0AD4">
        <w:rPr>
          <w:rFonts w:cs="Arial"/>
        </w:rPr>
        <w:t>We have identified an error in our ‘delete’ action logic.</w:t>
      </w:r>
      <w:r w:rsidR="007E47C8">
        <w:rPr>
          <w:rFonts w:cs="Arial"/>
        </w:rPr>
        <w:t xml:space="preserve"> </w:t>
      </w:r>
      <w:r w:rsidR="007A5ADD">
        <w:rPr>
          <w:rFonts w:cs="Arial"/>
        </w:rPr>
        <w:t xml:space="preserve"> </w:t>
      </w:r>
      <w:r w:rsidR="007E47C8">
        <w:rPr>
          <w:rFonts w:cs="Arial"/>
        </w:rPr>
        <w:t>This has now been rectified.</w:t>
      </w:r>
      <w:r w:rsidRPr="009D0AD4">
        <w:rPr>
          <w:rFonts w:cs="Arial"/>
        </w:rPr>
        <w:t xml:space="preserve"> </w:t>
      </w:r>
      <w:r w:rsidR="007A5ADD">
        <w:rPr>
          <w:rFonts w:cs="Arial"/>
        </w:rPr>
        <w:t xml:space="preserve"> </w:t>
      </w:r>
      <w:r w:rsidR="00316928">
        <w:rPr>
          <w:rFonts w:cs="Arial"/>
        </w:rPr>
        <w:t xml:space="preserve">If you </w:t>
      </w:r>
      <w:r w:rsidR="007E47C8">
        <w:rPr>
          <w:rFonts w:cs="Arial"/>
        </w:rPr>
        <w:t xml:space="preserve">or your vendor </w:t>
      </w:r>
      <w:r w:rsidR="00316928">
        <w:rPr>
          <w:rFonts w:cs="Arial"/>
        </w:rPr>
        <w:t xml:space="preserve">need </w:t>
      </w:r>
      <w:r w:rsidR="007E47C8">
        <w:rPr>
          <w:rFonts w:cs="Arial"/>
        </w:rPr>
        <w:t xml:space="preserve">assistance with </w:t>
      </w:r>
      <w:r w:rsidR="00316928">
        <w:rPr>
          <w:rFonts w:cs="Arial"/>
        </w:rPr>
        <w:t>deletion</w:t>
      </w:r>
      <w:r w:rsidR="00AD6135">
        <w:rPr>
          <w:rFonts w:cs="Arial"/>
        </w:rPr>
        <w:t xml:space="preserve"> </w:t>
      </w:r>
      <w:r w:rsidR="00567154">
        <w:rPr>
          <w:rFonts w:cs="Arial"/>
        </w:rPr>
        <w:t>record</w:t>
      </w:r>
      <w:r w:rsidR="007E47C8">
        <w:rPr>
          <w:rFonts w:cs="Arial"/>
        </w:rPr>
        <w:t>s</w:t>
      </w:r>
      <w:r w:rsidR="00316928">
        <w:rPr>
          <w:rFonts w:cs="Arial"/>
        </w:rPr>
        <w:t>, please contact</w:t>
      </w:r>
      <w:r w:rsidR="00316928" w:rsidRPr="002454E0">
        <w:rPr>
          <w:rFonts w:cs="Arial"/>
          <w:color w:val="4472C4" w:themeColor="accent1"/>
        </w:rPr>
        <w:t xml:space="preserve"> </w:t>
      </w:r>
      <w:hyperlink r:id="rId9" w:history="1">
        <w:r w:rsidR="00316928" w:rsidRPr="002454E0">
          <w:rPr>
            <w:rStyle w:val="Hyperlink"/>
            <w:rFonts w:cs="Arial"/>
            <w:color w:val="4472C4" w:themeColor="accent1"/>
          </w:rPr>
          <w:t>VADC_data@dhhs.vic.gov.au</w:t>
        </w:r>
      </w:hyperlink>
      <w:r w:rsidR="00A94C46">
        <w:rPr>
          <w:rFonts w:cs="Arial"/>
        </w:rPr>
        <w:t>.</w:t>
      </w:r>
      <w:r w:rsidR="00316928">
        <w:rPr>
          <w:rFonts w:cs="Arial"/>
        </w:rPr>
        <w:t xml:space="preserve"> </w:t>
      </w:r>
      <w:r w:rsidR="0026799A">
        <w:rPr>
          <w:rFonts w:cs="Arial"/>
        </w:rPr>
        <w:t xml:space="preserve"> </w:t>
      </w:r>
    </w:p>
    <w:p w14:paraId="309EE1AF" w14:textId="77777777" w:rsidR="00F35909" w:rsidRDefault="007C40AF" w:rsidP="007C40AF">
      <w:pPr>
        <w:pStyle w:val="DHHSbody"/>
        <w:spacing w:before="120"/>
        <w:rPr>
          <w:rFonts w:cs="Arial"/>
          <w:b/>
        </w:rPr>
      </w:pPr>
      <w:r>
        <w:rPr>
          <w:rFonts w:cs="Arial"/>
          <w:b/>
        </w:rPr>
        <w:t xml:space="preserve">  a) </w:t>
      </w:r>
      <w:r w:rsidR="00F35909">
        <w:rPr>
          <w:rFonts w:cs="Arial"/>
          <w:b/>
        </w:rPr>
        <w:t xml:space="preserve">To </w:t>
      </w:r>
      <w:r w:rsidR="00F35909" w:rsidRPr="00B15D0A">
        <w:rPr>
          <w:rFonts w:cs="Arial"/>
          <w:b/>
        </w:rPr>
        <w:t xml:space="preserve">delete </w:t>
      </w:r>
      <w:r w:rsidR="00F35909">
        <w:rPr>
          <w:rFonts w:cs="Arial"/>
          <w:b/>
        </w:rPr>
        <w:t>C</w:t>
      </w:r>
      <w:r w:rsidR="00F35909" w:rsidRPr="00B15D0A">
        <w:rPr>
          <w:rFonts w:cs="Arial"/>
          <w:b/>
        </w:rPr>
        <w:t>lient</w:t>
      </w:r>
      <w:r w:rsidR="00F35909">
        <w:rPr>
          <w:rFonts w:cs="Arial"/>
          <w:b/>
        </w:rPr>
        <w:t>/</w:t>
      </w:r>
      <w:r w:rsidR="00F35909" w:rsidRPr="00B15D0A">
        <w:rPr>
          <w:rFonts w:cs="Arial"/>
          <w:b/>
        </w:rPr>
        <w:t xml:space="preserve">s and all </w:t>
      </w:r>
      <w:r w:rsidR="00F35909">
        <w:rPr>
          <w:rFonts w:cs="Arial"/>
          <w:b/>
        </w:rPr>
        <w:t>Service Events</w:t>
      </w:r>
      <w:r w:rsidR="00F35909" w:rsidRPr="00B15D0A">
        <w:rPr>
          <w:rFonts w:cs="Arial"/>
          <w:b/>
        </w:rPr>
        <w:t>, submit</w:t>
      </w:r>
      <w:r w:rsidR="00F35909">
        <w:rPr>
          <w:rFonts w:cs="Arial"/>
          <w:b/>
        </w:rPr>
        <w:t>:</w:t>
      </w:r>
    </w:p>
    <w:tbl>
      <w:tblPr>
        <w:tblStyle w:val="TableGrid"/>
        <w:tblW w:w="0" w:type="auto"/>
        <w:tblLook w:val="04A0" w:firstRow="1" w:lastRow="0" w:firstColumn="1" w:lastColumn="0" w:noHBand="0" w:noVBand="1"/>
      </w:tblPr>
      <w:tblGrid>
        <w:gridCol w:w="4565"/>
        <w:gridCol w:w="5521"/>
      </w:tblGrid>
      <w:tr w:rsidR="00F35909" w14:paraId="0AD1895B" w14:textId="77777777" w:rsidTr="005C1ED0">
        <w:tc>
          <w:tcPr>
            <w:tcW w:w="4565" w:type="dxa"/>
          </w:tcPr>
          <w:p w14:paraId="5A44D668" w14:textId="77777777" w:rsidR="00F35909" w:rsidRDefault="00F35909" w:rsidP="005C1ED0">
            <w:pPr>
              <w:pStyle w:val="DHHSbody"/>
              <w:rPr>
                <w:rFonts w:cs="Arial"/>
                <w:b/>
              </w:rPr>
            </w:pPr>
            <w:r>
              <w:rPr>
                <w:rFonts w:cs="Arial"/>
                <w:b/>
              </w:rPr>
              <w:t>Action</w:t>
            </w:r>
          </w:p>
        </w:tc>
        <w:tc>
          <w:tcPr>
            <w:tcW w:w="5521" w:type="dxa"/>
          </w:tcPr>
          <w:p w14:paraId="1DE239D6" w14:textId="77777777" w:rsidR="00F35909" w:rsidRDefault="00F35909" w:rsidP="005C1ED0">
            <w:pPr>
              <w:pStyle w:val="DHHSbody"/>
              <w:rPr>
                <w:rFonts w:cs="Arial"/>
                <w:b/>
              </w:rPr>
            </w:pPr>
            <w:r>
              <w:rPr>
                <w:rFonts w:cs="Arial"/>
                <w:b/>
              </w:rPr>
              <w:t xml:space="preserve">Outcome </w:t>
            </w:r>
          </w:p>
        </w:tc>
      </w:tr>
      <w:tr w:rsidR="00F35909" w14:paraId="2A1FA7A8" w14:textId="77777777" w:rsidTr="005C1ED0">
        <w:tc>
          <w:tcPr>
            <w:tcW w:w="4565" w:type="dxa"/>
          </w:tcPr>
          <w:p w14:paraId="238F2DE5" w14:textId="77777777" w:rsidR="00F35909" w:rsidRDefault="00F35909" w:rsidP="005C1ED0">
            <w:pPr>
              <w:pStyle w:val="DHHSbody"/>
              <w:rPr>
                <w:rFonts w:cs="Arial"/>
                <w:b/>
              </w:rPr>
            </w:pPr>
            <w:r w:rsidRPr="00316928">
              <w:rPr>
                <w:rFonts w:cs="Arial"/>
              </w:rPr>
              <w:t xml:space="preserve">A full </w:t>
            </w:r>
            <w:r>
              <w:rPr>
                <w:rFonts w:cs="Arial"/>
              </w:rPr>
              <w:t>C</w:t>
            </w:r>
            <w:r w:rsidRPr="00316928">
              <w:rPr>
                <w:rFonts w:cs="Arial"/>
              </w:rPr>
              <w:t xml:space="preserve">lient with content </w:t>
            </w:r>
            <w:r>
              <w:rPr>
                <w:rFonts w:cs="Arial"/>
              </w:rPr>
              <w:t>and</w:t>
            </w:r>
            <w:r w:rsidRPr="00316928">
              <w:rPr>
                <w:rFonts w:cs="Arial"/>
              </w:rPr>
              <w:t xml:space="preserve"> action type</w:t>
            </w:r>
            <w:r>
              <w:rPr>
                <w:rFonts w:cs="Arial"/>
              </w:rPr>
              <w:t xml:space="preserve"> D for a specific reporting period, OR</w:t>
            </w:r>
          </w:p>
        </w:tc>
        <w:tc>
          <w:tcPr>
            <w:tcW w:w="5521" w:type="dxa"/>
          </w:tcPr>
          <w:p w14:paraId="46E068C2" w14:textId="77777777" w:rsidR="00F35909" w:rsidRDefault="00F35909" w:rsidP="005C1ED0">
            <w:pPr>
              <w:pStyle w:val="DHHSbody"/>
              <w:rPr>
                <w:rFonts w:cs="Arial"/>
                <w:b/>
              </w:rPr>
            </w:pPr>
            <w:r w:rsidRPr="007D0102">
              <w:rPr>
                <w:rFonts w:cs="Arial"/>
              </w:rPr>
              <w:t>Client &amp; all its dependent entities deleted</w:t>
            </w:r>
          </w:p>
        </w:tc>
      </w:tr>
      <w:tr w:rsidR="00F35909" w14:paraId="2B0D16EB" w14:textId="77777777" w:rsidTr="005C1ED0">
        <w:tc>
          <w:tcPr>
            <w:tcW w:w="4565" w:type="dxa"/>
          </w:tcPr>
          <w:p w14:paraId="1B6F8EF5" w14:textId="77777777" w:rsidR="00F35909" w:rsidRDefault="00F35909" w:rsidP="005C1ED0">
            <w:pPr>
              <w:pStyle w:val="DHHSbody"/>
              <w:rPr>
                <w:rFonts w:cs="Arial"/>
                <w:b/>
              </w:rPr>
            </w:pPr>
            <w:r w:rsidRPr="007D0102">
              <w:rPr>
                <w:rFonts w:cs="Arial"/>
              </w:rPr>
              <w:t>A heading-only Client with action type D</w:t>
            </w:r>
            <w:r>
              <w:rPr>
                <w:rFonts w:cs="Arial"/>
              </w:rPr>
              <w:t xml:space="preserve"> for a specific reporting period</w:t>
            </w:r>
          </w:p>
        </w:tc>
        <w:tc>
          <w:tcPr>
            <w:tcW w:w="5521" w:type="dxa"/>
          </w:tcPr>
          <w:p w14:paraId="21CC05F4" w14:textId="77777777" w:rsidR="00F35909" w:rsidRDefault="00F35909" w:rsidP="005C1ED0">
            <w:pPr>
              <w:pStyle w:val="DHHSbody"/>
              <w:rPr>
                <w:rFonts w:cs="Arial"/>
                <w:b/>
              </w:rPr>
            </w:pPr>
            <w:r w:rsidRPr="007D0102">
              <w:rPr>
                <w:rFonts w:cs="Arial"/>
              </w:rPr>
              <w:t>Client &amp; all its dependent entities delete</w:t>
            </w:r>
            <w:r>
              <w:rPr>
                <w:rFonts w:cs="Arial"/>
              </w:rPr>
              <w:t>d</w:t>
            </w:r>
          </w:p>
        </w:tc>
      </w:tr>
    </w:tbl>
    <w:p w14:paraId="3034EE78" w14:textId="77777777" w:rsidR="00F35909" w:rsidRPr="009D0AD4" w:rsidRDefault="00F35909" w:rsidP="00F35909">
      <w:pPr>
        <w:rPr>
          <w:rFonts w:ascii="Arial" w:hAnsi="Arial" w:cs="Arial"/>
          <w:sz w:val="20"/>
          <w:szCs w:val="20"/>
        </w:rPr>
      </w:pPr>
    </w:p>
    <w:p w14:paraId="79AD34CD" w14:textId="54F10BE3" w:rsidR="00F35909" w:rsidRDefault="007C40AF" w:rsidP="00F35909">
      <w:pPr>
        <w:spacing w:after="120"/>
        <w:rPr>
          <w:rFonts w:ascii="Arial" w:hAnsi="Arial" w:cs="Arial"/>
          <w:b/>
          <w:sz w:val="20"/>
          <w:szCs w:val="20"/>
        </w:rPr>
      </w:pPr>
      <w:r>
        <w:rPr>
          <w:rFonts w:ascii="Arial" w:hAnsi="Arial" w:cs="Arial"/>
          <w:b/>
          <w:sz w:val="20"/>
          <w:szCs w:val="20"/>
        </w:rPr>
        <w:t xml:space="preserve">  b) </w:t>
      </w:r>
      <w:r w:rsidR="00F35909">
        <w:rPr>
          <w:rFonts w:ascii="Arial" w:hAnsi="Arial" w:cs="Arial"/>
          <w:b/>
          <w:sz w:val="20"/>
          <w:szCs w:val="20"/>
        </w:rPr>
        <w:t xml:space="preserve">To </w:t>
      </w:r>
      <w:r w:rsidR="00F35909" w:rsidRPr="00B15D0A">
        <w:rPr>
          <w:rFonts w:ascii="Arial" w:hAnsi="Arial" w:cs="Arial"/>
          <w:b/>
          <w:sz w:val="20"/>
          <w:szCs w:val="20"/>
        </w:rPr>
        <w:t xml:space="preserve">delete a single </w:t>
      </w:r>
      <w:r w:rsidR="00F35909">
        <w:rPr>
          <w:rFonts w:ascii="Arial" w:hAnsi="Arial" w:cs="Arial"/>
          <w:b/>
          <w:sz w:val="20"/>
          <w:szCs w:val="20"/>
        </w:rPr>
        <w:t>Service Event</w:t>
      </w:r>
      <w:r w:rsidR="00F35909" w:rsidRPr="00B15D0A">
        <w:rPr>
          <w:rFonts w:ascii="Arial" w:hAnsi="Arial" w:cs="Arial"/>
          <w:b/>
          <w:sz w:val="20"/>
          <w:szCs w:val="20"/>
        </w:rPr>
        <w:t xml:space="preserve"> and NOT the </w:t>
      </w:r>
      <w:r w:rsidR="00F35909">
        <w:rPr>
          <w:rFonts w:ascii="Arial" w:hAnsi="Arial" w:cs="Arial"/>
          <w:b/>
          <w:sz w:val="20"/>
          <w:szCs w:val="20"/>
        </w:rPr>
        <w:t>C</w:t>
      </w:r>
      <w:r w:rsidR="00F35909" w:rsidRPr="00B15D0A">
        <w:rPr>
          <w:rFonts w:ascii="Arial" w:hAnsi="Arial" w:cs="Arial"/>
          <w:b/>
          <w:sz w:val="20"/>
          <w:szCs w:val="20"/>
        </w:rPr>
        <w:t xml:space="preserve">lient, where </w:t>
      </w:r>
      <w:r w:rsidR="008F5411">
        <w:rPr>
          <w:rFonts w:ascii="Arial" w:hAnsi="Arial" w:cs="Arial"/>
          <w:b/>
          <w:sz w:val="20"/>
          <w:szCs w:val="20"/>
        </w:rPr>
        <w:t xml:space="preserve">Client has </w:t>
      </w:r>
      <w:r w:rsidR="00F35909" w:rsidRPr="00A218AD">
        <w:rPr>
          <w:rFonts w:ascii="Arial" w:hAnsi="Arial" w:cs="Arial"/>
          <w:b/>
          <w:sz w:val="20"/>
          <w:szCs w:val="20"/>
          <w:u w:val="single"/>
        </w:rPr>
        <w:t>one</w:t>
      </w:r>
      <w:r w:rsidR="00F35909" w:rsidRPr="00B15D0A">
        <w:rPr>
          <w:rFonts w:ascii="Arial" w:hAnsi="Arial" w:cs="Arial"/>
          <w:b/>
          <w:sz w:val="20"/>
          <w:szCs w:val="20"/>
        </w:rPr>
        <w:t xml:space="preserve"> </w:t>
      </w:r>
      <w:r w:rsidR="00F35909">
        <w:rPr>
          <w:rFonts w:ascii="Arial" w:hAnsi="Arial" w:cs="Arial"/>
          <w:b/>
          <w:sz w:val="20"/>
          <w:szCs w:val="20"/>
        </w:rPr>
        <w:t>Service Event</w:t>
      </w:r>
      <w:r w:rsidR="00F35909" w:rsidRPr="00B15D0A">
        <w:rPr>
          <w:rFonts w:ascii="Arial" w:hAnsi="Arial" w:cs="Arial"/>
          <w:b/>
          <w:sz w:val="20"/>
          <w:szCs w:val="20"/>
        </w:rPr>
        <w:t>, submit</w:t>
      </w:r>
      <w:r w:rsidR="00F35909">
        <w:rPr>
          <w:rFonts w:ascii="Arial" w:hAnsi="Arial" w:cs="Arial"/>
          <w:b/>
          <w:sz w:val="20"/>
          <w:szCs w:val="20"/>
        </w:rPr>
        <w:t>:</w:t>
      </w:r>
    </w:p>
    <w:tbl>
      <w:tblPr>
        <w:tblStyle w:val="TableGrid"/>
        <w:tblW w:w="0" w:type="auto"/>
        <w:tblLook w:val="04A0" w:firstRow="1" w:lastRow="0" w:firstColumn="1" w:lastColumn="0" w:noHBand="0" w:noVBand="1"/>
      </w:tblPr>
      <w:tblGrid>
        <w:gridCol w:w="4565"/>
        <w:gridCol w:w="5521"/>
      </w:tblGrid>
      <w:tr w:rsidR="00F35909" w14:paraId="15F4CF89" w14:textId="77777777" w:rsidTr="005C1ED0">
        <w:tc>
          <w:tcPr>
            <w:tcW w:w="4565" w:type="dxa"/>
          </w:tcPr>
          <w:p w14:paraId="04CF9A0E" w14:textId="77777777" w:rsidR="00F35909" w:rsidRDefault="00F35909" w:rsidP="005C1ED0">
            <w:pPr>
              <w:pStyle w:val="DHHSbody"/>
              <w:rPr>
                <w:rFonts w:cs="Arial"/>
                <w:b/>
              </w:rPr>
            </w:pPr>
            <w:r>
              <w:rPr>
                <w:rFonts w:cs="Arial"/>
                <w:b/>
              </w:rPr>
              <w:t>Action</w:t>
            </w:r>
          </w:p>
        </w:tc>
        <w:tc>
          <w:tcPr>
            <w:tcW w:w="5521" w:type="dxa"/>
          </w:tcPr>
          <w:p w14:paraId="2B55CF0C" w14:textId="77777777" w:rsidR="00F35909" w:rsidRDefault="00F35909" w:rsidP="005C1ED0">
            <w:pPr>
              <w:pStyle w:val="DHHSbody"/>
              <w:rPr>
                <w:rFonts w:cs="Arial"/>
                <w:b/>
              </w:rPr>
            </w:pPr>
            <w:r>
              <w:rPr>
                <w:rFonts w:cs="Arial"/>
                <w:b/>
              </w:rPr>
              <w:t xml:space="preserve">Outcome </w:t>
            </w:r>
          </w:p>
        </w:tc>
      </w:tr>
      <w:tr w:rsidR="00F35909" w14:paraId="4D39E770" w14:textId="77777777" w:rsidTr="005C1ED0">
        <w:tc>
          <w:tcPr>
            <w:tcW w:w="4565" w:type="dxa"/>
          </w:tcPr>
          <w:p w14:paraId="6BCA7BE1" w14:textId="77777777" w:rsidR="00F35909" w:rsidRDefault="00F35909" w:rsidP="005C1ED0">
            <w:pPr>
              <w:pStyle w:val="DHHSbody"/>
              <w:rPr>
                <w:rFonts w:cs="Arial"/>
                <w:b/>
              </w:rPr>
            </w:pPr>
            <w:r w:rsidRPr="004118F3">
              <w:rPr>
                <w:rFonts w:cs="Arial"/>
              </w:rPr>
              <w:t xml:space="preserve">A heading-only </w:t>
            </w:r>
            <w:r>
              <w:rPr>
                <w:rFonts w:cs="Arial"/>
              </w:rPr>
              <w:t>Service Event</w:t>
            </w:r>
            <w:r w:rsidRPr="004118F3">
              <w:rPr>
                <w:rFonts w:cs="Arial"/>
              </w:rPr>
              <w:t xml:space="preserve"> with action type D (without associated Client)</w:t>
            </w:r>
            <w:r w:rsidR="007E47C8">
              <w:rPr>
                <w:rFonts w:cs="Arial"/>
              </w:rPr>
              <w:t>, OR</w:t>
            </w:r>
          </w:p>
        </w:tc>
        <w:tc>
          <w:tcPr>
            <w:tcW w:w="5521" w:type="dxa"/>
          </w:tcPr>
          <w:p w14:paraId="51FF6105" w14:textId="77777777" w:rsidR="00F35909" w:rsidRDefault="00F35909" w:rsidP="005C1ED0">
            <w:pPr>
              <w:pStyle w:val="DHHSbody"/>
              <w:rPr>
                <w:rFonts w:cs="Arial"/>
                <w:b/>
              </w:rPr>
            </w:pPr>
            <w:r>
              <w:rPr>
                <w:rFonts w:cs="Arial"/>
              </w:rPr>
              <w:t>Service Event</w:t>
            </w:r>
            <w:r w:rsidRPr="004118F3">
              <w:rPr>
                <w:rFonts w:cs="Arial"/>
              </w:rPr>
              <w:t xml:space="preserve"> &amp; all its dependent entities deleted</w:t>
            </w:r>
          </w:p>
        </w:tc>
      </w:tr>
      <w:tr w:rsidR="00F35909" w14:paraId="373FDA4D" w14:textId="77777777" w:rsidTr="005C1ED0">
        <w:tc>
          <w:tcPr>
            <w:tcW w:w="4565" w:type="dxa"/>
          </w:tcPr>
          <w:p w14:paraId="41709FBC" w14:textId="77777777" w:rsidR="00F35909" w:rsidRDefault="00F35909" w:rsidP="005C1ED0">
            <w:pPr>
              <w:pStyle w:val="DHHSbody"/>
              <w:rPr>
                <w:rFonts w:cs="Arial"/>
                <w:b/>
              </w:rPr>
            </w:pPr>
            <w:r w:rsidRPr="00316928">
              <w:rPr>
                <w:rFonts w:cs="Arial"/>
              </w:rPr>
              <w:t xml:space="preserve">A full </w:t>
            </w:r>
            <w:r>
              <w:rPr>
                <w:rFonts w:cs="Arial"/>
              </w:rPr>
              <w:t>C</w:t>
            </w:r>
            <w:r w:rsidRPr="00316928">
              <w:rPr>
                <w:rFonts w:cs="Arial"/>
              </w:rPr>
              <w:t xml:space="preserve">lient with content </w:t>
            </w:r>
            <w:r>
              <w:rPr>
                <w:rFonts w:cs="Arial"/>
              </w:rPr>
              <w:t>and</w:t>
            </w:r>
            <w:r w:rsidRPr="00316928">
              <w:rPr>
                <w:rFonts w:cs="Arial"/>
              </w:rPr>
              <w:t xml:space="preserve"> action type I/U</w:t>
            </w:r>
            <w:r>
              <w:rPr>
                <w:rFonts w:cs="Arial"/>
              </w:rPr>
              <w:t xml:space="preserve"> and</w:t>
            </w:r>
            <w:r w:rsidRPr="00316928">
              <w:rPr>
                <w:rFonts w:cs="Arial"/>
              </w:rPr>
              <w:t xml:space="preserve"> a </w:t>
            </w:r>
            <w:r>
              <w:rPr>
                <w:rFonts w:cs="Arial"/>
              </w:rPr>
              <w:t>Service Event</w:t>
            </w:r>
            <w:r w:rsidRPr="00316928">
              <w:rPr>
                <w:rFonts w:cs="Arial"/>
              </w:rPr>
              <w:t xml:space="preserve"> with content &amp; action type D</w:t>
            </w:r>
          </w:p>
        </w:tc>
        <w:tc>
          <w:tcPr>
            <w:tcW w:w="5521" w:type="dxa"/>
          </w:tcPr>
          <w:p w14:paraId="18ACC64B" w14:textId="63035E2C" w:rsidR="00F35909" w:rsidRDefault="00F35909" w:rsidP="005C1ED0">
            <w:pPr>
              <w:pStyle w:val="DHHSbody"/>
              <w:rPr>
                <w:rFonts w:cs="Arial"/>
                <w:b/>
              </w:rPr>
            </w:pPr>
            <w:r>
              <w:rPr>
                <w:rFonts w:cs="Arial"/>
              </w:rPr>
              <w:t>Service Event</w:t>
            </w:r>
            <w:r w:rsidRPr="00316928">
              <w:rPr>
                <w:rFonts w:cs="Arial"/>
              </w:rPr>
              <w:t xml:space="preserve"> </w:t>
            </w:r>
            <w:r>
              <w:rPr>
                <w:rFonts w:cs="Arial"/>
              </w:rPr>
              <w:t>and</w:t>
            </w:r>
            <w:r w:rsidRPr="00316928">
              <w:rPr>
                <w:rFonts w:cs="Arial"/>
              </w:rPr>
              <w:t xml:space="preserve"> all its dependent entities deleted. </w:t>
            </w:r>
            <w:r w:rsidR="007A5ADD">
              <w:rPr>
                <w:rFonts w:cs="Arial"/>
              </w:rPr>
              <w:t xml:space="preserve"> </w:t>
            </w:r>
            <w:r w:rsidRPr="00316928">
              <w:rPr>
                <w:rFonts w:cs="Arial"/>
              </w:rPr>
              <w:t xml:space="preserve">Client </w:t>
            </w:r>
            <w:r>
              <w:rPr>
                <w:rFonts w:cs="Arial"/>
              </w:rPr>
              <w:t>record</w:t>
            </w:r>
            <w:r w:rsidRPr="00316928">
              <w:rPr>
                <w:rFonts w:cs="Arial"/>
              </w:rPr>
              <w:t xml:space="preserve"> </w:t>
            </w:r>
            <w:r>
              <w:rPr>
                <w:rFonts w:cs="Arial"/>
              </w:rPr>
              <w:t xml:space="preserve">updated with any </w:t>
            </w:r>
            <w:r w:rsidRPr="00316928">
              <w:rPr>
                <w:rFonts w:cs="Arial"/>
              </w:rPr>
              <w:t>appropriate changes</w:t>
            </w:r>
          </w:p>
        </w:tc>
      </w:tr>
    </w:tbl>
    <w:p w14:paraId="27A69883" w14:textId="77777777" w:rsidR="007C40AF" w:rsidRDefault="007C40AF" w:rsidP="00F35909">
      <w:pPr>
        <w:spacing w:after="120"/>
        <w:rPr>
          <w:rFonts w:ascii="Arial" w:hAnsi="Arial" w:cs="Arial"/>
          <w:b/>
          <w:sz w:val="20"/>
          <w:szCs w:val="20"/>
        </w:rPr>
      </w:pPr>
    </w:p>
    <w:p w14:paraId="3D359994" w14:textId="77777777" w:rsidR="00F35909" w:rsidRDefault="007C40AF" w:rsidP="00F35909">
      <w:pPr>
        <w:spacing w:after="120"/>
        <w:rPr>
          <w:rFonts w:ascii="Arial" w:hAnsi="Arial" w:cs="Arial"/>
          <w:b/>
          <w:sz w:val="20"/>
          <w:szCs w:val="20"/>
        </w:rPr>
      </w:pPr>
      <w:r>
        <w:rPr>
          <w:rFonts w:ascii="Arial" w:hAnsi="Arial" w:cs="Arial"/>
          <w:b/>
          <w:sz w:val="20"/>
          <w:szCs w:val="20"/>
        </w:rPr>
        <w:t xml:space="preserve">  c) </w:t>
      </w:r>
      <w:r w:rsidR="00F35909" w:rsidRPr="00B15D0A">
        <w:rPr>
          <w:rFonts w:ascii="Arial" w:hAnsi="Arial" w:cs="Arial"/>
          <w:b/>
          <w:sz w:val="20"/>
          <w:szCs w:val="20"/>
        </w:rPr>
        <w:t xml:space="preserve">To delete a single </w:t>
      </w:r>
      <w:r w:rsidR="00F35909">
        <w:rPr>
          <w:rFonts w:ascii="Arial" w:hAnsi="Arial" w:cs="Arial"/>
          <w:b/>
          <w:sz w:val="20"/>
          <w:szCs w:val="20"/>
        </w:rPr>
        <w:t>Service Event</w:t>
      </w:r>
      <w:r w:rsidR="00F35909" w:rsidRPr="00B15D0A">
        <w:rPr>
          <w:rFonts w:ascii="Arial" w:hAnsi="Arial" w:cs="Arial"/>
          <w:b/>
          <w:sz w:val="20"/>
          <w:szCs w:val="20"/>
        </w:rPr>
        <w:t xml:space="preserve"> and NOT the </w:t>
      </w:r>
      <w:r w:rsidR="00F35909">
        <w:rPr>
          <w:rFonts w:ascii="Arial" w:hAnsi="Arial" w:cs="Arial"/>
          <w:b/>
          <w:sz w:val="20"/>
          <w:szCs w:val="20"/>
        </w:rPr>
        <w:t>C</w:t>
      </w:r>
      <w:r w:rsidR="00F35909" w:rsidRPr="00B15D0A">
        <w:rPr>
          <w:rFonts w:ascii="Arial" w:hAnsi="Arial" w:cs="Arial"/>
          <w:b/>
          <w:sz w:val="20"/>
          <w:szCs w:val="20"/>
        </w:rPr>
        <w:t xml:space="preserve">lient, where </w:t>
      </w:r>
      <w:r w:rsidR="00F35909">
        <w:rPr>
          <w:rFonts w:ascii="Arial" w:hAnsi="Arial" w:cs="Arial"/>
          <w:b/>
          <w:sz w:val="20"/>
          <w:szCs w:val="20"/>
        </w:rPr>
        <w:t xml:space="preserve">Client has </w:t>
      </w:r>
      <w:r w:rsidR="00F35909" w:rsidRPr="00A218AD">
        <w:rPr>
          <w:rFonts w:ascii="Arial" w:hAnsi="Arial" w:cs="Arial"/>
          <w:b/>
          <w:sz w:val="20"/>
          <w:szCs w:val="20"/>
          <w:u w:val="single"/>
        </w:rPr>
        <w:t>multiple</w:t>
      </w:r>
      <w:r w:rsidR="00F35909">
        <w:rPr>
          <w:rFonts w:ascii="Arial" w:hAnsi="Arial" w:cs="Arial"/>
          <w:b/>
          <w:sz w:val="20"/>
          <w:szCs w:val="20"/>
        </w:rPr>
        <w:t xml:space="preserve"> Service Events</w:t>
      </w:r>
      <w:r w:rsidR="00F35909" w:rsidRPr="00B15D0A">
        <w:rPr>
          <w:rFonts w:ascii="Arial" w:hAnsi="Arial" w:cs="Arial"/>
          <w:b/>
          <w:sz w:val="20"/>
          <w:szCs w:val="20"/>
        </w:rPr>
        <w:t>, submit</w:t>
      </w:r>
      <w:r w:rsidR="00F35909">
        <w:rPr>
          <w:rFonts w:ascii="Arial" w:hAnsi="Arial" w:cs="Arial"/>
          <w:b/>
          <w:sz w:val="20"/>
          <w:szCs w:val="20"/>
        </w:rPr>
        <w:t>:</w:t>
      </w:r>
    </w:p>
    <w:tbl>
      <w:tblPr>
        <w:tblStyle w:val="TableGrid"/>
        <w:tblW w:w="0" w:type="auto"/>
        <w:tblLook w:val="04A0" w:firstRow="1" w:lastRow="0" w:firstColumn="1" w:lastColumn="0" w:noHBand="0" w:noVBand="1"/>
      </w:tblPr>
      <w:tblGrid>
        <w:gridCol w:w="4565"/>
        <w:gridCol w:w="5521"/>
      </w:tblGrid>
      <w:tr w:rsidR="00F35909" w14:paraId="163996CC" w14:textId="77777777" w:rsidTr="005C1ED0">
        <w:tc>
          <w:tcPr>
            <w:tcW w:w="4565" w:type="dxa"/>
          </w:tcPr>
          <w:p w14:paraId="4C51A140" w14:textId="77777777" w:rsidR="00F35909" w:rsidRDefault="00F35909" w:rsidP="005C1ED0">
            <w:pPr>
              <w:pStyle w:val="DHHSbody"/>
              <w:rPr>
                <w:rFonts w:cs="Arial"/>
                <w:b/>
              </w:rPr>
            </w:pPr>
            <w:r>
              <w:rPr>
                <w:rFonts w:cs="Arial"/>
                <w:b/>
              </w:rPr>
              <w:t>Action</w:t>
            </w:r>
          </w:p>
        </w:tc>
        <w:tc>
          <w:tcPr>
            <w:tcW w:w="5521" w:type="dxa"/>
          </w:tcPr>
          <w:p w14:paraId="72A3EFF6" w14:textId="77777777" w:rsidR="00F35909" w:rsidRDefault="00F35909" w:rsidP="005C1ED0">
            <w:pPr>
              <w:pStyle w:val="DHHSbody"/>
              <w:rPr>
                <w:rFonts w:cs="Arial"/>
                <w:b/>
              </w:rPr>
            </w:pPr>
            <w:r>
              <w:rPr>
                <w:rFonts w:cs="Arial"/>
                <w:b/>
              </w:rPr>
              <w:t xml:space="preserve">Outcome </w:t>
            </w:r>
          </w:p>
        </w:tc>
      </w:tr>
      <w:tr w:rsidR="00F35909" w14:paraId="37506297" w14:textId="77777777" w:rsidTr="005C1ED0">
        <w:tc>
          <w:tcPr>
            <w:tcW w:w="4565" w:type="dxa"/>
          </w:tcPr>
          <w:p w14:paraId="3A5ACF46" w14:textId="77777777" w:rsidR="00F35909" w:rsidRDefault="00F35909" w:rsidP="005C1ED0">
            <w:pPr>
              <w:pStyle w:val="DHHSbody"/>
              <w:rPr>
                <w:rFonts w:cs="Arial"/>
                <w:b/>
              </w:rPr>
            </w:pPr>
            <w:r w:rsidRPr="004118F3">
              <w:rPr>
                <w:rFonts w:cs="Arial"/>
              </w:rPr>
              <w:t xml:space="preserve">A heading-only </w:t>
            </w:r>
            <w:r>
              <w:rPr>
                <w:rFonts w:cs="Arial"/>
              </w:rPr>
              <w:t>Service Event</w:t>
            </w:r>
            <w:r w:rsidRPr="004118F3">
              <w:rPr>
                <w:rFonts w:cs="Arial"/>
              </w:rPr>
              <w:t xml:space="preserve"> with action type D (without associated Client)</w:t>
            </w:r>
            <w:r w:rsidR="007E47C8">
              <w:rPr>
                <w:rFonts w:cs="Arial"/>
              </w:rPr>
              <w:t>, OR</w:t>
            </w:r>
          </w:p>
        </w:tc>
        <w:tc>
          <w:tcPr>
            <w:tcW w:w="5521" w:type="dxa"/>
          </w:tcPr>
          <w:p w14:paraId="48CE8EFD" w14:textId="77777777" w:rsidR="00F35909" w:rsidRDefault="00F35909" w:rsidP="005C1ED0">
            <w:pPr>
              <w:pStyle w:val="DHHSbody"/>
              <w:rPr>
                <w:rFonts w:cs="Arial"/>
                <w:b/>
              </w:rPr>
            </w:pPr>
            <w:r>
              <w:rPr>
                <w:rFonts w:cs="Arial"/>
              </w:rPr>
              <w:t>Service Event</w:t>
            </w:r>
            <w:r w:rsidRPr="004118F3">
              <w:rPr>
                <w:rFonts w:cs="Arial"/>
              </w:rPr>
              <w:t xml:space="preserve"> &amp; all its dependent entities deleted</w:t>
            </w:r>
          </w:p>
        </w:tc>
      </w:tr>
      <w:tr w:rsidR="00F35909" w14:paraId="432D19FD" w14:textId="77777777" w:rsidTr="005C1ED0">
        <w:tc>
          <w:tcPr>
            <w:tcW w:w="4565" w:type="dxa"/>
          </w:tcPr>
          <w:p w14:paraId="21E31D2A" w14:textId="77777777" w:rsidR="00F35909" w:rsidRDefault="00F35909" w:rsidP="005C1ED0">
            <w:pPr>
              <w:pStyle w:val="DHHSbody"/>
              <w:rPr>
                <w:rFonts w:cs="Arial"/>
              </w:rPr>
            </w:pPr>
            <w:r w:rsidRPr="00316928">
              <w:rPr>
                <w:rFonts w:cs="Arial"/>
              </w:rPr>
              <w:t xml:space="preserve">A full </w:t>
            </w:r>
            <w:r>
              <w:rPr>
                <w:rFonts w:cs="Arial"/>
              </w:rPr>
              <w:t>C</w:t>
            </w:r>
            <w:r w:rsidRPr="00316928">
              <w:rPr>
                <w:rFonts w:cs="Arial"/>
              </w:rPr>
              <w:t xml:space="preserve">lient with content </w:t>
            </w:r>
            <w:r>
              <w:rPr>
                <w:rFonts w:cs="Arial"/>
              </w:rPr>
              <w:t>and</w:t>
            </w:r>
            <w:r w:rsidRPr="00316928">
              <w:rPr>
                <w:rFonts w:cs="Arial"/>
              </w:rPr>
              <w:t xml:space="preserve"> action type I/U</w:t>
            </w:r>
            <w:r>
              <w:rPr>
                <w:rFonts w:cs="Arial"/>
              </w:rPr>
              <w:t xml:space="preserve"> and</w:t>
            </w:r>
            <w:r w:rsidRPr="00316928">
              <w:rPr>
                <w:rFonts w:cs="Arial"/>
              </w:rPr>
              <w:t xml:space="preserve"> a </w:t>
            </w:r>
            <w:r>
              <w:rPr>
                <w:rFonts w:cs="Arial"/>
              </w:rPr>
              <w:t>Service Event</w:t>
            </w:r>
            <w:r w:rsidRPr="00316928">
              <w:rPr>
                <w:rFonts w:cs="Arial"/>
              </w:rPr>
              <w:t xml:space="preserve"> with content </w:t>
            </w:r>
            <w:r>
              <w:rPr>
                <w:rFonts w:cs="Arial"/>
              </w:rPr>
              <w:t>and</w:t>
            </w:r>
            <w:r w:rsidRPr="00316928">
              <w:rPr>
                <w:rFonts w:cs="Arial"/>
              </w:rPr>
              <w:t xml:space="preserve"> action type D</w:t>
            </w:r>
            <w:r>
              <w:rPr>
                <w:rFonts w:cs="Arial"/>
              </w:rPr>
              <w:t xml:space="preserve"> </w:t>
            </w:r>
          </w:p>
          <w:p w14:paraId="20E293B9" w14:textId="77777777" w:rsidR="00F35909" w:rsidRDefault="00F35909" w:rsidP="005C1ED0">
            <w:pPr>
              <w:pStyle w:val="DHHSbody"/>
              <w:rPr>
                <w:rFonts w:cs="Arial"/>
                <w:b/>
              </w:rPr>
            </w:pPr>
            <w:r>
              <w:t>Insert all other Service Events attached to the client wish to be retained</w:t>
            </w:r>
          </w:p>
        </w:tc>
        <w:tc>
          <w:tcPr>
            <w:tcW w:w="5521" w:type="dxa"/>
          </w:tcPr>
          <w:p w14:paraId="2F49F447" w14:textId="1340B50C" w:rsidR="00F35909" w:rsidRDefault="00F35909" w:rsidP="005C1ED0">
            <w:pPr>
              <w:pStyle w:val="DHHSbody"/>
              <w:rPr>
                <w:rFonts w:cs="Arial"/>
                <w:b/>
              </w:rPr>
            </w:pPr>
            <w:r>
              <w:rPr>
                <w:rFonts w:cs="Arial"/>
              </w:rPr>
              <w:t>Service Event</w:t>
            </w:r>
            <w:r w:rsidRPr="00316928">
              <w:rPr>
                <w:rFonts w:cs="Arial"/>
              </w:rPr>
              <w:t xml:space="preserve"> &amp; all its dependent entities deleted. </w:t>
            </w:r>
            <w:r w:rsidR="007A5ADD">
              <w:rPr>
                <w:rFonts w:cs="Arial"/>
              </w:rPr>
              <w:t xml:space="preserve"> </w:t>
            </w:r>
            <w:r w:rsidRPr="00316928">
              <w:rPr>
                <w:rFonts w:cs="Arial"/>
              </w:rPr>
              <w:t xml:space="preserve">Client </w:t>
            </w:r>
            <w:r>
              <w:rPr>
                <w:rFonts w:cs="Arial"/>
              </w:rPr>
              <w:t>record</w:t>
            </w:r>
            <w:r w:rsidRPr="00316928">
              <w:rPr>
                <w:rFonts w:cs="Arial"/>
              </w:rPr>
              <w:t xml:space="preserve"> </w:t>
            </w:r>
            <w:r>
              <w:rPr>
                <w:rFonts w:cs="Arial"/>
              </w:rPr>
              <w:t xml:space="preserve">updated with any </w:t>
            </w:r>
            <w:r w:rsidRPr="00316928">
              <w:rPr>
                <w:rFonts w:cs="Arial"/>
              </w:rPr>
              <w:t>appropriate changes</w:t>
            </w:r>
          </w:p>
        </w:tc>
      </w:tr>
    </w:tbl>
    <w:p w14:paraId="344AE2B7" w14:textId="77777777" w:rsidR="00F35909" w:rsidRPr="00D649A0" w:rsidRDefault="00F35909" w:rsidP="00F35909">
      <w:pPr>
        <w:rPr>
          <w:rFonts w:ascii="Arial" w:hAnsi="Arial" w:cs="Arial"/>
          <w:sz w:val="20"/>
          <w:szCs w:val="20"/>
        </w:rPr>
      </w:pPr>
    </w:p>
    <w:p w14:paraId="37E85E39" w14:textId="77777777" w:rsidR="00F35909" w:rsidRPr="00D649A0" w:rsidRDefault="00F35909" w:rsidP="007C40AF">
      <w:pPr>
        <w:spacing w:after="240"/>
        <w:rPr>
          <w:rFonts w:ascii="Arial" w:hAnsi="Arial" w:cs="Arial"/>
          <w:sz w:val="20"/>
          <w:szCs w:val="20"/>
        </w:rPr>
      </w:pPr>
      <w:r w:rsidRPr="00D649A0">
        <w:rPr>
          <w:rFonts w:ascii="Arial" w:hAnsi="Arial" w:cs="Arial"/>
          <w:sz w:val="20"/>
          <w:szCs w:val="20"/>
        </w:rPr>
        <w:t xml:space="preserve">Any data received not conforming to </w:t>
      </w:r>
      <w:r>
        <w:rPr>
          <w:rFonts w:ascii="Arial" w:hAnsi="Arial" w:cs="Arial"/>
          <w:sz w:val="20"/>
          <w:szCs w:val="20"/>
        </w:rPr>
        <w:t xml:space="preserve">the </w:t>
      </w:r>
      <w:r w:rsidRPr="00D649A0">
        <w:rPr>
          <w:rFonts w:ascii="Arial" w:hAnsi="Arial" w:cs="Arial"/>
          <w:sz w:val="20"/>
          <w:szCs w:val="20"/>
        </w:rPr>
        <w:t xml:space="preserve">format </w:t>
      </w:r>
      <w:r>
        <w:rPr>
          <w:rFonts w:ascii="Arial" w:hAnsi="Arial" w:cs="Arial"/>
          <w:sz w:val="20"/>
          <w:szCs w:val="20"/>
        </w:rPr>
        <w:t xml:space="preserve">detailed above </w:t>
      </w:r>
      <w:r w:rsidRPr="00D649A0">
        <w:rPr>
          <w:rFonts w:ascii="Arial" w:hAnsi="Arial" w:cs="Arial"/>
          <w:sz w:val="20"/>
          <w:szCs w:val="20"/>
        </w:rPr>
        <w:t xml:space="preserve">will </w:t>
      </w:r>
      <w:r>
        <w:rPr>
          <w:rFonts w:ascii="Arial" w:hAnsi="Arial" w:cs="Arial"/>
          <w:sz w:val="20"/>
          <w:szCs w:val="20"/>
        </w:rPr>
        <w:t>trigger a validation error</w:t>
      </w:r>
      <w:r w:rsidRPr="00D649A0">
        <w:rPr>
          <w:rFonts w:ascii="Arial" w:hAnsi="Arial" w:cs="Arial"/>
          <w:sz w:val="20"/>
          <w:szCs w:val="20"/>
        </w:rPr>
        <w:t>.</w:t>
      </w:r>
    </w:p>
    <w:p w14:paraId="68737F14" w14:textId="77777777" w:rsidR="009919DE" w:rsidRDefault="009919DE" w:rsidP="009919DE">
      <w:pPr>
        <w:pStyle w:val="Heading1"/>
        <w:spacing w:before="0"/>
      </w:pPr>
      <w:bookmarkStart w:id="3" w:name="_Toc8648779"/>
      <w:r>
        <w:t>Overview of changes 2019-20</w:t>
      </w:r>
      <w:bookmarkEnd w:id="3"/>
    </w:p>
    <w:p w14:paraId="31DF2252" w14:textId="77777777" w:rsidR="009D0AD4" w:rsidRPr="00016432" w:rsidRDefault="009D0AD4" w:rsidP="00E3492E">
      <w:pPr>
        <w:pStyle w:val="Heading2"/>
        <w:numPr>
          <w:ilvl w:val="0"/>
          <w:numId w:val="9"/>
        </w:numPr>
        <w:spacing w:before="120" w:after="120"/>
        <w:ind w:left="714" w:hanging="357"/>
      </w:pPr>
      <w:bookmarkStart w:id="4" w:name="_Toc8648780"/>
      <w:r>
        <w:t>Changes to r</w:t>
      </w:r>
      <w:r w:rsidRPr="00016432">
        <w:t>eporting period</w:t>
      </w:r>
      <w:r>
        <w:t xml:space="preserve"> rules from 1 July 2019</w:t>
      </w:r>
      <w:bookmarkEnd w:id="4"/>
    </w:p>
    <w:p w14:paraId="58346786" w14:textId="346E58E3" w:rsidR="009D0AD4" w:rsidRPr="001753DC" w:rsidRDefault="009D0AD4" w:rsidP="00AC337A">
      <w:pPr>
        <w:pStyle w:val="DHHSbody"/>
        <w:spacing w:before="120" w:after="240"/>
        <w:rPr>
          <w:rFonts w:cs="Arial"/>
        </w:rPr>
      </w:pPr>
      <w:r>
        <w:rPr>
          <w:rFonts w:cs="Arial"/>
        </w:rPr>
        <w:t>F</w:t>
      </w:r>
      <w:r w:rsidR="00E22799">
        <w:rPr>
          <w:rFonts w:cs="Arial"/>
        </w:rPr>
        <w:t>rom</w:t>
      </w:r>
      <w:r>
        <w:rPr>
          <w:rFonts w:cs="Arial"/>
        </w:rPr>
        <w:t xml:space="preserve"> 1 July 2019</w:t>
      </w:r>
      <w:r w:rsidR="00AF01D9">
        <w:rPr>
          <w:rFonts w:cs="Arial"/>
        </w:rPr>
        <w:t>,</w:t>
      </w:r>
      <w:r>
        <w:rPr>
          <w:rFonts w:cs="Arial"/>
        </w:rPr>
        <w:t xml:space="preserve"> a single file must only contain a single reporting period.  </w:t>
      </w:r>
      <w:r w:rsidR="00E22799">
        <w:rPr>
          <w:rFonts w:cs="Arial"/>
        </w:rPr>
        <w:t>A</w:t>
      </w:r>
      <w:r>
        <w:rPr>
          <w:rFonts w:cs="Arial"/>
        </w:rPr>
        <w:t xml:space="preserve"> validation</w:t>
      </w:r>
      <w:r w:rsidR="00E22799">
        <w:rPr>
          <w:rFonts w:cs="Arial"/>
        </w:rPr>
        <w:t xml:space="preserve"> will be introduced</w:t>
      </w:r>
      <w:r>
        <w:rPr>
          <w:rFonts w:cs="Arial"/>
        </w:rPr>
        <w:t xml:space="preserve"> to enforce this rule.  Multiple outlets can still be submitted in a single </w:t>
      </w:r>
      <w:r w:rsidR="00723549">
        <w:rPr>
          <w:rFonts w:cs="Arial"/>
        </w:rPr>
        <w:t>extract</w:t>
      </w:r>
      <w:r w:rsidR="00645BA0">
        <w:rPr>
          <w:rFonts w:cs="Arial"/>
        </w:rPr>
        <w:t xml:space="preserve"> for a service provider</w:t>
      </w:r>
      <w:r>
        <w:rPr>
          <w:rFonts w:cs="Arial"/>
        </w:rPr>
        <w:t xml:space="preserve">, using </w:t>
      </w:r>
      <w:r w:rsidRPr="00E22799">
        <w:rPr>
          <w:rFonts w:cs="Arial"/>
        </w:rPr>
        <w:t xml:space="preserve">separate </w:t>
      </w:r>
      <w:r>
        <w:rPr>
          <w:rFonts w:cs="Arial"/>
        </w:rPr>
        <w:t xml:space="preserve">submission instances, but all </w:t>
      </w:r>
      <w:r w:rsidR="00723549">
        <w:rPr>
          <w:rFonts w:cs="Arial"/>
        </w:rPr>
        <w:t xml:space="preserve">instances </w:t>
      </w:r>
      <w:r>
        <w:rPr>
          <w:rFonts w:cs="Arial"/>
        </w:rPr>
        <w:t xml:space="preserve">must relate to the same single reporting period.  </w:t>
      </w:r>
      <w:r w:rsidR="00723549">
        <w:rPr>
          <w:rFonts w:cs="Arial"/>
        </w:rPr>
        <w:t>Submission is still required for</w:t>
      </w:r>
      <w:r>
        <w:rPr>
          <w:rFonts w:cs="Arial"/>
        </w:rPr>
        <w:t xml:space="preserve"> </w:t>
      </w:r>
      <w:r w:rsidR="00886432">
        <w:rPr>
          <w:rFonts w:cs="Arial"/>
        </w:rPr>
        <w:t xml:space="preserve">a </w:t>
      </w:r>
      <w:r>
        <w:rPr>
          <w:rFonts w:cs="Arial"/>
        </w:rPr>
        <w:t xml:space="preserve">reporting period in which no activity occurred. </w:t>
      </w:r>
      <w:r w:rsidR="007A5ADD">
        <w:rPr>
          <w:rFonts w:cs="Arial"/>
        </w:rPr>
        <w:t xml:space="preserve"> </w:t>
      </w:r>
      <w:r w:rsidRPr="00E22799">
        <w:rPr>
          <w:rFonts w:cs="Arial"/>
        </w:rPr>
        <w:t xml:space="preserve">This includes </w:t>
      </w:r>
      <w:r w:rsidR="00E22799" w:rsidRPr="00E22799">
        <w:rPr>
          <w:rFonts w:cs="Arial"/>
        </w:rPr>
        <w:t xml:space="preserve">inactive </w:t>
      </w:r>
      <w:r w:rsidR="00645BA0">
        <w:rPr>
          <w:rFonts w:cs="Arial"/>
        </w:rPr>
        <w:t xml:space="preserve">open </w:t>
      </w:r>
      <w:r w:rsidR="00C01F25">
        <w:rPr>
          <w:rFonts w:cs="Arial"/>
        </w:rPr>
        <w:t>Service Events</w:t>
      </w:r>
      <w:r w:rsidR="00C77A7D">
        <w:rPr>
          <w:rFonts w:cs="Arial"/>
        </w:rPr>
        <w:t xml:space="preserve"> with no new activity</w:t>
      </w:r>
      <w:r w:rsidR="00D31CF4">
        <w:rPr>
          <w:rFonts w:cs="Arial"/>
        </w:rPr>
        <w:t xml:space="preserve">. </w:t>
      </w:r>
      <w:r w:rsidR="007A5ADD">
        <w:rPr>
          <w:rFonts w:cs="Arial"/>
        </w:rPr>
        <w:t xml:space="preserve"> </w:t>
      </w:r>
      <w:r w:rsidR="00D31CF4">
        <w:rPr>
          <w:rFonts w:cs="Arial"/>
        </w:rPr>
        <w:t>For example</w:t>
      </w:r>
      <w:r w:rsidR="00684199">
        <w:rPr>
          <w:rFonts w:cs="Arial"/>
        </w:rPr>
        <w:t xml:space="preserve">, if you have five open </w:t>
      </w:r>
      <w:r w:rsidR="00C01F25">
        <w:rPr>
          <w:rFonts w:cs="Arial"/>
        </w:rPr>
        <w:t>Service Events</w:t>
      </w:r>
      <w:r w:rsidR="00684199">
        <w:rPr>
          <w:rFonts w:cs="Arial"/>
        </w:rPr>
        <w:t xml:space="preserve"> </w:t>
      </w:r>
      <w:r w:rsidR="00886432">
        <w:rPr>
          <w:rFonts w:cs="Arial"/>
        </w:rPr>
        <w:t xml:space="preserve">remaining </w:t>
      </w:r>
      <w:r w:rsidR="00684199">
        <w:rPr>
          <w:rFonts w:cs="Arial"/>
        </w:rPr>
        <w:t xml:space="preserve">open during the reporting period, then five open </w:t>
      </w:r>
      <w:r w:rsidR="00C01F25">
        <w:rPr>
          <w:rFonts w:cs="Arial"/>
        </w:rPr>
        <w:t>Service Events</w:t>
      </w:r>
      <w:r w:rsidR="00723549">
        <w:rPr>
          <w:rFonts w:cs="Arial"/>
        </w:rPr>
        <w:t xml:space="preserve"> must be reported</w:t>
      </w:r>
      <w:r w:rsidR="00684199">
        <w:rPr>
          <w:rFonts w:cs="Arial"/>
        </w:rPr>
        <w:t>.</w:t>
      </w:r>
      <w:r w:rsidRPr="00E22799">
        <w:rPr>
          <w:rFonts w:cs="Arial"/>
        </w:rPr>
        <w:t xml:space="preserve"> </w:t>
      </w:r>
      <w:r w:rsidR="007A5ADD">
        <w:rPr>
          <w:rFonts w:cs="Arial"/>
        </w:rPr>
        <w:t xml:space="preserve"> </w:t>
      </w:r>
      <w:r w:rsidRPr="009173E9">
        <w:rPr>
          <w:rFonts w:cs="Arial"/>
          <w:b/>
        </w:rPr>
        <w:t xml:space="preserve">This rule will be enforced </w:t>
      </w:r>
      <w:r w:rsidR="001753DC" w:rsidRPr="009173E9">
        <w:rPr>
          <w:rFonts w:cs="Arial"/>
          <w:b/>
        </w:rPr>
        <w:t xml:space="preserve">in 2019-20 </w:t>
      </w:r>
      <w:r w:rsidRPr="009173E9">
        <w:rPr>
          <w:rFonts w:cs="Arial"/>
          <w:b/>
        </w:rPr>
        <w:t xml:space="preserve">for ALL </w:t>
      </w:r>
      <w:r w:rsidR="00316928" w:rsidRPr="009173E9">
        <w:rPr>
          <w:rFonts w:cs="Arial"/>
          <w:b/>
        </w:rPr>
        <w:t>reporting periods</w:t>
      </w:r>
      <w:r w:rsidRPr="009173E9">
        <w:rPr>
          <w:rFonts w:cs="Arial"/>
          <w:b/>
        </w:rPr>
        <w:t xml:space="preserve">, even if </w:t>
      </w:r>
      <w:r w:rsidR="00FD3DDD" w:rsidRPr="009173E9">
        <w:rPr>
          <w:rFonts w:cs="Arial"/>
          <w:b/>
        </w:rPr>
        <w:t>the extract</w:t>
      </w:r>
      <w:r w:rsidRPr="009173E9">
        <w:rPr>
          <w:rFonts w:cs="Arial"/>
          <w:b/>
        </w:rPr>
        <w:t xml:space="preserve"> only contains data from the 2018-2019 year.</w:t>
      </w:r>
    </w:p>
    <w:p w14:paraId="6D74614F" w14:textId="77777777" w:rsidR="005E65AB" w:rsidRDefault="005E65AB" w:rsidP="00E3492E">
      <w:pPr>
        <w:pStyle w:val="Heading2"/>
        <w:numPr>
          <w:ilvl w:val="0"/>
          <w:numId w:val="9"/>
        </w:numPr>
        <w:spacing w:before="120" w:after="120"/>
        <w:ind w:left="714" w:hanging="357"/>
      </w:pPr>
      <w:bookmarkStart w:id="5" w:name="_Toc8648781"/>
      <w:r>
        <w:t xml:space="preserve">Handling of open </w:t>
      </w:r>
      <w:r w:rsidR="00C01F25">
        <w:t>Service Events</w:t>
      </w:r>
      <w:r>
        <w:t xml:space="preserve"> </w:t>
      </w:r>
      <w:r w:rsidR="0026799A">
        <w:t>from</w:t>
      </w:r>
      <w:r>
        <w:t xml:space="preserve"> 1 July 2019</w:t>
      </w:r>
      <w:bookmarkEnd w:id="5"/>
    </w:p>
    <w:p w14:paraId="24C6078A" w14:textId="77777777" w:rsidR="005E65AB" w:rsidRPr="007C7A54" w:rsidRDefault="00C01F25" w:rsidP="00E3492E">
      <w:pPr>
        <w:spacing w:before="120" w:after="120"/>
        <w:rPr>
          <w:rFonts w:ascii="Arial" w:hAnsi="Arial" w:cs="Arial"/>
          <w:color w:val="000000"/>
          <w:sz w:val="20"/>
          <w:szCs w:val="20"/>
        </w:rPr>
      </w:pPr>
      <w:r>
        <w:rPr>
          <w:rFonts w:ascii="Arial" w:hAnsi="Arial" w:cs="Arial"/>
          <w:color w:val="000000"/>
          <w:sz w:val="20"/>
          <w:szCs w:val="20"/>
        </w:rPr>
        <w:t>Service Events</w:t>
      </w:r>
      <w:r w:rsidR="005E65AB" w:rsidRPr="00405E26">
        <w:rPr>
          <w:rFonts w:ascii="Arial" w:hAnsi="Arial" w:cs="Arial"/>
          <w:color w:val="000000"/>
          <w:sz w:val="20"/>
          <w:szCs w:val="20"/>
        </w:rPr>
        <w:t xml:space="preserve"> closed in </w:t>
      </w:r>
      <w:r w:rsidR="007C7A54">
        <w:rPr>
          <w:rFonts w:ascii="Arial" w:hAnsi="Arial" w:cs="Arial"/>
          <w:color w:val="000000"/>
          <w:sz w:val="20"/>
          <w:szCs w:val="20"/>
        </w:rPr>
        <w:t xml:space="preserve">June </w:t>
      </w:r>
      <w:r w:rsidR="00E22799">
        <w:rPr>
          <w:rFonts w:ascii="Arial" w:hAnsi="Arial" w:cs="Arial"/>
          <w:color w:val="000000"/>
          <w:sz w:val="20"/>
          <w:szCs w:val="20"/>
        </w:rPr>
        <w:t>20</w:t>
      </w:r>
      <w:r w:rsidR="005E65AB" w:rsidRPr="00405E26">
        <w:rPr>
          <w:rFonts w:ascii="Arial" w:hAnsi="Arial" w:cs="Arial"/>
          <w:color w:val="000000"/>
          <w:sz w:val="20"/>
          <w:szCs w:val="20"/>
        </w:rPr>
        <w:t xml:space="preserve">19 must be in </w:t>
      </w:r>
      <w:r w:rsidR="005E65AB">
        <w:rPr>
          <w:rFonts w:ascii="Arial" w:hAnsi="Arial" w:cs="Arial"/>
          <w:color w:val="000000"/>
          <w:sz w:val="20"/>
          <w:szCs w:val="20"/>
        </w:rPr>
        <w:t>20</w:t>
      </w:r>
      <w:r w:rsidR="005E65AB" w:rsidRPr="00405E26">
        <w:rPr>
          <w:rFonts w:ascii="Arial" w:hAnsi="Arial" w:cs="Arial"/>
          <w:color w:val="000000"/>
          <w:sz w:val="20"/>
          <w:szCs w:val="20"/>
        </w:rPr>
        <w:t>18</w:t>
      </w:r>
      <w:r w:rsidR="005E65AB">
        <w:rPr>
          <w:rFonts w:ascii="Arial" w:hAnsi="Arial" w:cs="Arial"/>
          <w:color w:val="000000"/>
          <w:sz w:val="20"/>
          <w:szCs w:val="20"/>
        </w:rPr>
        <w:t>-</w:t>
      </w:r>
      <w:r w:rsidR="005E65AB" w:rsidRPr="00405E26">
        <w:rPr>
          <w:rFonts w:ascii="Arial" w:hAnsi="Arial" w:cs="Arial"/>
          <w:color w:val="000000"/>
          <w:sz w:val="20"/>
          <w:szCs w:val="20"/>
        </w:rPr>
        <w:t xml:space="preserve">19 format and meet </w:t>
      </w:r>
      <w:r w:rsidR="005E65AB">
        <w:rPr>
          <w:rFonts w:ascii="Arial" w:hAnsi="Arial" w:cs="Arial"/>
          <w:color w:val="000000"/>
          <w:sz w:val="20"/>
          <w:szCs w:val="20"/>
        </w:rPr>
        <w:t>20</w:t>
      </w:r>
      <w:r w:rsidR="005E65AB" w:rsidRPr="00405E26">
        <w:rPr>
          <w:rFonts w:ascii="Arial" w:hAnsi="Arial" w:cs="Arial"/>
          <w:color w:val="000000"/>
          <w:sz w:val="20"/>
          <w:szCs w:val="20"/>
        </w:rPr>
        <w:t>18</w:t>
      </w:r>
      <w:r w:rsidR="005E65AB">
        <w:rPr>
          <w:rFonts w:ascii="Arial" w:hAnsi="Arial" w:cs="Arial"/>
          <w:color w:val="000000"/>
          <w:sz w:val="20"/>
          <w:szCs w:val="20"/>
        </w:rPr>
        <w:t>-</w:t>
      </w:r>
      <w:r w:rsidR="005E65AB" w:rsidRPr="00405E26">
        <w:rPr>
          <w:rFonts w:ascii="Arial" w:hAnsi="Arial" w:cs="Arial"/>
          <w:color w:val="000000"/>
          <w:sz w:val="20"/>
          <w:szCs w:val="20"/>
        </w:rPr>
        <w:t xml:space="preserve">19 </w:t>
      </w:r>
      <w:r w:rsidR="00E22799">
        <w:rPr>
          <w:rFonts w:ascii="Arial" w:hAnsi="Arial" w:cs="Arial"/>
          <w:color w:val="000000"/>
          <w:sz w:val="20"/>
          <w:szCs w:val="20"/>
        </w:rPr>
        <w:t>specifications</w:t>
      </w:r>
      <w:r w:rsidR="005E65AB" w:rsidRPr="00405E26">
        <w:rPr>
          <w:rFonts w:ascii="Arial" w:hAnsi="Arial" w:cs="Arial"/>
          <w:color w:val="000000"/>
          <w:sz w:val="20"/>
          <w:szCs w:val="20"/>
        </w:rPr>
        <w:t>.</w:t>
      </w:r>
      <w:r w:rsidR="007C7A54">
        <w:rPr>
          <w:rFonts w:ascii="Arial" w:hAnsi="Arial" w:cs="Arial"/>
          <w:color w:val="000000"/>
          <w:sz w:val="20"/>
          <w:szCs w:val="20"/>
        </w:rPr>
        <w:t xml:space="preserve">  </w:t>
      </w:r>
      <w:r>
        <w:rPr>
          <w:rFonts w:ascii="Arial" w:hAnsi="Arial" w:cs="Arial"/>
          <w:color w:val="000000"/>
          <w:sz w:val="20"/>
          <w:szCs w:val="20"/>
        </w:rPr>
        <w:t>Service Events</w:t>
      </w:r>
      <w:r w:rsidR="005E65AB" w:rsidRPr="00405E26">
        <w:rPr>
          <w:rFonts w:ascii="Arial" w:hAnsi="Arial" w:cs="Arial"/>
          <w:color w:val="000000"/>
          <w:sz w:val="20"/>
          <w:szCs w:val="20"/>
        </w:rPr>
        <w:t xml:space="preserve"> </w:t>
      </w:r>
      <w:r w:rsidR="00645BA0">
        <w:rPr>
          <w:rFonts w:ascii="Arial" w:hAnsi="Arial" w:cs="Arial"/>
          <w:color w:val="000000"/>
          <w:sz w:val="20"/>
          <w:szCs w:val="20"/>
        </w:rPr>
        <w:t xml:space="preserve">that were </w:t>
      </w:r>
      <w:r w:rsidR="005E65AB" w:rsidRPr="00405E26">
        <w:rPr>
          <w:rFonts w:ascii="Arial" w:hAnsi="Arial" w:cs="Arial"/>
          <w:color w:val="000000"/>
          <w:sz w:val="20"/>
          <w:szCs w:val="20"/>
        </w:rPr>
        <w:t>open</w:t>
      </w:r>
      <w:r w:rsidR="007C7A54">
        <w:rPr>
          <w:rFonts w:ascii="Arial" w:hAnsi="Arial" w:cs="Arial"/>
          <w:color w:val="000000"/>
          <w:sz w:val="20"/>
          <w:szCs w:val="20"/>
        </w:rPr>
        <w:t xml:space="preserve"> </w:t>
      </w:r>
      <w:r w:rsidR="00645BA0">
        <w:rPr>
          <w:rFonts w:ascii="Arial" w:hAnsi="Arial" w:cs="Arial"/>
          <w:color w:val="000000"/>
          <w:sz w:val="20"/>
          <w:szCs w:val="20"/>
        </w:rPr>
        <w:t>prior to July 2019 and</w:t>
      </w:r>
      <w:r w:rsidR="005E65AB" w:rsidRPr="00405E26">
        <w:rPr>
          <w:rFonts w:ascii="Arial" w:hAnsi="Arial" w:cs="Arial"/>
          <w:color w:val="000000"/>
          <w:sz w:val="20"/>
          <w:szCs w:val="20"/>
        </w:rPr>
        <w:t xml:space="preserve"> </w:t>
      </w:r>
      <w:r w:rsidR="007C7A54">
        <w:rPr>
          <w:rFonts w:ascii="Arial" w:hAnsi="Arial" w:cs="Arial"/>
          <w:color w:val="000000"/>
          <w:sz w:val="20"/>
          <w:szCs w:val="20"/>
        </w:rPr>
        <w:t>that remain</w:t>
      </w:r>
      <w:r w:rsidR="005E65AB" w:rsidRPr="00405E26">
        <w:rPr>
          <w:rFonts w:ascii="Arial" w:hAnsi="Arial" w:cs="Arial"/>
          <w:color w:val="000000"/>
          <w:sz w:val="20"/>
          <w:szCs w:val="20"/>
        </w:rPr>
        <w:t xml:space="preserve"> open</w:t>
      </w:r>
      <w:r w:rsidR="00BE6503">
        <w:rPr>
          <w:rFonts w:ascii="Arial" w:hAnsi="Arial" w:cs="Arial"/>
          <w:color w:val="000000"/>
          <w:sz w:val="20"/>
          <w:szCs w:val="20"/>
        </w:rPr>
        <w:t xml:space="preserve"> as at July,</w:t>
      </w:r>
      <w:r w:rsidR="007C7A54">
        <w:rPr>
          <w:rFonts w:ascii="Arial" w:hAnsi="Arial" w:cs="Arial"/>
          <w:color w:val="000000"/>
          <w:sz w:val="20"/>
          <w:szCs w:val="20"/>
        </w:rPr>
        <w:t xml:space="preserve"> or closed</w:t>
      </w:r>
      <w:r w:rsidR="005E65AB" w:rsidRPr="00405E26">
        <w:rPr>
          <w:rFonts w:ascii="Arial" w:hAnsi="Arial" w:cs="Arial"/>
          <w:color w:val="000000"/>
          <w:sz w:val="20"/>
          <w:szCs w:val="20"/>
        </w:rPr>
        <w:t xml:space="preserve"> </w:t>
      </w:r>
      <w:r w:rsidR="007C7A54">
        <w:rPr>
          <w:rFonts w:ascii="Arial" w:hAnsi="Arial" w:cs="Arial"/>
          <w:color w:val="000000"/>
          <w:sz w:val="20"/>
          <w:szCs w:val="20"/>
        </w:rPr>
        <w:t>in July</w:t>
      </w:r>
      <w:r w:rsidR="00BA5592">
        <w:rPr>
          <w:rFonts w:ascii="Arial" w:hAnsi="Arial" w:cs="Arial"/>
          <w:color w:val="000000"/>
          <w:sz w:val="20"/>
          <w:szCs w:val="20"/>
        </w:rPr>
        <w:t xml:space="preserve"> onwards</w:t>
      </w:r>
      <w:r w:rsidR="005C6413">
        <w:rPr>
          <w:rFonts w:ascii="Arial" w:hAnsi="Arial" w:cs="Arial"/>
          <w:color w:val="000000"/>
          <w:sz w:val="20"/>
          <w:szCs w:val="20"/>
        </w:rPr>
        <w:t>,</w:t>
      </w:r>
      <w:r w:rsidR="005E65AB" w:rsidRPr="00405E26">
        <w:rPr>
          <w:rFonts w:ascii="Arial" w:hAnsi="Arial" w:cs="Arial"/>
          <w:color w:val="000000"/>
          <w:sz w:val="20"/>
          <w:szCs w:val="20"/>
        </w:rPr>
        <w:t xml:space="preserve"> </w:t>
      </w:r>
      <w:r w:rsidR="00BE6503">
        <w:rPr>
          <w:rFonts w:ascii="Arial" w:hAnsi="Arial" w:cs="Arial"/>
          <w:color w:val="000000"/>
          <w:sz w:val="20"/>
          <w:szCs w:val="20"/>
        </w:rPr>
        <w:t>must</w:t>
      </w:r>
      <w:r w:rsidR="00BA5592">
        <w:rPr>
          <w:rFonts w:ascii="Arial" w:hAnsi="Arial" w:cs="Arial"/>
          <w:color w:val="000000"/>
          <w:sz w:val="20"/>
          <w:szCs w:val="20"/>
        </w:rPr>
        <w:t xml:space="preserve"> be reported against 2019-20</w:t>
      </w:r>
      <w:r w:rsidR="005C6413" w:rsidRPr="00405E26">
        <w:rPr>
          <w:rFonts w:ascii="Arial" w:hAnsi="Arial" w:cs="Arial"/>
          <w:color w:val="000000"/>
          <w:sz w:val="20"/>
          <w:szCs w:val="20"/>
        </w:rPr>
        <w:t xml:space="preserve"> </w:t>
      </w:r>
      <w:r w:rsidR="00E22799">
        <w:rPr>
          <w:rFonts w:ascii="Arial" w:hAnsi="Arial" w:cs="Arial"/>
          <w:color w:val="000000"/>
          <w:sz w:val="20"/>
          <w:szCs w:val="20"/>
        </w:rPr>
        <w:t>specifications</w:t>
      </w:r>
      <w:r w:rsidR="005E65AB" w:rsidRPr="00405E26">
        <w:rPr>
          <w:rFonts w:ascii="Arial" w:hAnsi="Arial" w:cs="Arial"/>
          <w:color w:val="000000"/>
          <w:sz w:val="20"/>
          <w:szCs w:val="20"/>
        </w:rPr>
        <w:t>.</w:t>
      </w:r>
      <w:r w:rsidR="0054785E">
        <w:rPr>
          <w:rFonts w:ascii="Arial" w:hAnsi="Arial" w:cs="Arial"/>
          <w:color w:val="000000"/>
          <w:sz w:val="20"/>
          <w:szCs w:val="20"/>
        </w:rPr>
        <w:t xml:space="preserve"> </w:t>
      </w:r>
    </w:p>
    <w:p w14:paraId="5C1C0C14" w14:textId="77777777" w:rsidR="00F1579E" w:rsidRDefault="00316928" w:rsidP="00E3492E">
      <w:pPr>
        <w:pStyle w:val="Heading2"/>
        <w:numPr>
          <w:ilvl w:val="0"/>
          <w:numId w:val="9"/>
        </w:numPr>
        <w:spacing w:before="120" w:after="120"/>
      </w:pPr>
      <w:bookmarkStart w:id="6" w:name="_Toc8648782"/>
      <w:r>
        <w:lastRenderedPageBreak/>
        <w:t>F</w:t>
      </w:r>
      <w:r w:rsidR="004A2E18">
        <w:t>inancial year transition for f</w:t>
      </w:r>
      <w:r>
        <w:t xml:space="preserve">unding </w:t>
      </w:r>
      <w:r w:rsidR="00F1579E">
        <w:t>Brief Interventions</w:t>
      </w:r>
      <w:r>
        <w:t>,</w:t>
      </w:r>
      <w:r w:rsidR="00F1579E">
        <w:t xml:space="preserve"> Bridging Support</w:t>
      </w:r>
      <w:r>
        <w:t xml:space="preserve"> and </w:t>
      </w:r>
      <w:r w:rsidR="004A2E18">
        <w:t>R</w:t>
      </w:r>
      <w:r>
        <w:t>esidential streams</w:t>
      </w:r>
      <w:bookmarkEnd w:id="6"/>
    </w:p>
    <w:p w14:paraId="3B083807" w14:textId="77777777" w:rsidR="00CC58B8" w:rsidRDefault="00F1579E" w:rsidP="00744682">
      <w:pPr>
        <w:spacing w:before="120" w:after="240"/>
        <w:rPr>
          <w:rFonts w:ascii="Arial" w:hAnsi="Arial" w:cs="Arial"/>
          <w:sz w:val="20"/>
          <w:szCs w:val="20"/>
        </w:rPr>
      </w:pPr>
      <w:r w:rsidRPr="00CC58B8">
        <w:rPr>
          <w:rFonts w:ascii="Arial" w:hAnsi="Arial" w:cs="Arial"/>
          <w:sz w:val="20"/>
          <w:szCs w:val="20"/>
        </w:rPr>
        <w:t xml:space="preserve">Further </w:t>
      </w:r>
      <w:r w:rsidR="008553BF">
        <w:rPr>
          <w:rFonts w:ascii="Arial" w:hAnsi="Arial" w:cs="Arial"/>
          <w:sz w:val="20"/>
          <w:szCs w:val="20"/>
        </w:rPr>
        <w:t xml:space="preserve">funding model </w:t>
      </w:r>
      <w:r w:rsidR="00F73F6A">
        <w:rPr>
          <w:rFonts w:ascii="Arial" w:hAnsi="Arial" w:cs="Arial"/>
          <w:sz w:val="20"/>
          <w:szCs w:val="20"/>
        </w:rPr>
        <w:t>instructions</w:t>
      </w:r>
      <w:r w:rsidR="004A2E18">
        <w:rPr>
          <w:rFonts w:ascii="Arial" w:hAnsi="Arial" w:cs="Arial"/>
          <w:sz w:val="20"/>
          <w:szCs w:val="20"/>
        </w:rPr>
        <w:t xml:space="preserve"> </w:t>
      </w:r>
      <w:r w:rsidR="008553BF">
        <w:rPr>
          <w:rFonts w:ascii="Arial" w:hAnsi="Arial" w:cs="Arial"/>
          <w:sz w:val="20"/>
          <w:szCs w:val="20"/>
        </w:rPr>
        <w:t xml:space="preserve">and mapping for the above service streams </w:t>
      </w:r>
      <w:r w:rsidR="004A2E18">
        <w:rPr>
          <w:rFonts w:ascii="Arial" w:hAnsi="Arial" w:cs="Arial"/>
          <w:sz w:val="20"/>
          <w:szCs w:val="20"/>
        </w:rPr>
        <w:t xml:space="preserve">will be published in </w:t>
      </w:r>
      <w:r w:rsidR="008553BF">
        <w:rPr>
          <w:rFonts w:ascii="Arial" w:hAnsi="Arial" w:cs="Arial"/>
          <w:sz w:val="20"/>
          <w:szCs w:val="20"/>
        </w:rPr>
        <w:t xml:space="preserve">the next </w:t>
      </w:r>
      <w:r w:rsidR="004A2E18">
        <w:rPr>
          <w:rFonts w:ascii="Arial" w:hAnsi="Arial" w:cs="Arial"/>
          <w:sz w:val="20"/>
          <w:szCs w:val="20"/>
        </w:rPr>
        <w:t>bulletin.</w:t>
      </w:r>
    </w:p>
    <w:p w14:paraId="455A3970" w14:textId="77777777" w:rsidR="00316928" w:rsidRDefault="00316928" w:rsidP="00C77A7D">
      <w:pPr>
        <w:pStyle w:val="Heading2"/>
        <w:numPr>
          <w:ilvl w:val="0"/>
          <w:numId w:val="9"/>
        </w:numPr>
      </w:pPr>
      <w:bookmarkStart w:id="7" w:name="_Toc8648783"/>
      <w:r>
        <w:t>New validations</w:t>
      </w:r>
      <w:r w:rsidR="006B147A">
        <w:t xml:space="preserve"> from 1 July 2019</w:t>
      </w:r>
      <w:bookmarkEnd w:id="7"/>
    </w:p>
    <w:p w14:paraId="315A4FCF" w14:textId="77777777" w:rsidR="00316928" w:rsidRDefault="006553BD" w:rsidP="00316928">
      <w:pPr>
        <w:pStyle w:val="DHHSbody"/>
      </w:pPr>
      <w:r>
        <w:t>N</w:t>
      </w:r>
      <w:r w:rsidR="00316928" w:rsidRPr="004118F3">
        <w:t>ew validations</w:t>
      </w:r>
      <w:r>
        <w:t xml:space="preserve"> will be implemented</w:t>
      </w:r>
      <w:r w:rsidR="00316928" w:rsidRPr="004118F3">
        <w:t xml:space="preserve"> </w:t>
      </w:r>
      <w:r w:rsidR="00D649A0" w:rsidRPr="004118F3">
        <w:t>to enforce existing rules to ensure data quality and integrity</w:t>
      </w:r>
      <w:r w:rsidR="00316928" w:rsidRPr="004118F3">
        <w:t>. These will include the following:</w:t>
      </w:r>
    </w:p>
    <w:tbl>
      <w:tblPr>
        <w:tblStyle w:val="TableGrid"/>
        <w:tblW w:w="0" w:type="auto"/>
        <w:tblLook w:val="04A0" w:firstRow="1" w:lastRow="0" w:firstColumn="1" w:lastColumn="0" w:noHBand="0" w:noVBand="1"/>
      </w:tblPr>
      <w:tblGrid>
        <w:gridCol w:w="4423"/>
        <w:gridCol w:w="5663"/>
      </w:tblGrid>
      <w:tr w:rsidR="00C62F54" w14:paraId="05E32481" w14:textId="77777777" w:rsidTr="00780712">
        <w:tc>
          <w:tcPr>
            <w:tcW w:w="4423" w:type="dxa"/>
          </w:tcPr>
          <w:p w14:paraId="70B49508" w14:textId="77777777" w:rsidR="00C62F54" w:rsidRDefault="00780712" w:rsidP="007B5D34">
            <w:pPr>
              <w:pStyle w:val="DHHSbody"/>
              <w:rPr>
                <w:rFonts w:cs="Arial"/>
                <w:b/>
              </w:rPr>
            </w:pPr>
            <w:r>
              <w:rPr>
                <w:rFonts w:cs="Arial"/>
                <w:b/>
              </w:rPr>
              <w:t>Description</w:t>
            </w:r>
          </w:p>
        </w:tc>
        <w:tc>
          <w:tcPr>
            <w:tcW w:w="5663" w:type="dxa"/>
          </w:tcPr>
          <w:p w14:paraId="5AC65621" w14:textId="77777777" w:rsidR="00C62F54" w:rsidRDefault="00780712" w:rsidP="007B5D34">
            <w:pPr>
              <w:pStyle w:val="DHHSbody"/>
              <w:rPr>
                <w:rFonts w:cs="Arial"/>
                <w:b/>
              </w:rPr>
            </w:pPr>
            <w:r>
              <w:rPr>
                <w:rFonts w:cs="Arial"/>
                <w:b/>
              </w:rPr>
              <w:t>Further detail</w:t>
            </w:r>
          </w:p>
        </w:tc>
      </w:tr>
      <w:tr w:rsidR="00C62F54" w14:paraId="732594FF" w14:textId="77777777" w:rsidTr="00780712">
        <w:tc>
          <w:tcPr>
            <w:tcW w:w="4423" w:type="dxa"/>
          </w:tcPr>
          <w:p w14:paraId="75FC2DA5" w14:textId="77777777" w:rsidR="00C62F54" w:rsidRDefault="00C62F54" w:rsidP="007B5D34">
            <w:pPr>
              <w:pStyle w:val="DHHSbody"/>
              <w:rPr>
                <w:rFonts w:cs="Arial"/>
                <w:b/>
              </w:rPr>
            </w:pPr>
            <w:r>
              <w:t>Updates and Deletions for Client and Service Event/s records will be only accepted for existing records</w:t>
            </w:r>
          </w:p>
        </w:tc>
        <w:tc>
          <w:tcPr>
            <w:tcW w:w="5663" w:type="dxa"/>
          </w:tcPr>
          <w:p w14:paraId="66700967" w14:textId="4C98C165" w:rsidR="00C62F54" w:rsidRDefault="00C62F54" w:rsidP="007B5D34">
            <w:pPr>
              <w:pStyle w:val="DHHSbody"/>
              <w:rPr>
                <w:rFonts w:cs="Arial"/>
                <w:b/>
              </w:rPr>
            </w:pPr>
            <w:r>
              <w:t>This means, a valid record has been successfully loaded into the database for that outlet/reporting period</w:t>
            </w:r>
            <w:r w:rsidR="00F00CC1">
              <w:t>.</w:t>
            </w:r>
            <w:r w:rsidR="007A5ADD">
              <w:t xml:space="preserve"> </w:t>
            </w:r>
            <w:r w:rsidR="00F46E7C">
              <w:t xml:space="preserve"> Where a deletion received for a Service Event or a Client that does not exist, a message will be fed back in validation reports.</w:t>
            </w:r>
          </w:p>
        </w:tc>
      </w:tr>
      <w:tr w:rsidR="00C62F54" w14:paraId="6E46C523" w14:textId="77777777" w:rsidTr="00780712">
        <w:tc>
          <w:tcPr>
            <w:tcW w:w="4423" w:type="dxa"/>
          </w:tcPr>
          <w:p w14:paraId="03D20003" w14:textId="77777777" w:rsidR="00C62F54" w:rsidRDefault="00C62F54" w:rsidP="007B5D34">
            <w:pPr>
              <w:pStyle w:val="DHHSbody"/>
            </w:pPr>
            <w:r>
              <w:t>Service Event</w:t>
            </w:r>
            <w:r w:rsidRPr="004118F3">
              <w:t xml:space="preserve"> </w:t>
            </w:r>
            <w:r>
              <w:t>ID/s must be unique</w:t>
            </w:r>
          </w:p>
        </w:tc>
        <w:tc>
          <w:tcPr>
            <w:tcW w:w="5663" w:type="dxa"/>
          </w:tcPr>
          <w:p w14:paraId="2A5732DB" w14:textId="77777777" w:rsidR="00C62F54" w:rsidRDefault="00C62F54" w:rsidP="007B5D34">
            <w:pPr>
              <w:pStyle w:val="DHHSbody"/>
            </w:pPr>
            <w:r w:rsidRPr="009E07B6">
              <w:rPr>
                <w:rFonts w:cs="Arial"/>
              </w:rPr>
              <w:t>A new validation will be developed to ensure Service Event IDs are unique within an Outlet ID’s data. Service Event IDs will be validated to ensure an existing ID has not already been accepted for a different Client ID for the same service provider</w:t>
            </w:r>
            <w:r w:rsidR="00F00CC1">
              <w:rPr>
                <w:rFonts w:cs="Arial"/>
              </w:rPr>
              <w:t>.</w:t>
            </w:r>
          </w:p>
        </w:tc>
      </w:tr>
      <w:tr w:rsidR="00C62F54" w14:paraId="33ABFA77" w14:textId="77777777" w:rsidTr="00780712">
        <w:tc>
          <w:tcPr>
            <w:tcW w:w="4423" w:type="dxa"/>
          </w:tcPr>
          <w:p w14:paraId="2C05B7CB" w14:textId="77777777" w:rsidR="00C62F54" w:rsidRDefault="00C62F54" w:rsidP="007B5D34">
            <w:pPr>
              <w:pStyle w:val="DHHSbody"/>
            </w:pPr>
            <w:r>
              <w:t>Inactive open service events must be reported and must be reported in the correct reporting period</w:t>
            </w:r>
          </w:p>
        </w:tc>
        <w:tc>
          <w:tcPr>
            <w:tcW w:w="5663" w:type="dxa"/>
          </w:tcPr>
          <w:p w14:paraId="7268A5C2" w14:textId="0403B4E3" w:rsidR="00C62F54" w:rsidRPr="00C62F54" w:rsidRDefault="00C62F54" w:rsidP="00C62F54">
            <w:pPr>
              <w:pStyle w:val="DHHSbody"/>
            </w:pPr>
            <w:r>
              <w:t xml:space="preserve">For example, a warning will be triggered in August reporting period where open service events reported in July were not reported in August. </w:t>
            </w:r>
            <w:r w:rsidR="007A5ADD">
              <w:t xml:space="preserve"> </w:t>
            </w:r>
            <w:r>
              <w:t>A validation will be triggered</w:t>
            </w:r>
            <w:r w:rsidRPr="002D53DA">
              <w:t xml:space="preserve"> when </w:t>
            </w:r>
            <w:r>
              <w:t>there are</w:t>
            </w:r>
            <w:r w:rsidRPr="002D53DA">
              <w:t xml:space="preserve"> gaps in a Service Event’s history</w:t>
            </w:r>
            <w:r w:rsidR="00F46E7C">
              <w:t xml:space="preserve"> in previously accepted Service Events</w:t>
            </w:r>
            <w:r w:rsidR="005F0F3D">
              <w:t xml:space="preserve">. </w:t>
            </w:r>
            <w:r w:rsidR="007A5ADD">
              <w:t xml:space="preserve"> </w:t>
            </w:r>
            <w:r w:rsidR="005F0F3D">
              <w:t>For example,</w:t>
            </w:r>
            <w:r w:rsidR="005F0F3D" w:rsidRPr="005F0F3D">
              <w:t xml:space="preserve"> </w:t>
            </w:r>
            <w:r w:rsidR="005F0F3D">
              <w:t>submitting</w:t>
            </w:r>
            <w:r w:rsidR="005F0F3D" w:rsidRPr="005F0F3D">
              <w:t xml:space="preserve"> an open service event in July and August reporting period, but not September, would cause a </w:t>
            </w:r>
            <w:r w:rsidR="005F0F3D">
              <w:t>w</w:t>
            </w:r>
            <w:r w:rsidR="005F0F3D" w:rsidRPr="005F0F3D">
              <w:t>arning in October that we are missing September’s data)</w:t>
            </w:r>
          </w:p>
        </w:tc>
      </w:tr>
      <w:tr w:rsidR="00C62F54" w14:paraId="5628B50F" w14:textId="77777777" w:rsidTr="00780712">
        <w:tc>
          <w:tcPr>
            <w:tcW w:w="4423" w:type="dxa"/>
          </w:tcPr>
          <w:p w14:paraId="67B46BCA" w14:textId="77777777" w:rsidR="00C62F54" w:rsidRDefault="00C62F54" w:rsidP="007B5D34">
            <w:pPr>
              <w:pStyle w:val="DHHSbody"/>
            </w:pPr>
            <w:r w:rsidRPr="004118F3">
              <w:t xml:space="preserve">The End Date of a </w:t>
            </w:r>
            <w:r>
              <w:t>Service Event</w:t>
            </w:r>
            <w:r w:rsidRPr="004118F3">
              <w:t xml:space="preserve"> must be reported during that reporting period</w:t>
            </w:r>
          </w:p>
        </w:tc>
        <w:tc>
          <w:tcPr>
            <w:tcW w:w="5663" w:type="dxa"/>
          </w:tcPr>
          <w:p w14:paraId="0F9805F1" w14:textId="77777777" w:rsidR="00C62F54" w:rsidRDefault="00C62F54" w:rsidP="00C62F54">
            <w:pPr>
              <w:pStyle w:val="DHHSbody"/>
            </w:pPr>
            <w:r w:rsidRPr="004C023E">
              <w:t>Service providers who wish to end date service events in previous reporting periods, must submit a separate file for that reporting period</w:t>
            </w:r>
            <w:r w:rsidR="00F00CC1">
              <w:t>.</w:t>
            </w:r>
            <w:r w:rsidR="006037A1">
              <w:t xml:space="preserve"> </w:t>
            </w:r>
          </w:p>
        </w:tc>
      </w:tr>
    </w:tbl>
    <w:p w14:paraId="72B6D75D" w14:textId="77777777" w:rsidR="00D85BD4" w:rsidRDefault="00D85BD4" w:rsidP="00744682">
      <w:pPr>
        <w:pStyle w:val="DHHSbody"/>
        <w:spacing w:before="120" w:after="240"/>
        <w:rPr>
          <w:color w:val="4472C4" w:themeColor="accent1"/>
        </w:rPr>
      </w:pPr>
      <w:r>
        <w:t xml:space="preserve">Other validations are currently under consideration </w:t>
      </w:r>
      <w:r w:rsidRPr="00986065">
        <w:t>and will be published in the next bulletin</w:t>
      </w:r>
      <w:r w:rsidR="0082615D" w:rsidRPr="00986065">
        <w:t>.</w:t>
      </w:r>
    </w:p>
    <w:p w14:paraId="6B70FF99" w14:textId="77777777" w:rsidR="00733F79" w:rsidRDefault="00733F79" w:rsidP="00C77A7D">
      <w:pPr>
        <w:pStyle w:val="Heading2"/>
        <w:numPr>
          <w:ilvl w:val="0"/>
          <w:numId w:val="9"/>
        </w:numPr>
      </w:pPr>
      <w:bookmarkStart w:id="8" w:name="_Toc8648784"/>
      <w:r>
        <w:t>Vendor validations</w:t>
      </w:r>
      <w:bookmarkEnd w:id="8"/>
    </w:p>
    <w:p w14:paraId="690A7150" w14:textId="3A3839CD" w:rsidR="00733F79" w:rsidRPr="00733F79" w:rsidRDefault="00733F79" w:rsidP="00733F79">
      <w:pPr>
        <w:pStyle w:val="DHHSbody"/>
      </w:pPr>
      <w:r>
        <w:t xml:space="preserve">Software vendors are encouraged to implement validations in their systems to reinforce the appropriate business rules at the point of </w:t>
      </w:r>
      <w:r w:rsidR="00886432">
        <w:t xml:space="preserve">data </w:t>
      </w:r>
      <w:r>
        <w:t xml:space="preserve">entry. </w:t>
      </w:r>
      <w:r w:rsidR="007A5ADD">
        <w:t xml:space="preserve"> </w:t>
      </w:r>
      <w:r>
        <w:t xml:space="preserve">This will reduce the number of validations triggered. </w:t>
      </w:r>
      <w:r w:rsidR="007A5ADD">
        <w:t xml:space="preserve"> </w:t>
      </w:r>
      <w:r>
        <w:t xml:space="preserve">Please note, </w:t>
      </w:r>
      <w:r w:rsidR="00820112">
        <w:t>data validations are subdivided into logical groups and failure of a validation in one of these subgroups does not prevent other validations at the data validation level from triggering.</w:t>
      </w:r>
    </w:p>
    <w:p w14:paraId="50A9F715" w14:textId="77777777" w:rsidR="00007AD9" w:rsidRDefault="00007AD9" w:rsidP="00C77A7D">
      <w:pPr>
        <w:pStyle w:val="Heading2"/>
        <w:numPr>
          <w:ilvl w:val="0"/>
          <w:numId w:val="9"/>
        </w:numPr>
      </w:pPr>
      <w:bookmarkStart w:id="9" w:name="_Toc8648785"/>
      <w:r>
        <w:t>D</w:t>
      </w:r>
      <w:r w:rsidR="00682641">
        <w:t>ocumentation</w:t>
      </w:r>
      <w:bookmarkEnd w:id="9"/>
      <w:r w:rsidR="00682641">
        <w:t xml:space="preserve"> </w:t>
      </w:r>
    </w:p>
    <w:p w14:paraId="2378C57C" w14:textId="77777777" w:rsidR="00166FC2" w:rsidRDefault="00E15D97" w:rsidP="00E15D97">
      <w:pPr>
        <w:pStyle w:val="DHHSbody"/>
      </w:pPr>
      <w:r>
        <w:t xml:space="preserve">Further validation changes </w:t>
      </w:r>
      <w:r w:rsidR="001E24BD">
        <w:t xml:space="preserve">to </w:t>
      </w:r>
      <w:r w:rsidR="00DB68F3">
        <w:t xml:space="preserve">2019-20 </w:t>
      </w:r>
      <w:r w:rsidR="001E24BD">
        <w:t>revisions doc</w:t>
      </w:r>
      <w:r w:rsidR="00B90198">
        <w:t xml:space="preserve">ument published 1 February 2019 </w:t>
      </w:r>
      <w:r w:rsidR="00F37BCE">
        <w:t xml:space="preserve">are being finalised </w:t>
      </w:r>
      <w:r>
        <w:t xml:space="preserve">in addition to those previously </w:t>
      </w:r>
      <w:r w:rsidR="00F37BCE">
        <w:t xml:space="preserve">notified </w:t>
      </w:r>
      <w:r>
        <w:t>in B</w:t>
      </w:r>
      <w:r w:rsidR="00F37BCE">
        <w:t xml:space="preserve">ulletins </w:t>
      </w:r>
      <w:r>
        <w:t>3-6</w:t>
      </w:r>
      <w:r w:rsidR="00F37BCE">
        <w:t xml:space="preserve">.  An </w:t>
      </w:r>
      <w:r>
        <w:t>updated spec</w:t>
      </w:r>
      <w:r w:rsidR="00F37BCE">
        <w:t xml:space="preserve">ification </w:t>
      </w:r>
      <w:r>
        <w:t>doc</w:t>
      </w:r>
      <w:r w:rsidR="00F37BCE">
        <w:t xml:space="preserve">ument </w:t>
      </w:r>
      <w:r>
        <w:t>incorporat</w:t>
      </w:r>
      <w:r w:rsidR="00F37BCE">
        <w:t xml:space="preserve">ing all the updates </w:t>
      </w:r>
      <w:r>
        <w:t>will be published</w:t>
      </w:r>
      <w:r w:rsidR="00F37BCE">
        <w:t xml:space="preserve"> as soon as testing of the changes has been completed.</w:t>
      </w:r>
    </w:p>
    <w:p w14:paraId="6B3CEC41" w14:textId="1A0E40DF" w:rsidR="00E15D97" w:rsidRDefault="00F37BCE" w:rsidP="00E15D97">
      <w:pPr>
        <w:pStyle w:val="DHHSbody"/>
      </w:pPr>
      <w:r>
        <w:t>To support data quality</w:t>
      </w:r>
      <w:r w:rsidR="00606F34">
        <w:t>,</w:t>
      </w:r>
      <w:r>
        <w:t xml:space="preserve"> we are enhancing our data validation routines. </w:t>
      </w:r>
      <w:r w:rsidR="007A5ADD">
        <w:t xml:space="preserve"> </w:t>
      </w:r>
      <w:r>
        <w:t xml:space="preserve">Previously, </w:t>
      </w:r>
      <w:r w:rsidR="005C6413">
        <w:t>validation</w:t>
      </w:r>
      <w:r>
        <w:t xml:space="preserve">s were applied </w:t>
      </w:r>
      <w:r w:rsidR="005C6413">
        <w:t xml:space="preserve">within </w:t>
      </w:r>
      <w:r>
        <w:t>each submission file a</w:t>
      </w:r>
      <w:r w:rsidR="005C6413">
        <w:t xml:space="preserve">s </w:t>
      </w:r>
      <w:r>
        <w:t xml:space="preserve">a </w:t>
      </w:r>
      <w:r w:rsidR="005C6413">
        <w:t>discrete autonomous entit</w:t>
      </w:r>
      <w:r>
        <w:t>y</w:t>
      </w:r>
      <w:r w:rsidR="005C6413">
        <w:t xml:space="preserve">. </w:t>
      </w:r>
      <w:r>
        <w:t xml:space="preserve"> From 1 July 2019</w:t>
      </w:r>
      <w:r w:rsidR="00DB68F3">
        <w:t>, new</w:t>
      </w:r>
      <w:r>
        <w:t xml:space="preserve"> validations</w:t>
      </w:r>
      <w:r w:rsidR="00DB68F3">
        <w:t xml:space="preserve"> will apply</w:t>
      </w:r>
      <w:r>
        <w:t xml:space="preserve"> to e</w:t>
      </w:r>
      <w:r w:rsidR="005C6413">
        <w:t xml:space="preserve">nsure that new data does not contradict the information we have </w:t>
      </w:r>
      <w:r>
        <w:t xml:space="preserve">accepted in </w:t>
      </w:r>
      <w:r w:rsidR="00886432">
        <w:t xml:space="preserve">a </w:t>
      </w:r>
      <w:r w:rsidR="005C6413">
        <w:t>prior</w:t>
      </w:r>
      <w:r>
        <w:t xml:space="preserve"> submission</w:t>
      </w:r>
      <w:r w:rsidR="005C6413">
        <w:t>.</w:t>
      </w:r>
    </w:p>
    <w:p w14:paraId="1B405B06" w14:textId="2FDB64DC" w:rsidR="00F37BCE" w:rsidRDefault="00682641" w:rsidP="00F37BCE">
      <w:pPr>
        <w:pStyle w:val="DHHSbody"/>
      </w:pPr>
      <w:r>
        <w:t xml:space="preserve">The updated VADC Data </w:t>
      </w:r>
      <w:r w:rsidRPr="0082615D">
        <w:t xml:space="preserve">Specification and </w:t>
      </w:r>
      <w:r w:rsidR="002B5BF4">
        <w:t xml:space="preserve">VADC </w:t>
      </w:r>
      <w:r w:rsidRPr="0082615D">
        <w:t xml:space="preserve">Compilation and Submission Specification will be </w:t>
      </w:r>
      <w:r w:rsidR="0043327F" w:rsidRPr="0082615D">
        <w:t>published</w:t>
      </w:r>
      <w:r w:rsidRPr="0082615D">
        <w:t xml:space="preserve"> on </w:t>
      </w:r>
      <w:r w:rsidR="00886432">
        <w:t xml:space="preserve">the </w:t>
      </w:r>
      <w:r w:rsidRPr="0082615D">
        <w:t>VADC website</w:t>
      </w:r>
      <w:r w:rsidR="0043327F" w:rsidRPr="0082615D">
        <w:t xml:space="preserve"> as soon as finalised</w:t>
      </w:r>
      <w:r w:rsidR="003F2871" w:rsidRPr="0082615D">
        <w:t>.</w:t>
      </w:r>
      <w:r w:rsidR="0043327F" w:rsidRPr="0082615D">
        <w:t xml:space="preserve"> </w:t>
      </w:r>
      <w:r w:rsidR="007A5ADD">
        <w:t xml:space="preserve"> </w:t>
      </w:r>
      <w:r w:rsidR="0043327F" w:rsidRPr="0082615D">
        <w:t>VADC vendors and service providers will be notified by email</w:t>
      </w:r>
      <w:r w:rsidRPr="0082615D">
        <w:t xml:space="preserve">. </w:t>
      </w:r>
    </w:p>
    <w:p w14:paraId="0EF0ADC1" w14:textId="77777777" w:rsidR="00007AD9" w:rsidRDefault="00007AD9" w:rsidP="00C77A7D">
      <w:pPr>
        <w:pStyle w:val="Heading2"/>
        <w:numPr>
          <w:ilvl w:val="0"/>
          <w:numId w:val="9"/>
        </w:numPr>
      </w:pPr>
      <w:bookmarkStart w:id="10" w:name="_Toc8648786"/>
      <w:r>
        <w:lastRenderedPageBreak/>
        <w:t>XSD schema</w:t>
      </w:r>
      <w:bookmarkEnd w:id="10"/>
      <w:r>
        <w:t xml:space="preserve"> </w:t>
      </w:r>
    </w:p>
    <w:p w14:paraId="42467DE9" w14:textId="2CAB6764" w:rsidR="003F2871" w:rsidRPr="00007AD9" w:rsidRDefault="00824021" w:rsidP="00007AD9">
      <w:pPr>
        <w:pStyle w:val="DHHSbody"/>
      </w:pPr>
      <w:proofErr w:type="gramStart"/>
      <w:r>
        <w:t>The m</w:t>
      </w:r>
      <w:r w:rsidR="001D7308">
        <w:t xml:space="preserve">ajority </w:t>
      </w:r>
      <w:r>
        <w:t>of</w:t>
      </w:r>
      <w:proofErr w:type="gramEnd"/>
      <w:r>
        <w:t xml:space="preserve"> validations</w:t>
      </w:r>
      <w:r w:rsidR="00320401">
        <w:t>,</w:t>
      </w:r>
      <w:r>
        <w:t xml:space="preserve"> apart from structural file checks</w:t>
      </w:r>
      <w:r w:rsidR="00320401">
        <w:t>,</w:t>
      </w:r>
      <w:r>
        <w:t xml:space="preserve"> </w:t>
      </w:r>
      <w:r w:rsidR="001D7308">
        <w:t>have been moved</w:t>
      </w:r>
      <w:r>
        <w:t xml:space="preserve"> from the XSD </w:t>
      </w:r>
      <w:r w:rsidR="003F2871">
        <w:t xml:space="preserve">to the submission file processing </w:t>
      </w:r>
      <w:r w:rsidR="003F2871" w:rsidRPr="004C023E">
        <w:t>routine</w:t>
      </w:r>
      <w:r w:rsidR="00FF0246" w:rsidRPr="004C023E">
        <w:t>.</w:t>
      </w:r>
      <w:r w:rsidR="007A5ADD">
        <w:t xml:space="preserve"> </w:t>
      </w:r>
      <w:r w:rsidR="00FF0246" w:rsidRPr="004C023E">
        <w:t xml:space="preserve"> </w:t>
      </w:r>
      <w:r w:rsidR="0008020E" w:rsidRPr="004C023E">
        <w:t xml:space="preserve">We have added new optional </w:t>
      </w:r>
      <w:r w:rsidR="003F2871" w:rsidRPr="004C023E">
        <w:t>elements</w:t>
      </w:r>
      <w:r w:rsidR="0008020E" w:rsidRPr="004C023E">
        <w:t xml:space="preserve"> for </w:t>
      </w:r>
      <w:r w:rsidR="00B8387E" w:rsidRPr="004C023E">
        <w:t>e</w:t>
      </w:r>
      <w:r w:rsidR="0008020E" w:rsidRPr="004C023E">
        <w:t xml:space="preserve">ntity IDs, which we have reserved for future use. </w:t>
      </w:r>
      <w:r w:rsidR="0008020E" w:rsidRPr="004C023E">
        <w:rPr>
          <w:b/>
        </w:rPr>
        <w:t xml:space="preserve">These </w:t>
      </w:r>
      <w:r w:rsidR="004C023E" w:rsidRPr="004C023E">
        <w:rPr>
          <w:b/>
        </w:rPr>
        <w:t>elements</w:t>
      </w:r>
      <w:r w:rsidR="0008020E" w:rsidRPr="004C023E">
        <w:rPr>
          <w:b/>
        </w:rPr>
        <w:t xml:space="preserve"> are not required </w:t>
      </w:r>
      <w:r w:rsidR="002C3234">
        <w:rPr>
          <w:b/>
        </w:rPr>
        <w:t>for</w:t>
      </w:r>
      <w:r w:rsidR="0008020E" w:rsidRPr="004C023E">
        <w:rPr>
          <w:b/>
        </w:rPr>
        <w:t xml:space="preserve"> 2019-20.</w:t>
      </w:r>
      <w:r w:rsidR="004C023E" w:rsidRPr="004C023E">
        <w:t xml:space="preserve">  </w:t>
      </w:r>
      <w:r w:rsidR="007A5ADD">
        <w:t xml:space="preserve"> </w:t>
      </w:r>
      <w:r w:rsidR="003F2871">
        <w:t>A draft schema has been released to accompany this bulletin.</w:t>
      </w:r>
      <w:r w:rsidR="00DB68F3">
        <w:t xml:space="preserve"> </w:t>
      </w:r>
    </w:p>
    <w:p w14:paraId="25592159" w14:textId="77777777" w:rsidR="00452BE2" w:rsidRDefault="00D649A0" w:rsidP="00C77A7D">
      <w:pPr>
        <w:pStyle w:val="Heading2"/>
        <w:numPr>
          <w:ilvl w:val="0"/>
          <w:numId w:val="9"/>
        </w:numPr>
      </w:pPr>
      <w:bookmarkStart w:id="11" w:name="_Toc8648787"/>
      <w:r>
        <w:t>Testing for new system extracts</w:t>
      </w:r>
      <w:bookmarkEnd w:id="11"/>
    </w:p>
    <w:p w14:paraId="676114AB" w14:textId="7CA55D46" w:rsidR="00016432" w:rsidRPr="00016432" w:rsidRDefault="00DB68F3" w:rsidP="00016432">
      <w:pPr>
        <w:pStyle w:val="DHHSbody"/>
        <w:rPr>
          <w:rFonts w:cs="Arial"/>
        </w:rPr>
      </w:pPr>
      <w:r>
        <w:rPr>
          <w:rFonts w:cs="Arial"/>
        </w:rPr>
        <w:t>Service providers</w:t>
      </w:r>
      <w:r w:rsidR="00016432" w:rsidRPr="00016432">
        <w:rPr>
          <w:rFonts w:cs="Arial"/>
        </w:rPr>
        <w:t xml:space="preserve"> changing vendor</w:t>
      </w:r>
      <w:r>
        <w:rPr>
          <w:rFonts w:cs="Arial"/>
        </w:rPr>
        <w:t>,</w:t>
      </w:r>
      <w:r w:rsidR="00016432" w:rsidRPr="00016432">
        <w:rPr>
          <w:rFonts w:cs="Arial"/>
        </w:rPr>
        <w:t xml:space="preserve"> </w:t>
      </w:r>
      <w:r>
        <w:rPr>
          <w:rFonts w:cs="Arial"/>
        </w:rPr>
        <w:t xml:space="preserve">for one or multiple outlets, </w:t>
      </w:r>
      <w:r w:rsidR="00C37DA4">
        <w:rPr>
          <w:rFonts w:cs="Arial"/>
        </w:rPr>
        <w:t>must advise the</w:t>
      </w:r>
      <w:r w:rsidR="00D649A0">
        <w:rPr>
          <w:rFonts w:cs="Arial"/>
        </w:rPr>
        <w:t xml:space="preserve"> VADC project team</w:t>
      </w:r>
      <w:r w:rsidR="00C37DA4">
        <w:rPr>
          <w:rFonts w:cs="Arial"/>
        </w:rPr>
        <w:t xml:space="preserve"> </w:t>
      </w:r>
      <w:hyperlink r:id="rId10" w:history="1">
        <w:r w:rsidR="00D649A0" w:rsidRPr="002454E0">
          <w:rPr>
            <w:rStyle w:val="Hyperlink"/>
            <w:color w:val="4472C4" w:themeColor="accent1"/>
          </w:rPr>
          <w:t>VADC_data@dhhs.vic.gov.au</w:t>
        </w:r>
      </w:hyperlink>
      <w:r w:rsidR="006037A1">
        <w:t xml:space="preserve"> </w:t>
      </w:r>
      <w:r w:rsidR="00C37DA4">
        <w:rPr>
          <w:rFonts w:cs="Arial"/>
        </w:rPr>
        <w:t>of their intentions</w:t>
      </w:r>
      <w:r w:rsidR="00D649A0">
        <w:rPr>
          <w:rFonts w:cs="Arial"/>
        </w:rPr>
        <w:t>.</w:t>
      </w:r>
      <w:r w:rsidR="00016432" w:rsidRPr="00016432">
        <w:rPr>
          <w:rFonts w:cs="Arial"/>
        </w:rPr>
        <w:t xml:space="preserve"> </w:t>
      </w:r>
      <w:r w:rsidR="007A5ADD">
        <w:rPr>
          <w:rFonts w:cs="Arial"/>
        </w:rPr>
        <w:t xml:space="preserve"> </w:t>
      </w:r>
      <w:r w:rsidR="00D649A0">
        <w:rPr>
          <w:rFonts w:cs="Arial"/>
        </w:rPr>
        <w:t>A</w:t>
      </w:r>
      <w:r w:rsidR="00824021">
        <w:rPr>
          <w:rFonts w:cs="Arial"/>
        </w:rPr>
        <w:t xml:space="preserve">gencies </w:t>
      </w:r>
      <w:r w:rsidR="00C37DA4">
        <w:rPr>
          <w:rFonts w:cs="Arial"/>
        </w:rPr>
        <w:t xml:space="preserve">will be required to submit </w:t>
      </w:r>
      <w:r w:rsidR="00016432" w:rsidRPr="00016432">
        <w:rPr>
          <w:rFonts w:cs="Arial"/>
        </w:rPr>
        <w:t xml:space="preserve">test </w:t>
      </w:r>
      <w:r w:rsidR="00C37DA4">
        <w:rPr>
          <w:rFonts w:cs="Arial"/>
        </w:rPr>
        <w:t>files for review</w:t>
      </w:r>
      <w:r w:rsidR="00DA6F21">
        <w:rPr>
          <w:rFonts w:cs="Arial"/>
        </w:rPr>
        <w:t xml:space="preserve"> and approval </w:t>
      </w:r>
      <w:r w:rsidR="00C37DA4">
        <w:rPr>
          <w:rFonts w:cs="Arial"/>
        </w:rPr>
        <w:t>by the department b</w:t>
      </w:r>
      <w:r w:rsidR="00016432" w:rsidRPr="00016432">
        <w:rPr>
          <w:rFonts w:cs="Arial"/>
        </w:rPr>
        <w:t xml:space="preserve">efore </w:t>
      </w:r>
      <w:r w:rsidR="00D649A0">
        <w:rPr>
          <w:rFonts w:cs="Arial"/>
        </w:rPr>
        <w:t>submitting production data extracted from the new system.</w:t>
      </w:r>
    </w:p>
    <w:p w14:paraId="1262CCF3" w14:textId="77777777" w:rsidR="008658AE" w:rsidRPr="008658AE" w:rsidRDefault="00D37C21" w:rsidP="00C77A7D">
      <w:pPr>
        <w:pStyle w:val="Heading2"/>
        <w:numPr>
          <w:ilvl w:val="0"/>
          <w:numId w:val="9"/>
        </w:numPr>
      </w:pPr>
      <w:bookmarkStart w:id="12" w:name="_Toc8648788"/>
      <w:r>
        <w:t>Reference files</w:t>
      </w:r>
      <w:bookmarkEnd w:id="12"/>
    </w:p>
    <w:p w14:paraId="735D3E2C" w14:textId="47110867" w:rsidR="00D37C21" w:rsidRPr="00D37C21" w:rsidRDefault="00D37C21" w:rsidP="00D37C21">
      <w:pPr>
        <w:pStyle w:val="DHHSbody"/>
      </w:pPr>
      <w:r>
        <w:t xml:space="preserve">Locality reference, country of </w:t>
      </w:r>
      <w:r w:rsidR="00D26BDB">
        <w:t>birth and preferred language codeset can be found here</w:t>
      </w:r>
      <w:r w:rsidR="00886432">
        <w:t>:</w:t>
      </w:r>
      <w:r w:rsidR="0042237B">
        <w:t xml:space="preserve"> </w:t>
      </w:r>
      <w:hyperlink r:id="rId11" w:history="1">
        <w:r w:rsidR="0042237B" w:rsidRPr="0042237B">
          <w:rPr>
            <w:rStyle w:val="Hyperlink"/>
          </w:rPr>
          <w:t>reference files</w:t>
        </w:r>
      </w:hyperlink>
      <w:r w:rsidR="0042237B">
        <w:t xml:space="preserve"> &lt;</w:t>
      </w:r>
      <w:hyperlink r:id="rId12" w:history="1">
        <w:r w:rsidR="0042237B" w:rsidRPr="0042237B">
          <w:t>https://www2.health.vic.gov.au/hospitals-and-health-services/data-reporting/health-data-standards-systems/reference-files</w:t>
        </w:r>
      </w:hyperlink>
      <w:r w:rsidR="0042237B" w:rsidRPr="0042237B">
        <w:t>&gt;</w:t>
      </w:r>
    </w:p>
    <w:p w14:paraId="5B270B27" w14:textId="77777777" w:rsidR="00007AD9" w:rsidRDefault="00452BE2" w:rsidP="00C77A7D">
      <w:pPr>
        <w:pStyle w:val="Heading2"/>
        <w:numPr>
          <w:ilvl w:val="0"/>
          <w:numId w:val="9"/>
        </w:numPr>
      </w:pPr>
      <w:bookmarkStart w:id="13" w:name="_Toc8648789"/>
      <w:r>
        <w:t>Contact details</w:t>
      </w:r>
      <w:bookmarkEnd w:id="13"/>
      <w:r>
        <w:t xml:space="preserve"> </w:t>
      </w:r>
    </w:p>
    <w:p w14:paraId="03E3CA09" w14:textId="6D908B19" w:rsidR="00C37A8E" w:rsidRDefault="00452BE2" w:rsidP="00FF6D9D">
      <w:pPr>
        <w:pStyle w:val="DHHSbody"/>
        <w:rPr>
          <w:rStyle w:val="Hyperlink"/>
          <w:color w:val="4472C4" w:themeColor="accent1"/>
        </w:rPr>
      </w:pPr>
      <w:r>
        <w:t xml:space="preserve">VADC </w:t>
      </w:r>
      <w:r w:rsidR="00D37C21">
        <w:t>B</w:t>
      </w:r>
      <w:r>
        <w:t>ulletin</w:t>
      </w:r>
      <w:r w:rsidR="00AF5E1F">
        <w:t>s</w:t>
      </w:r>
      <w:r>
        <w:t xml:space="preserve"> </w:t>
      </w:r>
      <w:r w:rsidR="00AF5E1F">
        <w:t>are</w:t>
      </w:r>
      <w:r>
        <w:t xml:space="preserve"> produced at intervals to provide </w:t>
      </w:r>
      <w:r w:rsidR="00D37C21">
        <w:t xml:space="preserve">updates to specification and current data issues. </w:t>
      </w:r>
      <w:r w:rsidR="007A5ADD">
        <w:t xml:space="preserve"> </w:t>
      </w:r>
      <w:r>
        <w:t xml:space="preserve">Service providers are encouraged to submit </w:t>
      </w:r>
      <w:r w:rsidR="00E86282">
        <w:t>VADC queries and</w:t>
      </w:r>
      <w:r>
        <w:t xml:space="preserve"> feedback to</w:t>
      </w:r>
      <w:r w:rsidRPr="002454E0">
        <w:rPr>
          <w:color w:val="4472C4" w:themeColor="accent1"/>
        </w:rPr>
        <w:t xml:space="preserve"> </w:t>
      </w:r>
      <w:hyperlink r:id="rId13" w:history="1">
        <w:r w:rsidR="00016432" w:rsidRPr="002454E0">
          <w:rPr>
            <w:rStyle w:val="Hyperlink"/>
            <w:color w:val="4472C4" w:themeColor="accent1"/>
          </w:rPr>
          <w:t>VADC_data@dhhs.vic.gov.au</w:t>
        </w:r>
      </w:hyperlink>
    </w:p>
    <w:p w14:paraId="5D352089" w14:textId="5A2E1BAF" w:rsidR="0042237B" w:rsidRDefault="0042237B" w:rsidP="00FF6D9D">
      <w:pPr>
        <w:pStyle w:val="DHHSbody"/>
        <w:rPr>
          <w:rStyle w:val="Hyperlink"/>
          <w:color w:val="4472C4" w:themeColor="accent1"/>
        </w:rPr>
      </w:pPr>
    </w:p>
    <w:tbl>
      <w:tblPr>
        <w:tblW w:w="4800" w:type="pct"/>
        <w:tblInd w:w="113" w:type="dxa"/>
        <w:tblCellMar>
          <w:top w:w="113" w:type="dxa"/>
          <w:bottom w:w="57" w:type="dxa"/>
        </w:tblCellMar>
        <w:tblLook w:val="00A0" w:firstRow="1" w:lastRow="0" w:firstColumn="1" w:lastColumn="0" w:noHBand="0" w:noVBand="0"/>
      </w:tblPr>
      <w:tblGrid>
        <w:gridCol w:w="9786"/>
      </w:tblGrid>
      <w:tr w:rsidR="0042237B" w:rsidRPr="002802E3" w14:paraId="2D049664" w14:textId="77777777" w:rsidTr="00F17EF9">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19E28BCD" w14:textId="77777777" w:rsidR="001C6B98" w:rsidRPr="00254F58" w:rsidRDefault="001C6B98" w:rsidP="001C6B98">
            <w:pPr>
              <w:pStyle w:val="DHHSaccessibilitypara"/>
            </w:pPr>
            <w:r w:rsidRPr="00254F58">
              <w:t xml:space="preserve">To receive this publication in </w:t>
            </w:r>
            <w:r w:rsidRPr="00770F37">
              <w:t>an</w:t>
            </w:r>
            <w:r w:rsidRPr="00254F58">
              <w:t xml:space="preserve"> accessible format </w:t>
            </w:r>
            <w:hyperlink r:id="rId14" w:history="1">
              <w:r w:rsidRPr="0087696B">
                <w:rPr>
                  <w:rStyle w:val="Hyperlink"/>
                </w:rPr>
                <w:t>email VADC Data</w:t>
              </w:r>
            </w:hyperlink>
            <w:r w:rsidRPr="00254F58">
              <w:t xml:space="preserve"> </w:t>
            </w:r>
            <w:r w:rsidRPr="0087696B">
              <w:t>&lt;vadc_data@dhhs.vic.gov.au&gt;</w:t>
            </w:r>
          </w:p>
          <w:p w14:paraId="2319FE82" w14:textId="77777777" w:rsidR="001C6B98" w:rsidRPr="00254F58" w:rsidRDefault="001C6B98" w:rsidP="001C6B98">
            <w:pPr>
              <w:pStyle w:val="DHHSbody"/>
            </w:pPr>
            <w:r w:rsidRPr="00254F58">
              <w:t>Authorised and published by the Victorian Governmen</w:t>
            </w:r>
            <w:r>
              <w:t>t, 1 Treasury Place, Melbourne.</w:t>
            </w:r>
          </w:p>
          <w:p w14:paraId="37457C32" w14:textId="10A7BC87" w:rsidR="001C6B98" w:rsidRPr="00254F58" w:rsidRDefault="001C6B98" w:rsidP="001C6B98">
            <w:pPr>
              <w:pStyle w:val="DHHSbody"/>
            </w:pPr>
            <w:r w:rsidRPr="00254F58">
              <w:t xml:space="preserve">© State of </w:t>
            </w:r>
            <w:r>
              <w:t>Victoria, Department of Health and</w:t>
            </w:r>
            <w:r w:rsidRPr="00254F58">
              <w:t xml:space="preserve"> Human Services</w:t>
            </w:r>
            <w:r w:rsidRPr="00BA3F8D">
              <w:rPr>
                <w:color w:val="008950"/>
              </w:rPr>
              <w:t xml:space="preserve"> </w:t>
            </w:r>
            <w:r>
              <w:t xml:space="preserve">May </w:t>
            </w:r>
            <w:bookmarkStart w:id="14" w:name="_GoBack"/>
            <w:bookmarkEnd w:id="14"/>
            <w:r w:rsidRPr="00A9126C">
              <w:t xml:space="preserve"> 201</w:t>
            </w:r>
            <w:r>
              <w:t>9</w:t>
            </w:r>
          </w:p>
          <w:p w14:paraId="300E3B45" w14:textId="0ABE3897" w:rsidR="0042237B" w:rsidRPr="002802E3" w:rsidRDefault="001C6B98" w:rsidP="001C6B98">
            <w:pPr>
              <w:pStyle w:val="DHHSbody"/>
            </w:pPr>
            <w:r w:rsidRPr="006A6159">
              <w:t>Available f</w:t>
            </w:r>
            <w:r>
              <w:t xml:space="preserve">rom the </w:t>
            </w:r>
            <w:hyperlink r:id="rId15" w:history="1">
              <w:r w:rsidRPr="001C6B98">
                <w:rPr>
                  <w:rStyle w:val="Hyperlink"/>
                </w:rPr>
                <w:t>VADC Data specification page</w:t>
              </w:r>
            </w:hyperlink>
            <w:r>
              <w:t xml:space="preserve"> on the </w:t>
            </w:r>
            <w:proofErr w:type="spellStart"/>
            <w:r>
              <w:t>Health.vic</w:t>
            </w:r>
            <w:proofErr w:type="spellEnd"/>
            <w:r>
              <w:t xml:space="preserve"> website &lt;</w:t>
            </w:r>
            <w:r w:rsidRPr="00A9126C">
              <w:t>https://www2.health.vic.gov.au/about/publications/policiesandguidelines/vadc-data-specification</w:t>
            </w:r>
            <w:r>
              <w:t>&gt;</w:t>
            </w:r>
          </w:p>
        </w:tc>
      </w:tr>
    </w:tbl>
    <w:p w14:paraId="35E8E257" w14:textId="51C3610D" w:rsidR="0042237B" w:rsidRDefault="0042237B" w:rsidP="00FF6D9D">
      <w:pPr>
        <w:pStyle w:val="DHHSbody"/>
      </w:pPr>
    </w:p>
    <w:sectPr w:rsidR="0042237B" w:rsidSect="00016432">
      <w:headerReference w:type="default" r:id="rId16"/>
      <w:footerReference w:type="default" r:id="rId1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8D5E" w14:textId="77777777" w:rsidR="00B628F3" w:rsidRDefault="00B628F3">
      <w:r>
        <w:separator/>
      </w:r>
    </w:p>
  </w:endnote>
  <w:endnote w:type="continuationSeparator" w:id="0">
    <w:p w14:paraId="5BD2A924" w14:textId="77777777" w:rsidR="00B628F3" w:rsidRDefault="00B6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37D2" w14:textId="77777777" w:rsidR="009D70A4" w:rsidRPr="00F65AA9" w:rsidRDefault="00B628F3" w:rsidP="0051568D">
    <w:pPr>
      <w:pStyle w:val="DHHSfooter"/>
    </w:pPr>
    <w:r>
      <w:rPr>
        <w:noProof/>
      </w:rPr>
      <w:drawing>
        <wp:anchor distT="0" distB="0" distL="114300" distR="114300" simplePos="0" relativeHeight="251657728" behindDoc="0" locked="1" layoutInCell="0" allowOverlap="1" wp14:anchorId="345D4E58" wp14:editId="7A934E45">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9178" w14:textId="77777777" w:rsidR="009D70A4" w:rsidRPr="00A11421" w:rsidRDefault="00B628F3" w:rsidP="0051568D">
    <w:pPr>
      <w:pStyle w:val="DHHSfooter"/>
    </w:pPr>
    <w:r>
      <w:t>VADC Bulletin 7</w:t>
    </w:r>
    <w:r w:rsidR="009D70A4" w:rsidRPr="00A11421">
      <w:tab/>
    </w:r>
    <w:r w:rsidR="009D70A4" w:rsidRPr="00A11421">
      <w:fldChar w:fldCharType="begin"/>
    </w:r>
    <w:r w:rsidR="009D70A4" w:rsidRPr="00A11421">
      <w:instrText xml:space="preserve"> PAGE </w:instrText>
    </w:r>
    <w:r w:rsidR="009D70A4" w:rsidRPr="00A11421">
      <w:fldChar w:fldCharType="separate"/>
    </w:r>
    <w:r w:rsidR="000B23F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E45E" w14:textId="77777777" w:rsidR="00B628F3" w:rsidRDefault="00B628F3" w:rsidP="002862F1">
      <w:pPr>
        <w:spacing w:before="120"/>
      </w:pPr>
      <w:r>
        <w:separator/>
      </w:r>
    </w:p>
  </w:footnote>
  <w:footnote w:type="continuationSeparator" w:id="0">
    <w:p w14:paraId="73F15659" w14:textId="77777777" w:rsidR="00B628F3" w:rsidRDefault="00B6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640"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2D2116"/>
    <w:multiLevelType w:val="hybridMultilevel"/>
    <w:tmpl w:val="69E87C7C"/>
    <w:lvl w:ilvl="0" w:tplc="3A6CBDF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954A5D"/>
    <w:multiLevelType w:val="hybridMultilevel"/>
    <w:tmpl w:val="CDC8FE9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341BA"/>
    <w:multiLevelType w:val="hybridMultilevel"/>
    <w:tmpl w:val="18781B12"/>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B6AF9"/>
    <w:multiLevelType w:val="hybridMultilevel"/>
    <w:tmpl w:val="209C5BA2"/>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8D43DB"/>
    <w:multiLevelType w:val="multilevel"/>
    <w:tmpl w:val="4B4E7622"/>
    <w:numStyleLink w:val="ZZNumbers"/>
  </w:abstractNum>
  <w:abstractNum w:abstractNumId="7" w15:restartNumberingAfterBreak="0">
    <w:nsid w:val="1EF25F08"/>
    <w:multiLevelType w:val="hybridMultilevel"/>
    <w:tmpl w:val="18781B12"/>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649E9"/>
    <w:multiLevelType w:val="hybridMultilevel"/>
    <w:tmpl w:val="2A8E1204"/>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243B74"/>
    <w:multiLevelType w:val="hybridMultilevel"/>
    <w:tmpl w:val="7CC88996"/>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1C6680"/>
    <w:multiLevelType w:val="hybridMultilevel"/>
    <w:tmpl w:val="3F40E070"/>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47C92E64"/>
    <w:multiLevelType w:val="hybridMultilevel"/>
    <w:tmpl w:val="A80EBA02"/>
    <w:lvl w:ilvl="0" w:tplc="9DD68E1E">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23B09"/>
    <w:multiLevelType w:val="hybridMultilevel"/>
    <w:tmpl w:val="1300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7CF7766"/>
    <w:multiLevelType w:val="hybridMultilevel"/>
    <w:tmpl w:val="FCDE6E3A"/>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ED743F"/>
    <w:multiLevelType w:val="hybridMultilevel"/>
    <w:tmpl w:val="CDC8FE9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F4890"/>
    <w:multiLevelType w:val="hybridMultilevel"/>
    <w:tmpl w:val="9F26EBA8"/>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E26644"/>
    <w:multiLevelType w:val="hybridMultilevel"/>
    <w:tmpl w:val="1E9CA7F0"/>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5"/>
  </w:num>
  <w:num w:numId="10">
    <w:abstractNumId w:val="18"/>
  </w:num>
  <w:num w:numId="11">
    <w:abstractNumId w:val="4"/>
  </w:num>
  <w:num w:numId="12">
    <w:abstractNumId w:val="7"/>
  </w:num>
  <w:num w:numId="13">
    <w:abstractNumId w:val="13"/>
  </w:num>
  <w:num w:numId="14">
    <w:abstractNumId w:val="17"/>
  </w:num>
  <w:num w:numId="15">
    <w:abstractNumId w:val="15"/>
  </w:num>
  <w:num w:numId="16">
    <w:abstractNumId w:val="3"/>
  </w:num>
  <w:num w:numId="17">
    <w:abstractNumId w:val="12"/>
  </w:num>
  <w:num w:numId="18">
    <w:abstractNumId w:val="16"/>
  </w:num>
  <w:num w:numId="19">
    <w:abstractNumId w:val="8"/>
  </w:num>
  <w:num w:numId="20">
    <w:abstractNumId w:val="2"/>
  </w:num>
  <w:num w:numId="21">
    <w:abstractNumId w:val="9"/>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drawingGridHorizontalSpacing w:val="181"/>
  <w:drawingGridVerticalSpacing w:val="181"/>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F3"/>
    <w:rsid w:val="000072B6"/>
    <w:rsid w:val="00007AD9"/>
    <w:rsid w:val="0001021B"/>
    <w:rsid w:val="000106AB"/>
    <w:rsid w:val="00011D89"/>
    <w:rsid w:val="00011FB0"/>
    <w:rsid w:val="00016432"/>
    <w:rsid w:val="00020D6A"/>
    <w:rsid w:val="00024D89"/>
    <w:rsid w:val="000250B6"/>
    <w:rsid w:val="00033D81"/>
    <w:rsid w:val="00041BF0"/>
    <w:rsid w:val="0004536B"/>
    <w:rsid w:val="00046B68"/>
    <w:rsid w:val="000527DD"/>
    <w:rsid w:val="000578B2"/>
    <w:rsid w:val="00060959"/>
    <w:rsid w:val="000663CD"/>
    <w:rsid w:val="000733FE"/>
    <w:rsid w:val="00074219"/>
    <w:rsid w:val="00074ED5"/>
    <w:rsid w:val="0008020E"/>
    <w:rsid w:val="00087119"/>
    <w:rsid w:val="0009113B"/>
    <w:rsid w:val="00094DA3"/>
    <w:rsid w:val="00096CD1"/>
    <w:rsid w:val="000A012C"/>
    <w:rsid w:val="000A0EB9"/>
    <w:rsid w:val="000A186C"/>
    <w:rsid w:val="000B23FD"/>
    <w:rsid w:val="000B543D"/>
    <w:rsid w:val="000B5BF7"/>
    <w:rsid w:val="000B6BC8"/>
    <w:rsid w:val="000C42EA"/>
    <w:rsid w:val="000C4546"/>
    <w:rsid w:val="000D1242"/>
    <w:rsid w:val="000D4795"/>
    <w:rsid w:val="000E3CC7"/>
    <w:rsid w:val="000E6BD4"/>
    <w:rsid w:val="000F1F1E"/>
    <w:rsid w:val="000F2259"/>
    <w:rsid w:val="0010392D"/>
    <w:rsid w:val="0010447F"/>
    <w:rsid w:val="00104FE3"/>
    <w:rsid w:val="0012072C"/>
    <w:rsid w:val="00120BD3"/>
    <w:rsid w:val="00122FEA"/>
    <w:rsid w:val="001232BD"/>
    <w:rsid w:val="00124ED5"/>
    <w:rsid w:val="00126F2C"/>
    <w:rsid w:val="001340E1"/>
    <w:rsid w:val="001447B3"/>
    <w:rsid w:val="00152073"/>
    <w:rsid w:val="00153AB4"/>
    <w:rsid w:val="00161939"/>
    <w:rsid w:val="00161AA0"/>
    <w:rsid w:val="00162093"/>
    <w:rsid w:val="00166FC2"/>
    <w:rsid w:val="001753DC"/>
    <w:rsid w:val="001771DD"/>
    <w:rsid w:val="00177995"/>
    <w:rsid w:val="00177A8C"/>
    <w:rsid w:val="00186B33"/>
    <w:rsid w:val="00192F9D"/>
    <w:rsid w:val="00196EB8"/>
    <w:rsid w:val="001979FF"/>
    <w:rsid w:val="00197B17"/>
    <w:rsid w:val="001A3ACE"/>
    <w:rsid w:val="001C277E"/>
    <w:rsid w:val="001C2A72"/>
    <w:rsid w:val="001C6B98"/>
    <w:rsid w:val="001C7A15"/>
    <w:rsid w:val="001D0B75"/>
    <w:rsid w:val="001D0FC7"/>
    <w:rsid w:val="001D3C09"/>
    <w:rsid w:val="001D44E8"/>
    <w:rsid w:val="001D60EC"/>
    <w:rsid w:val="001D7308"/>
    <w:rsid w:val="001E1BA8"/>
    <w:rsid w:val="001E206E"/>
    <w:rsid w:val="001E24BD"/>
    <w:rsid w:val="001E44DF"/>
    <w:rsid w:val="001E68A5"/>
    <w:rsid w:val="001E6BB0"/>
    <w:rsid w:val="001F286D"/>
    <w:rsid w:val="001F3826"/>
    <w:rsid w:val="001F6E46"/>
    <w:rsid w:val="001F7C91"/>
    <w:rsid w:val="0020026A"/>
    <w:rsid w:val="00206463"/>
    <w:rsid w:val="00206F2F"/>
    <w:rsid w:val="0021053D"/>
    <w:rsid w:val="00210A92"/>
    <w:rsid w:val="00216C03"/>
    <w:rsid w:val="00220C04"/>
    <w:rsid w:val="00220E2D"/>
    <w:rsid w:val="0022278D"/>
    <w:rsid w:val="0022701F"/>
    <w:rsid w:val="002333F5"/>
    <w:rsid w:val="00233724"/>
    <w:rsid w:val="00241689"/>
    <w:rsid w:val="002432E1"/>
    <w:rsid w:val="002454E0"/>
    <w:rsid w:val="00246207"/>
    <w:rsid w:val="00246C5E"/>
    <w:rsid w:val="00251343"/>
    <w:rsid w:val="00254F58"/>
    <w:rsid w:val="00255570"/>
    <w:rsid w:val="002620BC"/>
    <w:rsid w:val="00262802"/>
    <w:rsid w:val="00263A90"/>
    <w:rsid w:val="0026408B"/>
    <w:rsid w:val="0026799A"/>
    <w:rsid w:val="00267C3E"/>
    <w:rsid w:val="002709BB"/>
    <w:rsid w:val="002763B3"/>
    <w:rsid w:val="002802E3"/>
    <w:rsid w:val="00281F38"/>
    <w:rsid w:val="0028213D"/>
    <w:rsid w:val="002862F1"/>
    <w:rsid w:val="00291127"/>
    <w:rsid w:val="00291373"/>
    <w:rsid w:val="0029363F"/>
    <w:rsid w:val="0029597D"/>
    <w:rsid w:val="002962C3"/>
    <w:rsid w:val="0029752B"/>
    <w:rsid w:val="002A483C"/>
    <w:rsid w:val="002B1729"/>
    <w:rsid w:val="002B4DD4"/>
    <w:rsid w:val="002B5277"/>
    <w:rsid w:val="002B5375"/>
    <w:rsid w:val="002B5BF4"/>
    <w:rsid w:val="002B77C1"/>
    <w:rsid w:val="002C2728"/>
    <w:rsid w:val="002C3234"/>
    <w:rsid w:val="002C376A"/>
    <w:rsid w:val="002D5006"/>
    <w:rsid w:val="002D53DA"/>
    <w:rsid w:val="002E01D0"/>
    <w:rsid w:val="002E161D"/>
    <w:rsid w:val="002E3100"/>
    <w:rsid w:val="002E6C95"/>
    <w:rsid w:val="002E7C36"/>
    <w:rsid w:val="002F5F31"/>
    <w:rsid w:val="002F5F46"/>
    <w:rsid w:val="00302216"/>
    <w:rsid w:val="00303E53"/>
    <w:rsid w:val="00306E5F"/>
    <w:rsid w:val="00307E14"/>
    <w:rsid w:val="00314054"/>
    <w:rsid w:val="003147AE"/>
    <w:rsid w:val="00316928"/>
    <w:rsid w:val="00316F27"/>
    <w:rsid w:val="00320401"/>
    <w:rsid w:val="00325239"/>
    <w:rsid w:val="003260F9"/>
    <w:rsid w:val="00327870"/>
    <w:rsid w:val="0033259D"/>
    <w:rsid w:val="00337963"/>
    <w:rsid w:val="003406C6"/>
    <w:rsid w:val="003418CC"/>
    <w:rsid w:val="003430C5"/>
    <w:rsid w:val="003459BD"/>
    <w:rsid w:val="00350D38"/>
    <w:rsid w:val="00351B36"/>
    <w:rsid w:val="00357B4E"/>
    <w:rsid w:val="00373CA8"/>
    <w:rsid w:val="003744CF"/>
    <w:rsid w:val="00374717"/>
    <w:rsid w:val="00374A33"/>
    <w:rsid w:val="0037676C"/>
    <w:rsid w:val="00377C54"/>
    <w:rsid w:val="003829E5"/>
    <w:rsid w:val="003956CC"/>
    <w:rsid w:val="00395C9A"/>
    <w:rsid w:val="003A6B67"/>
    <w:rsid w:val="003B15E6"/>
    <w:rsid w:val="003C2045"/>
    <w:rsid w:val="003C43A1"/>
    <w:rsid w:val="003C4D61"/>
    <w:rsid w:val="003C4FC0"/>
    <w:rsid w:val="003C55F4"/>
    <w:rsid w:val="003C7A3F"/>
    <w:rsid w:val="003D2766"/>
    <w:rsid w:val="003D3E8F"/>
    <w:rsid w:val="003D6475"/>
    <w:rsid w:val="003E4768"/>
    <w:rsid w:val="003F0445"/>
    <w:rsid w:val="003F0CF0"/>
    <w:rsid w:val="003F14B1"/>
    <w:rsid w:val="003F2871"/>
    <w:rsid w:val="003F3289"/>
    <w:rsid w:val="00401FCF"/>
    <w:rsid w:val="00405E26"/>
    <w:rsid w:val="00406285"/>
    <w:rsid w:val="004118F3"/>
    <w:rsid w:val="00413CF5"/>
    <w:rsid w:val="004148F9"/>
    <w:rsid w:val="00417743"/>
    <w:rsid w:val="0042084E"/>
    <w:rsid w:val="00421EEF"/>
    <w:rsid w:val="0042237B"/>
    <w:rsid w:val="00424D65"/>
    <w:rsid w:val="00425ABB"/>
    <w:rsid w:val="0043327F"/>
    <w:rsid w:val="0044050E"/>
    <w:rsid w:val="00442C6C"/>
    <w:rsid w:val="00443CBE"/>
    <w:rsid w:val="00443E8A"/>
    <w:rsid w:val="004441BC"/>
    <w:rsid w:val="004468B4"/>
    <w:rsid w:val="0045230A"/>
    <w:rsid w:val="00452BE2"/>
    <w:rsid w:val="00457337"/>
    <w:rsid w:val="0047372D"/>
    <w:rsid w:val="004743DD"/>
    <w:rsid w:val="00474CEA"/>
    <w:rsid w:val="00483968"/>
    <w:rsid w:val="00484F86"/>
    <w:rsid w:val="00490746"/>
    <w:rsid w:val="00490852"/>
    <w:rsid w:val="00491193"/>
    <w:rsid w:val="00492F30"/>
    <w:rsid w:val="004946F4"/>
    <w:rsid w:val="0049487E"/>
    <w:rsid w:val="00494D09"/>
    <w:rsid w:val="004A160D"/>
    <w:rsid w:val="004A2E18"/>
    <w:rsid w:val="004A304A"/>
    <w:rsid w:val="004A3249"/>
    <w:rsid w:val="004A3E81"/>
    <w:rsid w:val="004A5C62"/>
    <w:rsid w:val="004A6B6D"/>
    <w:rsid w:val="004A707D"/>
    <w:rsid w:val="004C023E"/>
    <w:rsid w:val="004C6EEE"/>
    <w:rsid w:val="004C702B"/>
    <w:rsid w:val="004D016B"/>
    <w:rsid w:val="004D1B22"/>
    <w:rsid w:val="004D36F2"/>
    <w:rsid w:val="004E138F"/>
    <w:rsid w:val="004E4649"/>
    <w:rsid w:val="004E5C2B"/>
    <w:rsid w:val="004F00DD"/>
    <w:rsid w:val="004F2133"/>
    <w:rsid w:val="004F4082"/>
    <w:rsid w:val="004F55F1"/>
    <w:rsid w:val="004F6936"/>
    <w:rsid w:val="00503DC6"/>
    <w:rsid w:val="00506F5D"/>
    <w:rsid w:val="005126D0"/>
    <w:rsid w:val="0051568D"/>
    <w:rsid w:val="00521FBB"/>
    <w:rsid w:val="0052601B"/>
    <w:rsid w:val="00526C15"/>
    <w:rsid w:val="00536499"/>
    <w:rsid w:val="00543903"/>
    <w:rsid w:val="00543F11"/>
    <w:rsid w:val="0054785E"/>
    <w:rsid w:val="00547A95"/>
    <w:rsid w:val="00566A14"/>
    <w:rsid w:val="00567154"/>
    <w:rsid w:val="00572031"/>
    <w:rsid w:val="005748AF"/>
    <w:rsid w:val="00576E84"/>
    <w:rsid w:val="00582B8C"/>
    <w:rsid w:val="0058757E"/>
    <w:rsid w:val="00595117"/>
    <w:rsid w:val="00596A4B"/>
    <w:rsid w:val="00597507"/>
    <w:rsid w:val="005A3229"/>
    <w:rsid w:val="005B21B6"/>
    <w:rsid w:val="005B3A08"/>
    <w:rsid w:val="005B7A63"/>
    <w:rsid w:val="005C0955"/>
    <w:rsid w:val="005C09A1"/>
    <w:rsid w:val="005C49DA"/>
    <w:rsid w:val="005C50F3"/>
    <w:rsid w:val="005C5D91"/>
    <w:rsid w:val="005C6125"/>
    <w:rsid w:val="005C6413"/>
    <w:rsid w:val="005D07B8"/>
    <w:rsid w:val="005D6597"/>
    <w:rsid w:val="005D7365"/>
    <w:rsid w:val="005E14E7"/>
    <w:rsid w:val="005E26A3"/>
    <w:rsid w:val="005E447E"/>
    <w:rsid w:val="005E65AB"/>
    <w:rsid w:val="005F0775"/>
    <w:rsid w:val="005F0CF5"/>
    <w:rsid w:val="005F0F3D"/>
    <w:rsid w:val="005F21EB"/>
    <w:rsid w:val="005F5AA5"/>
    <w:rsid w:val="006037A1"/>
    <w:rsid w:val="00605908"/>
    <w:rsid w:val="00606F34"/>
    <w:rsid w:val="00610D7C"/>
    <w:rsid w:val="00612A3B"/>
    <w:rsid w:val="00613414"/>
    <w:rsid w:val="00615E1E"/>
    <w:rsid w:val="00617102"/>
    <w:rsid w:val="0062408D"/>
    <w:rsid w:val="006240CC"/>
    <w:rsid w:val="00627DA7"/>
    <w:rsid w:val="00631025"/>
    <w:rsid w:val="006358B4"/>
    <w:rsid w:val="006419AA"/>
    <w:rsid w:val="00644B7E"/>
    <w:rsid w:val="006454E6"/>
    <w:rsid w:val="00645BA0"/>
    <w:rsid w:val="00646A68"/>
    <w:rsid w:val="0065092E"/>
    <w:rsid w:val="0065445C"/>
    <w:rsid w:val="006553BD"/>
    <w:rsid w:val="006557A7"/>
    <w:rsid w:val="00656290"/>
    <w:rsid w:val="006621D7"/>
    <w:rsid w:val="0066302A"/>
    <w:rsid w:val="00667DB3"/>
    <w:rsid w:val="00667E00"/>
    <w:rsid w:val="00670597"/>
    <w:rsid w:val="006706D0"/>
    <w:rsid w:val="006729B6"/>
    <w:rsid w:val="00677574"/>
    <w:rsid w:val="00682641"/>
    <w:rsid w:val="00684199"/>
    <w:rsid w:val="0068454C"/>
    <w:rsid w:val="00686B80"/>
    <w:rsid w:val="00691B62"/>
    <w:rsid w:val="00693D14"/>
    <w:rsid w:val="0069726F"/>
    <w:rsid w:val="006A18C2"/>
    <w:rsid w:val="006A33BC"/>
    <w:rsid w:val="006B077C"/>
    <w:rsid w:val="006B147A"/>
    <w:rsid w:val="006B6803"/>
    <w:rsid w:val="006D18FB"/>
    <w:rsid w:val="006D1CD1"/>
    <w:rsid w:val="006D2A3F"/>
    <w:rsid w:val="006D2FBC"/>
    <w:rsid w:val="006D59BA"/>
    <w:rsid w:val="006E138B"/>
    <w:rsid w:val="006F1FDC"/>
    <w:rsid w:val="007013EF"/>
    <w:rsid w:val="007035EC"/>
    <w:rsid w:val="007173CA"/>
    <w:rsid w:val="007216AA"/>
    <w:rsid w:val="00721AB5"/>
    <w:rsid w:val="00721DEF"/>
    <w:rsid w:val="00723549"/>
    <w:rsid w:val="00723F6D"/>
    <w:rsid w:val="00724A43"/>
    <w:rsid w:val="00733F79"/>
    <w:rsid w:val="007346E4"/>
    <w:rsid w:val="0073730D"/>
    <w:rsid w:val="00740F22"/>
    <w:rsid w:val="00741F1A"/>
    <w:rsid w:val="00744682"/>
    <w:rsid w:val="007450F8"/>
    <w:rsid w:val="0074533A"/>
    <w:rsid w:val="0074696E"/>
    <w:rsid w:val="00750135"/>
    <w:rsid w:val="00750EC2"/>
    <w:rsid w:val="00752B28"/>
    <w:rsid w:val="007533F7"/>
    <w:rsid w:val="00754E36"/>
    <w:rsid w:val="007554F6"/>
    <w:rsid w:val="00757898"/>
    <w:rsid w:val="00763139"/>
    <w:rsid w:val="00770F37"/>
    <w:rsid w:val="007711A0"/>
    <w:rsid w:val="007724E4"/>
    <w:rsid w:val="00772D5E"/>
    <w:rsid w:val="00776928"/>
    <w:rsid w:val="00780712"/>
    <w:rsid w:val="00784508"/>
    <w:rsid w:val="00785677"/>
    <w:rsid w:val="00786F16"/>
    <w:rsid w:val="00796E20"/>
    <w:rsid w:val="00797C32"/>
    <w:rsid w:val="007A5ADD"/>
    <w:rsid w:val="007B0914"/>
    <w:rsid w:val="007B1374"/>
    <w:rsid w:val="007B589F"/>
    <w:rsid w:val="007B6186"/>
    <w:rsid w:val="007B73BC"/>
    <w:rsid w:val="007C20B9"/>
    <w:rsid w:val="007C40AF"/>
    <w:rsid w:val="007C7301"/>
    <w:rsid w:val="007C7859"/>
    <w:rsid w:val="007C7A54"/>
    <w:rsid w:val="007D0102"/>
    <w:rsid w:val="007D2BDE"/>
    <w:rsid w:val="007D2FB6"/>
    <w:rsid w:val="007D66C0"/>
    <w:rsid w:val="007D6B2A"/>
    <w:rsid w:val="007E08EF"/>
    <w:rsid w:val="007E0DE2"/>
    <w:rsid w:val="007E3B98"/>
    <w:rsid w:val="007E47C8"/>
    <w:rsid w:val="007F31B6"/>
    <w:rsid w:val="007F546C"/>
    <w:rsid w:val="007F625F"/>
    <w:rsid w:val="007F665E"/>
    <w:rsid w:val="00800412"/>
    <w:rsid w:val="0080118E"/>
    <w:rsid w:val="00802DFF"/>
    <w:rsid w:val="0080587B"/>
    <w:rsid w:val="00806468"/>
    <w:rsid w:val="00812536"/>
    <w:rsid w:val="008155F0"/>
    <w:rsid w:val="00816735"/>
    <w:rsid w:val="00820112"/>
    <w:rsid w:val="00820141"/>
    <w:rsid w:val="00820E0C"/>
    <w:rsid w:val="00823592"/>
    <w:rsid w:val="00824021"/>
    <w:rsid w:val="0082615D"/>
    <w:rsid w:val="008338A2"/>
    <w:rsid w:val="00841AA9"/>
    <w:rsid w:val="00853EE4"/>
    <w:rsid w:val="008553BF"/>
    <w:rsid w:val="00855535"/>
    <w:rsid w:val="0086255E"/>
    <w:rsid w:val="008633F0"/>
    <w:rsid w:val="008658AE"/>
    <w:rsid w:val="00867D9D"/>
    <w:rsid w:val="00872E0A"/>
    <w:rsid w:val="00875285"/>
    <w:rsid w:val="00884B62"/>
    <w:rsid w:val="0088529C"/>
    <w:rsid w:val="00886432"/>
    <w:rsid w:val="00887903"/>
    <w:rsid w:val="0089251C"/>
    <w:rsid w:val="0089270A"/>
    <w:rsid w:val="00893AF6"/>
    <w:rsid w:val="00894BC4"/>
    <w:rsid w:val="008A4B5D"/>
    <w:rsid w:val="008A5B32"/>
    <w:rsid w:val="008A66CA"/>
    <w:rsid w:val="008B1FE3"/>
    <w:rsid w:val="008B2EE4"/>
    <w:rsid w:val="008B4D3D"/>
    <w:rsid w:val="008B57C7"/>
    <w:rsid w:val="008C2F92"/>
    <w:rsid w:val="008D1F3D"/>
    <w:rsid w:val="008D2846"/>
    <w:rsid w:val="008D4236"/>
    <w:rsid w:val="008D462F"/>
    <w:rsid w:val="008D6DCF"/>
    <w:rsid w:val="008E4376"/>
    <w:rsid w:val="008E7A0A"/>
    <w:rsid w:val="008F5411"/>
    <w:rsid w:val="00900719"/>
    <w:rsid w:val="009017AC"/>
    <w:rsid w:val="00904A1C"/>
    <w:rsid w:val="00905030"/>
    <w:rsid w:val="00906490"/>
    <w:rsid w:val="00906D25"/>
    <w:rsid w:val="009111B2"/>
    <w:rsid w:val="009173E9"/>
    <w:rsid w:val="00924AE1"/>
    <w:rsid w:val="009269B1"/>
    <w:rsid w:val="0092724D"/>
    <w:rsid w:val="00937BD9"/>
    <w:rsid w:val="00940DE3"/>
    <w:rsid w:val="00946F51"/>
    <w:rsid w:val="00950E2C"/>
    <w:rsid w:val="00951D50"/>
    <w:rsid w:val="009525EB"/>
    <w:rsid w:val="00954874"/>
    <w:rsid w:val="009571BD"/>
    <w:rsid w:val="00961400"/>
    <w:rsid w:val="00963646"/>
    <w:rsid w:val="009853E1"/>
    <w:rsid w:val="00986065"/>
    <w:rsid w:val="00986E6B"/>
    <w:rsid w:val="00991769"/>
    <w:rsid w:val="009919DE"/>
    <w:rsid w:val="00994386"/>
    <w:rsid w:val="00996AA6"/>
    <w:rsid w:val="009A13D8"/>
    <w:rsid w:val="009A279E"/>
    <w:rsid w:val="009B0A6F"/>
    <w:rsid w:val="009B0A94"/>
    <w:rsid w:val="009B59E9"/>
    <w:rsid w:val="009B70AA"/>
    <w:rsid w:val="009C76DE"/>
    <w:rsid w:val="009C7A7E"/>
    <w:rsid w:val="009D02E8"/>
    <w:rsid w:val="009D0AD4"/>
    <w:rsid w:val="009D51D0"/>
    <w:rsid w:val="009D70A4"/>
    <w:rsid w:val="009E07B6"/>
    <w:rsid w:val="009E08D1"/>
    <w:rsid w:val="009E1B95"/>
    <w:rsid w:val="009E1C8A"/>
    <w:rsid w:val="009E496F"/>
    <w:rsid w:val="009E4B0D"/>
    <w:rsid w:val="009E7F92"/>
    <w:rsid w:val="009F02A3"/>
    <w:rsid w:val="009F2F27"/>
    <w:rsid w:val="009F34AA"/>
    <w:rsid w:val="009F6BCB"/>
    <w:rsid w:val="009F7B78"/>
    <w:rsid w:val="00A00017"/>
    <w:rsid w:val="00A0057A"/>
    <w:rsid w:val="00A11421"/>
    <w:rsid w:val="00A130DB"/>
    <w:rsid w:val="00A157B1"/>
    <w:rsid w:val="00A218AD"/>
    <w:rsid w:val="00A22229"/>
    <w:rsid w:val="00A268D5"/>
    <w:rsid w:val="00A44882"/>
    <w:rsid w:val="00A502DA"/>
    <w:rsid w:val="00A54715"/>
    <w:rsid w:val="00A6061C"/>
    <w:rsid w:val="00A62D44"/>
    <w:rsid w:val="00A65118"/>
    <w:rsid w:val="00A67263"/>
    <w:rsid w:val="00A7161C"/>
    <w:rsid w:val="00A77AA3"/>
    <w:rsid w:val="00A854EB"/>
    <w:rsid w:val="00A872E5"/>
    <w:rsid w:val="00A877D1"/>
    <w:rsid w:val="00A91406"/>
    <w:rsid w:val="00A94C46"/>
    <w:rsid w:val="00A96E65"/>
    <w:rsid w:val="00A97C72"/>
    <w:rsid w:val="00AA46D4"/>
    <w:rsid w:val="00AA63D4"/>
    <w:rsid w:val="00AB06E8"/>
    <w:rsid w:val="00AB1CD3"/>
    <w:rsid w:val="00AB352F"/>
    <w:rsid w:val="00AB5C5D"/>
    <w:rsid w:val="00AC274B"/>
    <w:rsid w:val="00AC337A"/>
    <w:rsid w:val="00AC4764"/>
    <w:rsid w:val="00AC6D36"/>
    <w:rsid w:val="00AC7788"/>
    <w:rsid w:val="00AD0C97"/>
    <w:rsid w:val="00AD0CBA"/>
    <w:rsid w:val="00AD26E2"/>
    <w:rsid w:val="00AD6135"/>
    <w:rsid w:val="00AD784C"/>
    <w:rsid w:val="00AE126A"/>
    <w:rsid w:val="00AE3005"/>
    <w:rsid w:val="00AE3BD5"/>
    <w:rsid w:val="00AE59A0"/>
    <w:rsid w:val="00AE608A"/>
    <w:rsid w:val="00AF01D9"/>
    <w:rsid w:val="00AF0C57"/>
    <w:rsid w:val="00AF26F3"/>
    <w:rsid w:val="00AF5259"/>
    <w:rsid w:val="00AF5B50"/>
    <w:rsid w:val="00AF5E1F"/>
    <w:rsid w:val="00AF5F04"/>
    <w:rsid w:val="00B00672"/>
    <w:rsid w:val="00B01B4D"/>
    <w:rsid w:val="00B06571"/>
    <w:rsid w:val="00B068BA"/>
    <w:rsid w:val="00B13851"/>
    <w:rsid w:val="00B13B1C"/>
    <w:rsid w:val="00B15D0A"/>
    <w:rsid w:val="00B22291"/>
    <w:rsid w:val="00B2305F"/>
    <w:rsid w:val="00B23F9A"/>
    <w:rsid w:val="00B2417B"/>
    <w:rsid w:val="00B24E6F"/>
    <w:rsid w:val="00B26CB5"/>
    <w:rsid w:val="00B2752E"/>
    <w:rsid w:val="00B3005D"/>
    <w:rsid w:val="00B307CC"/>
    <w:rsid w:val="00B326B7"/>
    <w:rsid w:val="00B431E8"/>
    <w:rsid w:val="00B45141"/>
    <w:rsid w:val="00B5273A"/>
    <w:rsid w:val="00B56C85"/>
    <w:rsid w:val="00B628F3"/>
    <w:rsid w:val="00B62B50"/>
    <w:rsid w:val="00B635B7"/>
    <w:rsid w:val="00B63AE8"/>
    <w:rsid w:val="00B65950"/>
    <w:rsid w:val="00B66D83"/>
    <w:rsid w:val="00B672C0"/>
    <w:rsid w:val="00B75646"/>
    <w:rsid w:val="00B8387E"/>
    <w:rsid w:val="00B90198"/>
    <w:rsid w:val="00B90729"/>
    <w:rsid w:val="00B907DA"/>
    <w:rsid w:val="00B950BC"/>
    <w:rsid w:val="00B9714C"/>
    <w:rsid w:val="00BA212E"/>
    <w:rsid w:val="00BA3F8D"/>
    <w:rsid w:val="00BA5592"/>
    <w:rsid w:val="00BB7A10"/>
    <w:rsid w:val="00BC7468"/>
    <w:rsid w:val="00BC7D4F"/>
    <w:rsid w:val="00BC7ED7"/>
    <w:rsid w:val="00BD2850"/>
    <w:rsid w:val="00BE1D2F"/>
    <w:rsid w:val="00BE28D2"/>
    <w:rsid w:val="00BE2AA0"/>
    <w:rsid w:val="00BE4A64"/>
    <w:rsid w:val="00BE6503"/>
    <w:rsid w:val="00BF7F58"/>
    <w:rsid w:val="00C01381"/>
    <w:rsid w:val="00C01F25"/>
    <w:rsid w:val="00C079B8"/>
    <w:rsid w:val="00C123EA"/>
    <w:rsid w:val="00C12A49"/>
    <w:rsid w:val="00C133EE"/>
    <w:rsid w:val="00C2349C"/>
    <w:rsid w:val="00C27BAD"/>
    <w:rsid w:val="00C27DE9"/>
    <w:rsid w:val="00C33388"/>
    <w:rsid w:val="00C35484"/>
    <w:rsid w:val="00C37A8E"/>
    <w:rsid w:val="00C37DA4"/>
    <w:rsid w:val="00C4173A"/>
    <w:rsid w:val="00C44EC4"/>
    <w:rsid w:val="00C57BAA"/>
    <w:rsid w:val="00C602FF"/>
    <w:rsid w:val="00C61174"/>
    <w:rsid w:val="00C6148F"/>
    <w:rsid w:val="00C62F54"/>
    <w:rsid w:val="00C62F7A"/>
    <w:rsid w:val="00C63B9C"/>
    <w:rsid w:val="00C6682F"/>
    <w:rsid w:val="00C7275E"/>
    <w:rsid w:val="00C74C5D"/>
    <w:rsid w:val="00C77A7D"/>
    <w:rsid w:val="00C845A3"/>
    <w:rsid w:val="00C863C4"/>
    <w:rsid w:val="00C86931"/>
    <w:rsid w:val="00C93C3E"/>
    <w:rsid w:val="00CA12E3"/>
    <w:rsid w:val="00CA6611"/>
    <w:rsid w:val="00CA6AE6"/>
    <w:rsid w:val="00CA782F"/>
    <w:rsid w:val="00CB7BA0"/>
    <w:rsid w:val="00CC0C72"/>
    <w:rsid w:val="00CC2BFD"/>
    <w:rsid w:val="00CC58B8"/>
    <w:rsid w:val="00CC5C2C"/>
    <w:rsid w:val="00CD3476"/>
    <w:rsid w:val="00CD64DF"/>
    <w:rsid w:val="00CF2F50"/>
    <w:rsid w:val="00D0269B"/>
    <w:rsid w:val="00D02919"/>
    <w:rsid w:val="00D04C61"/>
    <w:rsid w:val="00D05B8D"/>
    <w:rsid w:val="00D065A2"/>
    <w:rsid w:val="00D06A43"/>
    <w:rsid w:val="00D07F00"/>
    <w:rsid w:val="00D17B72"/>
    <w:rsid w:val="00D26BDB"/>
    <w:rsid w:val="00D3185C"/>
    <w:rsid w:val="00D31CF4"/>
    <w:rsid w:val="00D33E72"/>
    <w:rsid w:val="00D35BD6"/>
    <w:rsid w:val="00D361B5"/>
    <w:rsid w:val="00D37C21"/>
    <w:rsid w:val="00D411A2"/>
    <w:rsid w:val="00D434FB"/>
    <w:rsid w:val="00D4606D"/>
    <w:rsid w:val="00D47008"/>
    <w:rsid w:val="00D50B9C"/>
    <w:rsid w:val="00D52D73"/>
    <w:rsid w:val="00D52E58"/>
    <w:rsid w:val="00D607A6"/>
    <w:rsid w:val="00D63A4F"/>
    <w:rsid w:val="00D649A0"/>
    <w:rsid w:val="00D714CC"/>
    <w:rsid w:val="00D75EA7"/>
    <w:rsid w:val="00D774B8"/>
    <w:rsid w:val="00D81F21"/>
    <w:rsid w:val="00D85AC1"/>
    <w:rsid w:val="00D85BD4"/>
    <w:rsid w:val="00D95470"/>
    <w:rsid w:val="00DA2619"/>
    <w:rsid w:val="00DA4239"/>
    <w:rsid w:val="00DA6F21"/>
    <w:rsid w:val="00DB0B61"/>
    <w:rsid w:val="00DB68F3"/>
    <w:rsid w:val="00DC090B"/>
    <w:rsid w:val="00DC1679"/>
    <w:rsid w:val="00DC2CF1"/>
    <w:rsid w:val="00DC49F9"/>
    <w:rsid w:val="00DC4FCF"/>
    <w:rsid w:val="00DC50E0"/>
    <w:rsid w:val="00DC6386"/>
    <w:rsid w:val="00DC6866"/>
    <w:rsid w:val="00DD1130"/>
    <w:rsid w:val="00DD1951"/>
    <w:rsid w:val="00DD32B1"/>
    <w:rsid w:val="00DD6628"/>
    <w:rsid w:val="00DE3250"/>
    <w:rsid w:val="00DE35C9"/>
    <w:rsid w:val="00DE6028"/>
    <w:rsid w:val="00DE78A3"/>
    <w:rsid w:val="00DF1A71"/>
    <w:rsid w:val="00DF68C7"/>
    <w:rsid w:val="00DF731A"/>
    <w:rsid w:val="00E02CBC"/>
    <w:rsid w:val="00E15D97"/>
    <w:rsid w:val="00E170DC"/>
    <w:rsid w:val="00E22799"/>
    <w:rsid w:val="00E24CC0"/>
    <w:rsid w:val="00E26818"/>
    <w:rsid w:val="00E27173"/>
    <w:rsid w:val="00E27FFC"/>
    <w:rsid w:val="00E30B15"/>
    <w:rsid w:val="00E3492E"/>
    <w:rsid w:val="00E40181"/>
    <w:rsid w:val="00E56A01"/>
    <w:rsid w:val="00E629A1"/>
    <w:rsid w:val="00E71591"/>
    <w:rsid w:val="00E75BDB"/>
    <w:rsid w:val="00E82C55"/>
    <w:rsid w:val="00E86282"/>
    <w:rsid w:val="00E92AC3"/>
    <w:rsid w:val="00EB00E0"/>
    <w:rsid w:val="00EB1B4B"/>
    <w:rsid w:val="00EC059F"/>
    <w:rsid w:val="00EC1F24"/>
    <w:rsid w:val="00EC22F6"/>
    <w:rsid w:val="00ED5B9B"/>
    <w:rsid w:val="00ED6BAD"/>
    <w:rsid w:val="00ED7447"/>
    <w:rsid w:val="00EE1488"/>
    <w:rsid w:val="00EE4D5D"/>
    <w:rsid w:val="00EE5131"/>
    <w:rsid w:val="00EF109B"/>
    <w:rsid w:val="00EF332B"/>
    <w:rsid w:val="00EF36AF"/>
    <w:rsid w:val="00F00CC1"/>
    <w:rsid w:val="00F00F9C"/>
    <w:rsid w:val="00F01E5F"/>
    <w:rsid w:val="00F02ABA"/>
    <w:rsid w:val="00F0437A"/>
    <w:rsid w:val="00F11037"/>
    <w:rsid w:val="00F14B51"/>
    <w:rsid w:val="00F1579E"/>
    <w:rsid w:val="00F16F1B"/>
    <w:rsid w:val="00F250A9"/>
    <w:rsid w:val="00F30FF4"/>
    <w:rsid w:val="00F3122E"/>
    <w:rsid w:val="00F331AD"/>
    <w:rsid w:val="00F35287"/>
    <w:rsid w:val="00F35909"/>
    <w:rsid w:val="00F36D18"/>
    <w:rsid w:val="00F37BCE"/>
    <w:rsid w:val="00F43A37"/>
    <w:rsid w:val="00F4641B"/>
    <w:rsid w:val="00F46E7C"/>
    <w:rsid w:val="00F46EB8"/>
    <w:rsid w:val="00F511E4"/>
    <w:rsid w:val="00F52D09"/>
    <w:rsid w:val="00F52E08"/>
    <w:rsid w:val="00F53B32"/>
    <w:rsid w:val="00F55B21"/>
    <w:rsid w:val="00F56EF6"/>
    <w:rsid w:val="00F61A9F"/>
    <w:rsid w:val="00F62082"/>
    <w:rsid w:val="00F64696"/>
    <w:rsid w:val="00F65AA9"/>
    <w:rsid w:val="00F6768F"/>
    <w:rsid w:val="00F72C2C"/>
    <w:rsid w:val="00F73F6A"/>
    <w:rsid w:val="00F76CAB"/>
    <w:rsid w:val="00F772C6"/>
    <w:rsid w:val="00F815B5"/>
    <w:rsid w:val="00F85195"/>
    <w:rsid w:val="00F938BA"/>
    <w:rsid w:val="00FA2C46"/>
    <w:rsid w:val="00FA3525"/>
    <w:rsid w:val="00FB2ADE"/>
    <w:rsid w:val="00FB4CDA"/>
    <w:rsid w:val="00FB7595"/>
    <w:rsid w:val="00FC0F81"/>
    <w:rsid w:val="00FC1943"/>
    <w:rsid w:val="00FC395C"/>
    <w:rsid w:val="00FD3766"/>
    <w:rsid w:val="00FD3DDD"/>
    <w:rsid w:val="00FD47C4"/>
    <w:rsid w:val="00FE2DCF"/>
    <w:rsid w:val="00FF024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B5ACEFD"/>
  <w15:chartTrackingRefBased/>
  <w15:docId w15:val="{53229E5C-469C-46B7-BC55-9C4A4BF2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F62082"/>
    <w:rPr>
      <w:rFonts w:ascii="Calibri" w:eastAsiaTheme="minorHAnsi" w:hAnsi="Calibri" w:cs="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1053D"/>
    <w:pPr>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1053D"/>
    <w:pPr>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1053D"/>
    <w:pPr>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1053D"/>
    <w:pPr>
      <w:ind w:left="1600"/>
    </w:pPr>
    <w:rPr>
      <w:rFonts w:ascii="Cambria" w:eastAsia="Times New Roman" w:hAnsi="Cambria" w:cs="Times New Roman"/>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eastAsia="Times New Roman" w:hAnsi="Calibri Light" w:cs="Times New Roman"/>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D26BDB"/>
    <w:rPr>
      <w:color w:val="605E5C"/>
      <w:shd w:val="clear" w:color="auto" w:fill="E1DFDD"/>
    </w:rPr>
  </w:style>
  <w:style w:type="paragraph" w:styleId="ListParagraph">
    <w:name w:val="List Paragraph"/>
    <w:basedOn w:val="Normal"/>
    <w:uiPriority w:val="72"/>
    <w:semiHidden/>
    <w:qFormat/>
    <w:rsid w:val="00405E26"/>
    <w:pPr>
      <w:ind w:left="720"/>
      <w:contextualSpacing/>
    </w:pPr>
  </w:style>
  <w:style w:type="paragraph" w:styleId="BalloonText">
    <w:name w:val="Balloon Text"/>
    <w:basedOn w:val="Normal"/>
    <w:link w:val="BalloonTextChar"/>
    <w:uiPriority w:val="99"/>
    <w:semiHidden/>
    <w:unhideWhenUsed/>
    <w:rsid w:val="00654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5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7343">
      <w:bodyDiv w:val="1"/>
      <w:marLeft w:val="0"/>
      <w:marRight w:val="0"/>
      <w:marTop w:val="0"/>
      <w:marBottom w:val="0"/>
      <w:divBdr>
        <w:top w:val="none" w:sz="0" w:space="0" w:color="auto"/>
        <w:left w:val="none" w:sz="0" w:space="0" w:color="auto"/>
        <w:bottom w:val="none" w:sz="0" w:space="0" w:color="auto"/>
        <w:right w:val="none" w:sz="0" w:space="0" w:color="auto"/>
      </w:divBdr>
    </w:div>
    <w:div w:id="591090118">
      <w:bodyDiv w:val="1"/>
      <w:marLeft w:val="0"/>
      <w:marRight w:val="0"/>
      <w:marTop w:val="0"/>
      <w:marBottom w:val="0"/>
      <w:divBdr>
        <w:top w:val="none" w:sz="0" w:space="0" w:color="auto"/>
        <w:left w:val="none" w:sz="0" w:space="0" w:color="auto"/>
        <w:bottom w:val="none" w:sz="0" w:space="0" w:color="auto"/>
        <w:right w:val="none" w:sz="0" w:space="0" w:color="auto"/>
      </w:divBdr>
    </w:div>
    <w:div w:id="993727178">
      <w:bodyDiv w:val="1"/>
      <w:marLeft w:val="0"/>
      <w:marRight w:val="0"/>
      <w:marTop w:val="0"/>
      <w:marBottom w:val="0"/>
      <w:divBdr>
        <w:top w:val="none" w:sz="0" w:space="0" w:color="auto"/>
        <w:left w:val="none" w:sz="0" w:space="0" w:color="auto"/>
        <w:bottom w:val="none" w:sz="0" w:space="0" w:color="auto"/>
        <w:right w:val="none" w:sz="0" w:space="0" w:color="auto"/>
      </w:divBdr>
    </w:div>
    <w:div w:id="107728244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1664352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615265">
      <w:bodyDiv w:val="1"/>
      <w:marLeft w:val="0"/>
      <w:marRight w:val="0"/>
      <w:marTop w:val="0"/>
      <w:marBottom w:val="0"/>
      <w:divBdr>
        <w:top w:val="none" w:sz="0" w:space="0" w:color="auto"/>
        <w:left w:val="none" w:sz="0" w:space="0" w:color="auto"/>
        <w:bottom w:val="none" w:sz="0" w:space="0" w:color="auto"/>
        <w:right w:val="none" w:sz="0" w:space="0" w:color="auto"/>
      </w:divBdr>
    </w:div>
    <w:div w:id="1697266675">
      <w:bodyDiv w:val="1"/>
      <w:marLeft w:val="0"/>
      <w:marRight w:val="0"/>
      <w:marTop w:val="0"/>
      <w:marBottom w:val="0"/>
      <w:divBdr>
        <w:top w:val="none" w:sz="0" w:space="0" w:color="auto"/>
        <w:left w:val="none" w:sz="0" w:space="0" w:color="auto"/>
        <w:bottom w:val="none" w:sz="0" w:space="0" w:color="auto"/>
        <w:right w:val="none" w:sz="0" w:space="0" w:color="auto"/>
      </w:divBdr>
    </w:div>
    <w:div w:id="1818453154">
      <w:bodyDiv w:val="1"/>
      <w:marLeft w:val="0"/>
      <w:marRight w:val="0"/>
      <w:marTop w:val="0"/>
      <w:marBottom w:val="0"/>
      <w:divBdr>
        <w:top w:val="none" w:sz="0" w:space="0" w:color="auto"/>
        <w:left w:val="none" w:sz="0" w:space="0" w:color="auto"/>
        <w:bottom w:val="none" w:sz="0" w:space="0" w:color="auto"/>
        <w:right w:val="none" w:sz="0" w:space="0" w:color="auto"/>
      </w:divBdr>
    </w:div>
    <w:div w:id="185213973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ADC_data@dhhs.vic.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hospitals-and-health-services/data-reporting/health-data-standards-systems/reference-fi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data-reporting/health-data-standards-systems/reference-files" TargetMode="External"/><Relationship Id="rId5" Type="http://schemas.openxmlformats.org/officeDocument/2006/relationships/footnotes" Target="footnotes.xml"/><Relationship Id="rId15" Type="http://schemas.openxmlformats.org/officeDocument/2006/relationships/hyperlink" Target="https://www2.health.vic.gov.au/about/publications/policiesandguidelines/vadc-data-specification" TargetMode="External"/><Relationship Id="rId10" Type="http://schemas.openxmlformats.org/officeDocument/2006/relationships/hyperlink" Target="mailto:VADC_data@dhhs.vic.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DC_data@dhhs.vic.gov.au" TargetMode="External"/><Relationship Id="rId14" Type="http://schemas.openxmlformats.org/officeDocument/2006/relationships/hyperlink" Target="mailto:vadc_data@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DHHS Factsheet 01 Navy 2765.dot</Template>
  <TotalTime>105</TotalTime>
  <Pages>4</Pages>
  <Words>1373</Words>
  <Characters>9002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VADC 1819  Bulletin - edition 7</vt:lpstr>
    </vt:vector>
  </TitlesOfParts>
  <Company>Department of Health and Human Services</Company>
  <LinksUpToDate>false</LinksUpToDate>
  <CharactersWithSpaces>10355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1819  Bulletin - edition 7</dc:title>
  <dc:subject>VADC 1819 Bulletin - edition 7</dc:subject>
  <dc:creator>Mental Health and Drugs Data </dc:creator>
  <cp:keywords>VADC, Bulletin</cp:keywords>
  <cp:lastModifiedBy>Sarah Luscombe (DHHS)</cp:lastModifiedBy>
  <cp:revision>30</cp:revision>
  <cp:lastPrinted>2019-05-13T05:00:00Z</cp:lastPrinted>
  <dcterms:created xsi:type="dcterms:W3CDTF">2019-05-12T20:47:00Z</dcterms:created>
  <dcterms:modified xsi:type="dcterms:W3CDTF">2019-08-12T03:17:00Z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