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63C6A" w14:textId="77777777" w:rsidR="0074696E" w:rsidRPr="00415E1F" w:rsidRDefault="00B628F3" w:rsidP="00AD784C">
      <w:pPr>
        <w:pStyle w:val="Spacerparatopoffirstpage"/>
      </w:pPr>
      <w:r w:rsidRPr="00415E1F">
        <w:drawing>
          <wp:anchor distT="0" distB="0" distL="114300" distR="114300" simplePos="0" relativeHeight="251657728" behindDoc="1" locked="1" layoutInCell="0" allowOverlap="1" wp14:anchorId="54CA8034" wp14:editId="77A528E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3485" cy="2072640"/>
            <wp:effectExtent l="0" t="0" r="0" b="0"/>
            <wp:wrapNone/>
            <wp:docPr id="29" name="Picture 29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ecorativ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68632F" w14:textId="77777777" w:rsidR="00A62D44" w:rsidRPr="00415E1F" w:rsidRDefault="00A62D44" w:rsidP="004C6EEE">
      <w:pPr>
        <w:pStyle w:val="Sectionbreakfirstpage"/>
        <w:sectPr w:rsidR="00A62D44" w:rsidRPr="00415E1F" w:rsidSect="00AD784C">
          <w:headerReference w:type="default" r:id="rId8"/>
          <w:footerReference w:type="default" r:id="rId9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72"/>
      </w:tblGrid>
      <w:tr w:rsidR="00AD784C" w:rsidRPr="00415E1F" w14:paraId="768B25FB" w14:textId="77777777" w:rsidTr="00B628F3">
        <w:trPr>
          <w:trHeight w:val="1247"/>
        </w:trPr>
        <w:tc>
          <w:tcPr>
            <w:tcW w:w="8472" w:type="dxa"/>
            <w:shd w:val="clear" w:color="auto" w:fill="auto"/>
            <w:vAlign w:val="bottom"/>
          </w:tcPr>
          <w:p w14:paraId="2EB1D027" w14:textId="77777777" w:rsidR="00AD784C" w:rsidRPr="00415E1F" w:rsidRDefault="00B628F3" w:rsidP="00A91406">
            <w:pPr>
              <w:pStyle w:val="DHHSmainheading"/>
            </w:pPr>
            <w:r w:rsidRPr="00415E1F">
              <w:t>Victorian Alcohol and Drug Collection VADC Bulletin</w:t>
            </w:r>
          </w:p>
        </w:tc>
      </w:tr>
      <w:tr w:rsidR="00AD784C" w:rsidRPr="00415E1F" w14:paraId="67862756" w14:textId="77777777" w:rsidTr="00B628F3">
        <w:trPr>
          <w:trHeight w:hRule="exact" w:val="1162"/>
        </w:trPr>
        <w:tc>
          <w:tcPr>
            <w:tcW w:w="8472" w:type="dxa"/>
            <w:shd w:val="clear" w:color="auto" w:fill="auto"/>
            <w:tcMar>
              <w:top w:w="170" w:type="dxa"/>
              <w:bottom w:w="510" w:type="dxa"/>
            </w:tcMar>
          </w:tcPr>
          <w:p w14:paraId="533D08C4" w14:textId="15FB8C6E" w:rsidR="00357B4E" w:rsidRPr="00415E1F" w:rsidRDefault="00B628F3" w:rsidP="00357B4E">
            <w:pPr>
              <w:pStyle w:val="DHHSmainsubheading"/>
              <w:rPr>
                <w:szCs w:val="28"/>
              </w:rPr>
            </w:pPr>
            <w:r w:rsidRPr="00415E1F">
              <w:rPr>
                <w:szCs w:val="28"/>
              </w:rPr>
              <w:t xml:space="preserve">Edition </w:t>
            </w:r>
            <w:r w:rsidR="00BB30C8" w:rsidRPr="00415E1F">
              <w:rPr>
                <w:szCs w:val="28"/>
              </w:rPr>
              <w:t>8</w:t>
            </w:r>
            <w:r w:rsidRPr="00415E1F">
              <w:rPr>
                <w:szCs w:val="28"/>
              </w:rPr>
              <w:t xml:space="preserve">: </w:t>
            </w:r>
            <w:r w:rsidR="00C27BAD" w:rsidRPr="00415E1F">
              <w:rPr>
                <w:szCs w:val="28"/>
              </w:rPr>
              <w:t xml:space="preserve"> </w:t>
            </w:r>
            <w:r w:rsidR="00BB30C8" w:rsidRPr="00415E1F">
              <w:rPr>
                <w:szCs w:val="28"/>
              </w:rPr>
              <w:t>2</w:t>
            </w:r>
            <w:r w:rsidR="00A9083A">
              <w:rPr>
                <w:szCs w:val="28"/>
              </w:rPr>
              <w:t>6</w:t>
            </w:r>
            <w:r w:rsidR="00BB30C8" w:rsidRPr="00415E1F">
              <w:rPr>
                <w:szCs w:val="28"/>
              </w:rPr>
              <w:t xml:space="preserve"> June</w:t>
            </w:r>
            <w:r w:rsidRPr="00415E1F">
              <w:rPr>
                <w:szCs w:val="28"/>
              </w:rPr>
              <w:t xml:space="preserve"> 2019</w:t>
            </w:r>
          </w:p>
        </w:tc>
      </w:tr>
    </w:tbl>
    <w:p w14:paraId="106C0DDC" w14:textId="241D4789" w:rsidR="0044050E" w:rsidRDefault="0044050E" w:rsidP="0044050E">
      <w:pPr>
        <w:pStyle w:val="DHHSbody"/>
        <w:rPr>
          <w:b/>
        </w:rPr>
      </w:pPr>
      <w:r w:rsidRPr="00415E1F">
        <w:rPr>
          <w:b/>
        </w:rPr>
        <w:t>VADC Bulletins must be read in conjunction with the VADC Data Specification.</w:t>
      </w:r>
    </w:p>
    <w:p w14:paraId="07899C09" w14:textId="57E79CA8" w:rsidR="00135AC2" w:rsidRDefault="00AD784C" w:rsidP="0001093C">
      <w:pPr>
        <w:pStyle w:val="DHHSTOCheadingfactsheet"/>
        <w:spacing w:before="240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 w:rsidRPr="00415E1F">
        <w:t>Contents</w:t>
      </w:r>
      <w:r w:rsidRPr="00415E1F">
        <w:rPr>
          <w:noProof/>
          <w:color w:val="auto"/>
          <w:sz w:val="20"/>
          <w:szCs w:val="20"/>
        </w:rPr>
        <w:fldChar w:fldCharType="begin"/>
      </w:r>
      <w:r w:rsidRPr="00415E1F">
        <w:instrText xml:space="preserve"> TOC \h \z \t "Heading 1,1,Heading 2,2" </w:instrText>
      </w:r>
      <w:r w:rsidRPr="00415E1F">
        <w:rPr>
          <w:noProof/>
          <w:color w:val="auto"/>
          <w:sz w:val="20"/>
          <w:szCs w:val="20"/>
        </w:rPr>
        <w:fldChar w:fldCharType="separate"/>
      </w:r>
    </w:p>
    <w:p w14:paraId="4533BCA4" w14:textId="7FF3D4CB" w:rsidR="00135AC2" w:rsidRDefault="00B01FF0">
      <w:pPr>
        <w:pStyle w:val="TOC1"/>
        <w:tabs>
          <w:tab w:val="left" w:pos="567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2463475" w:history="1">
        <w:r w:rsidR="00135AC2" w:rsidRPr="0008477D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135AC2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135AC2" w:rsidRPr="0008477D">
          <w:rPr>
            <w:rStyle w:val="Hyperlink"/>
          </w:rPr>
          <w:t>Transition changes from 1 July 2019</w:t>
        </w:r>
        <w:r w:rsidR="00135AC2">
          <w:rPr>
            <w:webHidden/>
          </w:rPr>
          <w:tab/>
        </w:r>
        <w:r w:rsidR="00135AC2">
          <w:rPr>
            <w:webHidden/>
          </w:rPr>
          <w:fldChar w:fldCharType="begin"/>
        </w:r>
        <w:r w:rsidR="00135AC2">
          <w:rPr>
            <w:webHidden/>
          </w:rPr>
          <w:instrText xml:space="preserve"> PAGEREF _Toc12463475 \h </w:instrText>
        </w:r>
        <w:r w:rsidR="00135AC2">
          <w:rPr>
            <w:webHidden/>
          </w:rPr>
        </w:r>
        <w:r w:rsidR="00135AC2">
          <w:rPr>
            <w:webHidden/>
          </w:rPr>
          <w:fldChar w:fldCharType="separate"/>
        </w:r>
        <w:r w:rsidR="00DA5046">
          <w:rPr>
            <w:webHidden/>
          </w:rPr>
          <w:t>1</w:t>
        </w:r>
        <w:r w:rsidR="00135AC2">
          <w:rPr>
            <w:webHidden/>
          </w:rPr>
          <w:fldChar w:fldCharType="end"/>
        </w:r>
      </w:hyperlink>
    </w:p>
    <w:p w14:paraId="6CD8C255" w14:textId="5F99B365" w:rsidR="00135AC2" w:rsidRDefault="00B01FF0">
      <w:pPr>
        <w:pStyle w:val="TOC1"/>
        <w:tabs>
          <w:tab w:val="left" w:pos="567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2463476" w:history="1">
        <w:r w:rsidR="00135AC2" w:rsidRPr="0008477D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 w:rsidR="00135AC2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135AC2" w:rsidRPr="0008477D">
          <w:rPr>
            <w:rStyle w:val="Hyperlink"/>
          </w:rPr>
          <w:t>Managed File Transfer (MFT) server update</w:t>
        </w:r>
        <w:r w:rsidR="00135AC2">
          <w:rPr>
            <w:webHidden/>
          </w:rPr>
          <w:tab/>
        </w:r>
        <w:r w:rsidR="00135AC2">
          <w:rPr>
            <w:webHidden/>
          </w:rPr>
          <w:fldChar w:fldCharType="begin"/>
        </w:r>
        <w:r w:rsidR="00135AC2">
          <w:rPr>
            <w:webHidden/>
          </w:rPr>
          <w:instrText xml:space="preserve"> PAGEREF _Toc12463476 \h </w:instrText>
        </w:r>
        <w:r w:rsidR="00135AC2">
          <w:rPr>
            <w:webHidden/>
          </w:rPr>
        </w:r>
        <w:r w:rsidR="00135AC2">
          <w:rPr>
            <w:webHidden/>
          </w:rPr>
          <w:fldChar w:fldCharType="separate"/>
        </w:r>
        <w:r w:rsidR="00DA5046">
          <w:rPr>
            <w:webHidden/>
          </w:rPr>
          <w:t>2</w:t>
        </w:r>
        <w:r w:rsidR="00135AC2">
          <w:rPr>
            <w:webHidden/>
          </w:rPr>
          <w:fldChar w:fldCharType="end"/>
        </w:r>
      </w:hyperlink>
    </w:p>
    <w:p w14:paraId="52A42027" w14:textId="3414CCB9" w:rsidR="00135AC2" w:rsidRDefault="00B01FF0">
      <w:pPr>
        <w:pStyle w:val="TOC1"/>
        <w:tabs>
          <w:tab w:val="left" w:pos="567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2463477" w:history="1">
        <w:r w:rsidR="00135AC2" w:rsidRPr="0008477D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</w:t>
        </w:r>
        <w:r w:rsidR="00135AC2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135AC2" w:rsidRPr="0008477D">
          <w:rPr>
            <w:rStyle w:val="Hyperlink"/>
          </w:rPr>
          <w:t>Data submission deadline extension 2018-19</w:t>
        </w:r>
        <w:r w:rsidR="00135AC2">
          <w:rPr>
            <w:webHidden/>
          </w:rPr>
          <w:tab/>
        </w:r>
        <w:r w:rsidR="00135AC2">
          <w:rPr>
            <w:webHidden/>
          </w:rPr>
          <w:fldChar w:fldCharType="begin"/>
        </w:r>
        <w:r w:rsidR="00135AC2">
          <w:rPr>
            <w:webHidden/>
          </w:rPr>
          <w:instrText xml:space="preserve"> PAGEREF _Toc12463477 \h </w:instrText>
        </w:r>
        <w:r w:rsidR="00135AC2">
          <w:rPr>
            <w:webHidden/>
          </w:rPr>
        </w:r>
        <w:r w:rsidR="00135AC2">
          <w:rPr>
            <w:webHidden/>
          </w:rPr>
          <w:fldChar w:fldCharType="separate"/>
        </w:r>
        <w:r w:rsidR="00DA5046">
          <w:rPr>
            <w:webHidden/>
          </w:rPr>
          <w:t>2</w:t>
        </w:r>
        <w:r w:rsidR="00135AC2">
          <w:rPr>
            <w:webHidden/>
          </w:rPr>
          <w:fldChar w:fldCharType="end"/>
        </w:r>
      </w:hyperlink>
    </w:p>
    <w:p w14:paraId="7D7259F2" w14:textId="6F46AB48" w:rsidR="00135AC2" w:rsidRDefault="00B01FF0">
      <w:pPr>
        <w:pStyle w:val="TOC1"/>
        <w:tabs>
          <w:tab w:val="left" w:pos="567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2463478" w:history="1">
        <w:r w:rsidR="00135AC2" w:rsidRPr="0008477D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</w:t>
        </w:r>
        <w:r w:rsidR="00135AC2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135AC2" w:rsidRPr="0008477D">
          <w:rPr>
            <w:rStyle w:val="Hyperlink"/>
          </w:rPr>
          <w:t>Data submission deadline extension 2019-20</w:t>
        </w:r>
        <w:r w:rsidR="00135AC2">
          <w:rPr>
            <w:webHidden/>
          </w:rPr>
          <w:tab/>
        </w:r>
        <w:r w:rsidR="00135AC2">
          <w:rPr>
            <w:webHidden/>
          </w:rPr>
          <w:fldChar w:fldCharType="begin"/>
        </w:r>
        <w:r w:rsidR="00135AC2">
          <w:rPr>
            <w:webHidden/>
          </w:rPr>
          <w:instrText xml:space="preserve"> PAGEREF _Toc12463478 \h </w:instrText>
        </w:r>
        <w:r w:rsidR="00135AC2">
          <w:rPr>
            <w:webHidden/>
          </w:rPr>
        </w:r>
        <w:r w:rsidR="00135AC2">
          <w:rPr>
            <w:webHidden/>
          </w:rPr>
          <w:fldChar w:fldCharType="separate"/>
        </w:r>
        <w:r w:rsidR="00DA5046">
          <w:rPr>
            <w:webHidden/>
          </w:rPr>
          <w:t>2</w:t>
        </w:r>
        <w:r w:rsidR="00135AC2">
          <w:rPr>
            <w:webHidden/>
          </w:rPr>
          <w:fldChar w:fldCharType="end"/>
        </w:r>
      </w:hyperlink>
    </w:p>
    <w:p w14:paraId="26F19AB1" w14:textId="19486DD3" w:rsidR="00135AC2" w:rsidRDefault="00B01FF0">
      <w:pPr>
        <w:pStyle w:val="TOC1"/>
        <w:tabs>
          <w:tab w:val="left" w:pos="567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2463479" w:history="1">
        <w:r w:rsidR="00135AC2" w:rsidRPr="0008477D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</w:t>
        </w:r>
        <w:r w:rsidR="00135AC2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135AC2" w:rsidRPr="0008477D">
          <w:rPr>
            <w:rStyle w:val="Hyperlink"/>
          </w:rPr>
          <w:t>Corrections to the VADC Data Specification 2019-20</w:t>
        </w:r>
        <w:r w:rsidR="00135AC2">
          <w:rPr>
            <w:webHidden/>
          </w:rPr>
          <w:tab/>
        </w:r>
        <w:r w:rsidR="00135AC2">
          <w:rPr>
            <w:webHidden/>
          </w:rPr>
          <w:fldChar w:fldCharType="begin"/>
        </w:r>
        <w:r w:rsidR="00135AC2">
          <w:rPr>
            <w:webHidden/>
          </w:rPr>
          <w:instrText xml:space="preserve"> PAGEREF _Toc12463479 \h </w:instrText>
        </w:r>
        <w:r w:rsidR="00135AC2">
          <w:rPr>
            <w:webHidden/>
          </w:rPr>
        </w:r>
        <w:r w:rsidR="00135AC2">
          <w:rPr>
            <w:webHidden/>
          </w:rPr>
          <w:fldChar w:fldCharType="separate"/>
        </w:r>
        <w:r w:rsidR="00DA5046">
          <w:rPr>
            <w:webHidden/>
          </w:rPr>
          <w:t>2</w:t>
        </w:r>
        <w:r w:rsidR="00135AC2">
          <w:rPr>
            <w:webHidden/>
          </w:rPr>
          <w:fldChar w:fldCharType="end"/>
        </w:r>
      </w:hyperlink>
    </w:p>
    <w:p w14:paraId="1DC842DB" w14:textId="374E98E4" w:rsidR="00135AC2" w:rsidRDefault="00B01FF0">
      <w:pPr>
        <w:pStyle w:val="TOC1"/>
        <w:tabs>
          <w:tab w:val="left" w:pos="567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2463480" w:history="1">
        <w:r w:rsidR="00135AC2" w:rsidRPr="0008477D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</w:t>
        </w:r>
        <w:r w:rsidR="00135AC2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135AC2" w:rsidRPr="0008477D">
          <w:rPr>
            <w:rStyle w:val="Hyperlink"/>
          </w:rPr>
          <w:t>Testing extracts for 2019-20 data</w:t>
        </w:r>
        <w:r w:rsidR="00135AC2">
          <w:rPr>
            <w:webHidden/>
          </w:rPr>
          <w:tab/>
        </w:r>
        <w:r w:rsidR="00135AC2">
          <w:rPr>
            <w:webHidden/>
          </w:rPr>
          <w:fldChar w:fldCharType="begin"/>
        </w:r>
        <w:r w:rsidR="00135AC2">
          <w:rPr>
            <w:webHidden/>
          </w:rPr>
          <w:instrText xml:space="preserve"> PAGEREF _Toc12463480 \h </w:instrText>
        </w:r>
        <w:r w:rsidR="00135AC2">
          <w:rPr>
            <w:webHidden/>
          </w:rPr>
        </w:r>
        <w:r w:rsidR="00135AC2">
          <w:rPr>
            <w:webHidden/>
          </w:rPr>
          <w:fldChar w:fldCharType="separate"/>
        </w:r>
        <w:r w:rsidR="00DA5046">
          <w:rPr>
            <w:webHidden/>
          </w:rPr>
          <w:t>4</w:t>
        </w:r>
        <w:r w:rsidR="00135AC2">
          <w:rPr>
            <w:webHidden/>
          </w:rPr>
          <w:fldChar w:fldCharType="end"/>
        </w:r>
      </w:hyperlink>
    </w:p>
    <w:p w14:paraId="26B99B22" w14:textId="4CACCCBD" w:rsidR="00135AC2" w:rsidRDefault="00B01FF0">
      <w:pPr>
        <w:pStyle w:val="TOC1"/>
        <w:tabs>
          <w:tab w:val="left" w:pos="567"/>
        </w:tabs>
      </w:pPr>
      <w:hyperlink w:anchor="_Toc12463481" w:history="1">
        <w:r w:rsidR="00135AC2" w:rsidRPr="0008477D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7.</w:t>
        </w:r>
        <w:r w:rsidR="00135AC2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135AC2" w:rsidRPr="0008477D">
          <w:rPr>
            <w:rStyle w:val="Hyperlink"/>
          </w:rPr>
          <w:t>Contact details</w:t>
        </w:r>
        <w:r w:rsidR="00135AC2">
          <w:rPr>
            <w:webHidden/>
          </w:rPr>
          <w:tab/>
        </w:r>
        <w:r w:rsidR="00135AC2">
          <w:rPr>
            <w:webHidden/>
          </w:rPr>
          <w:fldChar w:fldCharType="begin"/>
        </w:r>
        <w:r w:rsidR="00135AC2">
          <w:rPr>
            <w:webHidden/>
          </w:rPr>
          <w:instrText xml:space="preserve"> PAGEREF _Toc12463481 \h </w:instrText>
        </w:r>
        <w:r w:rsidR="00135AC2">
          <w:rPr>
            <w:webHidden/>
          </w:rPr>
        </w:r>
        <w:r w:rsidR="00135AC2">
          <w:rPr>
            <w:webHidden/>
          </w:rPr>
          <w:fldChar w:fldCharType="separate"/>
        </w:r>
        <w:r w:rsidR="00DA5046">
          <w:rPr>
            <w:webHidden/>
          </w:rPr>
          <w:t>4</w:t>
        </w:r>
        <w:r w:rsidR="00135AC2">
          <w:rPr>
            <w:webHidden/>
          </w:rPr>
          <w:fldChar w:fldCharType="end"/>
        </w:r>
      </w:hyperlink>
    </w:p>
    <w:p w14:paraId="03218F9C" w14:textId="77777777" w:rsidR="0001093C" w:rsidRDefault="0001093C">
      <w:pPr>
        <w:pStyle w:val="TOC1"/>
        <w:tabs>
          <w:tab w:val="left" w:pos="567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</w:p>
    <w:p w14:paraId="02727017" w14:textId="50FCA8E4" w:rsidR="009919DE" w:rsidRPr="00415E1F" w:rsidRDefault="00AD784C" w:rsidP="00E63296">
      <w:pPr>
        <w:pStyle w:val="Heading1"/>
      </w:pPr>
      <w:r w:rsidRPr="00415E1F">
        <w:fldChar w:fldCharType="end"/>
      </w:r>
      <w:bookmarkStart w:id="0" w:name="_Toc12463474"/>
      <w:r w:rsidR="00E22799" w:rsidRPr="00415E1F">
        <w:t xml:space="preserve">VADC </w:t>
      </w:r>
      <w:r w:rsidR="009919DE" w:rsidRPr="00415E1F">
        <w:t>20</w:t>
      </w:r>
      <w:r w:rsidR="009D0AD4" w:rsidRPr="00415E1F">
        <w:t>19</w:t>
      </w:r>
      <w:r w:rsidR="00901D8B" w:rsidRPr="00415E1F">
        <w:t>-20</w:t>
      </w:r>
      <w:bookmarkEnd w:id="0"/>
    </w:p>
    <w:p w14:paraId="7B42DBDC" w14:textId="16370534" w:rsidR="00E22799" w:rsidRDefault="00BB30C8" w:rsidP="00BB30C8">
      <w:pPr>
        <w:pStyle w:val="Heading1"/>
        <w:numPr>
          <w:ilvl w:val="0"/>
          <w:numId w:val="24"/>
        </w:numPr>
      </w:pPr>
      <w:bookmarkStart w:id="1" w:name="_Toc12463475"/>
      <w:r w:rsidRPr="00415E1F">
        <w:t>Transition changes from 1 July 2019</w:t>
      </w:r>
      <w:bookmarkEnd w:id="1"/>
    </w:p>
    <w:p w14:paraId="6BFB6D5A" w14:textId="2B365EF8" w:rsidR="00442891" w:rsidRPr="00415E1F" w:rsidRDefault="00442891" w:rsidP="00442891">
      <w:pPr>
        <w:pStyle w:val="DHHSbody"/>
        <w:numPr>
          <w:ilvl w:val="0"/>
          <w:numId w:val="26"/>
        </w:numPr>
      </w:pPr>
      <w:r w:rsidRPr="00415E1F">
        <w:rPr>
          <w:b/>
        </w:rPr>
        <w:t xml:space="preserve">Small Rural Health - </w:t>
      </w:r>
      <w:r w:rsidRPr="00415E1F">
        <w:t xml:space="preserve">There are currently four AOD providers that are recipients of Small Rural Health Funding. These </w:t>
      </w:r>
      <w:r w:rsidR="001D519C">
        <w:t>providers</w:t>
      </w:r>
      <w:r w:rsidRPr="00415E1F">
        <w:t xml:space="preserve"> </w:t>
      </w:r>
      <w:r w:rsidR="00884FE7">
        <w:t>will shortly receive</w:t>
      </w:r>
      <w:r w:rsidRPr="00415E1F">
        <w:t xml:space="preserve"> communication from their DHHS Agency Performance and System Support </w:t>
      </w:r>
      <w:r w:rsidR="00B95080">
        <w:t xml:space="preserve">team </w:t>
      </w:r>
      <w:r w:rsidRPr="00415E1F">
        <w:t>about transition expectations.</w:t>
      </w:r>
    </w:p>
    <w:p w14:paraId="40E302E1" w14:textId="77777777" w:rsidR="00D13289" w:rsidRPr="00415E1F" w:rsidRDefault="00D13289" w:rsidP="00D13289">
      <w:pPr>
        <w:pStyle w:val="DHHSbody"/>
        <w:numPr>
          <w:ilvl w:val="0"/>
          <w:numId w:val="27"/>
        </w:numPr>
      </w:pPr>
      <w:r w:rsidRPr="00415E1F">
        <w:t xml:space="preserve">All service streams open at the end of the financial year continue to be reported </w:t>
      </w:r>
      <w:r w:rsidRPr="00415E1F">
        <w:rPr>
          <w:u w:val="single"/>
        </w:rPr>
        <w:t>against the existing 18/19 funding source code</w:t>
      </w:r>
      <w:r w:rsidRPr="00415E1F">
        <w:t xml:space="preserve">. </w:t>
      </w:r>
    </w:p>
    <w:p w14:paraId="5FF243A2" w14:textId="641EEA56" w:rsidR="00D13289" w:rsidRPr="00415E1F" w:rsidRDefault="00D13289" w:rsidP="00D13289">
      <w:pPr>
        <w:pStyle w:val="DHHSbody"/>
        <w:numPr>
          <w:ilvl w:val="0"/>
          <w:numId w:val="27"/>
        </w:numPr>
      </w:pPr>
      <w:r w:rsidRPr="00415E1F">
        <w:t xml:space="preserve">All new service streams commencing from July and subsequent reporting periods </w:t>
      </w:r>
      <w:r w:rsidR="00B95080">
        <w:t xml:space="preserve">are </w:t>
      </w:r>
      <w:r w:rsidRPr="00415E1F">
        <w:t>to have a funding source of “Small Rural Health” for the applicable service streams.</w:t>
      </w:r>
    </w:p>
    <w:p w14:paraId="3810D180" w14:textId="1903B0F1" w:rsidR="0074689B" w:rsidRPr="00415E1F" w:rsidRDefault="00442891" w:rsidP="00442891">
      <w:pPr>
        <w:pStyle w:val="DHHSbody"/>
        <w:numPr>
          <w:ilvl w:val="0"/>
          <w:numId w:val="26"/>
        </w:numPr>
      </w:pPr>
      <w:r w:rsidRPr="00415E1F">
        <w:rPr>
          <w:b/>
        </w:rPr>
        <w:t xml:space="preserve">Residential Transition to DTAU </w:t>
      </w:r>
      <w:r w:rsidR="00D13289" w:rsidRPr="00415E1F">
        <w:rPr>
          <w:b/>
        </w:rPr>
        <w:t>–</w:t>
      </w:r>
      <w:r w:rsidRPr="00415E1F">
        <w:rPr>
          <w:b/>
        </w:rPr>
        <w:t xml:space="preserve"> </w:t>
      </w:r>
      <w:r w:rsidRPr="00415E1F">
        <w:t>Res</w:t>
      </w:r>
      <w:r w:rsidR="00D13289" w:rsidRPr="00415E1F">
        <w:t xml:space="preserve">idential services events that end after 01/07/2019 must have the new funding source code that best describes their model of care. AOD Residential Service providers would have individually </w:t>
      </w:r>
      <w:r w:rsidR="004A14C9" w:rsidRPr="00415E1F">
        <w:t xml:space="preserve">received feedback from </w:t>
      </w:r>
      <w:r w:rsidR="001D519C">
        <w:t xml:space="preserve">the </w:t>
      </w:r>
      <w:r w:rsidR="004A14C9" w:rsidRPr="00415E1F">
        <w:t>AOD Enquiries mailbox providing further guidance.</w:t>
      </w:r>
    </w:p>
    <w:p w14:paraId="06B352D5" w14:textId="058B6FD3" w:rsidR="00D13289" w:rsidRPr="00415E1F" w:rsidRDefault="00D13289" w:rsidP="00D13289">
      <w:pPr>
        <w:pStyle w:val="DHHSbody"/>
        <w:numPr>
          <w:ilvl w:val="0"/>
          <w:numId w:val="27"/>
        </w:numPr>
      </w:pPr>
      <w:r w:rsidRPr="00415E1F">
        <w:t xml:space="preserve">All </w:t>
      </w:r>
      <w:bookmarkStart w:id="2" w:name="_Hlk11671069"/>
      <w:r w:rsidRPr="00415E1F">
        <w:t xml:space="preserve">residential service streams </w:t>
      </w:r>
      <w:bookmarkEnd w:id="2"/>
      <w:r w:rsidRPr="00415E1F">
        <w:t xml:space="preserve">open at the end of the financial year to be updated with the </w:t>
      </w:r>
      <w:bookmarkStart w:id="3" w:name="_Hlk11671099"/>
      <w:r w:rsidRPr="00415E1F">
        <w:t xml:space="preserve">applicable funding source code </w:t>
      </w:r>
      <w:bookmarkEnd w:id="3"/>
      <w:r w:rsidRPr="00415E1F">
        <w:t xml:space="preserve">source for the first submission VADC 19/20 (July and subsequent reporting periods). These service streams may have a </w:t>
      </w:r>
      <w:r w:rsidR="0052531D">
        <w:t>S</w:t>
      </w:r>
      <w:r w:rsidR="003E2D6B" w:rsidRPr="0052531D">
        <w:t>ignifica</w:t>
      </w:r>
      <w:r w:rsidR="00884FE7" w:rsidRPr="0052531D">
        <w:t xml:space="preserve">nt </w:t>
      </w:r>
      <w:r w:rsidR="0052531D">
        <w:t>T</w:t>
      </w:r>
      <w:r w:rsidR="00884FE7" w:rsidRPr="0052531D">
        <w:t xml:space="preserve">reatment </w:t>
      </w:r>
      <w:r w:rsidR="0052531D">
        <w:t>G</w:t>
      </w:r>
      <w:r w:rsidR="00884FE7" w:rsidRPr="0052531D">
        <w:t xml:space="preserve">oal </w:t>
      </w:r>
      <w:r w:rsidR="0052531D">
        <w:t>A</w:t>
      </w:r>
      <w:r w:rsidR="00884FE7" w:rsidRPr="0052531D">
        <w:t>chieved</w:t>
      </w:r>
      <w:r w:rsidR="003E2D6B">
        <w:t xml:space="preserve"> </w:t>
      </w:r>
      <w:r w:rsidR="00884FE7">
        <w:t>(</w:t>
      </w:r>
      <w:r w:rsidRPr="00415E1F">
        <w:t>STGA</w:t>
      </w:r>
      <w:r w:rsidR="00884FE7">
        <w:t>)</w:t>
      </w:r>
      <w:r w:rsidRPr="00415E1F">
        <w:t xml:space="preserve"> element.</w:t>
      </w:r>
    </w:p>
    <w:p w14:paraId="287D6988" w14:textId="37B78FF2" w:rsidR="00D13289" w:rsidRDefault="00D13289" w:rsidP="00D13289">
      <w:pPr>
        <w:pStyle w:val="DHHSbody"/>
        <w:numPr>
          <w:ilvl w:val="0"/>
          <w:numId w:val="27"/>
        </w:numPr>
      </w:pPr>
      <w:r w:rsidRPr="00415E1F">
        <w:t>All residential service streams commencing from July and subsequent reporting periods to have applicable funding source code. These service streams may have a STGA element.</w:t>
      </w:r>
    </w:p>
    <w:p w14:paraId="389D4955" w14:textId="77777777" w:rsidR="006F5266" w:rsidRPr="006F5266" w:rsidRDefault="006F5266" w:rsidP="006F5266">
      <w:pPr>
        <w:pStyle w:val="DHHSbody"/>
        <w:numPr>
          <w:ilvl w:val="0"/>
          <w:numId w:val="27"/>
        </w:numPr>
      </w:pPr>
      <w:r w:rsidRPr="006F5266">
        <w:t>A short user guide entitled “Reporting guidance for transition of residential services to activity-based funding” specific to clinicians wishing to process residential DTAU, including VADC obligations, has been produced and will be circulated shortly after this bulletin.</w:t>
      </w:r>
    </w:p>
    <w:p w14:paraId="4C6CBA06" w14:textId="77777777" w:rsidR="00143F9A" w:rsidRPr="00415E1F" w:rsidRDefault="00143F9A" w:rsidP="00143F9A">
      <w:pPr>
        <w:pStyle w:val="DHHSbody"/>
        <w:numPr>
          <w:ilvl w:val="0"/>
          <w:numId w:val="26"/>
        </w:numPr>
      </w:pPr>
      <w:r w:rsidRPr="00415E1F">
        <w:rPr>
          <w:b/>
        </w:rPr>
        <w:lastRenderedPageBreak/>
        <w:t>Brief intervention</w:t>
      </w:r>
      <w:r w:rsidRPr="00415E1F">
        <w:t xml:space="preserve"> is counted as completed upon closure of a brief intervention service event.</w:t>
      </w:r>
    </w:p>
    <w:p w14:paraId="02294429" w14:textId="77777777" w:rsidR="00143F9A" w:rsidRPr="00415E1F" w:rsidRDefault="00143F9A" w:rsidP="00143F9A">
      <w:pPr>
        <w:pStyle w:val="DHHSbody"/>
        <w:numPr>
          <w:ilvl w:val="0"/>
          <w:numId w:val="27"/>
        </w:numPr>
      </w:pPr>
      <w:r w:rsidRPr="00415E1F">
        <w:t>All brief intervention service streams are closed at the end of the financial year.</w:t>
      </w:r>
    </w:p>
    <w:p w14:paraId="0428936B" w14:textId="0FE67F17" w:rsidR="00143F9A" w:rsidRPr="00415E1F" w:rsidRDefault="00143F9A" w:rsidP="00143F9A">
      <w:pPr>
        <w:pStyle w:val="DHHSbody"/>
        <w:numPr>
          <w:ilvl w:val="0"/>
          <w:numId w:val="27"/>
        </w:numPr>
      </w:pPr>
      <w:r w:rsidRPr="00415E1F">
        <w:t>All brief intervention service streams reported from 01/07/2019 are reported with the new applicable Brief Intervention service stream</w:t>
      </w:r>
      <w:r w:rsidR="00393DE5">
        <w:t>.</w:t>
      </w:r>
    </w:p>
    <w:p w14:paraId="2BBD9A68" w14:textId="77777777" w:rsidR="00143F9A" w:rsidRPr="00415E1F" w:rsidRDefault="00143F9A" w:rsidP="00143F9A">
      <w:pPr>
        <w:pStyle w:val="DHHSbody"/>
        <w:numPr>
          <w:ilvl w:val="0"/>
          <w:numId w:val="26"/>
        </w:numPr>
      </w:pPr>
      <w:r w:rsidRPr="00415E1F">
        <w:rPr>
          <w:b/>
        </w:rPr>
        <w:t xml:space="preserve">Bridging Support </w:t>
      </w:r>
      <w:r w:rsidRPr="00415E1F">
        <w:t>is counted as completed upon closure of a Bridging Support service event.</w:t>
      </w:r>
    </w:p>
    <w:p w14:paraId="23D9460C" w14:textId="77777777" w:rsidR="00143F9A" w:rsidRPr="00415E1F" w:rsidRDefault="00143F9A" w:rsidP="00143F9A">
      <w:pPr>
        <w:pStyle w:val="DHHSbody"/>
        <w:numPr>
          <w:ilvl w:val="0"/>
          <w:numId w:val="27"/>
        </w:numPr>
      </w:pPr>
      <w:r w:rsidRPr="00415E1F">
        <w:t>All Bridging Support service streams are closed at the end of the financial year.</w:t>
      </w:r>
    </w:p>
    <w:p w14:paraId="61611206" w14:textId="247AA3B1" w:rsidR="00143F9A" w:rsidRPr="00415E1F" w:rsidRDefault="00143F9A" w:rsidP="00143F9A">
      <w:pPr>
        <w:pStyle w:val="DHHSbody"/>
        <w:numPr>
          <w:ilvl w:val="0"/>
          <w:numId w:val="27"/>
        </w:numPr>
      </w:pPr>
      <w:r w:rsidRPr="00415E1F">
        <w:t>All Bridging Support service streams reported from 01/07/2019 are reported with the new applicable Bridging Support service stream</w:t>
      </w:r>
      <w:r w:rsidR="00393DE5">
        <w:t>.</w:t>
      </w:r>
    </w:p>
    <w:p w14:paraId="5E43E429" w14:textId="77777777" w:rsidR="0074689B" w:rsidRPr="00415E1F" w:rsidRDefault="0074689B" w:rsidP="00BB30C8">
      <w:pPr>
        <w:pStyle w:val="Heading1"/>
        <w:numPr>
          <w:ilvl w:val="0"/>
          <w:numId w:val="24"/>
        </w:numPr>
      </w:pPr>
      <w:bookmarkStart w:id="4" w:name="_Toc12463476"/>
      <w:r w:rsidRPr="00415E1F">
        <w:t>Managed File Transfer (MFT) server update</w:t>
      </w:r>
      <w:bookmarkEnd w:id="4"/>
      <w:r w:rsidRPr="00415E1F">
        <w:t xml:space="preserve"> </w:t>
      </w:r>
    </w:p>
    <w:p w14:paraId="20993771" w14:textId="7145EE48" w:rsidR="00BB30C8" w:rsidRPr="00415E1F" w:rsidRDefault="00BB30C8" w:rsidP="00BB30C8">
      <w:pPr>
        <w:autoSpaceDE w:val="0"/>
        <w:autoSpaceDN w:val="0"/>
        <w:adjustRightInd w:val="0"/>
        <w:spacing w:before="240" w:after="240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415E1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Sites reporting to </w:t>
      </w:r>
      <w:r w:rsidR="001D519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the </w:t>
      </w:r>
      <w:r w:rsidRPr="00415E1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VADC should note the following changes resulting from operating system security updates applied to the MFT server: </w:t>
      </w:r>
    </w:p>
    <w:p w14:paraId="30F0A9F7" w14:textId="57CDF888" w:rsidR="00BB30C8" w:rsidRPr="00415E1F" w:rsidRDefault="00BB30C8" w:rsidP="00B9508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60" w:line="276" w:lineRule="auto"/>
        <w:ind w:left="714" w:hanging="357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415E1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Report files in the PICKUP folder will now be archived after 60 days if not downloaded within this time. </w:t>
      </w:r>
    </w:p>
    <w:p w14:paraId="1BB54040" w14:textId="4BEEB0B9" w:rsidR="00BB30C8" w:rsidRPr="00415E1F" w:rsidRDefault="00BB30C8" w:rsidP="00B9508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60" w:line="276" w:lineRule="auto"/>
        <w:ind w:left="714" w:hanging="357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415E1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Report files located in the BACKUP folder after initial download, will now be archived after seven days. Please contact VADC help desk, </w:t>
      </w:r>
      <w:hyperlink r:id="rId10" w:history="1">
        <w:r w:rsidRPr="00415E1F">
          <w:rPr>
            <w:rStyle w:val="Hyperlink"/>
            <w:rFonts w:ascii="Arial" w:eastAsia="Times New Roman" w:hAnsi="Arial" w:cs="Arial"/>
            <w:sz w:val="20"/>
            <w:szCs w:val="20"/>
            <w:lang w:eastAsia="en-AU"/>
          </w:rPr>
          <w:t>VADC_data@dhhs.vic.gov.au</w:t>
        </w:r>
      </w:hyperlink>
      <w:r w:rsidRPr="00415E1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if copies of older report files are required within the current financial year. </w:t>
      </w:r>
    </w:p>
    <w:p w14:paraId="136E90B9" w14:textId="13B7A9C0" w:rsidR="00BB30C8" w:rsidRPr="00415E1F" w:rsidRDefault="00BB30C8" w:rsidP="00B9508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60" w:line="276" w:lineRule="auto"/>
        <w:ind w:left="714" w:hanging="357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415E1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Copies of submitted data files in the SENT folder will now be archived after 7 days. </w:t>
      </w:r>
    </w:p>
    <w:p w14:paraId="25320AA8" w14:textId="0F011F30" w:rsidR="00C82347" w:rsidRDefault="00C82347" w:rsidP="00BB30C8">
      <w:pPr>
        <w:pStyle w:val="Heading1"/>
        <w:numPr>
          <w:ilvl w:val="0"/>
          <w:numId w:val="24"/>
        </w:numPr>
      </w:pPr>
      <w:bookmarkStart w:id="5" w:name="_Toc12463477"/>
      <w:r>
        <w:t>Data submission deadline extension</w:t>
      </w:r>
      <w:r w:rsidR="00B95080">
        <w:t xml:space="preserve"> 2018-19</w:t>
      </w:r>
      <w:bookmarkEnd w:id="5"/>
    </w:p>
    <w:p w14:paraId="541F243A" w14:textId="3E26B092" w:rsidR="00C82347" w:rsidRDefault="006D1A09" w:rsidP="00C823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C82347" w:rsidRPr="00B95080">
        <w:rPr>
          <w:rFonts w:ascii="Arial" w:hAnsi="Arial" w:cs="Arial"/>
          <w:sz w:val="20"/>
          <w:szCs w:val="20"/>
        </w:rPr>
        <w:t xml:space="preserve">o allow service providers more time to </w:t>
      </w:r>
      <w:r w:rsidRPr="00B95080">
        <w:rPr>
          <w:rFonts w:ascii="Arial" w:hAnsi="Arial" w:cs="Arial"/>
          <w:sz w:val="20"/>
          <w:szCs w:val="20"/>
        </w:rPr>
        <w:t>improve the quality of 2018-19</w:t>
      </w:r>
      <w:r>
        <w:rPr>
          <w:rFonts w:ascii="Arial" w:hAnsi="Arial" w:cs="Arial"/>
          <w:sz w:val="20"/>
          <w:szCs w:val="20"/>
        </w:rPr>
        <w:t xml:space="preserve"> VADC data</w:t>
      </w:r>
      <w:r w:rsidR="00E63296">
        <w:rPr>
          <w:rFonts w:ascii="Arial" w:hAnsi="Arial" w:cs="Arial"/>
          <w:sz w:val="20"/>
          <w:szCs w:val="20"/>
        </w:rPr>
        <w:t xml:space="preserve"> and address critical errors</w:t>
      </w:r>
      <w:r w:rsidR="00C82347" w:rsidRPr="00B95080">
        <w:rPr>
          <w:rFonts w:ascii="Arial" w:hAnsi="Arial" w:cs="Arial"/>
          <w:sz w:val="20"/>
          <w:szCs w:val="20"/>
        </w:rPr>
        <w:t xml:space="preserve">, we are </w:t>
      </w:r>
      <w:r w:rsidR="003E2D6B">
        <w:rPr>
          <w:rFonts w:ascii="Arial" w:hAnsi="Arial" w:cs="Arial"/>
          <w:sz w:val="20"/>
          <w:szCs w:val="20"/>
        </w:rPr>
        <w:t>extending</w:t>
      </w:r>
      <w:r w:rsidR="00C82347" w:rsidRPr="00B95080">
        <w:rPr>
          <w:rFonts w:ascii="Arial" w:hAnsi="Arial" w:cs="Arial"/>
          <w:sz w:val="20"/>
          <w:szCs w:val="20"/>
        </w:rPr>
        <w:t xml:space="preserve"> the deadlines for data submission for </w:t>
      </w:r>
      <w:r>
        <w:rPr>
          <w:rFonts w:ascii="Arial" w:hAnsi="Arial" w:cs="Arial"/>
          <w:sz w:val="20"/>
          <w:szCs w:val="20"/>
        </w:rPr>
        <w:t>2018-19.</w:t>
      </w:r>
      <w:r w:rsidR="00E63296">
        <w:rPr>
          <w:rFonts w:ascii="Arial" w:hAnsi="Arial" w:cs="Arial"/>
          <w:sz w:val="20"/>
          <w:szCs w:val="20"/>
        </w:rPr>
        <w:t xml:space="preserve"> </w:t>
      </w:r>
    </w:p>
    <w:p w14:paraId="63129B65" w14:textId="6BBDBE37" w:rsidR="006D1A09" w:rsidRPr="00B95080" w:rsidRDefault="006D1A09" w:rsidP="006D1A09">
      <w:pPr>
        <w:pStyle w:val="ListParagraph"/>
        <w:numPr>
          <w:ilvl w:val="0"/>
          <w:numId w:val="29"/>
        </w:numPr>
        <w:spacing w:before="240"/>
        <w:contextualSpacing w:val="0"/>
        <w:rPr>
          <w:rFonts w:ascii="Arial" w:eastAsia="Times New Roman" w:hAnsi="Arial" w:cs="Arial"/>
          <w:sz w:val="20"/>
          <w:szCs w:val="20"/>
        </w:rPr>
      </w:pPr>
      <w:r w:rsidRPr="00B95080">
        <w:rPr>
          <w:rFonts w:ascii="Arial" w:eastAsia="Times New Roman" w:hAnsi="Arial" w:cs="Arial"/>
          <w:sz w:val="20"/>
          <w:szCs w:val="20"/>
        </w:rPr>
        <w:t xml:space="preserve">The deadline for </w:t>
      </w:r>
      <w:r w:rsidRPr="006D1A09">
        <w:rPr>
          <w:rFonts w:ascii="Arial" w:eastAsia="Times New Roman" w:hAnsi="Arial" w:cs="Arial"/>
          <w:b/>
          <w:sz w:val="20"/>
          <w:szCs w:val="20"/>
        </w:rPr>
        <w:t>June 2019</w:t>
      </w:r>
      <w:r w:rsidRPr="00B95080">
        <w:rPr>
          <w:rFonts w:ascii="Arial" w:eastAsia="Times New Roman" w:hAnsi="Arial" w:cs="Arial"/>
          <w:sz w:val="20"/>
          <w:szCs w:val="20"/>
        </w:rPr>
        <w:t xml:space="preserve"> data has been extended to </w:t>
      </w:r>
      <w:r w:rsidRPr="006D1A09">
        <w:rPr>
          <w:rFonts w:ascii="Arial" w:eastAsia="Times New Roman" w:hAnsi="Arial" w:cs="Arial"/>
          <w:b/>
          <w:sz w:val="20"/>
          <w:szCs w:val="20"/>
        </w:rPr>
        <w:t>31 July 2019</w:t>
      </w:r>
    </w:p>
    <w:p w14:paraId="72E4C63A" w14:textId="1012862B" w:rsidR="00B95080" w:rsidRDefault="00B95080" w:rsidP="00B95080">
      <w:pPr>
        <w:pStyle w:val="Heading1"/>
        <w:numPr>
          <w:ilvl w:val="0"/>
          <w:numId w:val="24"/>
        </w:numPr>
      </w:pPr>
      <w:bookmarkStart w:id="6" w:name="_Toc12463478"/>
      <w:r>
        <w:t>Data submission deadline extension 2019-20</w:t>
      </w:r>
      <w:bookmarkEnd w:id="6"/>
    </w:p>
    <w:p w14:paraId="7C171928" w14:textId="77777777" w:rsidR="00B95080" w:rsidRPr="00B95080" w:rsidRDefault="00B95080" w:rsidP="00B95080">
      <w:pPr>
        <w:rPr>
          <w:rFonts w:ascii="Arial" w:hAnsi="Arial" w:cs="Arial"/>
          <w:sz w:val="20"/>
          <w:szCs w:val="20"/>
        </w:rPr>
      </w:pPr>
      <w:r w:rsidRPr="00B95080">
        <w:rPr>
          <w:rFonts w:ascii="Arial" w:hAnsi="Arial" w:cs="Arial"/>
          <w:sz w:val="20"/>
          <w:szCs w:val="20"/>
        </w:rPr>
        <w:t>In line with other departmental collections, to allow service providers and software vendors more time to implement the 2019-20 VADC specification changes, we are relaxing the deadlines for data submission for the July and August 2019 reporting periods only.</w:t>
      </w:r>
    </w:p>
    <w:p w14:paraId="1D2CFD8F" w14:textId="4108053D" w:rsidR="00B95080" w:rsidRPr="00B95080" w:rsidRDefault="00B95080" w:rsidP="00B95080">
      <w:pPr>
        <w:pStyle w:val="ListParagraph"/>
        <w:numPr>
          <w:ilvl w:val="0"/>
          <w:numId w:val="29"/>
        </w:numPr>
        <w:spacing w:before="240"/>
        <w:contextualSpacing w:val="0"/>
        <w:rPr>
          <w:rFonts w:ascii="Arial" w:eastAsia="Times New Roman" w:hAnsi="Arial" w:cs="Arial"/>
          <w:sz w:val="20"/>
          <w:szCs w:val="20"/>
        </w:rPr>
      </w:pPr>
      <w:r w:rsidRPr="00B95080">
        <w:rPr>
          <w:rFonts w:ascii="Arial" w:eastAsia="Times New Roman" w:hAnsi="Arial" w:cs="Arial"/>
          <w:sz w:val="20"/>
          <w:szCs w:val="20"/>
        </w:rPr>
        <w:t xml:space="preserve">The deadline for July 2019 data has been extended to </w:t>
      </w:r>
      <w:r w:rsidR="006D1A09">
        <w:rPr>
          <w:rFonts w:ascii="Arial" w:eastAsia="Times New Roman" w:hAnsi="Arial" w:cs="Arial"/>
          <w:sz w:val="20"/>
          <w:szCs w:val="20"/>
        </w:rPr>
        <w:t xml:space="preserve">15 </w:t>
      </w:r>
      <w:r w:rsidRPr="00B95080">
        <w:rPr>
          <w:rFonts w:ascii="Arial" w:eastAsia="Times New Roman" w:hAnsi="Arial" w:cs="Arial"/>
          <w:sz w:val="20"/>
          <w:szCs w:val="20"/>
        </w:rPr>
        <w:t>September 2019</w:t>
      </w:r>
    </w:p>
    <w:p w14:paraId="62080B53" w14:textId="53D8A257" w:rsidR="00B95080" w:rsidRPr="00B95080" w:rsidRDefault="00B95080" w:rsidP="00B95080">
      <w:pPr>
        <w:pStyle w:val="ListParagraph"/>
        <w:numPr>
          <w:ilvl w:val="0"/>
          <w:numId w:val="29"/>
        </w:numPr>
        <w:contextualSpacing w:val="0"/>
        <w:rPr>
          <w:rFonts w:ascii="Arial" w:eastAsia="Times New Roman" w:hAnsi="Arial" w:cs="Arial"/>
          <w:sz w:val="20"/>
          <w:szCs w:val="20"/>
        </w:rPr>
      </w:pPr>
      <w:r w:rsidRPr="00B95080">
        <w:rPr>
          <w:rFonts w:ascii="Arial" w:eastAsia="Times New Roman" w:hAnsi="Arial" w:cs="Arial"/>
          <w:sz w:val="20"/>
          <w:szCs w:val="20"/>
        </w:rPr>
        <w:t xml:space="preserve">The deadline for August 2019 data has been extended to </w:t>
      </w:r>
      <w:r w:rsidR="006D1A09">
        <w:rPr>
          <w:rFonts w:ascii="Arial" w:eastAsia="Times New Roman" w:hAnsi="Arial" w:cs="Arial"/>
          <w:sz w:val="20"/>
          <w:szCs w:val="20"/>
        </w:rPr>
        <w:t xml:space="preserve">15 </w:t>
      </w:r>
      <w:r w:rsidRPr="00B95080">
        <w:rPr>
          <w:rFonts w:ascii="Arial" w:eastAsia="Times New Roman" w:hAnsi="Arial" w:cs="Arial"/>
          <w:sz w:val="20"/>
          <w:szCs w:val="20"/>
        </w:rPr>
        <w:t>October 2019</w:t>
      </w:r>
    </w:p>
    <w:p w14:paraId="69A747B7" w14:textId="6E8179DB" w:rsidR="00B95080" w:rsidRPr="00B95080" w:rsidRDefault="00B95080" w:rsidP="00B95080">
      <w:pPr>
        <w:pStyle w:val="DHHSbody"/>
        <w:spacing w:before="240"/>
        <w:rPr>
          <w:rFonts w:cs="Arial"/>
        </w:rPr>
      </w:pPr>
      <w:r w:rsidRPr="00B95080">
        <w:rPr>
          <w:rFonts w:cs="Arial"/>
        </w:rPr>
        <w:t>Both August and September VADC data will be due on the same date (15 October).  This will enable the department to meet its reporting obligations for reporting quarter one</w:t>
      </w:r>
      <w:r w:rsidR="0052531D">
        <w:rPr>
          <w:rFonts w:cs="Arial"/>
        </w:rPr>
        <w:t xml:space="preserve"> </w:t>
      </w:r>
      <w:r w:rsidRPr="00B95080">
        <w:rPr>
          <w:rFonts w:cs="Arial"/>
        </w:rPr>
        <w:t>AOD activity</w:t>
      </w:r>
      <w:r w:rsidR="00393DE5">
        <w:rPr>
          <w:rFonts w:cs="Arial"/>
        </w:rPr>
        <w:t>.</w:t>
      </w:r>
    </w:p>
    <w:p w14:paraId="50A9F715" w14:textId="0C8353C9" w:rsidR="00007AD9" w:rsidRPr="00415E1F" w:rsidRDefault="00AA05B7" w:rsidP="00BB30C8">
      <w:pPr>
        <w:pStyle w:val="Heading1"/>
        <w:numPr>
          <w:ilvl w:val="0"/>
          <w:numId w:val="24"/>
        </w:numPr>
      </w:pPr>
      <w:bookmarkStart w:id="7" w:name="_Toc12463479"/>
      <w:r w:rsidRPr="00415E1F">
        <w:t xml:space="preserve">Corrections </w:t>
      </w:r>
      <w:r w:rsidR="004512BF" w:rsidRPr="00415E1F">
        <w:t>to the VADC Data S</w:t>
      </w:r>
      <w:r w:rsidRPr="00415E1F">
        <w:t>pecification</w:t>
      </w:r>
      <w:r w:rsidR="007D6F70" w:rsidRPr="00415E1F">
        <w:t xml:space="preserve"> 2019-20</w:t>
      </w:r>
      <w:bookmarkEnd w:id="7"/>
    </w:p>
    <w:p w14:paraId="2DC7F4A8" w14:textId="10030C10" w:rsidR="00135AC2" w:rsidRDefault="00D35393" w:rsidP="00D35393">
      <w:pPr>
        <w:pStyle w:val="DHHSbody"/>
      </w:pPr>
      <w:r w:rsidRPr="00415E1F">
        <w:t>The following errors have been identified in the VADC Data Specification for 2019-20. We apologise for any inconvenience caused by these errors.</w:t>
      </w:r>
      <w:r w:rsidR="00135AC2">
        <w:t xml:space="preserve">  </w:t>
      </w:r>
      <w:r w:rsidR="00135AC2" w:rsidRPr="00415E1F">
        <w:t xml:space="preserve">An updated VADC Data Specification for 2019-20 incorporating the corrections listed above will be published on the VADC website shortly.  VADC vendors and service providers will be notified by email. </w:t>
      </w:r>
    </w:p>
    <w:p w14:paraId="5FF28A44" w14:textId="76AF4557" w:rsidR="0052531D" w:rsidRDefault="0052531D" w:rsidP="00D35393">
      <w:pPr>
        <w:pStyle w:val="DHHSbody"/>
      </w:pPr>
    </w:p>
    <w:p w14:paraId="3D04175D" w14:textId="77777777" w:rsidR="0052531D" w:rsidRPr="00415E1F" w:rsidRDefault="0052531D" w:rsidP="00D35393">
      <w:pPr>
        <w:pStyle w:val="DHHSbody"/>
      </w:pPr>
    </w:p>
    <w:tbl>
      <w:tblPr>
        <w:tblW w:w="98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2350"/>
        <w:gridCol w:w="2410"/>
        <w:gridCol w:w="2126"/>
        <w:gridCol w:w="992"/>
        <w:gridCol w:w="1028"/>
      </w:tblGrid>
      <w:tr w:rsidR="00C84696" w:rsidRPr="00415E1F" w14:paraId="4470885C" w14:textId="77777777" w:rsidTr="00125D2F">
        <w:tc>
          <w:tcPr>
            <w:tcW w:w="939" w:type="dxa"/>
            <w:shd w:val="clear" w:color="auto" w:fill="auto"/>
          </w:tcPr>
          <w:p w14:paraId="4B88BD90" w14:textId="77777777" w:rsidR="00C84696" w:rsidRPr="00415E1F" w:rsidRDefault="00C84696" w:rsidP="00125D2F">
            <w:pPr>
              <w:pStyle w:val="DHHStabletext"/>
              <w:rPr>
                <w:b/>
                <w:color w:val="002060"/>
              </w:rPr>
            </w:pPr>
            <w:r w:rsidRPr="00415E1F">
              <w:rPr>
                <w:b/>
                <w:color w:val="002060"/>
              </w:rPr>
              <w:lastRenderedPageBreak/>
              <w:t>ID</w:t>
            </w:r>
          </w:p>
        </w:tc>
        <w:tc>
          <w:tcPr>
            <w:tcW w:w="2350" w:type="dxa"/>
            <w:shd w:val="clear" w:color="auto" w:fill="auto"/>
          </w:tcPr>
          <w:p w14:paraId="57DD0C70" w14:textId="77777777" w:rsidR="00C84696" w:rsidRPr="00415E1F" w:rsidRDefault="00C84696" w:rsidP="00125D2F">
            <w:pPr>
              <w:pStyle w:val="DHHStabletext"/>
              <w:rPr>
                <w:b/>
                <w:color w:val="002060"/>
              </w:rPr>
            </w:pPr>
            <w:r w:rsidRPr="00415E1F">
              <w:rPr>
                <w:b/>
                <w:color w:val="002060"/>
              </w:rPr>
              <w:t xml:space="preserve">Edit name/description </w:t>
            </w:r>
          </w:p>
        </w:tc>
        <w:tc>
          <w:tcPr>
            <w:tcW w:w="2410" w:type="dxa"/>
            <w:shd w:val="clear" w:color="auto" w:fill="auto"/>
          </w:tcPr>
          <w:p w14:paraId="5632F755" w14:textId="77777777" w:rsidR="00C84696" w:rsidRPr="00415E1F" w:rsidRDefault="00C84696" w:rsidP="00125D2F">
            <w:pPr>
              <w:pStyle w:val="DHHStabletext"/>
              <w:rPr>
                <w:b/>
                <w:color w:val="002060"/>
              </w:rPr>
            </w:pPr>
            <w:r w:rsidRPr="00415E1F">
              <w:rPr>
                <w:b/>
                <w:color w:val="002060"/>
              </w:rPr>
              <w:t>Data elements</w:t>
            </w:r>
          </w:p>
        </w:tc>
        <w:tc>
          <w:tcPr>
            <w:tcW w:w="2126" w:type="dxa"/>
          </w:tcPr>
          <w:p w14:paraId="7C475F20" w14:textId="77777777" w:rsidR="00C84696" w:rsidRPr="00415E1F" w:rsidRDefault="00C84696" w:rsidP="00125D2F">
            <w:pPr>
              <w:pStyle w:val="DHHStabletext"/>
              <w:rPr>
                <w:b/>
                <w:color w:val="002060"/>
              </w:rPr>
            </w:pPr>
            <w:r w:rsidRPr="00415E1F">
              <w:rPr>
                <w:b/>
                <w:color w:val="002060"/>
              </w:rPr>
              <w:t>Pseudo code/rule</w:t>
            </w:r>
          </w:p>
        </w:tc>
        <w:tc>
          <w:tcPr>
            <w:tcW w:w="992" w:type="dxa"/>
          </w:tcPr>
          <w:p w14:paraId="59195A5D" w14:textId="77777777" w:rsidR="00C84696" w:rsidRPr="00415E1F" w:rsidRDefault="00C84696" w:rsidP="00125D2F">
            <w:pPr>
              <w:pStyle w:val="DHHStabletext"/>
              <w:rPr>
                <w:b/>
                <w:color w:val="002060"/>
              </w:rPr>
            </w:pPr>
            <w:r w:rsidRPr="00415E1F">
              <w:rPr>
                <w:b/>
                <w:color w:val="002060"/>
              </w:rPr>
              <w:t>Source</w:t>
            </w:r>
          </w:p>
        </w:tc>
        <w:tc>
          <w:tcPr>
            <w:tcW w:w="1028" w:type="dxa"/>
          </w:tcPr>
          <w:p w14:paraId="3CAC98D9" w14:textId="77777777" w:rsidR="00C84696" w:rsidRPr="00415E1F" w:rsidRDefault="00C84696" w:rsidP="00125D2F">
            <w:pPr>
              <w:pStyle w:val="DHHStabletext"/>
              <w:rPr>
                <w:b/>
                <w:color w:val="002060"/>
              </w:rPr>
            </w:pPr>
            <w:r w:rsidRPr="00415E1F">
              <w:rPr>
                <w:b/>
                <w:color w:val="002060"/>
              </w:rPr>
              <w:t>Status</w:t>
            </w:r>
          </w:p>
        </w:tc>
      </w:tr>
      <w:tr w:rsidR="00C84696" w:rsidRPr="00415E1F" w14:paraId="7F3F939D" w14:textId="77777777" w:rsidTr="00125D2F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C0EDC" w14:textId="689FCE49" w:rsidR="00C84696" w:rsidRPr="00415E1F" w:rsidRDefault="00C84696" w:rsidP="00125D2F">
            <w:pPr>
              <w:pStyle w:val="DHHStabletext"/>
            </w:pPr>
            <w:r w:rsidRPr="00415E1F">
              <w:t>AoD132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DD5A5" w14:textId="23DFFC8B" w:rsidR="00C84696" w:rsidRPr="00415E1F" w:rsidRDefault="00B34728" w:rsidP="00135AC2">
            <w:pPr>
              <w:pStyle w:val="DHHStabletext"/>
            </w:pPr>
            <w:r w:rsidRPr="00415E1F">
              <w:t>Invalid number of attendees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E218A" w14:textId="7D1190F5" w:rsidR="00C84696" w:rsidRPr="00415E1F" w:rsidRDefault="00B34728" w:rsidP="00125D2F">
            <w:pPr>
              <w:pStyle w:val="DHHStabletext"/>
            </w:pPr>
            <w:r w:rsidRPr="00415E1F">
              <w:t xml:space="preserve">Contact-number of service </w:t>
            </w:r>
            <w:r w:rsidR="007D6F70" w:rsidRPr="00415E1F">
              <w:t>recipients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995B" w14:textId="48BC02E3" w:rsidR="00C84696" w:rsidRPr="00415E1F" w:rsidRDefault="00B34728" w:rsidP="00125D2F">
            <w:pPr>
              <w:pStyle w:val="DHHStabletext"/>
            </w:pPr>
            <w:r w:rsidRPr="001D519C">
              <w:rPr>
                <w:highlight w:val="yellow"/>
              </w:rPr>
              <w:t>NOT</w:t>
            </w:r>
            <w:r w:rsidRPr="00415E1F">
              <w:t xml:space="preserve"> </w:t>
            </w:r>
            <w:r w:rsidR="007D6F70" w:rsidRPr="00415E1F">
              <w:t>null AND (&lt;0 OR &gt; 99)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F2F5" w14:textId="77777777" w:rsidR="00C84696" w:rsidRPr="00415E1F" w:rsidRDefault="00C84696" w:rsidP="00125D2F">
            <w:pPr>
              <w:pStyle w:val="DHHStabletext"/>
            </w:pPr>
            <w:r w:rsidRPr="00415E1F">
              <w:t>DHHS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4BA3" w14:textId="6FC79AEC" w:rsidR="00C84696" w:rsidRPr="00415E1F" w:rsidRDefault="00C84696" w:rsidP="00125D2F">
            <w:pPr>
              <w:pStyle w:val="DHHStabletext"/>
            </w:pPr>
            <w:r w:rsidRPr="00415E1F">
              <w:t>error</w:t>
            </w:r>
          </w:p>
        </w:tc>
      </w:tr>
    </w:tbl>
    <w:p w14:paraId="141931CB" w14:textId="0583C002" w:rsidR="00C84696" w:rsidRPr="00415E1F" w:rsidRDefault="00C84696" w:rsidP="00F37BCE">
      <w:pPr>
        <w:pStyle w:val="DHHSbody"/>
      </w:pPr>
    </w:p>
    <w:tbl>
      <w:tblPr>
        <w:tblW w:w="98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2350"/>
        <w:gridCol w:w="2410"/>
        <w:gridCol w:w="2126"/>
        <w:gridCol w:w="992"/>
        <w:gridCol w:w="1028"/>
      </w:tblGrid>
      <w:tr w:rsidR="007D6F70" w:rsidRPr="00415E1F" w14:paraId="4D5C204A" w14:textId="77777777" w:rsidTr="00125D2F">
        <w:tc>
          <w:tcPr>
            <w:tcW w:w="939" w:type="dxa"/>
            <w:shd w:val="clear" w:color="auto" w:fill="auto"/>
          </w:tcPr>
          <w:p w14:paraId="2D278D3A" w14:textId="77777777" w:rsidR="007D6F70" w:rsidRPr="00415E1F" w:rsidRDefault="007D6F70" w:rsidP="00125D2F">
            <w:pPr>
              <w:pStyle w:val="DHHStabletext"/>
              <w:rPr>
                <w:b/>
                <w:color w:val="002060"/>
              </w:rPr>
            </w:pPr>
            <w:r w:rsidRPr="00415E1F">
              <w:rPr>
                <w:b/>
                <w:color w:val="002060"/>
              </w:rPr>
              <w:t>ID</w:t>
            </w:r>
          </w:p>
        </w:tc>
        <w:tc>
          <w:tcPr>
            <w:tcW w:w="2350" w:type="dxa"/>
            <w:shd w:val="clear" w:color="auto" w:fill="auto"/>
          </w:tcPr>
          <w:p w14:paraId="6161AB55" w14:textId="77777777" w:rsidR="007D6F70" w:rsidRPr="00415E1F" w:rsidRDefault="007D6F70" w:rsidP="00125D2F">
            <w:pPr>
              <w:pStyle w:val="DHHStabletext"/>
              <w:rPr>
                <w:b/>
                <w:color w:val="002060"/>
              </w:rPr>
            </w:pPr>
            <w:r w:rsidRPr="00415E1F">
              <w:rPr>
                <w:b/>
                <w:color w:val="002060"/>
              </w:rPr>
              <w:t xml:space="preserve">Edit name/description </w:t>
            </w:r>
          </w:p>
        </w:tc>
        <w:tc>
          <w:tcPr>
            <w:tcW w:w="2410" w:type="dxa"/>
            <w:shd w:val="clear" w:color="auto" w:fill="auto"/>
          </w:tcPr>
          <w:p w14:paraId="7AF6BDBB" w14:textId="77777777" w:rsidR="007D6F70" w:rsidRPr="00415E1F" w:rsidRDefault="007D6F70" w:rsidP="00125D2F">
            <w:pPr>
              <w:pStyle w:val="DHHStabletext"/>
              <w:rPr>
                <w:b/>
                <w:color w:val="002060"/>
              </w:rPr>
            </w:pPr>
            <w:r w:rsidRPr="00415E1F">
              <w:rPr>
                <w:b/>
                <w:color w:val="002060"/>
              </w:rPr>
              <w:t>Data elements</w:t>
            </w:r>
          </w:p>
        </w:tc>
        <w:tc>
          <w:tcPr>
            <w:tcW w:w="2126" w:type="dxa"/>
          </w:tcPr>
          <w:p w14:paraId="66D9B7AD" w14:textId="77777777" w:rsidR="007D6F70" w:rsidRPr="00415E1F" w:rsidRDefault="007D6F70" w:rsidP="00125D2F">
            <w:pPr>
              <w:pStyle w:val="DHHStabletext"/>
              <w:rPr>
                <w:b/>
                <w:color w:val="002060"/>
              </w:rPr>
            </w:pPr>
            <w:r w:rsidRPr="00415E1F">
              <w:rPr>
                <w:b/>
                <w:color w:val="002060"/>
              </w:rPr>
              <w:t>Pseudo code/rule</w:t>
            </w:r>
          </w:p>
        </w:tc>
        <w:tc>
          <w:tcPr>
            <w:tcW w:w="992" w:type="dxa"/>
          </w:tcPr>
          <w:p w14:paraId="496854B8" w14:textId="77777777" w:rsidR="007D6F70" w:rsidRPr="00415E1F" w:rsidRDefault="007D6F70" w:rsidP="00125D2F">
            <w:pPr>
              <w:pStyle w:val="DHHStabletext"/>
              <w:rPr>
                <w:b/>
                <w:color w:val="002060"/>
              </w:rPr>
            </w:pPr>
            <w:r w:rsidRPr="00415E1F">
              <w:rPr>
                <w:b/>
                <w:color w:val="002060"/>
              </w:rPr>
              <w:t>Source</w:t>
            </w:r>
          </w:p>
        </w:tc>
        <w:tc>
          <w:tcPr>
            <w:tcW w:w="1028" w:type="dxa"/>
          </w:tcPr>
          <w:p w14:paraId="4286EDC3" w14:textId="77777777" w:rsidR="007D6F70" w:rsidRPr="00415E1F" w:rsidRDefault="007D6F70" w:rsidP="00125D2F">
            <w:pPr>
              <w:pStyle w:val="DHHStabletext"/>
              <w:rPr>
                <w:b/>
                <w:color w:val="002060"/>
              </w:rPr>
            </w:pPr>
            <w:r w:rsidRPr="00415E1F">
              <w:rPr>
                <w:b/>
                <w:color w:val="002060"/>
              </w:rPr>
              <w:t>Status</w:t>
            </w:r>
          </w:p>
        </w:tc>
      </w:tr>
      <w:tr w:rsidR="007D6F70" w:rsidRPr="00415E1F" w14:paraId="24329B96" w14:textId="77777777" w:rsidTr="00125D2F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F978A" w14:textId="1FBA8646" w:rsidR="007D6F70" w:rsidRPr="00415E1F" w:rsidRDefault="007D6F70" w:rsidP="00125D2F">
            <w:pPr>
              <w:pStyle w:val="DHHStabletext"/>
            </w:pPr>
            <w:r w:rsidRPr="00415E1F">
              <w:t>AoD133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56F1D" w14:textId="34F02FC2" w:rsidR="007D6F70" w:rsidRPr="00415E1F" w:rsidRDefault="007D6F70" w:rsidP="00125D2F">
            <w:pPr>
              <w:pStyle w:val="DHHStabletext"/>
            </w:pPr>
            <w:r w:rsidRPr="00415E1F">
              <w:t>Invalid number of facilitators</w:t>
            </w:r>
          </w:p>
          <w:p w14:paraId="0E34672E" w14:textId="77777777" w:rsidR="007D6F70" w:rsidRPr="00415E1F" w:rsidRDefault="007D6F70" w:rsidP="00125D2F">
            <w:pPr>
              <w:pStyle w:val="DHHStabletex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719AB" w14:textId="7320D40E" w:rsidR="007D6F70" w:rsidRPr="00415E1F" w:rsidRDefault="007D6F70" w:rsidP="00125D2F">
            <w:pPr>
              <w:pStyle w:val="DHHStabletext"/>
            </w:pPr>
            <w:r w:rsidRPr="00415E1F">
              <w:t>Contact-number of service facilitators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7351" w14:textId="77777777" w:rsidR="007D6F70" w:rsidRPr="00415E1F" w:rsidRDefault="007D6F70" w:rsidP="00125D2F">
            <w:pPr>
              <w:pStyle w:val="DHHStabletext"/>
            </w:pPr>
            <w:r w:rsidRPr="001D519C">
              <w:rPr>
                <w:highlight w:val="yellow"/>
              </w:rPr>
              <w:t>NOT</w:t>
            </w:r>
            <w:r w:rsidRPr="00415E1F">
              <w:t xml:space="preserve"> null AND (&lt;0 OR &gt; 99)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94C2" w14:textId="77777777" w:rsidR="007D6F70" w:rsidRPr="00415E1F" w:rsidRDefault="007D6F70" w:rsidP="00125D2F">
            <w:pPr>
              <w:pStyle w:val="DHHStabletext"/>
            </w:pPr>
            <w:r w:rsidRPr="00415E1F">
              <w:t>DHHS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C85E" w14:textId="77777777" w:rsidR="007D6F70" w:rsidRPr="00415E1F" w:rsidRDefault="007D6F70" w:rsidP="00125D2F">
            <w:pPr>
              <w:pStyle w:val="DHHStabletext"/>
            </w:pPr>
            <w:r w:rsidRPr="00415E1F">
              <w:t>error</w:t>
            </w:r>
          </w:p>
        </w:tc>
      </w:tr>
    </w:tbl>
    <w:p w14:paraId="2A69C06E" w14:textId="77777777" w:rsidR="007D6F70" w:rsidRPr="00415E1F" w:rsidRDefault="007D6F70" w:rsidP="00F37BCE">
      <w:pPr>
        <w:pStyle w:val="DHHSbody"/>
      </w:pPr>
    </w:p>
    <w:tbl>
      <w:tblPr>
        <w:tblW w:w="98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2350"/>
        <w:gridCol w:w="2410"/>
        <w:gridCol w:w="2126"/>
        <w:gridCol w:w="992"/>
        <w:gridCol w:w="1028"/>
      </w:tblGrid>
      <w:tr w:rsidR="007D6F70" w:rsidRPr="00415E1F" w14:paraId="60B2412C" w14:textId="77777777" w:rsidTr="00125D2F">
        <w:tc>
          <w:tcPr>
            <w:tcW w:w="939" w:type="dxa"/>
            <w:shd w:val="clear" w:color="auto" w:fill="auto"/>
          </w:tcPr>
          <w:p w14:paraId="2E3B6E85" w14:textId="77777777" w:rsidR="007D6F70" w:rsidRPr="00415E1F" w:rsidRDefault="007D6F70" w:rsidP="00125D2F">
            <w:pPr>
              <w:pStyle w:val="DHHStabletext"/>
              <w:rPr>
                <w:b/>
                <w:color w:val="002060"/>
              </w:rPr>
            </w:pPr>
            <w:r w:rsidRPr="00415E1F">
              <w:rPr>
                <w:b/>
                <w:color w:val="002060"/>
              </w:rPr>
              <w:t>ID</w:t>
            </w:r>
          </w:p>
        </w:tc>
        <w:tc>
          <w:tcPr>
            <w:tcW w:w="2350" w:type="dxa"/>
            <w:shd w:val="clear" w:color="auto" w:fill="auto"/>
          </w:tcPr>
          <w:p w14:paraId="390B9E03" w14:textId="77777777" w:rsidR="007D6F70" w:rsidRPr="00415E1F" w:rsidRDefault="007D6F70" w:rsidP="00125D2F">
            <w:pPr>
              <w:pStyle w:val="DHHStabletext"/>
              <w:rPr>
                <w:b/>
                <w:color w:val="002060"/>
              </w:rPr>
            </w:pPr>
            <w:r w:rsidRPr="00415E1F">
              <w:rPr>
                <w:b/>
                <w:color w:val="002060"/>
              </w:rPr>
              <w:t xml:space="preserve">Edit name/description </w:t>
            </w:r>
          </w:p>
        </w:tc>
        <w:tc>
          <w:tcPr>
            <w:tcW w:w="2410" w:type="dxa"/>
            <w:shd w:val="clear" w:color="auto" w:fill="auto"/>
          </w:tcPr>
          <w:p w14:paraId="0DB9ADB0" w14:textId="77777777" w:rsidR="007D6F70" w:rsidRPr="00415E1F" w:rsidRDefault="007D6F70" w:rsidP="00125D2F">
            <w:pPr>
              <w:pStyle w:val="DHHStabletext"/>
              <w:rPr>
                <w:b/>
                <w:color w:val="002060"/>
              </w:rPr>
            </w:pPr>
            <w:r w:rsidRPr="00415E1F">
              <w:rPr>
                <w:b/>
                <w:color w:val="002060"/>
              </w:rPr>
              <w:t>Data elements</w:t>
            </w:r>
          </w:p>
        </w:tc>
        <w:tc>
          <w:tcPr>
            <w:tcW w:w="2126" w:type="dxa"/>
          </w:tcPr>
          <w:p w14:paraId="2748EF30" w14:textId="77777777" w:rsidR="007D6F70" w:rsidRPr="00415E1F" w:rsidRDefault="007D6F70" w:rsidP="00125D2F">
            <w:pPr>
              <w:pStyle w:val="DHHStabletext"/>
              <w:rPr>
                <w:b/>
                <w:color w:val="002060"/>
              </w:rPr>
            </w:pPr>
            <w:r w:rsidRPr="00415E1F">
              <w:rPr>
                <w:b/>
                <w:color w:val="002060"/>
              </w:rPr>
              <w:t>Pseudo code/rule</w:t>
            </w:r>
          </w:p>
        </w:tc>
        <w:tc>
          <w:tcPr>
            <w:tcW w:w="992" w:type="dxa"/>
          </w:tcPr>
          <w:p w14:paraId="340CCB65" w14:textId="77777777" w:rsidR="007D6F70" w:rsidRPr="00415E1F" w:rsidRDefault="007D6F70" w:rsidP="00125D2F">
            <w:pPr>
              <w:pStyle w:val="DHHStabletext"/>
              <w:rPr>
                <w:b/>
                <w:color w:val="002060"/>
              </w:rPr>
            </w:pPr>
            <w:r w:rsidRPr="00415E1F">
              <w:rPr>
                <w:b/>
                <w:color w:val="002060"/>
              </w:rPr>
              <w:t>Source</w:t>
            </w:r>
          </w:p>
        </w:tc>
        <w:tc>
          <w:tcPr>
            <w:tcW w:w="1028" w:type="dxa"/>
          </w:tcPr>
          <w:p w14:paraId="69E3BC0D" w14:textId="77777777" w:rsidR="007D6F70" w:rsidRPr="00415E1F" w:rsidRDefault="007D6F70" w:rsidP="00125D2F">
            <w:pPr>
              <w:pStyle w:val="DHHStabletext"/>
              <w:rPr>
                <w:b/>
                <w:color w:val="002060"/>
              </w:rPr>
            </w:pPr>
            <w:r w:rsidRPr="00415E1F">
              <w:rPr>
                <w:b/>
                <w:color w:val="002060"/>
              </w:rPr>
              <w:t>Status</w:t>
            </w:r>
          </w:p>
        </w:tc>
      </w:tr>
      <w:tr w:rsidR="00070A74" w:rsidRPr="00415E1F" w14:paraId="11843D6A" w14:textId="77777777" w:rsidTr="00125D2F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B17E4" w14:textId="09C81FB0" w:rsidR="00070A74" w:rsidRPr="00415E1F" w:rsidRDefault="00070A74" w:rsidP="00070A74">
            <w:pPr>
              <w:pStyle w:val="DHHStabletext"/>
            </w:pPr>
            <w:r w:rsidRPr="00415E1F">
              <w:t>AoD172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A0450" w14:textId="74A63D2D" w:rsidR="00070A74" w:rsidRPr="00415E1F" w:rsidRDefault="00070A74" w:rsidP="00070A74">
            <w:pPr>
              <w:pStyle w:val="DHHStabletext"/>
            </w:pPr>
            <w:r w:rsidRPr="00415E1F">
              <w:rPr>
                <w:rFonts w:cs="Arial"/>
                <w:lang w:val="en-US" w:eastAsia="en-AU"/>
              </w:rPr>
              <w:t xml:space="preserve">Residential rehabilitation length of stay is over 160 days and the course length element </w:t>
            </w:r>
            <w:proofErr w:type="gramStart"/>
            <w:r w:rsidRPr="00415E1F">
              <w:rPr>
                <w:rFonts w:cs="Arial"/>
                <w:lang w:val="en-US" w:eastAsia="en-AU"/>
              </w:rPr>
              <w:t>is</w:t>
            </w:r>
            <w:proofErr w:type="gramEnd"/>
            <w:r w:rsidRPr="00415E1F">
              <w:rPr>
                <w:rFonts w:cs="Arial"/>
                <w:lang w:val="en-US" w:eastAsia="en-AU"/>
              </w:rPr>
              <w:t xml:space="preserve"> not complex for applicable residential rehabilitation funding source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3A91C" w14:textId="77777777" w:rsidR="00070A74" w:rsidRPr="00415E1F" w:rsidRDefault="00070A74" w:rsidP="00070A74">
            <w:pPr>
              <w:pStyle w:val="DHHStabletext"/>
              <w:spacing w:before="60" w:line="256" w:lineRule="auto"/>
              <w:rPr>
                <w:rFonts w:cs="Arial"/>
                <w:lang w:val="en-US"/>
              </w:rPr>
            </w:pPr>
            <w:r w:rsidRPr="00415E1F">
              <w:rPr>
                <w:rFonts w:cs="Arial"/>
                <w:lang w:val="en-US"/>
              </w:rPr>
              <w:t>Event-course length</w:t>
            </w:r>
          </w:p>
          <w:p w14:paraId="148B75BC" w14:textId="77777777" w:rsidR="00070A74" w:rsidRPr="00415E1F" w:rsidRDefault="00070A74" w:rsidP="00070A74">
            <w:pPr>
              <w:pStyle w:val="DHHStabletext"/>
              <w:spacing w:before="60" w:line="256" w:lineRule="auto"/>
              <w:rPr>
                <w:rFonts w:cs="Arial"/>
                <w:lang w:val="en-US"/>
              </w:rPr>
            </w:pPr>
            <w:r w:rsidRPr="00415E1F">
              <w:rPr>
                <w:rFonts w:cs="Arial"/>
                <w:lang w:val="en-US"/>
              </w:rPr>
              <w:t>Event-service stream</w:t>
            </w:r>
          </w:p>
          <w:p w14:paraId="4530699D" w14:textId="77777777" w:rsidR="00070A74" w:rsidRPr="00415E1F" w:rsidRDefault="00070A74" w:rsidP="00070A74">
            <w:pPr>
              <w:pStyle w:val="DHHStabletext"/>
              <w:spacing w:before="60" w:line="256" w:lineRule="auto"/>
              <w:rPr>
                <w:rFonts w:cs="Arial"/>
                <w:lang w:val="en-US"/>
              </w:rPr>
            </w:pPr>
            <w:r w:rsidRPr="00415E1F">
              <w:rPr>
                <w:rFonts w:cs="Arial"/>
                <w:lang w:val="en-US"/>
              </w:rPr>
              <w:t>Event-funding source</w:t>
            </w:r>
          </w:p>
          <w:p w14:paraId="6D508E57" w14:textId="77777777" w:rsidR="00070A74" w:rsidRPr="00415E1F" w:rsidRDefault="00070A74" w:rsidP="00070A74">
            <w:pPr>
              <w:pStyle w:val="DHHStabletext"/>
              <w:spacing w:before="60" w:line="256" w:lineRule="auto"/>
              <w:rPr>
                <w:rFonts w:cs="Arial"/>
                <w:lang w:val="en-US"/>
              </w:rPr>
            </w:pPr>
            <w:r w:rsidRPr="00415E1F">
              <w:rPr>
                <w:rFonts w:cs="Arial"/>
                <w:lang w:val="en-US"/>
              </w:rPr>
              <w:t>Event-start date</w:t>
            </w:r>
          </w:p>
          <w:p w14:paraId="1C244642" w14:textId="4671856F" w:rsidR="00070A74" w:rsidRPr="00415E1F" w:rsidRDefault="00070A74" w:rsidP="00070A74">
            <w:pPr>
              <w:pStyle w:val="DHHStabletext"/>
            </w:pPr>
            <w:r w:rsidRPr="00415E1F">
              <w:rPr>
                <w:rFonts w:cs="Arial"/>
                <w:lang w:val="en-US"/>
              </w:rPr>
              <w:t>Event-end date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1FC3" w14:textId="5AE4D44F" w:rsidR="00070A74" w:rsidRPr="00415E1F" w:rsidRDefault="00070A74" w:rsidP="00070A74">
            <w:pPr>
              <w:pStyle w:val="DHHStabletext"/>
              <w:spacing w:before="60" w:line="256" w:lineRule="auto"/>
              <w:rPr>
                <w:rFonts w:cs="Arial"/>
                <w:lang w:val="en-US"/>
              </w:rPr>
            </w:pPr>
            <w:r w:rsidRPr="00415E1F">
              <w:rPr>
                <w:rFonts w:cs="Arial"/>
                <w:lang w:val="en-US"/>
              </w:rPr>
              <w:t xml:space="preserve">Event-end date is NOT null AND service stream = </w:t>
            </w:r>
            <w:r w:rsidRPr="001D519C">
              <w:rPr>
                <w:rFonts w:cs="Arial"/>
                <w:strike/>
                <w:highlight w:val="yellow"/>
                <w:lang w:val="en-US"/>
              </w:rPr>
              <w:t>10</w:t>
            </w:r>
            <w:r w:rsidRPr="001D519C">
              <w:rPr>
                <w:rFonts w:cs="Arial"/>
                <w:highlight w:val="yellow"/>
                <w:lang w:val="en-US"/>
              </w:rPr>
              <w:t xml:space="preserve"> </w:t>
            </w:r>
            <w:proofErr w:type="gramStart"/>
            <w:r w:rsidRPr="001D519C">
              <w:rPr>
                <w:rFonts w:cs="Arial"/>
                <w:highlight w:val="yellow"/>
                <w:lang w:val="en-US"/>
              </w:rPr>
              <w:t>30</w:t>
            </w:r>
            <w:r w:rsidRPr="00415E1F">
              <w:rPr>
                <w:rFonts w:cs="Arial"/>
                <w:lang w:val="en-US"/>
              </w:rPr>
              <w:t xml:space="preserve"> ,</w:t>
            </w:r>
            <w:proofErr w:type="gramEnd"/>
            <w:r w:rsidRPr="00415E1F">
              <w:rPr>
                <w:rFonts w:cs="Arial"/>
                <w:lang w:val="en-US"/>
              </w:rPr>
              <w:t xml:space="preserve"> AND funding source = (106,125,128) AND</w:t>
            </w:r>
          </w:p>
          <w:p w14:paraId="36A8199C" w14:textId="4C343529" w:rsidR="00070A74" w:rsidRPr="00415E1F" w:rsidRDefault="00070A74" w:rsidP="00070A74">
            <w:pPr>
              <w:pStyle w:val="DHHStabletext"/>
            </w:pPr>
            <w:r w:rsidRPr="00415E1F">
              <w:rPr>
                <w:rFonts w:cs="Arial"/>
                <w:lang w:val="en-US"/>
              </w:rPr>
              <w:t xml:space="preserve">Event-end date - Event-start date &gt;=161 AND Event-course length is </w:t>
            </w:r>
            <w:proofErr w:type="gramStart"/>
            <w:r w:rsidRPr="00415E1F">
              <w:rPr>
                <w:rFonts w:cs="Arial"/>
                <w:lang w:val="en-US"/>
              </w:rPr>
              <w:t>(!=</w:t>
            </w:r>
            <w:proofErr w:type="gramEnd"/>
            <w:r w:rsidRPr="00415E1F">
              <w:rPr>
                <w:rFonts w:cs="Arial"/>
                <w:lang w:val="en-US"/>
              </w:rPr>
              <w:t xml:space="preserve">2)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4206" w14:textId="2D9FC3F2" w:rsidR="00070A74" w:rsidRPr="00415E1F" w:rsidRDefault="00070A74" w:rsidP="00070A74">
            <w:pPr>
              <w:pStyle w:val="DHHStabletext"/>
            </w:pPr>
            <w:r w:rsidRPr="00415E1F">
              <w:rPr>
                <w:rFonts w:cs="Arial"/>
                <w:lang w:val="en-US" w:eastAsia="en-AU"/>
              </w:rPr>
              <w:t>DHHS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BD8B" w14:textId="059A259D" w:rsidR="00070A74" w:rsidRPr="00415E1F" w:rsidRDefault="00070A74" w:rsidP="00070A74">
            <w:pPr>
              <w:pStyle w:val="DHHStabletext"/>
            </w:pPr>
            <w:r w:rsidRPr="00415E1F">
              <w:rPr>
                <w:rFonts w:cs="Arial"/>
                <w:lang w:val="en-US" w:eastAsia="en-AU"/>
              </w:rPr>
              <w:t>warning</w:t>
            </w:r>
          </w:p>
        </w:tc>
      </w:tr>
    </w:tbl>
    <w:p w14:paraId="53BFF0BF" w14:textId="4AB87F1E" w:rsidR="007D6F70" w:rsidRDefault="007D6F70" w:rsidP="00F37BCE">
      <w:pPr>
        <w:pStyle w:val="DHHSbody"/>
      </w:pPr>
    </w:p>
    <w:tbl>
      <w:tblPr>
        <w:tblW w:w="98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2350"/>
        <w:gridCol w:w="2410"/>
        <w:gridCol w:w="2126"/>
        <w:gridCol w:w="992"/>
        <w:gridCol w:w="1028"/>
      </w:tblGrid>
      <w:tr w:rsidR="00473363" w:rsidRPr="00415E1F" w14:paraId="0B0B9A9C" w14:textId="77777777" w:rsidTr="00473363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B455E" w14:textId="556C22F4" w:rsidR="00473363" w:rsidRPr="00473363" w:rsidRDefault="00473363" w:rsidP="00473363">
            <w:pPr>
              <w:pStyle w:val="DHHStabletext"/>
            </w:pPr>
            <w:r w:rsidRPr="00415E1F">
              <w:rPr>
                <w:b/>
                <w:color w:val="002060"/>
              </w:rPr>
              <w:t>ID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0E976" w14:textId="17B28A24" w:rsidR="00473363" w:rsidRPr="00473363" w:rsidRDefault="00473363" w:rsidP="00473363">
            <w:pPr>
              <w:pStyle w:val="DHHStabletext"/>
              <w:rPr>
                <w:rFonts w:cs="Arial"/>
                <w:lang w:val="en-US" w:eastAsia="en-AU"/>
              </w:rPr>
            </w:pPr>
            <w:r w:rsidRPr="00415E1F">
              <w:rPr>
                <w:b/>
                <w:color w:val="002060"/>
              </w:rPr>
              <w:t xml:space="preserve">Edit name/description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92430" w14:textId="0437EA06" w:rsidR="00473363" w:rsidRPr="00473363" w:rsidRDefault="00473363" w:rsidP="00473363">
            <w:pPr>
              <w:pStyle w:val="DHHStabletext"/>
              <w:spacing w:before="60" w:line="256" w:lineRule="auto"/>
              <w:rPr>
                <w:rFonts w:cs="Arial"/>
                <w:lang w:val="en-US"/>
              </w:rPr>
            </w:pPr>
            <w:r w:rsidRPr="00415E1F">
              <w:rPr>
                <w:b/>
                <w:color w:val="002060"/>
              </w:rPr>
              <w:t>Data elements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3ADA" w14:textId="07ECCF43" w:rsidR="00473363" w:rsidRPr="00473363" w:rsidRDefault="00473363" w:rsidP="00473363">
            <w:pPr>
              <w:pStyle w:val="DHHStabletext"/>
              <w:spacing w:before="60" w:line="256" w:lineRule="auto"/>
              <w:rPr>
                <w:rFonts w:cs="Arial"/>
                <w:lang w:val="en-US"/>
              </w:rPr>
            </w:pPr>
            <w:r w:rsidRPr="00415E1F">
              <w:rPr>
                <w:b/>
                <w:color w:val="002060"/>
              </w:rPr>
              <w:t>Pseudo code/rule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88E0" w14:textId="50D9B820" w:rsidR="00473363" w:rsidRPr="00473363" w:rsidRDefault="00473363" w:rsidP="00473363">
            <w:pPr>
              <w:pStyle w:val="DHHStabletext"/>
              <w:rPr>
                <w:rFonts w:cs="Arial"/>
                <w:lang w:val="en-US" w:eastAsia="en-AU"/>
              </w:rPr>
            </w:pPr>
            <w:r w:rsidRPr="00415E1F">
              <w:rPr>
                <w:b/>
                <w:color w:val="002060"/>
              </w:rPr>
              <w:t>Source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BE63" w14:textId="0D5C4097" w:rsidR="00473363" w:rsidRPr="00473363" w:rsidRDefault="00473363" w:rsidP="00473363">
            <w:pPr>
              <w:pStyle w:val="DHHStabletext"/>
              <w:rPr>
                <w:rFonts w:cs="Arial"/>
                <w:lang w:val="en-US" w:eastAsia="en-AU"/>
              </w:rPr>
            </w:pPr>
            <w:r w:rsidRPr="00415E1F">
              <w:rPr>
                <w:b/>
                <w:color w:val="002060"/>
              </w:rPr>
              <w:t>Status</w:t>
            </w:r>
          </w:p>
        </w:tc>
      </w:tr>
      <w:tr w:rsidR="00C82347" w:rsidRPr="00AF022B" w14:paraId="00496AC7" w14:textId="77777777" w:rsidTr="0059634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2DC1C" w14:textId="77777777" w:rsidR="00C82347" w:rsidRPr="00C82347" w:rsidRDefault="00C82347" w:rsidP="0059634E">
            <w:pPr>
              <w:pStyle w:val="DHHStabletext"/>
            </w:pPr>
            <w:r w:rsidRPr="00C82347">
              <w:t>AOD5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2E881" w14:textId="77777777" w:rsidR="00C82347" w:rsidRPr="00C82347" w:rsidRDefault="00C82347" w:rsidP="0059634E">
            <w:pPr>
              <w:pStyle w:val="DHHStabletext"/>
              <w:rPr>
                <w:rFonts w:cs="Arial"/>
                <w:lang w:val="en-US" w:eastAsia="en-AU"/>
              </w:rPr>
            </w:pPr>
            <w:r w:rsidRPr="00C82347">
              <w:rPr>
                <w:rFonts w:cs="Arial"/>
                <w:lang w:val="en-US" w:eastAsia="en-AU"/>
              </w:rPr>
              <w:t>Date cannot be in the future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E5788" w14:textId="77777777" w:rsidR="00C82347" w:rsidRPr="00C82347" w:rsidRDefault="00C82347" w:rsidP="0059634E">
            <w:pPr>
              <w:pStyle w:val="DHHStabletext"/>
              <w:spacing w:before="60" w:line="256" w:lineRule="auto"/>
              <w:rPr>
                <w:rFonts w:cs="Arial"/>
                <w:lang w:val="en-US"/>
              </w:rPr>
            </w:pPr>
            <w:r w:rsidRPr="00C82347">
              <w:rPr>
                <w:rFonts w:cs="Arial"/>
                <w:lang w:val="en-US"/>
              </w:rPr>
              <w:t>Client-date first registered</w:t>
            </w:r>
          </w:p>
          <w:p w14:paraId="0F60DEDE" w14:textId="77777777" w:rsidR="00C82347" w:rsidRPr="00C82347" w:rsidRDefault="00C82347" w:rsidP="0059634E">
            <w:pPr>
              <w:pStyle w:val="DHHStabletext"/>
              <w:spacing w:before="60" w:line="256" w:lineRule="auto"/>
              <w:rPr>
                <w:rFonts w:cs="Arial"/>
                <w:lang w:val="en-US"/>
              </w:rPr>
            </w:pPr>
            <w:r w:rsidRPr="00C82347">
              <w:rPr>
                <w:rFonts w:cs="Arial"/>
                <w:highlight w:val="yellow"/>
                <w:lang w:val="en-US"/>
              </w:rPr>
              <w:t>Contact-contact date</w:t>
            </w:r>
          </w:p>
          <w:p w14:paraId="12529D27" w14:textId="77777777" w:rsidR="00C82347" w:rsidRPr="00C82347" w:rsidRDefault="00C82347" w:rsidP="0059634E">
            <w:pPr>
              <w:pStyle w:val="DHHStabletext"/>
              <w:spacing w:before="60" w:line="256" w:lineRule="auto"/>
              <w:rPr>
                <w:rFonts w:cs="Arial"/>
                <w:lang w:val="en-US"/>
              </w:rPr>
            </w:pPr>
            <w:r w:rsidRPr="00C82347">
              <w:rPr>
                <w:rFonts w:cs="Arial"/>
                <w:lang w:val="en-US"/>
              </w:rPr>
              <w:t>Event-start date</w:t>
            </w:r>
          </w:p>
          <w:p w14:paraId="0663A4FB" w14:textId="77777777" w:rsidR="00C82347" w:rsidRPr="00C82347" w:rsidRDefault="00C82347" w:rsidP="0059634E">
            <w:pPr>
              <w:pStyle w:val="DHHStabletext"/>
              <w:spacing w:before="60" w:line="256" w:lineRule="auto"/>
              <w:rPr>
                <w:rFonts w:cs="Arial"/>
                <w:lang w:val="en-US"/>
              </w:rPr>
            </w:pPr>
            <w:r w:rsidRPr="00C82347">
              <w:rPr>
                <w:rFonts w:cs="Arial"/>
                <w:lang w:val="en-US"/>
              </w:rPr>
              <w:t>Event-assessment completed date</w:t>
            </w:r>
          </w:p>
          <w:p w14:paraId="37BCF36C" w14:textId="77777777" w:rsidR="00C82347" w:rsidRPr="00C82347" w:rsidRDefault="00C82347" w:rsidP="0059634E">
            <w:pPr>
              <w:pStyle w:val="DHHStabletext"/>
              <w:spacing w:before="60" w:line="256" w:lineRule="auto"/>
              <w:rPr>
                <w:rFonts w:cs="Arial"/>
                <w:lang w:val="en-US"/>
              </w:rPr>
            </w:pPr>
            <w:r w:rsidRPr="00C82347">
              <w:rPr>
                <w:rFonts w:cs="Arial"/>
                <w:lang w:val="en-US"/>
              </w:rPr>
              <w:t>Outcomes-Client review date</w:t>
            </w:r>
          </w:p>
          <w:p w14:paraId="66D33F96" w14:textId="77777777" w:rsidR="00C82347" w:rsidRPr="00C82347" w:rsidRDefault="00C82347" w:rsidP="0059634E">
            <w:pPr>
              <w:pStyle w:val="DHHStabletext"/>
              <w:spacing w:before="60" w:line="256" w:lineRule="auto"/>
              <w:rPr>
                <w:rFonts w:cs="Arial"/>
                <w:lang w:val="en-US"/>
              </w:rPr>
            </w:pPr>
            <w:r w:rsidRPr="00C82347">
              <w:rPr>
                <w:rFonts w:cs="Arial"/>
                <w:lang w:val="en-US"/>
              </w:rPr>
              <w:t>Drug Concern-date last use</w:t>
            </w:r>
          </w:p>
          <w:p w14:paraId="513B5706" w14:textId="77777777" w:rsidR="00C82347" w:rsidRPr="00C82347" w:rsidRDefault="00C82347" w:rsidP="0059634E">
            <w:pPr>
              <w:pStyle w:val="DHHStabletext"/>
              <w:spacing w:before="60" w:line="256" w:lineRule="auto"/>
              <w:rPr>
                <w:rFonts w:cs="Arial"/>
                <w:lang w:val="en-US"/>
              </w:rPr>
            </w:pPr>
            <w:r w:rsidRPr="00C82347">
              <w:rPr>
                <w:rFonts w:cs="Arial"/>
                <w:lang w:val="en-US"/>
              </w:rPr>
              <w:t>Referral-referral date</w:t>
            </w:r>
          </w:p>
          <w:p w14:paraId="7CF0B75C" w14:textId="565BE0EA" w:rsidR="00C82347" w:rsidRPr="00C82347" w:rsidRDefault="00C82347" w:rsidP="0059634E">
            <w:pPr>
              <w:pStyle w:val="DHHStabletext"/>
              <w:spacing w:before="60" w:line="256" w:lineRule="auto"/>
              <w:rPr>
                <w:rFonts w:cs="Arial"/>
                <w:lang w:val="en-US"/>
              </w:rPr>
            </w:pPr>
            <w:r w:rsidRPr="00C82347">
              <w:rPr>
                <w:rFonts w:cs="Arial"/>
                <w:lang w:val="en-US"/>
              </w:rPr>
              <w:t>Technical-reporting period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3E08" w14:textId="77777777" w:rsidR="00C82347" w:rsidRPr="00C82347" w:rsidRDefault="00C82347" w:rsidP="0059634E">
            <w:pPr>
              <w:pStyle w:val="DHHStabletext"/>
              <w:spacing w:before="60" w:line="256" w:lineRule="auto"/>
              <w:rPr>
                <w:rFonts w:cs="Arial"/>
                <w:lang w:val="en-US"/>
              </w:rPr>
            </w:pPr>
            <w:r w:rsidRPr="00C82347">
              <w:rPr>
                <w:rFonts w:cs="Arial"/>
                <w:lang w:val="en-US"/>
              </w:rPr>
              <w:t>date &gt; last day of reporting period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8B41" w14:textId="77777777" w:rsidR="00C82347" w:rsidRPr="00C82347" w:rsidRDefault="00C82347" w:rsidP="0059634E">
            <w:pPr>
              <w:pStyle w:val="DHHStabletext"/>
              <w:rPr>
                <w:rFonts w:cs="Arial"/>
                <w:lang w:val="en-US" w:eastAsia="en-AU"/>
              </w:rPr>
            </w:pPr>
            <w:r w:rsidRPr="00C82347">
              <w:rPr>
                <w:rFonts w:cs="Arial"/>
                <w:lang w:val="en-US" w:eastAsia="en-AU"/>
              </w:rPr>
              <w:t>DHHS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07FD" w14:textId="77777777" w:rsidR="00C82347" w:rsidRPr="00C82347" w:rsidRDefault="00C82347" w:rsidP="0059634E">
            <w:pPr>
              <w:pStyle w:val="DHHStabletext"/>
              <w:rPr>
                <w:rFonts w:cs="Arial"/>
                <w:lang w:val="en-US" w:eastAsia="en-AU"/>
              </w:rPr>
            </w:pPr>
            <w:r w:rsidRPr="00C82347">
              <w:rPr>
                <w:rFonts w:cs="Arial"/>
                <w:lang w:val="en-US" w:eastAsia="en-AU"/>
              </w:rPr>
              <w:t>error</w:t>
            </w:r>
          </w:p>
        </w:tc>
      </w:tr>
    </w:tbl>
    <w:p w14:paraId="5BA1F83D" w14:textId="6FBD1A6B" w:rsidR="00C82347" w:rsidRDefault="00C82347" w:rsidP="00F37BCE">
      <w:pPr>
        <w:pStyle w:val="DHHSbody"/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7088"/>
      </w:tblGrid>
      <w:tr w:rsidR="000244CE" w:rsidRPr="00415E1F" w14:paraId="6EC4A462" w14:textId="77777777" w:rsidTr="000244CE">
        <w:tc>
          <w:tcPr>
            <w:tcW w:w="2722" w:type="dxa"/>
            <w:shd w:val="clear" w:color="auto" w:fill="auto"/>
          </w:tcPr>
          <w:p w14:paraId="712D3E6E" w14:textId="2C54836F" w:rsidR="000244CE" w:rsidRPr="00415E1F" w:rsidRDefault="000244CE" w:rsidP="00125D2F">
            <w:pPr>
              <w:pStyle w:val="DHHStabletext"/>
              <w:rPr>
                <w:b/>
                <w:color w:val="002060"/>
              </w:rPr>
            </w:pPr>
            <w:r w:rsidRPr="00415E1F">
              <w:rPr>
                <w:b/>
                <w:color w:val="002060"/>
              </w:rPr>
              <w:t>SECTION</w:t>
            </w:r>
          </w:p>
        </w:tc>
        <w:tc>
          <w:tcPr>
            <w:tcW w:w="7088" w:type="dxa"/>
            <w:shd w:val="clear" w:color="auto" w:fill="auto"/>
          </w:tcPr>
          <w:p w14:paraId="6FC0F978" w14:textId="71E02E66" w:rsidR="000244CE" w:rsidRPr="00415E1F" w:rsidRDefault="000244CE" w:rsidP="00125D2F">
            <w:pPr>
              <w:pStyle w:val="DHHStabletext"/>
              <w:rPr>
                <w:b/>
                <w:color w:val="002060"/>
              </w:rPr>
            </w:pPr>
            <w:r w:rsidRPr="00415E1F">
              <w:rPr>
                <w:b/>
                <w:color w:val="002060"/>
              </w:rPr>
              <w:t xml:space="preserve">Description </w:t>
            </w:r>
          </w:p>
        </w:tc>
      </w:tr>
      <w:tr w:rsidR="000244CE" w:rsidRPr="00415E1F" w14:paraId="4E0DB7A9" w14:textId="77777777" w:rsidTr="000244CE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0C086" w14:textId="77777777" w:rsidR="00222B70" w:rsidRPr="00415E1F" w:rsidRDefault="000244CE" w:rsidP="00125D2F">
            <w:pPr>
              <w:pStyle w:val="DHHStabletext"/>
              <w:rPr>
                <w:b/>
              </w:rPr>
            </w:pPr>
            <w:r w:rsidRPr="00415E1F">
              <w:rPr>
                <w:b/>
              </w:rPr>
              <w:t>5.4.2 Event – course length</w:t>
            </w:r>
            <w:r w:rsidR="00222B70" w:rsidRPr="00415E1F">
              <w:rPr>
                <w:b/>
              </w:rPr>
              <w:t xml:space="preserve"> </w:t>
            </w:r>
          </w:p>
          <w:p w14:paraId="08E34694" w14:textId="5DBDDB1C" w:rsidR="00222B70" w:rsidRPr="00415E1F" w:rsidRDefault="00222B70" w:rsidP="00125D2F">
            <w:pPr>
              <w:pStyle w:val="DHHStabletext"/>
              <w:rPr>
                <w:rFonts w:ascii="Verdana" w:hAnsi="Verdana"/>
                <w:b/>
                <w:w w:val="90"/>
                <w:sz w:val="18"/>
                <w:szCs w:val="18"/>
              </w:rPr>
            </w:pPr>
            <w:r w:rsidRPr="00415E1F">
              <w:rPr>
                <w:rFonts w:ascii="Verdana" w:hAnsi="Verdana"/>
                <w:b/>
                <w:w w:val="90"/>
                <w:sz w:val="18"/>
                <w:szCs w:val="18"/>
              </w:rPr>
              <w:t>Guide for use (</w:t>
            </w:r>
            <w:r w:rsidRPr="00415E1F">
              <w:rPr>
                <w:b/>
              </w:rPr>
              <w:t>p.107)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994"/>
              <w:gridCol w:w="6146"/>
            </w:tblGrid>
            <w:tr w:rsidR="000244CE" w:rsidRPr="00415E1F" w14:paraId="4DFF5DB0" w14:textId="77777777" w:rsidTr="00125D2F">
              <w:tc>
                <w:tcPr>
                  <w:tcW w:w="994" w:type="dxa"/>
                </w:tcPr>
                <w:p w14:paraId="0A3B16D4" w14:textId="77777777" w:rsidR="000244CE" w:rsidRPr="00415E1F" w:rsidRDefault="000244CE" w:rsidP="000244CE">
                  <w:pPr>
                    <w:pStyle w:val="DHHSbody"/>
                  </w:pPr>
                  <w:r w:rsidRPr="00415E1F">
                    <w:t>Code 2</w:t>
                  </w:r>
                </w:p>
              </w:tc>
              <w:tc>
                <w:tcPr>
                  <w:tcW w:w="6146" w:type="dxa"/>
                </w:tcPr>
                <w:p w14:paraId="17E784E1" w14:textId="77777777" w:rsidR="000244CE" w:rsidRPr="00415E1F" w:rsidRDefault="000244CE" w:rsidP="000244CE">
                  <w:pPr>
                    <w:pStyle w:val="DHHSbody"/>
                  </w:pPr>
                  <w:r w:rsidRPr="00415E1F">
                    <w:t>Should be used for long, or “complex” treatment that is extended past the standard length of treatment</w:t>
                  </w:r>
                </w:p>
                <w:p w14:paraId="27E1789E" w14:textId="77777777" w:rsidR="000244CE" w:rsidRPr="00415E1F" w:rsidRDefault="000244CE" w:rsidP="000244CE">
                  <w:pPr>
                    <w:pStyle w:val="DHHSbody"/>
                  </w:pPr>
                  <w:r w:rsidRPr="00415E1F">
                    <w:t>Includes where length of residential length of stay is:</w:t>
                  </w:r>
                </w:p>
                <w:p w14:paraId="0FDD06D0" w14:textId="77777777" w:rsidR="000244CE" w:rsidRPr="00415E1F" w:rsidRDefault="000244CE" w:rsidP="000244CE">
                  <w:pPr>
                    <w:pStyle w:val="DHHSbody"/>
                  </w:pPr>
                  <w:r w:rsidRPr="00415E1F">
                    <w:t>&gt;10 days for funding source codes 119,120,121</w:t>
                  </w:r>
                </w:p>
                <w:p w14:paraId="2D5B22FE" w14:textId="07163766" w:rsidR="000244CE" w:rsidRPr="00415E1F" w:rsidRDefault="000244CE" w:rsidP="000244CE">
                  <w:pPr>
                    <w:pStyle w:val="DHHSbody"/>
                  </w:pPr>
                  <w:r w:rsidRPr="00415E1F">
                    <w:t>&gt;</w:t>
                  </w:r>
                  <w:r w:rsidRPr="001D519C">
                    <w:rPr>
                      <w:strike/>
                      <w:highlight w:val="yellow"/>
                    </w:rPr>
                    <w:t>60</w:t>
                  </w:r>
                  <w:r w:rsidR="00222B70" w:rsidRPr="001D519C">
                    <w:rPr>
                      <w:highlight w:val="yellow"/>
                    </w:rPr>
                    <w:t xml:space="preserve"> 90</w:t>
                  </w:r>
                  <w:r w:rsidRPr="00415E1F">
                    <w:t xml:space="preserve"> days for funding source codes 126,127</w:t>
                  </w:r>
                </w:p>
                <w:p w14:paraId="1C5A446A" w14:textId="19152580" w:rsidR="000244CE" w:rsidRPr="00415E1F" w:rsidRDefault="000244CE" w:rsidP="000244CE">
                  <w:pPr>
                    <w:pStyle w:val="DHHSbody"/>
                  </w:pPr>
                  <w:r w:rsidRPr="00415E1F">
                    <w:t>&gt;</w:t>
                  </w:r>
                  <w:r w:rsidRPr="001D519C">
                    <w:rPr>
                      <w:strike/>
                      <w:highlight w:val="yellow"/>
                    </w:rPr>
                    <w:t>90</w:t>
                  </w:r>
                  <w:r w:rsidR="00222B70" w:rsidRPr="001D519C">
                    <w:rPr>
                      <w:highlight w:val="yellow"/>
                    </w:rPr>
                    <w:t xml:space="preserve"> 160</w:t>
                  </w:r>
                  <w:r w:rsidRPr="00415E1F">
                    <w:t xml:space="preserve"> days for funding source codes 106,125,128</w:t>
                  </w:r>
                </w:p>
              </w:tc>
            </w:tr>
          </w:tbl>
          <w:p w14:paraId="121762BA" w14:textId="77B23228" w:rsidR="000244CE" w:rsidRPr="00415E1F" w:rsidRDefault="000244CE" w:rsidP="00125D2F">
            <w:pPr>
              <w:pStyle w:val="DHHStabletext"/>
            </w:pPr>
          </w:p>
        </w:tc>
      </w:tr>
    </w:tbl>
    <w:p w14:paraId="25592159" w14:textId="11B943CF" w:rsidR="00452BE2" w:rsidRPr="00415E1F" w:rsidRDefault="00D649A0" w:rsidP="00BB30C8">
      <w:pPr>
        <w:pStyle w:val="Heading1"/>
        <w:numPr>
          <w:ilvl w:val="0"/>
          <w:numId w:val="24"/>
        </w:numPr>
      </w:pPr>
      <w:bookmarkStart w:id="8" w:name="_Toc12463480"/>
      <w:r w:rsidRPr="00415E1F">
        <w:lastRenderedPageBreak/>
        <w:t>Testing extracts</w:t>
      </w:r>
      <w:r w:rsidR="00AA05B7" w:rsidRPr="00415E1F">
        <w:t xml:space="preserve"> fo</w:t>
      </w:r>
      <w:r w:rsidR="004512BF" w:rsidRPr="00415E1F">
        <w:t>r</w:t>
      </w:r>
      <w:r w:rsidR="00AA05B7" w:rsidRPr="00415E1F">
        <w:t xml:space="preserve"> 2019-20</w:t>
      </w:r>
      <w:r w:rsidR="004512BF" w:rsidRPr="00415E1F">
        <w:t xml:space="preserve"> data</w:t>
      </w:r>
      <w:bookmarkEnd w:id="8"/>
    </w:p>
    <w:p w14:paraId="1C14042E" w14:textId="10B34D3B" w:rsidR="00AA05B7" w:rsidRPr="00415E1F" w:rsidRDefault="00AA05B7" w:rsidP="00AA05B7">
      <w:pPr>
        <w:pStyle w:val="DHHSbody"/>
        <w:rPr>
          <w:rFonts w:cs="Arial"/>
        </w:rPr>
      </w:pPr>
      <w:r w:rsidRPr="00415E1F">
        <w:rPr>
          <w:rFonts w:cs="Arial"/>
        </w:rPr>
        <w:t>Agencies can submit test files before submitting production data for July and August 2019 reporting periods.</w:t>
      </w:r>
    </w:p>
    <w:p w14:paraId="5DDFC91D" w14:textId="45436AEC" w:rsidR="00124523" w:rsidRPr="00882D19" w:rsidRDefault="00124523" w:rsidP="00882D19">
      <w:pPr>
        <w:pStyle w:val="DHHSbody"/>
        <w:numPr>
          <w:ilvl w:val="0"/>
          <w:numId w:val="28"/>
        </w:numPr>
        <w:rPr>
          <w:rStyle w:val="Hyperlink"/>
          <w:color w:val="auto"/>
          <w:u w:val="none"/>
        </w:rPr>
      </w:pPr>
      <w:r w:rsidRPr="00882D19">
        <w:rPr>
          <w:rStyle w:val="Hyperlink"/>
          <w:color w:val="auto"/>
          <w:u w:val="none"/>
        </w:rPr>
        <w:t xml:space="preserve">Email files testing the 2019-20 format to </w:t>
      </w:r>
      <w:hyperlink r:id="rId11" w:history="1">
        <w:r w:rsidR="00882D19" w:rsidRPr="00415E1F">
          <w:rPr>
            <w:rStyle w:val="Hyperlink"/>
            <w:color w:val="4472C4" w:themeColor="accent1"/>
          </w:rPr>
          <w:t>VADC_data@dhhs.vic.gov.au</w:t>
        </w:r>
      </w:hyperlink>
      <w:r w:rsidR="00882D19">
        <w:rPr>
          <w:rStyle w:val="Hyperlink"/>
          <w:color w:val="auto"/>
          <w:u w:val="none"/>
        </w:rPr>
        <w:t xml:space="preserve"> </w:t>
      </w:r>
    </w:p>
    <w:p w14:paraId="2300364C" w14:textId="5F607A34" w:rsidR="00124523" w:rsidRPr="00882D19" w:rsidRDefault="00124523" w:rsidP="00882D19">
      <w:pPr>
        <w:pStyle w:val="DHHSbody"/>
        <w:numPr>
          <w:ilvl w:val="0"/>
          <w:numId w:val="28"/>
        </w:numPr>
        <w:rPr>
          <w:rStyle w:val="Hyperlink"/>
          <w:color w:val="auto"/>
          <w:u w:val="none"/>
        </w:rPr>
      </w:pPr>
      <w:r w:rsidRPr="00882D19">
        <w:rPr>
          <w:rStyle w:val="Hyperlink"/>
          <w:color w:val="auto"/>
          <w:u w:val="none"/>
        </w:rPr>
        <w:t>The subject line of the email should be TEST 2019-2</w:t>
      </w:r>
      <w:r w:rsidR="0052531D">
        <w:rPr>
          <w:rStyle w:val="Hyperlink"/>
          <w:color w:val="auto"/>
          <w:u w:val="none"/>
        </w:rPr>
        <w:t>0</w:t>
      </w:r>
    </w:p>
    <w:p w14:paraId="026CF8D7" w14:textId="40893860" w:rsidR="00124523" w:rsidRPr="00882D19" w:rsidRDefault="001D519C" w:rsidP="00882D19">
      <w:pPr>
        <w:pStyle w:val="DHHSbody"/>
        <w:numPr>
          <w:ilvl w:val="0"/>
          <w:numId w:val="28"/>
        </w:numPr>
        <w:rPr>
          <w:rStyle w:val="Hyperlink"/>
          <w:color w:val="auto"/>
          <w:u w:val="none"/>
        </w:rPr>
      </w:pPr>
      <w:r w:rsidRPr="00882D19">
        <w:rPr>
          <w:rStyle w:val="Hyperlink"/>
          <w:color w:val="auto"/>
          <w:u w:val="none"/>
        </w:rPr>
        <w:t>P</w:t>
      </w:r>
      <w:r w:rsidR="00124523" w:rsidRPr="00882D19">
        <w:rPr>
          <w:rStyle w:val="Hyperlink"/>
          <w:color w:val="auto"/>
          <w:u w:val="none"/>
        </w:rPr>
        <w:t xml:space="preserve">assword protect any emailed </w:t>
      </w:r>
      <w:r w:rsidR="004512BF" w:rsidRPr="00882D19">
        <w:rPr>
          <w:rStyle w:val="Hyperlink"/>
          <w:color w:val="auto"/>
          <w:u w:val="none"/>
        </w:rPr>
        <w:t xml:space="preserve">2019-20 test </w:t>
      </w:r>
      <w:r w:rsidR="00124523" w:rsidRPr="00882D19">
        <w:rPr>
          <w:rStyle w:val="Hyperlink"/>
          <w:color w:val="auto"/>
          <w:u w:val="none"/>
        </w:rPr>
        <w:t xml:space="preserve">files </w:t>
      </w:r>
      <w:r w:rsidR="004B5DA6" w:rsidRPr="00882D19">
        <w:rPr>
          <w:rStyle w:val="Hyperlink"/>
          <w:color w:val="auto"/>
          <w:u w:val="none"/>
        </w:rPr>
        <w:t>that</w:t>
      </w:r>
      <w:r w:rsidR="00124523" w:rsidRPr="00882D19">
        <w:rPr>
          <w:rStyle w:val="Hyperlink"/>
          <w:color w:val="auto"/>
          <w:u w:val="none"/>
        </w:rPr>
        <w:t xml:space="preserve"> contain real client data</w:t>
      </w:r>
      <w:r w:rsidR="002611F7">
        <w:rPr>
          <w:rStyle w:val="Hyperlink"/>
          <w:color w:val="auto"/>
          <w:u w:val="none"/>
        </w:rPr>
        <w:t>. W</w:t>
      </w:r>
      <w:r w:rsidR="00124523" w:rsidRPr="00882D19">
        <w:rPr>
          <w:rStyle w:val="Hyperlink"/>
          <w:color w:val="auto"/>
          <w:u w:val="none"/>
        </w:rPr>
        <w:t>e will contact you to get the password</w:t>
      </w:r>
      <w:r w:rsidR="002611F7">
        <w:rPr>
          <w:rStyle w:val="Hyperlink"/>
          <w:color w:val="auto"/>
          <w:u w:val="none"/>
        </w:rPr>
        <w:t>.</w:t>
      </w:r>
    </w:p>
    <w:p w14:paraId="1FA73876" w14:textId="6B49FC80" w:rsidR="00124523" w:rsidRPr="00882D19" w:rsidRDefault="004512BF" w:rsidP="00882D19">
      <w:pPr>
        <w:pStyle w:val="DHHSbody"/>
        <w:numPr>
          <w:ilvl w:val="0"/>
          <w:numId w:val="28"/>
        </w:numPr>
        <w:rPr>
          <w:rStyle w:val="Hyperlink"/>
          <w:color w:val="auto"/>
          <w:u w:val="none"/>
        </w:rPr>
      </w:pPr>
      <w:r w:rsidRPr="00882D19">
        <w:rPr>
          <w:rStyle w:val="Hyperlink"/>
          <w:color w:val="auto"/>
          <w:u w:val="none"/>
        </w:rPr>
        <w:t>You do not need to password protect 2019-20 test files which contain “dummy” data</w:t>
      </w:r>
    </w:p>
    <w:p w14:paraId="5528C2ED" w14:textId="0EE466D7" w:rsidR="004512BF" w:rsidRPr="00882D19" w:rsidRDefault="004512BF" w:rsidP="00882D19">
      <w:pPr>
        <w:pStyle w:val="DHHSbody"/>
        <w:numPr>
          <w:ilvl w:val="0"/>
          <w:numId w:val="28"/>
        </w:numPr>
        <w:rPr>
          <w:rStyle w:val="Hyperlink"/>
          <w:color w:val="auto"/>
          <w:u w:val="none"/>
        </w:rPr>
      </w:pPr>
      <w:r w:rsidRPr="00882D19">
        <w:rPr>
          <w:rStyle w:val="Hyperlink"/>
          <w:color w:val="auto"/>
          <w:u w:val="none"/>
        </w:rPr>
        <w:t>We will return your 2019-20 test file validation reports</w:t>
      </w:r>
    </w:p>
    <w:p w14:paraId="5B270B27" w14:textId="77777777" w:rsidR="00007AD9" w:rsidRPr="00415E1F" w:rsidRDefault="00452BE2" w:rsidP="00BB30C8">
      <w:pPr>
        <w:pStyle w:val="Heading1"/>
        <w:numPr>
          <w:ilvl w:val="0"/>
          <w:numId w:val="24"/>
        </w:numPr>
      </w:pPr>
      <w:bookmarkStart w:id="9" w:name="_Toc12463481"/>
      <w:r w:rsidRPr="00415E1F">
        <w:t>Contact details</w:t>
      </w:r>
      <w:bookmarkEnd w:id="9"/>
      <w:r w:rsidRPr="00415E1F">
        <w:t xml:space="preserve"> </w:t>
      </w:r>
    </w:p>
    <w:p w14:paraId="03E3CA09" w14:textId="4F258FCB" w:rsidR="00C37A8E" w:rsidRDefault="00452BE2" w:rsidP="00FF6D9D">
      <w:pPr>
        <w:pStyle w:val="DHHSbody"/>
        <w:rPr>
          <w:rStyle w:val="Hyperlink"/>
          <w:color w:val="4472C4" w:themeColor="accent1"/>
        </w:rPr>
      </w:pPr>
      <w:r w:rsidRPr="00415E1F">
        <w:t xml:space="preserve">VADC </w:t>
      </w:r>
      <w:r w:rsidR="00D37C21" w:rsidRPr="00415E1F">
        <w:t>B</w:t>
      </w:r>
      <w:r w:rsidRPr="00415E1F">
        <w:t>ulletin</w:t>
      </w:r>
      <w:r w:rsidR="00AF5E1F" w:rsidRPr="00415E1F">
        <w:t>s</w:t>
      </w:r>
      <w:r w:rsidRPr="00415E1F">
        <w:t xml:space="preserve"> </w:t>
      </w:r>
      <w:r w:rsidR="00AF5E1F" w:rsidRPr="00415E1F">
        <w:t>are</w:t>
      </w:r>
      <w:r w:rsidRPr="00415E1F">
        <w:t xml:space="preserve"> produced at intervals to provide </w:t>
      </w:r>
      <w:r w:rsidR="00D37C21" w:rsidRPr="00415E1F">
        <w:t xml:space="preserve">updates to specification and current data issues. </w:t>
      </w:r>
      <w:r w:rsidR="007A5ADD" w:rsidRPr="00415E1F">
        <w:t xml:space="preserve"> </w:t>
      </w:r>
      <w:r w:rsidRPr="00415E1F">
        <w:t xml:space="preserve">Service providers are encouraged to submit </w:t>
      </w:r>
      <w:r w:rsidR="00E86282" w:rsidRPr="00415E1F">
        <w:t>VADC queries and</w:t>
      </w:r>
      <w:r w:rsidRPr="00415E1F">
        <w:t xml:space="preserve"> feedback to </w:t>
      </w:r>
      <w:bookmarkStart w:id="10" w:name="_Hlk12344669"/>
      <w:r w:rsidR="007C1B9B">
        <w:rPr>
          <w:rStyle w:val="Hyperlink"/>
          <w:color w:val="4472C4" w:themeColor="accent1"/>
        </w:rPr>
        <w:fldChar w:fldCharType="begin"/>
      </w:r>
      <w:r w:rsidR="007C1B9B">
        <w:rPr>
          <w:rStyle w:val="Hyperlink"/>
          <w:color w:val="4472C4" w:themeColor="accent1"/>
        </w:rPr>
        <w:instrText xml:space="preserve"> HYPERLINK "mailto:VADC_data@dhhs.vic.gov.au" </w:instrText>
      </w:r>
      <w:r w:rsidR="007C1B9B">
        <w:rPr>
          <w:rStyle w:val="Hyperlink"/>
          <w:color w:val="4472C4" w:themeColor="accent1"/>
        </w:rPr>
        <w:fldChar w:fldCharType="separate"/>
      </w:r>
      <w:r w:rsidR="00016432" w:rsidRPr="00415E1F">
        <w:rPr>
          <w:rStyle w:val="Hyperlink"/>
          <w:color w:val="4472C4" w:themeColor="accent1"/>
        </w:rPr>
        <w:t>VADC_data@dhhs.vic.gov.au</w:t>
      </w:r>
      <w:r w:rsidR="007C1B9B">
        <w:rPr>
          <w:rStyle w:val="Hyperlink"/>
          <w:color w:val="4472C4" w:themeColor="accent1"/>
        </w:rPr>
        <w:fldChar w:fldCharType="end"/>
      </w:r>
      <w:bookmarkEnd w:id="10"/>
    </w:p>
    <w:p w14:paraId="6F0A2D6B" w14:textId="747D576E" w:rsidR="001402E0" w:rsidRDefault="001402E0" w:rsidP="00FF6D9D">
      <w:pPr>
        <w:pStyle w:val="DHHSbody"/>
        <w:rPr>
          <w:rStyle w:val="Hyperlink"/>
          <w:color w:val="4472C4" w:themeColor="accent1"/>
        </w:rPr>
      </w:pPr>
    </w:p>
    <w:tbl>
      <w:tblPr>
        <w:tblW w:w="4800" w:type="pct"/>
        <w:tblInd w:w="113" w:type="dxa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9786"/>
      </w:tblGrid>
      <w:tr w:rsidR="001402E0" w:rsidRPr="002802E3" w14:paraId="0D249072" w14:textId="77777777" w:rsidTr="00F17EF9">
        <w:trPr>
          <w:cantSplit/>
        </w:trPr>
        <w:tc>
          <w:tcPr>
            <w:tcW w:w="4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7BED4" w14:textId="77777777" w:rsidR="00B01FF0" w:rsidRPr="00254F58" w:rsidRDefault="00B01FF0" w:rsidP="00B01FF0">
            <w:pPr>
              <w:pStyle w:val="DHHSaccessibilitypara"/>
            </w:pPr>
            <w:r w:rsidRPr="00254F58">
              <w:t xml:space="preserve">To receive this publication in </w:t>
            </w:r>
            <w:r w:rsidRPr="00770F37">
              <w:t>an</w:t>
            </w:r>
            <w:r w:rsidRPr="00254F58">
              <w:t xml:space="preserve"> accessible format </w:t>
            </w:r>
            <w:hyperlink r:id="rId12" w:history="1">
              <w:r w:rsidRPr="0087696B">
                <w:rPr>
                  <w:rStyle w:val="Hyperlink"/>
                </w:rPr>
                <w:t>email VADC Data</w:t>
              </w:r>
            </w:hyperlink>
            <w:r w:rsidRPr="00254F58">
              <w:t xml:space="preserve"> </w:t>
            </w:r>
            <w:r w:rsidRPr="0087696B">
              <w:t>&lt;vadc_data@dhhs.vic.gov.au&gt;</w:t>
            </w:r>
          </w:p>
          <w:p w14:paraId="1E60951F" w14:textId="77777777" w:rsidR="00B01FF0" w:rsidRPr="00254F58" w:rsidRDefault="00B01FF0" w:rsidP="00B01FF0">
            <w:pPr>
              <w:pStyle w:val="DHHSbody"/>
            </w:pPr>
            <w:r w:rsidRPr="00254F58">
              <w:t>Authorised and published by the Victorian Governmen</w:t>
            </w:r>
            <w:r>
              <w:t>t, 1 Treasury Place, Melbourne.</w:t>
            </w:r>
          </w:p>
          <w:p w14:paraId="7A459263" w14:textId="46E6560A" w:rsidR="00B01FF0" w:rsidRPr="00254F58" w:rsidRDefault="00B01FF0" w:rsidP="00B01FF0">
            <w:pPr>
              <w:pStyle w:val="DHHSbody"/>
            </w:pPr>
            <w:r w:rsidRPr="00254F58">
              <w:t xml:space="preserve">© State of </w:t>
            </w:r>
            <w:r>
              <w:t>Victoria, Department of Health and</w:t>
            </w:r>
            <w:r w:rsidRPr="00254F58">
              <w:t xml:space="preserve"> Human Services</w:t>
            </w:r>
            <w:r>
              <w:t xml:space="preserve"> 26</w:t>
            </w:r>
            <w:r w:rsidRPr="00BA3F8D">
              <w:rPr>
                <w:color w:val="008950"/>
              </w:rPr>
              <w:t xml:space="preserve"> </w:t>
            </w:r>
            <w:proofErr w:type="gramStart"/>
            <w:r>
              <w:t>June,</w:t>
            </w:r>
            <w:proofErr w:type="gramEnd"/>
            <w:r w:rsidRPr="00A9126C">
              <w:t xml:space="preserve"> 201</w:t>
            </w:r>
            <w:r>
              <w:t>9</w:t>
            </w:r>
          </w:p>
          <w:p w14:paraId="2693BF74" w14:textId="5A0DCEC8" w:rsidR="001402E0" w:rsidRPr="002802E3" w:rsidRDefault="00B01FF0" w:rsidP="00B01FF0">
            <w:pPr>
              <w:pStyle w:val="DHHSbody"/>
            </w:pPr>
            <w:r w:rsidRPr="006A6159">
              <w:t>Available f</w:t>
            </w:r>
            <w:r>
              <w:t xml:space="preserve">rom the </w:t>
            </w:r>
            <w:hyperlink r:id="rId13" w:history="1">
              <w:r w:rsidRPr="001C6B98">
                <w:rPr>
                  <w:rStyle w:val="Hyperlink"/>
                </w:rPr>
                <w:t>VADC Data specification page</w:t>
              </w:r>
            </w:hyperlink>
            <w:r>
              <w:t xml:space="preserve"> on the </w:t>
            </w:r>
            <w:proofErr w:type="spellStart"/>
            <w:r>
              <w:t>Health.vic</w:t>
            </w:r>
            <w:proofErr w:type="spellEnd"/>
            <w:r>
              <w:t xml:space="preserve"> website &lt;</w:t>
            </w:r>
            <w:r w:rsidRPr="00A9126C">
              <w:t>https://www2.health.vic.gov.au/about/publications/policiesandguidelines/vadc-data-specification</w:t>
            </w:r>
            <w:r>
              <w:t>&gt;</w:t>
            </w:r>
          </w:p>
        </w:tc>
      </w:tr>
    </w:tbl>
    <w:p w14:paraId="07901704" w14:textId="77777777" w:rsidR="001402E0" w:rsidRDefault="001402E0" w:rsidP="00FF6D9D">
      <w:pPr>
        <w:pStyle w:val="DHHSbody"/>
      </w:pPr>
      <w:bookmarkStart w:id="11" w:name="_GoBack"/>
      <w:bookmarkEnd w:id="11"/>
    </w:p>
    <w:sectPr w:rsidR="001402E0" w:rsidSect="004020E8">
      <w:headerReference w:type="default" r:id="rId14"/>
      <w:footerReference w:type="default" r:id="rId15"/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98D5E" w14:textId="77777777" w:rsidR="00B628F3" w:rsidRDefault="00B628F3">
      <w:r>
        <w:separator/>
      </w:r>
    </w:p>
  </w:endnote>
  <w:endnote w:type="continuationSeparator" w:id="0">
    <w:p w14:paraId="5BD2A924" w14:textId="77777777" w:rsidR="00B628F3" w:rsidRDefault="00B6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3BB84" w14:textId="43DB823F" w:rsidR="00AA05B7" w:rsidRDefault="006F4584">
    <w:pPr>
      <w:pStyle w:val="Footer"/>
      <w:jc w:val="center"/>
    </w:pPr>
    <w:r>
      <w:rPr>
        <w:noProof/>
      </w:rPr>
      <w:drawing>
        <wp:anchor distT="0" distB="0" distL="114300" distR="114300" simplePos="0" relativeHeight="251657216" behindDoc="0" locked="0" layoutInCell="0" allowOverlap="1" wp14:anchorId="17907C98" wp14:editId="0F233C8F">
          <wp:simplePos x="0" y="0"/>
          <wp:positionH relativeFrom="page">
            <wp:posOffset>-2540</wp:posOffset>
          </wp:positionH>
          <wp:positionV relativeFrom="page">
            <wp:posOffset>9836785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AE37D2" w14:textId="6CDBB5D4" w:rsidR="009D70A4" w:rsidRPr="00F65AA9" w:rsidRDefault="00AA05B7" w:rsidP="0051568D">
    <w:pPr>
      <w:pStyle w:val="DHHSfooter"/>
    </w:pPr>
    <w:r>
      <w:t>VADC 2018/19 Bulletin 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C9178" w14:textId="790ACB3F" w:rsidR="009D70A4" w:rsidRPr="00A11421" w:rsidRDefault="00B628F3" w:rsidP="0051568D">
    <w:pPr>
      <w:pStyle w:val="DHHSfooter"/>
    </w:pPr>
    <w:r>
      <w:t xml:space="preserve">VADC Bulletin </w:t>
    </w:r>
    <w:r w:rsidR="004512BF">
      <w:t>8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0B23FD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FE45E" w14:textId="77777777" w:rsidR="00B628F3" w:rsidRDefault="00B628F3" w:rsidP="002862F1">
      <w:pPr>
        <w:spacing w:before="120"/>
      </w:pPr>
      <w:r>
        <w:separator/>
      </w:r>
    </w:p>
  </w:footnote>
  <w:footnote w:type="continuationSeparator" w:id="0">
    <w:p w14:paraId="73F15659" w14:textId="77777777" w:rsidR="00B628F3" w:rsidRDefault="00B62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62889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E95D51" w14:textId="0499930A" w:rsidR="00AA05B7" w:rsidRDefault="00AA05B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B6255F" w14:textId="77777777" w:rsidR="00AA05B7" w:rsidRDefault="00AA05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17640" w14:textId="4E7959B3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22D2116"/>
    <w:multiLevelType w:val="hybridMultilevel"/>
    <w:tmpl w:val="69E87C7C"/>
    <w:lvl w:ilvl="0" w:tplc="3A6CBDF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54A5D"/>
    <w:multiLevelType w:val="hybridMultilevel"/>
    <w:tmpl w:val="CDC8FE9C"/>
    <w:lvl w:ilvl="0" w:tplc="E662C5F4">
      <w:start w:val="1"/>
      <w:numFmt w:val="decimal"/>
      <w:lvlText w:val="1.%1"/>
      <w:lvlJc w:val="righ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74DC3"/>
    <w:multiLevelType w:val="hybridMultilevel"/>
    <w:tmpl w:val="F30833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8341BA"/>
    <w:multiLevelType w:val="hybridMultilevel"/>
    <w:tmpl w:val="18781B12"/>
    <w:lvl w:ilvl="0" w:tplc="E662C5F4">
      <w:start w:val="1"/>
      <w:numFmt w:val="decimal"/>
      <w:lvlText w:val="1.%1"/>
      <w:lvlJc w:val="righ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B6AF9"/>
    <w:multiLevelType w:val="hybridMultilevel"/>
    <w:tmpl w:val="D3642EEC"/>
    <w:lvl w:ilvl="0" w:tplc="E662C5F4">
      <w:start w:val="1"/>
      <w:numFmt w:val="decimal"/>
      <w:lvlText w:val="1.%1"/>
      <w:lvlJc w:val="righ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D43DB"/>
    <w:multiLevelType w:val="multilevel"/>
    <w:tmpl w:val="4B4E7622"/>
    <w:numStyleLink w:val="ZZNumbers"/>
  </w:abstractNum>
  <w:abstractNum w:abstractNumId="8" w15:restartNumberingAfterBreak="0">
    <w:nsid w:val="1EF25F08"/>
    <w:multiLevelType w:val="hybridMultilevel"/>
    <w:tmpl w:val="18781B12"/>
    <w:lvl w:ilvl="0" w:tplc="E662C5F4">
      <w:start w:val="1"/>
      <w:numFmt w:val="decimal"/>
      <w:lvlText w:val="1.%1"/>
      <w:lvlJc w:val="righ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E7AA7"/>
    <w:multiLevelType w:val="hybridMultilevel"/>
    <w:tmpl w:val="1506DF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649E9"/>
    <w:multiLevelType w:val="hybridMultilevel"/>
    <w:tmpl w:val="2A8E1204"/>
    <w:lvl w:ilvl="0" w:tplc="E662C5F4">
      <w:start w:val="1"/>
      <w:numFmt w:val="decimal"/>
      <w:lvlText w:val="1.%1"/>
      <w:lvlJc w:val="righ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B0AEB"/>
    <w:multiLevelType w:val="hybridMultilevel"/>
    <w:tmpl w:val="C7F81412"/>
    <w:lvl w:ilvl="0" w:tplc="0C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36243B74"/>
    <w:multiLevelType w:val="hybridMultilevel"/>
    <w:tmpl w:val="7CC88996"/>
    <w:lvl w:ilvl="0" w:tplc="E662C5F4">
      <w:start w:val="1"/>
      <w:numFmt w:val="decimal"/>
      <w:lvlText w:val="1.%1"/>
      <w:lvlJc w:val="righ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C6680"/>
    <w:multiLevelType w:val="hybridMultilevel"/>
    <w:tmpl w:val="3F40E070"/>
    <w:lvl w:ilvl="0" w:tplc="E662C5F4">
      <w:start w:val="1"/>
      <w:numFmt w:val="decimal"/>
      <w:lvlText w:val="1.%1"/>
      <w:lvlJc w:val="righ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5" w15:restartNumberingAfterBreak="0">
    <w:nsid w:val="4193697B"/>
    <w:multiLevelType w:val="hybridMultilevel"/>
    <w:tmpl w:val="E1506F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92E64"/>
    <w:multiLevelType w:val="hybridMultilevel"/>
    <w:tmpl w:val="A80EBA02"/>
    <w:lvl w:ilvl="0" w:tplc="9DD68E1E">
      <w:start w:val="1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23B09"/>
    <w:multiLevelType w:val="hybridMultilevel"/>
    <w:tmpl w:val="13003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24FFB"/>
    <w:multiLevelType w:val="hybridMultilevel"/>
    <w:tmpl w:val="47563A1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7CF7766"/>
    <w:multiLevelType w:val="hybridMultilevel"/>
    <w:tmpl w:val="FCDE6E3A"/>
    <w:lvl w:ilvl="0" w:tplc="E662C5F4">
      <w:start w:val="1"/>
      <w:numFmt w:val="decimal"/>
      <w:lvlText w:val="1.%1"/>
      <w:lvlJc w:val="righ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C31137"/>
    <w:multiLevelType w:val="hybridMultilevel"/>
    <w:tmpl w:val="1D605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D743F"/>
    <w:multiLevelType w:val="hybridMultilevel"/>
    <w:tmpl w:val="CDC8FE9C"/>
    <w:lvl w:ilvl="0" w:tplc="E662C5F4">
      <w:start w:val="1"/>
      <w:numFmt w:val="decimal"/>
      <w:lvlText w:val="1.%1"/>
      <w:lvlJc w:val="righ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AA5BF5"/>
    <w:multiLevelType w:val="hybridMultilevel"/>
    <w:tmpl w:val="2542B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5F4890"/>
    <w:multiLevelType w:val="hybridMultilevel"/>
    <w:tmpl w:val="9F26EBA8"/>
    <w:lvl w:ilvl="0" w:tplc="E662C5F4">
      <w:start w:val="1"/>
      <w:numFmt w:val="decimal"/>
      <w:lvlText w:val="1.%1"/>
      <w:lvlJc w:val="righ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E26644"/>
    <w:multiLevelType w:val="hybridMultilevel"/>
    <w:tmpl w:val="1E9CA7F0"/>
    <w:lvl w:ilvl="0" w:tplc="E662C5F4">
      <w:start w:val="1"/>
      <w:numFmt w:val="decimal"/>
      <w:lvlText w:val="1.%1"/>
      <w:lvlJc w:val="righ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4"/>
  </w:num>
  <w:num w:numId="9">
    <w:abstractNumId w:val="6"/>
  </w:num>
  <w:num w:numId="10">
    <w:abstractNumId w:val="25"/>
  </w:num>
  <w:num w:numId="11">
    <w:abstractNumId w:val="5"/>
  </w:num>
  <w:num w:numId="12">
    <w:abstractNumId w:val="8"/>
  </w:num>
  <w:num w:numId="13">
    <w:abstractNumId w:val="17"/>
  </w:num>
  <w:num w:numId="14">
    <w:abstractNumId w:val="24"/>
  </w:num>
  <w:num w:numId="15">
    <w:abstractNumId w:val="20"/>
  </w:num>
  <w:num w:numId="16">
    <w:abstractNumId w:val="3"/>
  </w:num>
  <w:num w:numId="17">
    <w:abstractNumId w:val="16"/>
  </w:num>
  <w:num w:numId="18">
    <w:abstractNumId w:val="22"/>
  </w:num>
  <w:num w:numId="19">
    <w:abstractNumId w:val="10"/>
  </w:num>
  <w:num w:numId="20">
    <w:abstractNumId w:val="2"/>
  </w:num>
  <w:num w:numId="21">
    <w:abstractNumId w:val="12"/>
  </w:num>
  <w:num w:numId="22">
    <w:abstractNumId w:val="13"/>
  </w:num>
  <w:num w:numId="23">
    <w:abstractNumId w:val="4"/>
  </w:num>
  <w:num w:numId="24">
    <w:abstractNumId w:val="9"/>
  </w:num>
  <w:num w:numId="25">
    <w:abstractNumId w:val="15"/>
  </w:num>
  <w:num w:numId="26">
    <w:abstractNumId w:val="18"/>
  </w:num>
  <w:num w:numId="27">
    <w:abstractNumId w:val="11"/>
  </w:num>
  <w:num w:numId="28">
    <w:abstractNumId w:val="21"/>
  </w:num>
  <w:num w:numId="29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9"/>
  <w:drawingGridHorizontalSpacing w:val="181"/>
  <w:drawingGridVerticalSpacing w:val="181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F3"/>
    <w:rsid w:val="00001DE0"/>
    <w:rsid w:val="000072B6"/>
    <w:rsid w:val="00007AD9"/>
    <w:rsid w:val="0001021B"/>
    <w:rsid w:val="000106AB"/>
    <w:rsid w:val="0001093C"/>
    <w:rsid w:val="00011D89"/>
    <w:rsid w:val="00011FB0"/>
    <w:rsid w:val="00016432"/>
    <w:rsid w:val="00020D6A"/>
    <w:rsid w:val="000244CE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0A74"/>
    <w:rsid w:val="000733FE"/>
    <w:rsid w:val="00074219"/>
    <w:rsid w:val="00074ED5"/>
    <w:rsid w:val="0008020E"/>
    <w:rsid w:val="00087119"/>
    <w:rsid w:val="0009113B"/>
    <w:rsid w:val="00094DA3"/>
    <w:rsid w:val="00096CD1"/>
    <w:rsid w:val="000A012C"/>
    <w:rsid w:val="000A0EB9"/>
    <w:rsid w:val="000A186C"/>
    <w:rsid w:val="000A7507"/>
    <w:rsid w:val="000B23FD"/>
    <w:rsid w:val="000B543D"/>
    <w:rsid w:val="000B5BF7"/>
    <w:rsid w:val="000B6BC8"/>
    <w:rsid w:val="000C11CF"/>
    <w:rsid w:val="000C42EA"/>
    <w:rsid w:val="000C4546"/>
    <w:rsid w:val="000D1242"/>
    <w:rsid w:val="000D4795"/>
    <w:rsid w:val="000E3CC7"/>
    <w:rsid w:val="000E6090"/>
    <w:rsid w:val="000E6BD4"/>
    <w:rsid w:val="000F1F1E"/>
    <w:rsid w:val="000F2259"/>
    <w:rsid w:val="0010392D"/>
    <w:rsid w:val="0010447F"/>
    <w:rsid w:val="00104FE3"/>
    <w:rsid w:val="001110CA"/>
    <w:rsid w:val="0012072C"/>
    <w:rsid w:val="00120BD3"/>
    <w:rsid w:val="00122FEA"/>
    <w:rsid w:val="001232BD"/>
    <w:rsid w:val="00124523"/>
    <w:rsid w:val="00124ED5"/>
    <w:rsid w:val="00126F2C"/>
    <w:rsid w:val="001340E1"/>
    <w:rsid w:val="00134D0B"/>
    <w:rsid w:val="00135AC2"/>
    <w:rsid w:val="001402E0"/>
    <w:rsid w:val="00143F9A"/>
    <w:rsid w:val="001447B3"/>
    <w:rsid w:val="001500A9"/>
    <w:rsid w:val="00152073"/>
    <w:rsid w:val="00153AB4"/>
    <w:rsid w:val="00161939"/>
    <w:rsid w:val="00161AA0"/>
    <w:rsid w:val="00161BEF"/>
    <w:rsid w:val="00162093"/>
    <w:rsid w:val="00166FC2"/>
    <w:rsid w:val="001753DC"/>
    <w:rsid w:val="001771DD"/>
    <w:rsid w:val="00177995"/>
    <w:rsid w:val="00177A8C"/>
    <w:rsid w:val="00186B33"/>
    <w:rsid w:val="00192F9D"/>
    <w:rsid w:val="00196EB8"/>
    <w:rsid w:val="001979FF"/>
    <w:rsid w:val="00197B17"/>
    <w:rsid w:val="001A3ACE"/>
    <w:rsid w:val="001C277E"/>
    <w:rsid w:val="001C2A72"/>
    <w:rsid w:val="001C7A15"/>
    <w:rsid w:val="001D0B75"/>
    <w:rsid w:val="001D0FC7"/>
    <w:rsid w:val="001D3C09"/>
    <w:rsid w:val="001D44E8"/>
    <w:rsid w:val="001D519C"/>
    <w:rsid w:val="001D60EC"/>
    <w:rsid w:val="001D7308"/>
    <w:rsid w:val="001E1BA8"/>
    <w:rsid w:val="001E206E"/>
    <w:rsid w:val="001E24BD"/>
    <w:rsid w:val="001E44DF"/>
    <w:rsid w:val="001E68A5"/>
    <w:rsid w:val="001E6BB0"/>
    <w:rsid w:val="001F286D"/>
    <w:rsid w:val="001F3826"/>
    <w:rsid w:val="001F6E46"/>
    <w:rsid w:val="001F7C91"/>
    <w:rsid w:val="0020026A"/>
    <w:rsid w:val="00206463"/>
    <w:rsid w:val="00206F2F"/>
    <w:rsid w:val="0021053D"/>
    <w:rsid w:val="00210A92"/>
    <w:rsid w:val="00216C03"/>
    <w:rsid w:val="00220C04"/>
    <w:rsid w:val="00220E2D"/>
    <w:rsid w:val="0022278D"/>
    <w:rsid w:val="00222B70"/>
    <w:rsid w:val="0022701F"/>
    <w:rsid w:val="002333F5"/>
    <w:rsid w:val="00233724"/>
    <w:rsid w:val="00241689"/>
    <w:rsid w:val="002432E1"/>
    <w:rsid w:val="00246207"/>
    <w:rsid w:val="00246C5E"/>
    <w:rsid w:val="00251343"/>
    <w:rsid w:val="00254F58"/>
    <w:rsid w:val="00255570"/>
    <w:rsid w:val="002611F7"/>
    <w:rsid w:val="002620BC"/>
    <w:rsid w:val="00262802"/>
    <w:rsid w:val="00263A90"/>
    <w:rsid w:val="0026408B"/>
    <w:rsid w:val="0026799A"/>
    <w:rsid w:val="00267C3E"/>
    <w:rsid w:val="002709BB"/>
    <w:rsid w:val="002763B3"/>
    <w:rsid w:val="002802E3"/>
    <w:rsid w:val="00281F38"/>
    <w:rsid w:val="0028213D"/>
    <w:rsid w:val="002862F1"/>
    <w:rsid w:val="00291127"/>
    <w:rsid w:val="00291373"/>
    <w:rsid w:val="00292F17"/>
    <w:rsid w:val="0029347E"/>
    <w:rsid w:val="0029363F"/>
    <w:rsid w:val="0029597D"/>
    <w:rsid w:val="002962C3"/>
    <w:rsid w:val="0029752B"/>
    <w:rsid w:val="002A483C"/>
    <w:rsid w:val="002B1729"/>
    <w:rsid w:val="002B4DD4"/>
    <w:rsid w:val="002B5277"/>
    <w:rsid w:val="002B5375"/>
    <w:rsid w:val="002B5BF4"/>
    <w:rsid w:val="002B77C1"/>
    <w:rsid w:val="002C2728"/>
    <w:rsid w:val="002C376A"/>
    <w:rsid w:val="002D5006"/>
    <w:rsid w:val="002D53DA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47AE"/>
    <w:rsid w:val="00316928"/>
    <w:rsid w:val="00316F27"/>
    <w:rsid w:val="00320401"/>
    <w:rsid w:val="00325239"/>
    <w:rsid w:val="003260F9"/>
    <w:rsid w:val="00327870"/>
    <w:rsid w:val="0033259D"/>
    <w:rsid w:val="00337963"/>
    <w:rsid w:val="003406C6"/>
    <w:rsid w:val="003418CC"/>
    <w:rsid w:val="003430C5"/>
    <w:rsid w:val="003459BD"/>
    <w:rsid w:val="00350D38"/>
    <w:rsid w:val="00351B36"/>
    <w:rsid w:val="00357B4E"/>
    <w:rsid w:val="00373CA8"/>
    <w:rsid w:val="003744CF"/>
    <w:rsid w:val="00374717"/>
    <w:rsid w:val="00374A33"/>
    <w:rsid w:val="0037676C"/>
    <w:rsid w:val="00377C54"/>
    <w:rsid w:val="003829E5"/>
    <w:rsid w:val="00393DE5"/>
    <w:rsid w:val="003956CC"/>
    <w:rsid w:val="00395C9A"/>
    <w:rsid w:val="003A6B67"/>
    <w:rsid w:val="003B15E6"/>
    <w:rsid w:val="003C2045"/>
    <w:rsid w:val="003C43A1"/>
    <w:rsid w:val="003C4D61"/>
    <w:rsid w:val="003C4FC0"/>
    <w:rsid w:val="003C55F4"/>
    <w:rsid w:val="003C7A3F"/>
    <w:rsid w:val="003D2766"/>
    <w:rsid w:val="003D3E8F"/>
    <w:rsid w:val="003D6475"/>
    <w:rsid w:val="003E2D6B"/>
    <w:rsid w:val="003E4768"/>
    <w:rsid w:val="003F0445"/>
    <w:rsid w:val="003F0CF0"/>
    <w:rsid w:val="003F14B1"/>
    <w:rsid w:val="003F2871"/>
    <w:rsid w:val="003F3289"/>
    <w:rsid w:val="00401FCF"/>
    <w:rsid w:val="004020E8"/>
    <w:rsid w:val="00405E26"/>
    <w:rsid w:val="00406285"/>
    <w:rsid w:val="004118F3"/>
    <w:rsid w:val="00413CF5"/>
    <w:rsid w:val="004148F9"/>
    <w:rsid w:val="00415E1F"/>
    <w:rsid w:val="00417743"/>
    <w:rsid w:val="0042084E"/>
    <w:rsid w:val="00421EEF"/>
    <w:rsid w:val="00424D65"/>
    <w:rsid w:val="00425ABB"/>
    <w:rsid w:val="0043327F"/>
    <w:rsid w:val="0044050E"/>
    <w:rsid w:val="00440EF8"/>
    <w:rsid w:val="00442891"/>
    <w:rsid w:val="00442C6C"/>
    <w:rsid w:val="00443CBE"/>
    <w:rsid w:val="00443E8A"/>
    <w:rsid w:val="004441BC"/>
    <w:rsid w:val="004468B4"/>
    <w:rsid w:val="004512BF"/>
    <w:rsid w:val="0045230A"/>
    <w:rsid w:val="00452BE2"/>
    <w:rsid w:val="00457337"/>
    <w:rsid w:val="00473363"/>
    <w:rsid w:val="0047372D"/>
    <w:rsid w:val="004743DD"/>
    <w:rsid w:val="00474CEA"/>
    <w:rsid w:val="00483968"/>
    <w:rsid w:val="00484F86"/>
    <w:rsid w:val="00490746"/>
    <w:rsid w:val="00490852"/>
    <w:rsid w:val="00491193"/>
    <w:rsid w:val="00492F30"/>
    <w:rsid w:val="004946F4"/>
    <w:rsid w:val="0049487E"/>
    <w:rsid w:val="00494D09"/>
    <w:rsid w:val="004A14C9"/>
    <w:rsid w:val="004A160D"/>
    <w:rsid w:val="004A2E18"/>
    <w:rsid w:val="004A304A"/>
    <w:rsid w:val="004A3249"/>
    <w:rsid w:val="004A3E81"/>
    <w:rsid w:val="004A5C62"/>
    <w:rsid w:val="004A6B6D"/>
    <w:rsid w:val="004A707D"/>
    <w:rsid w:val="004B5DA6"/>
    <w:rsid w:val="004C023E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1FBB"/>
    <w:rsid w:val="0052531D"/>
    <w:rsid w:val="0052601B"/>
    <w:rsid w:val="00526C15"/>
    <w:rsid w:val="00536499"/>
    <w:rsid w:val="00543903"/>
    <w:rsid w:val="00543F11"/>
    <w:rsid w:val="00544093"/>
    <w:rsid w:val="0054785E"/>
    <w:rsid w:val="00547A95"/>
    <w:rsid w:val="00566A14"/>
    <w:rsid w:val="00567154"/>
    <w:rsid w:val="00572031"/>
    <w:rsid w:val="005748AF"/>
    <w:rsid w:val="00576E84"/>
    <w:rsid w:val="005828E8"/>
    <w:rsid w:val="00582B8C"/>
    <w:rsid w:val="0058757E"/>
    <w:rsid w:val="00595117"/>
    <w:rsid w:val="00596A4B"/>
    <w:rsid w:val="00597507"/>
    <w:rsid w:val="005A3229"/>
    <w:rsid w:val="005B21B6"/>
    <w:rsid w:val="005B3A08"/>
    <w:rsid w:val="005B7A63"/>
    <w:rsid w:val="005C0955"/>
    <w:rsid w:val="005C09A1"/>
    <w:rsid w:val="005C49DA"/>
    <w:rsid w:val="005C50F3"/>
    <w:rsid w:val="005C5D91"/>
    <w:rsid w:val="005C6413"/>
    <w:rsid w:val="005D07B8"/>
    <w:rsid w:val="005D6597"/>
    <w:rsid w:val="005D7365"/>
    <w:rsid w:val="005E14E7"/>
    <w:rsid w:val="005E26A3"/>
    <w:rsid w:val="005E447E"/>
    <w:rsid w:val="005E65AB"/>
    <w:rsid w:val="005F0775"/>
    <w:rsid w:val="005F0CF5"/>
    <w:rsid w:val="005F0F3D"/>
    <w:rsid w:val="005F21EB"/>
    <w:rsid w:val="005F5AA5"/>
    <w:rsid w:val="006037A1"/>
    <w:rsid w:val="00605908"/>
    <w:rsid w:val="00606F34"/>
    <w:rsid w:val="00610D7C"/>
    <w:rsid w:val="00612A3B"/>
    <w:rsid w:val="00613414"/>
    <w:rsid w:val="00615E1E"/>
    <w:rsid w:val="00617102"/>
    <w:rsid w:val="0062408D"/>
    <w:rsid w:val="006240CC"/>
    <w:rsid w:val="00627DA7"/>
    <w:rsid w:val="00631025"/>
    <w:rsid w:val="006358B4"/>
    <w:rsid w:val="006419AA"/>
    <w:rsid w:val="00644B7E"/>
    <w:rsid w:val="006454E6"/>
    <w:rsid w:val="00645BA0"/>
    <w:rsid w:val="00646A68"/>
    <w:rsid w:val="0065092E"/>
    <w:rsid w:val="0065445C"/>
    <w:rsid w:val="006553BD"/>
    <w:rsid w:val="006557A7"/>
    <w:rsid w:val="00656290"/>
    <w:rsid w:val="006621D7"/>
    <w:rsid w:val="0066302A"/>
    <w:rsid w:val="00667DB3"/>
    <w:rsid w:val="00667E00"/>
    <w:rsid w:val="00670597"/>
    <w:rsid w:val="006706D0"/>
    <w:rsid w:val="006729B6"/>
    <w:rsid w:val="0067607D"/>
    <w:rsid w:val="00677574"/>
    <w:rsid w:val="00682641"/>
    <w:rsid w:val="00684199"/>
    <w:rsid w:val="0068454C"/>
    <w:rsid w:val="00686B80"/>
    <w:rsid w:val="00691B62"/>
    <w:rsid w:val="00693D14"/>
    <w:rsid w:val="0069726F"/>
    <w:rsid w:val="006A18C2"/>
    <w:rsid w:val="006A33BC"/>
    <w:rsid w:val="006B077C"/>
    <w:rsid w:val="006B147A"/>
    <w:rsid w:val="006B6803"/>
    <w:rsid w:val="006D18FB"/>
    <w:rsid w:val="006D1A09"/>
    <w:rsid w:val="006D1CD1"/>
    <w:rsid w:val="006D2A3F"/>
    <w:rsid w:val="006D2FBC"/>
    <w:rsid w:val="006D59BA"/>
    <w:rsid w:val="006E138B"/>
    <w:rsid w:val="006F1FDC"/>
    <w:rsid w:val="006F4584"/>
    <w:rsid w:val="006F5266"/>
    <w:rsid w:val="007013EF"/>
    <w:rsid w:val="007035EC"/>
    <w:rsid w:val="007173CA"/>
    <w:rsid w:val="007216AA"/>
    <w:rsid w:val="00721AB5"/>
    <w:rsid w:val="00721DEF"/>
    <w:rsid w:val="00723549"/>
    <w:rsid w:val="00723F6D"/>
    <w:rsid w:val="00724A43"/>
    <w:rsid w:val="00733F79"/>
    <w:rsid w:val="007346E4"/>
    <w:rsid w:val="0073730D"/>
    <w:rsid w:val="00737459"/>
    <w:rsid w:val="00740F22"/>
    <w:rsid w:val="00741F1A"/>
    <w:rsid w:val="00744682"/>
    <w:rsid w:val="007450F8"/>
    <w:rsid w:val="0074533A"/>
    <w:rsid w:val="0074689B"/>
    <w:rsid w:val="0074696E"/>
    <w:rsid w:val="00746C30"/>
    <w:rsid w:val="00750135"/>
    <w:rsid w:val="00750EC2"/>
    <w:rsid w:val="00752B28"/>
    <w:rsid w:val="007533F7"/>
    <w:rsid w:val="00754E36"/>
    <w:rsid w:val="007554F6"/>
    <w:rsid w:val="00757898"/>
    <w:rsid w:val="00763139"/>
    <w:rsid w:val="00770F37"/>
    <w:rsid w:val="007711A0"/>
    <w:rsid w:val="007724E4"/>
    <w:rsid w:val="00772D5E"/>
    <w:rsid w:val="00776928"/>
    <w:rsid w:val="00780712"/>
    <w:rsid w:val="00784508"/>
    <w:rsid w:val="00785677"/>
    <w:rsid w:val="00786F16"/>
    <w:rsid w:val="00796E20"/>
    <w:rsid w:val="00797C32"/>
    <w:rsid w:val="007A5ADD"/>
    <w:rsid w:val="007B0914"/>
    <w:rsid w:val="007B1374"/>
    <w:rsid w:val="007B589F"/>
    <w:rsid w:val="007B6186"/>
    <w:rsid w:val="007B73BC"/>
    <w:rsid w:val="007C1B9B"/>
    <w:rsid w:val="007C20B9"/>
    <w:rsid w:val="007C40AF"/>
    <w:rsid w:val="007C7301"/>
    <w:rsid w:val="007C7859"/>
    <w:rsid w:val="007C7A54"/>
    <w:rsid w:val="007D0102"/>
    <w:rsid w:val="007D2BDE"/>
    <w:rsid w:val="007D2FB6"/>
    <w:rsid w:val="007D66C0"/>
    <w:rsid w:val="007D6B2A"/>
    <w:rsid w:val="007D6F70"/>
    <w:rsid w:val="007E08EF"/>
    <w:rsid w:val="007E0DE2"/>
    <w:rsid w:val="007E3B98"/>
    <w:rsid w:val="007E47C8"/>
    <w:rsid w:val="007F31B6"/>
    <w:rsid w:val="007F546C"/>
    <w:rsid w:val="007F625F"/>
    <w:rsid w:val="007F665E"/>
    <w:rsid w:val="00800412"/>
    <w:rsid w:val="0080118E"/>
    <w:rsid w:val="00802DFF"/>
    <w:rsid w:val="0080587B"/>
    <w:rsid w:val="00806468"/>
    <w:rsid w:val="00812536"/>
    <w:rsid w:val="008155F0"/>
    <w:rsid w:val="00816735"/>
    <w:rsid w:val="00820112"/>
    <w:rsid w:val="00820141"/>
    <w:rsid w:val="00820E0C"/>
    <w:rsid w:val="00823592"/>
    <w:rsid w:val="00824021"/>
    <w:rsid w:val="0082615D"/>
    <w:rsid w:val="008338A2"/>
    <w:rsid w:val="00841AA9"/>
    <w:rsid w:val="00852BBD"/>
    <w:rsid w:val="00853EE4"/>
    <w:rsid w:val="008553BF"/>
    <w:rsid w:val="00855535"/>
    <w:rsid w:val="0086255E"/>
    <w:rsid w:val="008633F0"/>
    <w:rsid w:val="008658AE"/>
    <w:rsid w:val="00867D9D"/>
    <w:rsid w:val="00872E0A"/>
    <w:rsid w:val="00875285"/>
    <w:rsid w:val="00882D19"/>
    <w:rsid w:val="00884B62"/>
    <w:rsid w:val="00884FE7"/>
    <w:rsid w:val="008850A3"/>
    <w:rsid w:val="0088529C"/>
    <w:rsid w:val="00886432"/>
    <w:rsid w:val="00887903"/>
    <w:rsid w:val="0089251C"/>
    <w:rsid w:val="0089270A"/>
    <w:rsid w:val="00893AF6"/>
    <w:rsid w:val="00894BC4"/>
    <w:rsid w:val="008A4B5D"/>
    <w:rsid w:val="008A5B32"/>
    <w:rsid w:val="008A66CA"/>
    <w:rsid w:val="008B2EE4"/>
    <w:rsid w:val="008B4D3D"/>
    <w:rsid w:val="008B57C7"/>
    <w:rsid w:val="008C2F92"/>
    <w:rsid w:val="008D1F3D"/>
    <w:rsid w:val="008D2846"/>
    <w:rsid w:val="008D4236"/>
    <w:rsid w:val="008D462F"/>
    <w:rsid w:val="008D6DCF"/>
    <w:rsid w:val="008E4376"/>
    <w:rsid w:val="008E7A0A"/>
    <w:rsid w:val="00900719"/>
    <w:rsid w:val="009017AC"/>
    <w:rsid w:val="00901D8B"/>
    <w:rsid w:val="00904A1C"/>
    <w:rsid w:val="00905030"/>
    <w:rsid w:val="00906490"/>
    <w:rsid w:val="00906D25"/>
    <w:rsid w:val="009111B2"/>
    <w:rsid w:val="009173E9"/>
    <w:rsid w:val="00924AE1"/>
    <w:rsid w:val="009269B1"/>
    <w:rsid w:val="0092724D"/>
    <w:rsid w:val="009365FB"/>
    <w:rsid w:val="00937BD9"/>
    <w:rsid w:val="00940DE3"/>
    <w:rsid w:val="00946F51"/>
    <w:rsid w:val="00950E2C"/>
    <w:rsid w:val="00951D50"/>
    <w:rsid w:val="009525EB"/>
    <w:rsid w:val="00954874"/>
    <w:rsid w:val="009571BD"/>
    <w:rsid w:val="00961400"/>
    <w:rsid w:val="00963646"/>
    <w:rsid w:val="00976013"/>
    <w:rsid w:val="009853E1"/>
    <w:rsid w:val="00986065"/>
    <w:rsid w:val="00986E6B"/>
    <w:rsid w:val="00991769"/>
    <w:rsid w:val="009919DE"/>
    <w:rsid w:val="00994386"/>
    <w:rsid w:val="00996AA6"/>
    <w:rsid w:val="009A13D8"/>
    <w:rsid w:val="009A279E"/>
    <w:rsid w:val="009B0A6F"/>
    <w:rsid w:val="009B0A94"/>
    <w:rsid w:val="009B59E9"/>
    <w:rsid w:val="009B70AA"/>
    <w:rsid w:val="009C76DE"/>
    <w:rsid w:val="009C7A7E"/>
    <w:rsid w:val="009D02E8"/>
    <w:rsid w:val="009D0AD4"/>
    <w:rsid w:val="009D51D0"/>
    <w:rsid w:val="009D70A4"/>
    <w:rsid w:val="009E07B6"/>
    <w:rsid w:val="009E08D1"/>
    <w:rsid w:val="009E1B95"/>
    <w:rsid w:val="009E1C8A"/>
    <w:rsid w:val="009E496F"/>
    <w:rsid w:val="009E4B0D"/>
    <w:rsid w:val="009E7F92"/>
    <w:rsid w:val="009F02A3"/>
    <w:rsid w:val="009F2F27"/>
    <w:rsid w:val="009F34AA"/>
    <w:rsid w:val="009F6BCB"/>
    <w:rsid w:val="009F7B78"/>
    <w:rsid w:val="00A00017"/>
    <w:rsid w:val="00A0057A"/>
    <w:rsid w:val="00A11421"/>
    <w:rsid w:val="00A130DB"/>
    <w:rsid w:val="00A157B1"/>
    <w:rsid w:val="00A22229"/>
    <w:rsid w:val="00A268D5"/>
    <w:rsid w:val="00A44882"/>
    <w:rsid w:val="00A502DA"/>
    <w:rsid w:val="00A54715"/>
    <w:rsid w:val="00A6061C"/>
    <w:rsid w:val="00A62D44"/>
    <w:rsid w:val="00A64E22"/>
    <w:rsid w:val="00A65118"/>
    <w:rsid w:val="00A67263"/>
    <w:rsid w:val="00A7161C"/>
    <w:rsid w:val="00A77AA3"/>
    <w:rsid w:val="00A854EB"/>
    <w:rsid w:val="00A872E5"/>
    <w:rsid w:val="00A877D1"/>
    <w:rsid w:val="00A9083A"/>
    <w:rsid w:val="00A91406"/>
    <w:rsid w:val="00A94C46"/>
    <w:rsid w:val="00A96E65"/>
    <w:rsid w:val="00A97C72"/>
    <w:rsid w:val="00AA05B7"/>
    <w:rsid w:val="00AA46D4"/>
    <w:rsid w:val="00AA63D4"/>
    <w:rsid w:val="00AB06E8"/>
    <w:rsid w:val="00AB1CD3"/>
    <w:rsid w:val="00AB352F"/>
    <w:rsid w:val="00AB5C5D"/>
    <w:rsid w:val="00AC274B"/>
    <w:rsid w:val="00AC337A"/>
    <w:rsid w:val="00AC4764"/>
    <w:rsid w:val="00AC6D36"/>
    <w:rsid w:val="00AC7788"/>
    <w:rsid w:val="00AD0C97"/>
    <w:rsid w:val="00AD0CBA"/>
    <w:rsid w:val="00AD26E2"/>
    <w:rsid w:val="00AD6135"/>
    <w:rsid w:val="00AD784C"/>
    <w:rsid w:val="00AE126A"/>
    <w:rsid w:val="00AE3005"/>
    <w:rsid w:val="00AE3BD5"/>
    <w:rsid w:val="00AE59A0"/>
    <w:rsid w:val="00AE608A"/>
    <w:rsid w:val="00AF01D9"/>
    <w:rsid w:val="00AF0C57"/>
    <w:rsid w:val="00AF26F3"/>
    <w:rsid w:val="00AF5B50"/>
    <w:rsid w:val="00AF5E1F"/>
    <w:rsid w:val="00AF5F04"/>
    <w:rsid w:val="00B00672"/>
    <w:rsid w:val="00B01B4D"/>
    <w:rsid w:val="00B01FF0"/>
    <w:rsid w:val="00B06571"/>
    <w:rsid w:val="00B068BA"/>
    <w:rsid w:val="00B13851"/>
    <w:rsid w:val="00B13B1C"/>
    <w:rsid w:val="00B15D0A"/>
    <w:rsid w:val="00B22291"/>
    <w:rsid w:val="00B2305F"/>
    <w:rsid w:val="00B23F9A"/>
    <w:rsid w:val="00B2417B"/>
    <w:rsid w:val="00B24E6F"/>
    <w:rsid w:val="00B26CB5"/>
    <w:rsid w:val="00B2752E"/>
    <w:rsid w:val="00B3005D"/>
    <w:rsid w:val="00B307CC"/>
    <w:rsid w:val="00B326B7"/>
    <w:rsid w:val="00B34728"/>
    <w:rsid w:val="00B431E8"/>
    <w:rsid w:val="00B45141"/>
    <w:rsid w:val="00B5273A"/>
    <w:rsid w:val="00B56C85"/>
    <w:rsid w:val="00B628F3"/>
    <w:rsid w:val="00B62B50"/>
    <w:rsid w:val="00B635B7"/>
    <w:rsid w:val="00B63AE8"/>
    <w:rsid w:val="00B65950"/>
    <w:rsid w:val="00B66D83"/>
    <w:rsid w:val="00B672C0"/>
    <w:rsid w:val="00B75646"/>
    <w:rsid w:val="00B8387E"/>
    <w:rsid w:val="00B90198"/>
    <w:rsid w:val="00B90729"/>
    <w:rsid w:val="00B907DA"/>
    <w:rsid w:val="00B95080"/>
    <w:rsid w:val="00B950BC"/>
    <w:rsid w:val="00B9714C"/>
    <w:rsid w:val="00BA212E"/>
    <w:rsid w:val="00BA3F8D"/>
    <w:rsid w:val="00BA5592"/>
    <w:rsid w:val="00BB30C8"/>
    <w:rsid w:val="00BB7A10"/>
    <w:rsid w:val="00BC7468"/>
    <w:rsid w:val="00BC7D4F"/>
    <w:rsid w:val="00BC7ED7"/>
    <w:rsid w:val="00BD2850"/>
    <w:rsid w:val="00BE1D2F"/>
    <w:rsid w:val="00BE28D2"/>
    <w:rsid w:val="00BE2AA0"/>
    <w:rsid w:val="00BE4A64"/>
    <w:rsid w:val="00BE6503"/>
    <w:rsid w:val="00BF7F58"/>
    <w:rsid w:val="00C01381"/>
    <w:rsid w:val="00C01F25"/>
    <w:rsid w:val="00C079B8"/>
    <w:rsid w:val="00C123EA"/>
    <w:rsid w:val="00C12A49"/>
    <w:rsid w:val="00C133EE"/>
    <w:rsid w:val="00C21D2F"/>
    <w:rsid w:val="00C2349C"/>
    <w:rsid w:val="00C27BAD"/>
    <w:rsid w:val="00C27DE9"/>
    <w:rsid w:val="00C33388"/>
    <w:rsid w:val="00C35484"/>
    <w:rsid w:val="00C37A8E"/>
    <w:rsid w:val="00C37DA4"/>
    <w:rsid w:val="00C4173A"/>
    <w:rsid w:val="00C44EC4"/>
    <w:rsid w:val="00C57BAA"/>
    <w:rsid w:val="00C602FF"/>
    <w:rsid w:val="00C61174"/>
    <w:rsid w:val="00C6148F"/>
    <w:rsid w:val="00C62F54"/>
    <w:rsid w:val="00C62F7A"/>
    <w:rsid w:val="00C63B9C"/>
    <w:rsid w:val="00C6682F"/>
    <w:rsid w:val="00C7275E"/>
    <w:rsid w:val="00C74C5D"/>
    <w:rsid w:val="00C76F90"/>
    <w:rsid w:val="00C77A7D"/>
    <w:rsid w:val="00C82347"/>
    <w:rsid w:val="00C845A3"/>
    <w:rsid w:val="00C84696"/>
    <w:rsid w:val="00C863C4"/>
    <w:rsid w:val="00C86931"/>
    <w:rsid w:val="00C93C3E"/>
    <w:rsid w:val="00CA12E3"/>
    <w:rsid w:val="00CA6611"/>
    <w:rsid w:val="00CA6AE6"/>
    <w:rsid w:val="00CA782F"/>
    <w:rsid w:val="00CB7BA0"/>
    <w:rsid w:val="00CC0C72"/>
    <w:rsid w:val="00CC2BFD"/>
    <w:rsid w:val="00CC377E"/>
    <w:rsid w:val="00CC58B8"/>
    <w:rsid w:val="00CC5C2C"/>
    <w:rsid w:val="00CD3476"/>
    <w:rsid w:val="00CD64DF"/>
    <w:rsid w:val="00CF2F50"/>
    <w:rsid w:val="00D0269B"/>
    <w:rsid w:val="00D02919"/>
    <w:rsid w:val="00D04C61"/>
    <w:rsid w:val="00D05B8D"/>
    <w:rsid w:val="00D065A2"/>
    <w:rsid w:val="00D06A43"/>
    <w:rsid w:val="00D07F00"/>
    <w:rsid w:val="00D13289"/>
    <w:rsid w:val="00D17B72"/>
    <w:rsid w:val="00D26BDB"/>
    <w:rsid w:val="00D3185C"/>
    <w:rsid w:val="00D31CF4"/>
    <w:rsid w:val="00D33E72"/>
    <w:rsid w:val="00D35393"/>
    <w:rsid w:val="00D35BD6"/>
    <w:rsid w:val="00D361B5"/>
    <w:rsid w:val="00D37C21"/>
    <w:rsid w:val="00D411A2"/>
    <w:rsid w:val="00D434FB"/>
    <w:rsid w:val="00D4606D"/>
    <w:rsid w:val="00D47008"/>
    <w:rsid w:val="00D50B9C"/>
    <w:rsid w:val="00D52D73"/>
    <w:rsid w:val="00D52E58"/>
    <w:rsid w:val="00D54E64"/>
    <w:rsid w:val="00D607A6"/>
    <w:rsid w:val="00D63A4F"/>
    <w:rsid w:val="00D649A0"/>
    <w:rsid w:val="00D714CC"/>
    <w:rsid w:val="00D75EA7"/>
    <w:rsid w:val="00D774B8"/>
    <w:rsid w:val="00D81F21"/>
    <w:rsid w:val="00D85AC1"/>
    <w:rsid w:val="00D85BD4"/>
    <w:rsid w:val="00D95470"/>
    <w:rsid w:val="00DA2619"/>
    <w:rsid w:val="00DA4239"/>
    <w:rsid w:val="00DA5046"/>
    <w:rsid w:val="00DA6F21"/>
    <w:rsid w:val="00DB0B61"/>
    <w:rsid w:val="00DB68F3"/>
    <w:rsid w:val="00DC090B"/>
    <w:rsid w:val="00DC1679"/>
    <w:rsid w:val="00DC2CF1"/>
    <w:rsid w:val="00DC49F9"/>
    <w:rsid w:val="00DC4FCF"/>
    <w:rsid w:val="00DC50E0"/>
    <w:rsid w:val="00DC6386"/>
    <w:rsid w:val="00DC6866"/>
    <w:rsid w:val="00DD1130"/>
    <w:rsid w:val="00DD1951"/>
    <w:rsid w:val="00DD32B1"/>
    <w:rsid w:val="00DD617A"/>
    <w:rsid w:val="00DD6628"/>
    <w:rsid w:val="00DE3250"/>
    <w:rsid w:val="00DE35C9"/>
    <w:rsid w:val="00DE6028"/>
    <w:rsid w:val="00DE78A3"/>
    <w:rsid w:val="00DF1A71"/>
    <w:rsid w:val="00DF68C7"/>
    <w:rsid w:val="00DF731A"/>
    <w:rsid w:val="00E02CBC"/>
    <w:rsid w:val="00E15D97"/>
    <w:rsid w:val="00E170DC"/>
    <w:rsid w:val="00E22799"/>
    <w:rsid w:val="00E24CC0"/>
    <w:rsid w:val="00E26818"/>
    <w:rsid w:val="00E27173"/>
    <w:rsid w:val="00E27FFC"/>
    <w:rsid w:val="00E30B15"/>
    <w:rsid w:val="00E3492E"/>
    <w:rsid w:val="00E40181"/>
    <w:rsid w:val="00E56A01"/>
    <w:rsid w:val="00E629A1"/>
    <w:rsid w:val="00E63296"/>
    <w:rsid w:val="00E71591"/>
    <w:rsid w:val="00E75BDB"/>
    <w:rsid w:val="00E82C55"/>
    <w:rsid w:val="00E86282"/>
    <w:rsid w:val="00E92AC3"/>
    <w:rsid w:val="00EB00E0"/>
    <w:rsid w:val="00EB1B4B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F00CC1"/>
    <w:rsid w:val="00F00F9C"/>
    <w:rsid w:val="00F01E5F"/>
    <w:rsid w:val="00F02ABA"/>
    <w:rsid w:val="00F0437A"/>
    <w:rsid w:val="00F04680"/>
    <w:rsid w:val="00F11037"/>
    <w:rsid w:val="00F14B51"/>
    <w:rsid w:val="00F1579E"/>
    <w:rsid w:val="00F16F1B"/>
    <w:rsid w:val="00F250A9"/>
    <w:rsid w:val="00F30FF4"/>
    <w:rsid w:val="00F3122E"/>
    <w:rsid w:val="00F331AD"/>
    <w:rsid w:val="00F35287"/>
    <w:rsid w:val="00F35909"/>
    <w:rsid w:val="00F36D18"/>
    <w:rsid w:val="00F37BCE"/>
    <w:rsid w:val="00F43A37"/>
    <w:rsid w:val="00F4641B"/>
    <w:rsid w:val="00F46E7C"/>
    <w:rsid w:val="00F46EB8"/>
    <w:rsid w:val="00F511E4"/>
    <w:rsid w:val="00F52D09"/>
    <w:rsid w:val="00F52E08"/>
    <w:rsid w:val="00F53B32"/>
    <w:rsid w:val="00F55B21"/>
    <w:rsid w:val="00F56EF6"/>
    <w:rsid w:val="00F61A9F"/>
    <w:rsid w:val="00F62082"/>
    <w:rsid w:val="00F64696"/>
    <w:rsid w:val="00F65AA9"/>
    <w:rsid w:val="00F6768F"/>
    <w:rsid w:val="00F72C2C"/>
    <w:rsid w:val="00F73F6A"/>
    <w:rsid w:val="00F76CAB"/>
    <w:rsid w:val="00F772C6"/>
    <w:rsid w:val="00F815B5"/>
    <w:rsid w:val="00F85195"/>
    <w:rsid w:val="00F938BA"/>
    <w:rsid w:val="00FA2C46"/>
    <w:rsid w:val="00FA3525"/>
    <w:rsid w:val="00FB2ADE"/>
    <w:rsid w:val="00FB4CDA"/>
    <w:rsid w:val="00FB7595"/>
    <w:rsid w:val="00FC0F81"/>
    <w:rsid w:val="00FC1943"/>
    <w:rsid w:val="00FC395C"/>
    <w:rsid w:val="00FD3766"/>
    <w:rsid w:val="00FD3DDD"/>
    <w:rsid w:val="00FD47C4"/>
    <w:rsid w:val="00FE2DCF"/>
    <w:rsid w:val="00FF0246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."/>
  <w:listSeparator w:val=","/>
  <w14:docId w14:val="1B5ACE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1"/>
    <w:qFormat/>
    <w:rsid w:val="00F62082"/>
    <w:rPr>
      <w:rFonts w:ascii="Calibri" w:eastAsiaTheme="minorHAnsi" w:hAnsi="Calibri" w:cs="Calibr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8D284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8D284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8D2846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8D2846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link w:val="HeaderChar"/>
    <w:uiPriority w:val="99"/>
    <w:rsid w:val="00262802"/>
  </w:style>
  <w:style w:type="paragraph" w:styleId="Footer">
    <w:name w:val="footer"/>
    <w:basedOn w:val="DHHSfooter"/>
    <w:link w:val="FooterChar"/>
    <w:uiPriority w:val="99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rFonts w:ascii="Cambria" w:eastAsia="Times New Roman" w:hAnsi="Cambria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eastAsia="Times New Roman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8D284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8D2846"/>
    <w:rPr>
      <w:rFonts w:ascii="Arial" w:hAnsi="Arial"/>
      <w:b/>
      <w:color w:val="201547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  <w:rPr>
      <w:rFonts w:ascii="Cambria" w:eastAsia="Times New Roman" w:hAnsi="Cambria" w:cs="Times New Roman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  <w:rPr>
      <w:rFonts w:ascii="Cambria" w:eastAsia="Times New Roman" w:hAnsi="Cambria" w:cs="Times New Roman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  <w:rPr>
      <w:rFonts w:ascii="Cambria" w:eastAsia="Times New Roman" w:hAnsi="Cambria" w:cs="Times New Roman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  <w:rPr>
      <w:rFonts w:ascii="Cambria" w:eastAsia="Times New Roman" w:hAnsi="Cambria" w:cs="Times New Roman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  <w:rPr>
      <w:rFonts w:ascii="Cambria" w:eastAsia="Times New Roman" w:hAnsi="Cambria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eastAsia="Times New Roman" w:hAnsi="Calibri Light" w:cs="Times New Roman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8D2846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character" w:styleId="UnresolvedMention">
    <w:name w:val="Unresolved Mention"/>
    <w:basedOn w:val="DefaultParagraphFont"/>
    <w:uiPriority w:val="99"/>
    <w:semiHidden/>
    <w:unhideWhenUsed/>
    <w:rsid w:val="00D26BD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05E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4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45C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74689B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AA05B7"/>
    <w:rPr>
      <w:rFonts w:ascii="Arial" w:hAnsi="Arial" w:cs="Arial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A05B7"/>
    <w:rPr>
      <w:rFonts w:ascii="Arial" w:hAnsi="Arial" w:cs="Arial"/>
      <w:sz w:val="18"/>
      <w:szCs w:val="18"/>
      <w:lang w:eastAsia="en-US"/>
    </w:rPr>
  </w:style>
  <w:style w:type="character" w:customStyle="1" w:styleId="DHHSbodyChar">
    <w:name w:val="DHHS body Char"/>
    <w:link w:val="DHHSbody"/>
    <w:locked/>
    <w:rsid w:val="00D13289"/>
    <w:rPr>
      <w:rFonts w:ascii="Arial" w:eastAsia="Times" w:hAnsi="Arial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37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7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77E"/>
    <w:rPr>
      <w:rFonts w:ascii="Calibri" w:eastAsiaTheme="minorHAnsi" w:hAnsi="Calibri"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7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77E"/>
    <w:rPr>
      <w:rFonts w:ascii="Calibri" w:eastAsiaTheme="minorHAnsi" w:hAnsi="Calibri" w:cs="Calibri"/>
      <w:b/>
      <w:bCs/>
      <w:lang w:eastAsia="en-US"/>
    </w:rPr>
  </w:style>
  <w:style w:type="paragraph" w:styleId="Revision">
    <w:name w:val="Revision"/>
    <w:hidden/>
    <w:uiPriority w:val="71"/>
    <w:rsid w:val="005828E8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9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2.health.vic.gov.au/about/publications/policiesandguidelines/vadc-data-specifica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vadc_data@dhhs.vic.gov.a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ADC_data@dhhs.vic.gov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VADC_data@dhhs.vic.gov.a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1113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VADC 1819 Bulletin- Edition 8</vt:lpstr>
    </vt:vector>
  </TitlesOfParts>
  <Manager/>
  <Company/>
  <LinksUpToDate>false</LinksUpToDate>
  <CharactersWithSpaces>8223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VADC 1819 Bulletin- Edition 8</dc:title>
  <dc:subject>VADC 1819 Bulletin- Edition 8</dc:subject>
  <dc:creator/>
  <cp:keywords>Bulletin, VADC, 2018-19</cp:keywords>
  <cp:lastModifiedBy/>
  <cp:revision>1</cp:revision>
  <dcterms:created xsi:type="dcterms:W3CDTF">2019-06-26T06:28:00Z</dcterms:created>
  <dcterms:modified xsi:type="dcterms:W3CDTF">2019-08-12T03:18:00Z</dcterms:modified>
</cp:coreProperties>
</file>