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E7F2" w14:textId="77777777" w:rsidR="0074696E" w:rsidRPr="004C6EEE" w:rsidRDefault="00FC7FB6" w:rsidP="00EC40D5">
      <w:pPr>
        <w:pStyle w:val="Sectionbreakfirstpage"/>
      </w:pPr>
      <w:r>
        <w:rPr>
          <w:lang w:eastAsia="en-AU"/>
        </w:rPr>
        <w:drawing>
          <wp:anchor distT="0" distB="0" distL="114300" distR="114300" simplePos="0" relativeHeight="251658240" behindDoc="1" locked="1" layoutInCell="1" allowOverlap="1" wp14:anchorId="028CD811" wp14:editId="7049A2BE">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F49DD85"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FB63E7E" w14:textId="77777777" w:rsidTr="003B5733">
        <w:tc>
          <w:tcPr>
            <w:tcW w:w="0" w:type="auto"/>
            <w:tcMar>
              <w:top w:w="1701" w:type="dxa"/>
              <w:left w:w="0" w:type="dxa"/>
              <w:right w:w="0" w:type="dxa"/>
            </w:tcMar>
          </w:tcPr>
          <w:p w14:paraId="10E00798" w14:textId="77777777" w:rsidR="003B5733" w:rsidRDefault="00A40857" w:rsidP="003B5733">
            <w:pPr>
              <w:pStyle w:val="Documenttitle"/>
              <w:rPr>
                <w:sz w:val="44"/>
                <w:szCs w:val="44"/>
              </w:rPr>
            </w:pPr>
            <w:r w:rsidRPr="00A40857">
              <w:rPr>
                <w:sz w:val="44"/>
                <w:szCs w:val="44"/>
              </w:rPr>
              <w:t>Victorian Alcohol and Drug Collection</w:t>
            </w:r>
          </w:p>
          <w:p w14:paraId="0FC41069" w14:textId="75E2E1DE" w:rsidR="007E2E2F" w:rsidRPr="00A40857" w:rsidRDefault="007E2E2F" w:rsidP="003B5733">
            <w:pPr>
              <w:pStyle w:val="Documenttitle"/>
              <w:rPr>
                <w:sz w:val="44"/>
                <w:szCs w:val="44"/>
              </w:rPr>
            </w:pPr>
            <w:r>
              <w:rPr>
                <w:sz w:val="44"/>
                <w:szCs w:val="44"/>
              </w:rPr>
              <w:t>VADC Bulletin 2020-21</w:t>
            </w:r>
          </w:p>
        </w:tc>
      </w:tr>
      <w:tr w:rsidR="003B5733" w14:paraId="3565AF6E" w14:textId="77777777" w:rsidTr="005F44C0">
        <w:tc>
          <w:tcPr>
            <w:tcW w:w="0" w:type="auto"/>
          </w:tcPr>
          <w:p w14:paraId="3D886A60" w14:textId="3AE284C7" w:rsidR="003B5733" w:rsidRPr="00A1389F" w:rsidRDefault="007E2E2F" w:rsidP="005F44C0">
            <w:pPr>
              <w:pStyle w:val="Documentsubtitle"/>
            </w:pPr>
            <w:r w:rsidRPr="009C1949">
              <w:rPr>
                <w:color w:val="auto"/>
              </w:rPr>
              <w:t>Edition 1</w:t>
            </w:r>
            <w:r w:rsidR="00901A4C" w:rsidRPr="009C1949">
              <w:rPr>
                <w:color w:val="auto"/>
              </w:rPr>
              <w:t>3</w:t>
            </w:r>
            <w:r w:rsidRPr="009C1949">
              <w:rPr>
                <w:color w:val="auto"/>
              </w:rPr>
              <w:t xml:space="preserve">: </w:t>
            </w:r>
            <w:r w:rsidR="009C1949" w:rsidRPr="009C1949">
              <w:rPr>
                <w:color w:val="auto"/>
              </w:rPr>
              <w:t>20</w:t>
            </w:r>
            <w:r w:rsidR="00A12403" w:rsidRPr="009C1949">
              <w:rPr>
                <w:color w:val="auto"/>
              </w:rPr>
              <w:t xml:space="preserve"> May</w:t>
            </w:r>
            <w:r w:rsidRPr="009C1949">
              <w:rPr>
                <w:color w:val="auto"/>
              </w:rPr>
              <w:t xml:space="preserve"> 2021</w:t>
            </w:r>
          </w:p>
        </w:tc>
      </w:tr>
      <w:tr w:rsidR="003B5733" w14:paraId="5DF103DC" w14:textId="77777777" w:rsidTr="005F44C0">
        <w:tc>
          <w:tcPr>
            <w:tcW w:w="0" w:type="auto"/>
          </w:tcPr>
          <w:p w14:paraId="1907DE8A" w14:textId="1FDE4888" w:rsidR="003B5733" w:rsidRDefault="003B5733" w:rsidP="005F44C0">
            <w:pPr>
              <w:pStyle w:val="Bannermarking"/>
            </w:pPr>
          </w:p>
        </w:tc>
      </w:tr>
    </w:tbl>
    <w:p w14:paraId="48A47641" w14:textId="77777777" w:rsidR="007E2E2F" w:rsidRDefault="007E2E2F">
      <w:pPr>
        <w:pStyle w:val="TOC1"/>
        <w:tabs>
          <w:tab w:val="left" w:pos="567"/>
        </w:tabs>
      </w:pPr>
    </w:p>
    <w:p w14:paraId="0E3C6BF4" w14:textId="191159E0" w:rsidR="007E2E2F" w:rsidRDefault="007E2E2F" w:rsidP="007E2E2F">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49B19DD2" w14:textId="443B69D1" w:rsidR="007E2E2F" w:rsidRPr="00BE6557" w:rsidRDefault="00BE6557" w:rsidP="007E2E2F">
      <w:pPr>
        <w:pStyle w:val="DHHSbody"/>
        <w:rPr>
          <w:rStyle w:val="Hyperlink"/>
          <w:sz w:val="21"/>
          <w:szCs w:val="21"/>
        </w:rPr>
      </w:pPr>
      <w:r>
        <w:rPr>
          <w:sz w:val="21"/>
          <w:szCs w:val="21"/>
        </w:rPr>
        <w:fldChar w:fldCharType="begin"/>
      </w:r>
      <w:r>
        <w:rPr>
          <w:sz w:val="21"/>
          <w:szCs w:val="21"/>
        </w:rPr>
        <w:instrText xml:space="preserve"> HYPERLINK "https://www2.health.vic.gov.au/alcohol-and-drugs/funding-and-reporting-aod-services/reporting-for-aod-services/data-collection/vadc-documentation" </w:instrText>
      </w:r>
      <w:r>
        <w:rPr>
          <w:sz w:val="21"/>
          <w:szCs w:val="21"/>
        </w:rPr>
        <w:fldChar w:fldCharType="separate"/>
      </w:r>
      <w:r w:rsidR="007E2E2F" w:rsidRPr="00BE6557">
        <w:rPr>
          <w:rStyle w:val="Hyperlink"/>
          <w:sz w:val="21"/>
          <w:szCs w:val="21"/>
        </w:rPr>
        <w:t>VADC documentation - health.vic</w:t>
      </w:r>
    </w:p>
    <w:p w14:paraId="2485F9E7" w14:textId="3DE61946" w:rsidR="006C18B8" w:rsidRPr="006C18B8" w:rsidRDefault="00BE6557" w:rsidP="007E2E2F">
      <w:pPr>
        <w:pStyle w:val="DHHSbody"/>
        <w:rPr>
          <w:rStyle w:val="Hyperlink"/>
          <w:color w:val="auto"/>
          <w:sz w:val="21"/>
          <w:szCs w:val="21"/>
        </w:rPr>
      </w:pPr>
      <w:r>
        <w:rPr>
          <w:sz w:val="21"/>
          <w:szCs w:val="21"/>
        </w:rPr>
        <w:fldChar w:fldCharType="end"/>
      </w:r>
    </w:p>
    <w:p w14:paraId="7141E25F" w14:textId="77777777" w:rsidR="006C18B8" w:rsidRPr="006C18B8" w:rsidRDefault="006C18B8" w:rsidP="007E2E2F">
      <w:pPr>
        <w:pStyle w:val="DHHSbody"/>
        <w:rPr>
          <w:rFonts w:cs="Arial"/>
          <w:sz w:val="21"/>
          <w:szCs w:val="21"/>
        </w:rPr>
      </w:pPr>
    </w:p>
    <w:p w14:paraId="2AD902BA" w14:textId="73EB0F11" w:rsidR="00130B8A" w:rsidRDefault="00AD784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2402642" w:history="1">
        <w:r w:rsidR="00130B8A" w:rsidRPr="00964BDF">
          <w:rPr>
            <w:rStyle w:val="Hyperlink"/>
            <w:rFonts w:eastAsia="Arial"/>
            <w:lang w:eastAsia="en-AU"/>
          </w:rPr>
          <w:t>1.</w:t>
        </w:r>
        <w:r w:rsidR="00130B8A">
          <w:rPr>
            <w:rFonts w:asciiTheme="minorHAnsi" w:eastAsiaTheme="minorEastAsia" w:hAnsiTheme="minorHAnsi" w:cstheme="minorBidi"/>
            <w:b w:val="0"/>
            <w:sz w:val="22"/>
            <w:szCs w:val="22"/>
            <w:lang w:eastAsia="en-AU"/>
          </w:rPr>
          <w:tab/>
        </w:r>
        <w:r w:rsidR="00130B8A" w:rsidRPr="00964BDF">
          <w:rPr>
            <w:rStyle w:val="Hyperlink"/>
            <w:lang w:eastAsia="en-AU"/>
          </w:rPr>
          <w:t>VADC Data Specifications for 2021-2022</w:t>
        </w:r>
        <w:r w:rsidR="00130B8A">
          <w:rPr>
            <w:webHidden/>
          </w:rPr>
          <w:tab/>
        </w:r>
        <w:r w:rsidR="00130B8A">
          <w:rPr>
            <w:webHidden/>
          </w:rPr>
          <w:fldChar w:fldCharType="begin"/>
        </w:r>
        <w:r w:rsidR="00130B8A">
          <w:rPr>
            <w:webHidden/>
          </w:rPr>
          <w:instrText xml:space="preserve"> PAGEREF _Toc72402642 \h </w:instrText>
        </w:r>
        <w:r w:rsidR="00130B8A">
          <w:rPr>
            <w:webHidden/>
          </w:rPr>
        </w:r>
        <w:r w:rsidR="00130B8A">
          <w:rPr>
            <w:webHidden/>
          </w:rPr>
          <w:fldChar w:fldCharType="separate"/>
        </w:r>
        <w:r w:rsidR="00130B8A">
          <w:rPr>
            <w:webHidden/>
          </w:rPr>
          <w:t>2</w:t>
        </w:r>
        <w:r w:rsidR="00130B8A">
          <w:rPr>
            <w:webHidden/>
          </w:rPr>
          <w:fldChar w:fldCharType="end"/>
        </w:r>
      </w:hyperlink>
    </w:p>
    <w:p w14:paraId="624A5B81" w14:textId="4F142A30" w:rsidR="00130B8A" w:rsidRDefault="002672D7">
      <w:pPr>
        <w:pStyle w:val="TOC2"/>
        <w:tabs>
          <w:tab w:val="left" w:pos="567"/>
        </w:tabs>
        <w:rPr>
          <w:rFonts w:asciiTheme="minorHAnsi" w:eastAsiaTheme="minorEastAsia" w:hAnsiTheme="minorHAnsi" w:cstheme="minorBidi"/>
          <w:sz w:val="22"/>
          <w:szCs w:val="22"/>
          <w:lang w:eastAsia="en-AU"/>
        </w:rPr>
      </w:pPr>
      <w:hyperlink w:anchor="_Toc72402643" w:history="1">
        <w:r w:rsidR="00130B8A" w:rsidRPr="00964BDF">
          <w:rPr>
            <w:rStyle w:val="Hyperlink"/>
            <w:lang w:eastAsia="en-AU"/>
          </w:rPr>
          <w:t>1.1</w:t>
        </w:r>
        <w:r w:rsidR="00130B8A">
          <w:rPr>
            <w:rFonts w:asciiTheme="minorHAnsi" w:eastAsiaTheme="minorEastAsia" w:hAnsiTheme="minorHAnsi" w:cstheme="minorBidi"/>
            <w:sz w:val="22"/>
            <w:szCs w:val="22"/>
            <w:lang w:eastAsia="en-AU"/>
          </w:rPr>
          <w:tab/>
        </w:r>
        <w:r w:rsidR="00130B8A" w:rsidRPr="00964BDF">
          <w:rPr>
            <w:rStyle w:val="Hyperlink"/>
            <w:lang w:eastAsia="en-AU"/>
          </w:rPr>
          <w:t xml:space="preserve">Updates incorporated in </w:t>
        </w:r>
        <w:r w:rsidR="00130B8A" w:rsidRPr="00964BDF">
          <w:rPr>
            <w:rStyle w:val="Hyperlink"/>
            <w:i/>
            <w:iCs/>
            <w:lang w:eastAsia="en-AU"/>
          </w:rPr>
          <w:t>VADC Data Specification 2021-22 V1.0</w:t>
        </w:r>
        <w:r w:rsidR="00130B8A">
          <w:rPr>
            <w:webHidden/>
          </w:rPr>
          <w:tab/>
        </w:r>
        <w:r w:rsidR="00130B8A">
          <w:rPr>
            <w:webHidden/>
          </w:rPr>
          <w:fldChar w:fldCharType="begin"/>
        </w:r>
        <w:r w:rsidR="00130B8A">
          <w:rPr>
            <w:webHidden/>
          </w:rPr>
          <w:instrText xml:space="preserve"> PAGEREF _Toc72402643 \h </w:instrText>
        </w:r>
        <w:r w:rsidR="00130B8A">
          <w:rPr>
            <w:webHidden/>
          </w:rPr>
        </w:r>
        <w:r w:rsidR="00130B8A">
          <w:rPr>
            <w:webHidden/>
          </w:rPr>
          <w:fldChar w:fldCharType="separate"/>
        </w:r>
        <w:r w:rsidR="00130B8A">
          <w:rPr>
            <w:webHidden/>
          </w:rPr>
          <w:t>2</w:t>
        </w:r>
        <w:r w:rsidR="00130B8A">
          <w:rPr>
            <w:webHidden/>
          </w:rPr>
          <w:fldChar w:fldCharType="end"/>
        </w:r>
      </w:hyperlink>
    </w:p>
    <w:p w14:paraId="59A55E12" w14:textId="7F4B748B" w:rsidR="00130B8A" w:rsidRDefault="002672D7">
      <w:pPr>
        <w:pStyle w:val="TOC2"/>
        <w:tabs>
          <w:tab w:val="left" w:pos="567"/>
        </w:tabs>
        <w:rPr>
          <w:rFonts w:asciiTheme="minorHAnsi" w:eastAsiaTheme="minorEastAsia" w:hAnsiTheme="minorHAnsi" w:cstheme="minorBidi"/>
          <w:sz w:val="22"/>
          <w:szCs w:val="22"/>
          <w:lang w:eastAsia="en-AU"/>
        </w:rPr>
      </w:pPr>
      <w:hyperlink w:anchor="_Toc72402644" w:history="1">
        <w:r w:rsidR="00130B8A" w:rsidRPr="00964BDF">
          <w:rPr>
            <w:rStyle w:val="Hyperlink"/>
            <w:lang w:eastAsia="en-AU"/>
          </w:rPr>
          <w:t>1.2</w:t>
        </w:r>
        <w:r w:rsidR="00130B8A">
          <w:rPr>
            <w:rFonts w:asciiTheme="minorHAnsi" w:eastAsiaTheme="minorEastAsia" w:hAnsiTheme="minorHAnsi" w:cstheme="minorBidi"/>
            <w:sz w:val="22"/>
            <w:szCs w:val="22"/>
            <w:lang w:eastAsia="en-AU"/>
          </w:rPr>
          <w:tab/>
        </w:r>
        <w:r w:rsidR="00130B8A" w:rsidRPr="00964BDF">
          <w:rPr>
            <w:rStyle w:val="Hyperlink"/>
            <w:lang w:eastAsia="en-AU"/>
          </w:rPr>
          <w:t xml:space="preserve">Updates since publication of the </w:t>
        </w:r>
        <w:r w:rsidR="00130B8A" w:rsidRPr="00964BDF">
          <w:rPr>
            <w:rStyle w:val="Hyperlink"/>
            <w:i/>
            <w:iCs/>
            <w:lang w:eastAsia="en-AU"/>
          </w:rPr>
          <w:t>VADC Data Specification 2021-22 V1.0</w:t>
        </w:r>
        <w:r w:rsidR="00130B8A">
          <w:rPr>
            <w:webHidden/>
          </w:rPr>
          <w:tab/>
        </w:r>
        <w:r w:rsidR="00130B8A">
          <w:rPr>
            <w:webHidden/>
          </w:rPr>
          <w:fldChar w:fldCharType="begin"/>
        </w:r>
        <w:r w:rsidR="00130B8A">
          <w:rPr>
            <w:webHidden/>
          </w:rPr>
          <w:instrText xml:space="preserve"> PAGEREF _Toc72402644 \h </w:instrText>
        </w:r>
        <w:r w:rsidR="00130B8A">
          <w:rPr>
            <w:webHidden/>
          </w:rPr>
        </w:r>
        <w:r w:rsidR="00130B8A">
          <w:rPr>
            <w:webHidden/>
          </w:rPr>
          <w:fldChar w:fldCharType="separate"/>
        </w:r>
        <w:r w:rsidR="00130B8A">
          <w:rPr>
            <w:webHidden/>
          </w:rPr>
          <w:t>3</w:t>
        </w:r>
        <w:r w:rsidR="00130B8A">
          <w:rPr>
            <w:webHidden/>
          </w:rPr>
          <w:fldChar w:fldCharType="end"/>
        </w:r>
      </w:hyperlink>
    </w:p>
    <w:p w14:paraId="3816BC32" w14:textId="7C26A5E2" w:rsidR="00130B8A" w:rsidRDefault="002672D7">
      <w:pPr>
        <w:pStyle w:val="TOC2"/>
        <w:tabs>
          <w:tab w:val="left" w:pos="567"/>
        </w:tabs>
        <w:rPr>
          <w:rFonts w:asciiTheme="minorHAnsi" w:eastAsiaTheme="minorEastAsia" w:hAnsiTheme="minorHAnsi" w:cstheme="minorBidi"/>
          <w:sz w:val="22"/>
          <w:szCs w:val="22"/>
          <w:lang w:eastAsia="en-AU"/>
        </w:rPr>
      </w:pPr>
      <w:hyperlink w:anchor="_Toc72402645" w:history="1">
        <w:r w:rsidR="00130B8A" w:rsidRPr="00964BDF">
          <w:rPr>
            <w:rStyle w:val="Hyperlink"/>
            <w:lang w:eastAsia="en-AU"/>
          </w:rPr>
          <w:t>1.3</w:t>
        </w:r>
        <w:r w:rsidR="00130B8A">
          <w:rPr>
            <w:rFonts w:asciiTheme="minorHAnsi" w:eastAsiaTheme="minorEastAsia" w:hAnsiTheme="minorHAnsi" w:cstheme="minorBidi"/>
            <w:sz w:val="22"/>
            <w:szCs w:val="22"/>
            <w:lang w:eastAsia="en-AU"/>
          </w:rPr>
          <w:tab/>
        </w:r>
        <w:r w:rsidR="00130B8A" w:rsidRPr="00964BDF">
          <w:rPr>
            <w:rStyle w:val="Hyperlink"/>
            <w:lang w:eastAsia="en-AU"/>
          </w:rPr>
          <w:t xml:space="preserve">Clarification to AOD181 </w:t>
        </w:r>
        <w:r w:rsidR="00130B8A" w:rsidRPr="00964BDF">
          <w:rPr>
            <w:rStyle w:val="Hyperlink"/>
            <w:i/>
            <w:iCs/>
            <w:lang w:eastAsia="en-AU"/>
          </w:rPr>
          <w:t>VADC Data Specification 2021-22 V1.0</w:t>
        </w:r>
        <w:r w:rsidR="00130B8A">
          <w:rPr>
            <w:webHidden/>
          </w:rPr>
          <w:tab/>
        </w:r>
        <w:r w:rsidR="00130B8A">
          <w:rPr>
            <w:webHidden/>
          </w:rPr>
          <w:fldChar w:fldCharType="begin"/>
        </w:r>
        <w:r w:rsidR="00130B8A">
          <w:rPr>
            <w:webHidden/>
          </w:rPr>
          <w:instrText xml:space="preserve"> PAGEREF _Toc72402645 \h </w:instrText>
        </w:r>
        <w:r w:rsidR="00130B8A">
          <w:rPr>
            <w:webHidden/>
          </w:rPr>
        </w:r>
        <w:r w:rsidR="00130B8A">
          <w:rPr>
            <w:webHidden/>
          </w:rPr>
          <w:fldChar w:fldCharType="separate"/>
        </w:r>
        <w:r w:rsidR="00130B8A">
          <w:rPr>
            <w:webHidden/>
          </w:rPr>
          <w:t>4</w:t>
        </w:r>
        <w:r w:rsidR="00130B8A">
          <w:rPr>
            <w:webHidden/>
          </w:rPr>
          <w:fldChar w:fldCharType="end"/>
        </w:r>
      </w:hyperlink>
    </w:p>
    <w:p w14:paraId="5B3E93F8" w14:textId="1AF3ED89" w:rsidR="00130B8A" w:rsidRDefault="002672D7">
      <w:pPr>
        <w:pStyle w:val="TOC1"/>
        <w:tabs>
          <w:tab w:val="left" w:pos="567"/>
        </w:tabs>
        <w:rPr>
          <w:rFonts w:asciiTheme="minorHAnsi" w:eastAsiaTheme="minorEastAsia" w:hAnsiTheme="minorHAnsi" w:cstheme="minorBidi"/>
          <w:b w:val="0"/>
          <w:sz w:val="22"/>
          <w:szCs w:val="22"/>
          <w:lang w:eastAsia="en-AU"/>
        </w:rPr>
      </w:pPr>
      <w:hyperlink w:anchor="_Toc72402646" w:history="1">
        <w:r w:rsidR="00130B8A" w:rsidRPr="00964BDF">
          <w:rPr>
            <w:rStyle w:val="Hyperlink"/>
            <w:lang w:eastAsia="en-AU"/>
          </w:rPr>
          <w:t>2.</w:t>
        </w:r>
        <w:r w:rsidR="00130B8A">
          <w:rPr>
            <w:rFonts w:asciiTheme="minorHAnsi" w:eastAsiaTheme="minorEastAsia" w:hAnsiTheme="minorHAnsi" w:cstheme="minorBidi"/>
            <w:b w:val="0"/>
            <w:sz w:val="22"/>
            <w:szCs w:val="22"/>
            <w:lang w:eastAsia="en-AU"/>
          </w:rPr>
          <w:tab/>
        </w:r>
        <w:r w:rsidR="00130B8A" w:rsidRPr="00964BDF">
          <w:rPr>
            <w:rStyle w:val="Hyperlink"/>
            <w:lang w:eastAsia="en-AU"/>
          </w:rPr>
          <w:t>End of year transition reminder</w:t>
        </w:r>
        <w:r w:rsidR="00130B8A">
          <w:rPr>
            <w:webHidden/>
          </w:rPr>
          <w:tab/>
        </w:r>
        <w:r w:rsidR="00130B8A">
          <w:rPr>
            <w:webHidden/>
          </w:rPr>
          <w:fldChar w:fldCharType="begin"/>
        </w:r>
        <w:r w:rsidR="00130B8A">
          <w:rPr>
            <w:webHidden/>
          </w:rPr>
          <w:instrText xml:space="preserve"> PAGEREF _Toc72402646 \h </w:instrText>
        </w:r>
        <w:r w:rsidR="00130B8A">
          <w:rPr>
            <w:webHidden/>
          </w:rPr>
        </w:r>
        <w:r w:rsidR="00130B8A">
          <w:rPr>
            <w:webHidden/>
          </w:rPr>
          <w:fldChar w:fldCharType="separate"/>
        </w:r>
        <w:r w:rsidR="00130B8A">
          <w:rPr>
            <w:webHidden/>
          </w:rPr>
          <w:t>5</w:t>
        </w:r>
        <w:r w:rsidR="00130B8A">
          <w:rPr>
            <w:webHidden/>
          </w:rPr>
          <w:fldChar w:fldCharType="end"/>
        </w:r>
      </w:hyperlink>
    </w:p>
    <w:p w14:paraId="1B293AFC" w14:textId="0ABF67B7" w:rsidR="00924CC7" w:rsidRDefault="00AD784C" w:rsidP="007E2E2F">
      <w:pPr>
        <w:pStyle w:val="Body"/>
        <w:rPr>
          <w:rFonts w:eastAsia="MS Gothic"/>
          <w:bCs/>
          <w:color w:val="53565A"/>
          <w:sz w:val="27"/>
          <w:szCs w:val="26"/>
          <w:lang w:eastAsia="en-AU"/>
        </w:rPr>
      </w:pPr>
      <w:r>
        <w:fldChar w:fldCharType="end"/>
      </w:r>
      <w:r w:rsidR="00924CC7">
        <w:rPr>
          <w:lang w:eastAsia="en-AU"/>
        </w:rPr>
        <w:br w:type="page"/>
      </w:r>
    </w:p>
    <w:p w14:paraId="46828EC3" w14:textId="4DF461B5" w:rsidR="00901A4C" w:rsidRDefault="00901A4C" w:rsidP="006C18B8">
      <w:pPr>
        <w:pStyle w:val="Heading1"/>
        <w:numPr>
          <w:ilvl w:val="0"/>
          <w:numId w:val="15"/>
        </w:numPr>
        <w:rPr>
          <w:rFonts w:eastAsia="Arial"/>
          <w:lang w:eastAsia="en-AU"/>
        </w:rPr>
      </w:pPr>
      <w:bookmarkStart w:id="0" w:name="_Toc72402642"/>
      <w:r>
        <w:rPr>
          <w:lang w:eastAsia="en-AU"/>
        </w:rPr>
        <w:lastRenderedPageBreak/>
        <w:t xml:space="preserve">VADC Data </w:t>
      </w:r>
      <w:r w:rsidRPr="0F7F8CA9">
        <w:rPr>
          <w:lang w:eastAsia="en-AU"/>
        </w:rPr>
        <w:t xml:space="preserve">Specifications </w:t>
      </w:r>
      <w:r>
        <w:rPr>
          <w:lang w:eastAsia="en-AU"/>
        </w:rPr>
        <w:t xml:space="preserve">for </w:t>
      </w:r>
      <w:r w:rsidRPr="0F7F8CA9">
        <w:rPr>
          <w:lang w:eastAsia="en-AU"/>
        </w:rPr>
        <w:t>2021</w:t>
      </w:r>
      <w:r>
        <w:rPr>
          <w:lang w:eastAsia="en-AU"/>
        </w:rPr>
        <w:t>-2022</w:t>
      </w:r>
      <w:bookmarkEnd w:id="0"/>
    </w:p>
    <w:p w14:paraId="56241273" w14:textId="7BDCD675" w:rsidR="00FC64CA" w:rsidRPr="003347DE" w:rsidRDefault="00FC64CA" w:rsidP="00901A4C">
      <w:pPr>
        <w:rPr>
          <w:rFonts w:cs="Arial"/>
          <w:szCs w:val="21"/>
          <w:lang w:eastAsia="en-AU"/>
        </w:rPr>
      </w:pPr>
      <w:r w:rsidRPr="003347DE">
        <w:rPr>
          <w:rFonts w:cs="Arial"/>
          <w:szCs w:val="21"/>
          <w:lang w:eastAsia="en-AU"/>
        </w:rPr>
        <w:t>The VADC Data Specification</w:t>
      </w:r>
      <w:r w:rsidR="003347DE" w:rsidRPr="003347DE">
        <w:rPr>
          <w:rFonts w:cs="Arial"/>
          <w:szCs w:val="21"/>
          <w:lang w:eastAsia="en-AU"/>
        </w:rPr>
        <w:t>s</w:t>
      </w:r>
      <w:r w:rsidRPr="003347DE">
        <w:rPr>
          <w:rFonts w:cs="Arial"/>
          <w:szCs w:val="21"/>
          <w:lang w:eastAsia="en-AU"/>
        </w:rPr>
        <w:t xml:space="preserve"> </w:t>
      </w:r>
      <w:r w:rsidR="00D30E68">
        <w:rPr>
          <w:rFonts w:cs="Arial"/>
          <w:szCs w:val="21"/>
          <w:lang w:eastAsia="en-AU"/>
        </w:rPr>
        <w:t xml:space="preserve">for 2021-22 </w:t>
      </w:r>
      <w:r w:rsidR="003347DE" w:rsidRPr="003347DE">
        <w:rPr>
          <w:rFonts w:cs="Arial"/>
          <w:szCs w:val="21"/>
          <w:lang w:eastAsia="en-AU"/>
        </w:rPr>
        <w:t>were</w:t>
      </w:r>
      <w:r w:rsidRPr="003347DE">
        <w:rPr>
          <w:rFonts w:cs="Arial"/>
          <w:szCs w:val="21"/>
          <w:lang w:eastAsia="en-AU"/>
        </w:rPr>
        <w:t xml:space="preserve"> distributed via email</w:t>
      </w:r>
      <w:r w:rsidR="00A12403">
        <w:rPr>
          <w:rFonts w:cs="Arial"/>
          <w:szCs w:val="21"/>
          <w:lang w:eastAsia="en-AU"/>
        </w:rPr>
        <w:t xml:space="preserve"> </w:t>
      </w:r>
      <w:r w:rsidR="00D30E68">
        <w:rPr>
          <w:rFonts w:cs="Arial"/>
          <w:szCs w:val="21"/>
          <w:lang w:eastAsia="en-AU"/>
        </w:rPr>
        <w:t xml:space="preserve">on </w:t>
      </w:r>
      <w:r w:rsidRPr="003347DE">
        <w:rPr>
          <w:rFonts w:cs="Arial"/>
          <w:szCs w:val="21"/>
          <w:lang w:eastAsia="en-AU"/>
        </w:rPr>
        <w:t>20/</w:t>
      </w:r>
      <w:r w:rsidR="003347DE" w:rsidRPr="003347DE">
        <w:rPr>
          <w:rFonts w:cs="Arial"/>
          <w:szCs w:val="21"/>
          <w:lang w:eastAsia="en-AU"/>
        </w:rPr>
        <w:t>04/</w:t>
      </w:r>
      <w:r w:rsidRPr="003347DE">
        <w:rPr>
          <w:rFonts w:cs="Arial"/>
          <w:szCs w:val="21"/>
          <w:lang w:eastAsia="en-AU"/>
        </w:rPr>
        <w:t>21</w:t>
      </w:r>
      <w:r w:rsidR="00736E49">
        <w:rPr>
          <w:rFonts w:cs="Arial"/>
          <w:szCs w:val="21"/>
          <w:lang w:eastAsia="en-AU"/>
        </w:rPr>
        <w:t xml:space="preserve"> and</w:t>
      </w:r>
      <w:r w:rsidR="00736E49" w:rsidRPr="00736E49">
        <w:rPr>
          <w:rFonts w:cs="Arial"/>
          <w:szCs w:val="21"/>
          <w:lang w:eastAsia="en-AU"/>
        </w:rPr>
        <w:t xml:space="preserve"> </w:t>
      </w:r>
      <w:r w:rsidR="007770C7">
        <w:rPr>
          <w:rFonts w:cs="Arial"/>
          <w:szCs w:val="21"/>
          <w:lang w:eastAsia="en-AU"/>
        </w:rPr>
        <w:t>i</w:t>
      </w:r>
      <w:r w:rsidR="00736E49" w:rsidRPr="003347DE">
        <w:rPr>
          <w:rFonts w:cs="Arial"/>
          <w:szCs w:val="21"/>
          <w:lang w:eastAsia="en-AU"/>
        </w:rPr>
        <w:t>ncluded</w:t>
      </w:r>
      <w:r w:rsidR="00736E49">
        <w:rPr>
          <w:rFonts w:cs="Arial"/>
          <w:szCs w:val="21"/>
          <w:lang w:eastAsia="en-AU"/>
        </w:rPr>
        <w:t>:</w:t>
      </w:r>
    </w:p>
    <w:p w14:paraId="3E4FFD24" w14:textId="77777777" w:rsidR="00FC64CA" w:rsidRPr="003347DE" w:rsidRDefault="00FC64CA" w:rsidP="00FC64CA">
      <w:pPr>
        <w:pStyle w:val="ListParagraph"/>
        <w:numPr>
          <w:ilvl w:val="0"/>
          <w:numId w:val="12"/>
        </w:numPr>
        <w:spacing w:after="240"/>
        <w:contextualSpacing w:val="0"/>
        <w:rPr>
          <w:rFonts w:ascii="Arial" w:eastAsia="Times New Roman" w:hAnsi="Arial" w:cs="Arial"/>
          <w:i/>
          <w:iCs/>
        </w:rPr>
      </w:pPr>
      <w:r w:rsidRPr="003347DE">
        <w:rPr>
          <w:rFonts w:ascii="Arial" w:eastAsia="Times New Roman" w:hAnsi="Arial" w:cs="Arial"/>
          <w:i/>
          <w:iCs/>
        </w:rPr>
        <w:t>VADC Data Specification 2021-22</w:t>
      </w:r>
    </w:p>
    <w:p w14:paraId="1DAF2778" w14:textId="77777777" w:rsidR="00FC64CA" w:rsidRPr="003347DE" w:rsidRDefault="00FC64CA" w:rsidP="00FC64CA">
      <w:pPr>
        <w:pStyle w:val="ListParagraph"/>
        <w:numPr>
          <w:ilvl w:val="0"/>
          <w:numId w:val="12"/>
        </w:numPr>
        <w:spacing w:after="240"/>
        <w:contextualSpacing w:val="0"/>
        <w:rPr>
          <w:rFonts w:ascii="Arial" w:eastAsia="Times New Roman" w:hAnsi="Arial" w:cs="Arial"/>
          <w:i/>
          <w:iCs/>
        </w:rPr>
      </w:pPr>
      <w:r w:rsidRPr="003347DE">
        <w:rPr>
          <w:rFonts w:ascii="Arial" w:eastAsia="Times New Roman" w:hAnsi="Arial" w:cs="Arial"/>
          <w:i/>
          <w:iCs/>
        </w:rPr>
        <w:t>VADC Compilation and Submission 2021-22</w:t>
      </w:r>
    </w:p>
    <w:p w14:paraId="19ABB50B" w14:textId="18337B12" w:rsidR="00901A4C" w:rsidRPr="003347DE" w:rsidRDefault="00901A4C" w:rsidP="003347DE">
      <w:pPr>
        <w:spacing w:after="0" w:line="240" w:lineRule="auto"/>
        <w:rPr>
          <w:rFonts w:cs="Arial"/>
          <w:szCs w:val="21"/>
          <w:lang w:eastAsia="en-AU"/>
        </w:rPr>
      </w:pPr>
      <w:r w:rsidRPr="003347DE">
        <w:rPr>
          <w:rFonts w:cs="Arial"/>
          <w:szCs w:val="21"/>
          <w:lang w:eastAsia="en-AU"/>
        </w:rPr>
        <w:t>It is important to ensure your vendor has received the specifications and is working on the changes. This will guarantee sufficient time for both the vendor and your service to complete testing of the changes and enable services to enter data in the updated software from July 1</w:t>
      </w:r>
      <w:r w:rsidR="00FC64CA" w:rsidRPr="003347DE">
        <w:rPr>
          <w:rFonts w:cs="Arial"/>
          <w:szCs w:val="21"/>
          <w:lang w:eastAsia="en-AU"/>
        </w:rPr>
        <w:t xml:space="preserve">, </w:t>
      </w:r>
      <w:r w:rsidRPr="003347DE">
        <w:rPr>
          <w:rFonts w:cs="Arial"/>
          <w:szCs w:val="21"/>
          <w:lang w:eastAsia="en-AU"/>
        </w:rPr>
        <w:t>2021.</w:t>
      </w:r>
    </w:p>
    <w:p w14:paraId="0A050F19" w14:textId="77777777" w:rsidR="003347DE" w:rsidRPr="003347DE" w:rsidRDefault="003347DE" w:rsidP="003347DE">
      <w:pPr>
        <w:spacing w:after="0" w:line="240" w:lineRule="auto"/>
        <w:rPr>
          <w:rFonts w:cs="Arial"/>
          <w:szCs w:val="21"/>
          <w:lang w:eastAsia="en-AU"/>
        </w:rPr>
      </w:pPr>
    </w:p>
    <w:p w14:paraId="52C0A537" w14:textId="43C266B9" w:rsidR="00901A4C" w:rsidRDefault="00901A4C" w:rsidP="00BE6557">
      <w:pPr>
        <w:spacing w:after="0" w:line="240" w:lineRule="auto"/>
      </w:pPr>
      <w:r w:rsidRPr="003347DE">
        <w:rPr>
          <w:rFonts w:cs="Arial"/>
        </w:rPr>
        <w:t xml:space="preserve">These documents </w:t>
      </w:r>
      <w:r w:rsidR="00D60A06">
        <w:rPr>
          <w:rFonts w:cs="Arial"/>
        </w:rPr>
        <w:t xml:space="preserve">have been </w:t>
      </w:r>
      <w:r w:rsidRPr="003347DE">
        <w:rPr>
          <w:rFonts w:cs="Arial"/>
        </w:rPr>
        <w:t xml:space="preserve">published on </w:t>
      </w:r>
      <w:hyperlink r:id="rId15" w:history="1">
        <w:r w:rsidR="00BE6557">
          <w:rPr>
            <w:rStyle w:val="Hyperlink"/>
            <w:rFonts w:eastAsia="MS Gothic"/>
          </w:rPr>
          <w:t>https://www2.health.vic.gov.au/alcohol-and-drugs/funding-and-reporting-aod-services/reporting-for-aod-services/data-collection/vadc-documentation</w:t>
        </w:r>
      </w:hyperlink>
    </w:p>
    <w:p w14:paraId="4C5A9581" w14:textId="77777777" w:rsidR="00B67579" w:rsidRPr="00B67579" w:rsidRDefault="006C18B8" w:rsidP="00B67579">
      <w:pPr>
        <w:pStyle w:val="Heading2"/>
        <w:rPr>
          <w:i/>
          <w:iCs/>
          <w:lang w:eastAsia="en-AU"/>
        </w:rPr>
      </w:pPr>
      <w:bookmarkStart w:id="1" w:name="_Toc72402643"/>
      <w:r>
        <w:rPr>
          <w:lang w:eastAsia="en-AU"/>
        </w:rPr>
        <w:t>1.1</w:t>
      </w:r>
      <w:r>
        <w:rPr>
          <w:lang w:eastAsia="en-AU"/>
        </w:rPr>
        <w:tab/>
      </w:r>
      <w:r w:rsidR="00B67579">
        <w:rPr>
          <w:lang w:eastAsia="en-AU"/>
        </w:rPr>
        <w:t xml:space="preserve">Updates incorporated in </w:t>
      </w:r>
      <w:r w:rsidR="00B67579" w:rsidRPr="00B67579">
        <w:rPr>
          <w:i/>
          <w:iCs/>
          <w:lang w:eastAsia="en-AU"/>
        </w:rPr>
        <w:t>VADC Data Specification 2021-22 V1.0</w:t>
      </w:r>
      <w:bookmarkEnd w:id="1"/>
    </w:p>
    <w:p w14:paraId="6A476D7B" w14:textId="736176F9" w:rsidR="00D30E68" w:rsidRPr="003347DE" w:rsidRDefault="00FC64CA" w:rsidP="00D30E68">
      <w:pPr>
        <w:ind w:left="720"/>
        <w:rPr>
          <w:rFonts w:eastAsiaTheme="minorHAnsi" w:cs="Arial"/>
          <w:sz w:val="22"/>
          <w:szCs w:val="22"/>
        </w:rPr>
      </w:pPr>
      <w:r w:rsidRPr="003347DE">
        <w:rPr>
          <w:rFonts w:cs="Arial"/>
          <w:szCs w:val="21"/>
          <w:lang w:eastAsia="en-AU"/>
        </w:rPr>
        <w:t xml:space="preserve">The information below was distributed via email </w:t>
      </w:r>
      <w:r w:rsidR="00D30E68">
        <w:rPr>
          <w:rFonts w:cs="Arial"/>
          <w:szCs w:val="21"/>
          <w:lang w:eastAsia="en-AU"/>
        </w:rPr>
        <w:t xml:space="preserve">to vendors on </w:t>
      </w:r>
      <w:r w:rsidRPr="003347DE">
        <w:rPr>
          <w:rFonts w:cs="Arial"/>
          <w:szCs w:val="21"/>
          <w:lang w:eastAsia="en-AU"/>
        </w:rPr>
        <w:t>26/04/2021.</w:t>
      </w:r>
      <w:r w:rsidR="00D30E68">
        <w:rPr>
          <w:rFonts w:cs="Arial"/>
          <w:szCs w:val="21"/>
          <w:lang w:eastAsia="en-AU"/>
        </w:rPr>
        <w:t xml:space="preserve">  It highlights that there were two </w:t>
      </w:r>
      <w:r w:rsidR="00D30E68">
        <w:rPr>
          <w:rFonts w:cs="Arial"/>
        </w:rPr>
        <w:t xml:space="preserve">updates </w:t>
      </w:r>
      <w:r w:rsidR="005538F4">
        <w:rPr>
          <w:rFonts w:cs="Arial"/>
        </w:rPr>
        <w:t xml:space="preserve">subsequent to </w:t>
      </w:r>
      <w:r w:rsidR="00D30E68">
        <w:rPr>
          <w:rFonts w:cs="Arial"/>
        </w:rPr>
        <w:t xml:space="preserve">the </w:t>
      </w:r>
      <w:r w:rsidR="00D30E68" w:rsidRPr="003347DE">
        <w:rPr>
          <w:rFonts w:cs="Arial"/>
          <w:i/>
          <w:iCs/>
        </w:rPr>
        <w:t>Specifications for revisions to the VADC for 1 July 2021</w:t>
      </w:r>
      <w:r w:rsidR="00D30E68" w:rsidRPr="003347DE">
        <w:rPr>
          <w:rFonts w:cs="Arial"/>
        </w:rPr>
        <w:t xml:space="preserve"> distributed on 24 December 2020</w:t>
      </w:r>
      <w:r w:rsidR="005538F4">
        <w:rPr>
          <w:rFonts w:cs="Arial"/>
        </w:rPr>
        <w:t xml:space="preserve">.  These updates </w:t>
      </w:r>
      <w:r w:rsidR="00D30E68">
        <w:rPr>
          <w:rFonts w:cs="Arial"/>
        </w:rPr>
        <w:t xml:space="preserve">were incorporated in the </w:t>
      </w:r>
      <w:r w:rsidR="00D30E68" w:rsidRPr="003347DE">
        <w:rPr>
          <w:rStyle w:val="Emphasis"/>
          <w:rFonts w:cs="Arial"/>
          <w:sz w:val="22"/>
          <w:szCs w:val="22"/>
        </w:rPr>
        <w:t xml:space="preserve">VADC Data Specification 2021-22 Version 1.0 </w:t>
      </w:r>
      <w:r w:rsidR="00D30E68" w:rsidRPr="003347DE">
        <w:rPr>
          <w:rFonts w:cs="Arial"/>
          <w:sz w:val="22"/>
          <w:szCs w:val="22"/>
        </w:rPr>
        <w:t>released on 20.04.2021.</w:t>
      </w:r>
    </w:p>
    <w:p w14:paraId="1E65878B" w14:textId="3C27C61F" w:rsidR="003347DE" w:rsidRDefault="003347DE" w:rsidP="00E87556">
      <w:pPr>
        <w:pStyle w:val="Body"/>
      </w:pPr>
    </w:p>
    <w:p w14:paraId="458D6B0B" w14:textId="63F7F674" w:rsidR="00901A4C" w:rsidRDefault="00901A4C" w:rsidP="00901A4C">
      <w:r>
        <w:rPr>
          <w:rStyle w:val="Strong"/>
          <w:rFonts w:eastAsia="MS Mincho"/>
          <w:szCs w:val="24"/>
        </w:rPr>
        <w:t>5.3.6</w:t>
      </w:r>
      <w:r>
        <w:rPr>
          <w:rStyle w:val="Strong"/>
          <w:rFonts w:eastAsia="MS Mincho"/>
          <w:sz w:val="14"/>
          <w:szCs w:val="14"/>
        </w:rPr>
        <w:t xml:space="preserve">     </w:t>
      </w:r>
      <w:r>
        <w:rPr>
          <w:rStyle w:val="Strong"/>
          <w:rFonts w:eastAsia="MS Mincho"/>
          <w:szCs w:val="24"/>
        </w:rPr>
        <w:t>Drug Concern—volume—N[N][N][N]</w:t>
      </w:r>
    </w:p>
    <w:tbl>
      <w:tblPr>
        <w:tblW w:w="0" w:type="auto"/>
        <w:tblInd w:w="30" w:type="dxa"/>
        <w:tblCellMar>
          <w:left w:w="0" w:type="dxa"/>
          <w:right w:w="0" w:type="dxa"/>
        </w:tblCellMar>
        <w:tblLook w:val="04A0" w:firstRow="1" w:lastRow="0" w:firstColumn="1" w:lastColumn="0" w:noHBand="0" w:noVBand="1"/>
      </w:tblPr>
      <w:tblGrid>
        <w:gridCol w:w="2520"/>
        <w:gridCol w:w="1800"/>
        <w:gridCol w:w="2880"/>
        <w:gridCol w:w="2520"/>
      </w:tblGrid>
      <w:tr w:rsidR="00901A4C" w14:paraId="70F99667" w14:textId="77777777" w:rsidTr="00901A4C">
        <w:trPr>
          <w:trHeight w:val="295"/>
        </w:trPr>
        <w:tc>
          <w:tcPr>
            <w:tcW w:w="9720" w:type="dxa"/>
            <w:gridSpan w:val="4"/>
            <w:tcBorders>
              <w:top w:val="single" w:sz="8" w:space="0" w:color="auto"/>
              <w:left w:val="nil"/>
              <w:bottom w:val="nil"/>
              <w:right w:val="nil"/>
            </w:tcBorders>
            <w:tcMar>
              <w:top w:w="0" w:type="dxa"/>
              <w:left w:w="30" w:type="dxa"/>
              <w:bottom w:w="0" w:type="dxa"/>
              <w:right w:w="30" w:type="dxa"/>
            </w:tcMar>
            <w:vAlign w:val="center"/>
            <w:hideMark/>
          </w:tcPr>
          <w:p w14:paraId="5D5069D9" w14:textId="77777777" w:rsidR="00901A4C" w:rsidRDefault="00901A4C">
            <w:pPr>
              <w:pStyle w:val="NormalWeb"/>
              <w:spacing w:before="120" w:beforeAutospacing="0" w:after="60" w:afterAutospacing="0"/>
              <w:rPr>
                <w:sz w:val="20"/>
                <w:szCs w:val="20"/>
                <w:lang w:eastAsia="en-US"/>
              </w:rPr>
            </w:pPr>
            <w:r>
              <w:rPr>
                <w:rStyle w:val="Emphasis"/>
                <w:rFonts w:ascii="Verdana" w:hAnsi="Verdana"/>
                <w:color w:val="008080"/>
                <w:sz w:val="20"/>
                <w:szCs w:val="20"/>
              </w:rPr>
              <w:t>Identifying and definitional attributes</w:t>
            </w:r>
          </w:p>
        </w:tc>
      </w:tr>
      <w:tr w:rsidR="00901A4C" w14:paraId="493580A7" w14:textId="77777777" w:rsidTr="00901A4C">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320BCED3"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Definition</w:t>
            </w:r>
          </w:p>
        </w:tc>
        <w:tc>
          <w:tcPr>
            <w:tcW w:w="7200" w:type="dxa"/>
            <w:gridSpan w:val="3"/>
            <w:tcBorders>
              <w:top w:val="nil"/>
              <w:left w:val="nil"/>
              <w:bottom w:val="single" w:sz="8" w:space="0" w:color="auto"/>
              <w:right w:val="nil"/>
            </w:tcBorders>
            <w:tcMar>
              <w:top w:w="0" w:type="dxa"/>
              <w:left w:w="30" w:type="dxa"/>
              <w:bottom w:w="0" w:type="dxa"/>
              <w:right w:w="30" w:type="dxa"/>
            </w:tcMar>
            <w:vAlign w:val="center"/>
            <w:hideMark/>
          </w:tcPr>
          <w:p w14:paraId="0A0A5397"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Volume of the drug of concern consumed by the client per day</w:t>
            </w:r>
          </w:p>
        </w:tc>
      </w:tr>
      <w:tr w:rsidR="00901A4C" w14:paraId="0FD281DA" w14:textId="77777777" w:rsidTr="00901A4C">
        <w:trPr>
          <w:trHeight w:val="295"/>
        </w:trPr>
        <w:tc>
          <w:tcPr>
            <w:tcW w:w="9720" w:type="dxa"/>
            <w:gridSpan w:val="4"/>
            <w:tcMar>
              <w:top w:w="0" w:type="dxa"/>
              <w:left w:w="30" w:type="dxa"/>
              <w:bottom w:w="0" w:type="dxa"/>
              <w:right w:w="30" w:type="dxa"/>
            </w:tcMar>
            <w:vAlign w:val="center"/>
            <w:hideMark/>
          </w:tcPr>
          <w:p w14:paraId="2495545F" w14:textId="77777777" w:rsidR="00901A4C" w:rsidRDefault="00901A4C">
            <w:pPr>
              <w:pStyle w:val="NormalWeb"/>
              <w:spacing w:before="120" w:beforeAutospacing="0"/>
              <w:rPr>
                <w:sz w:val="20"/>
                <w:szCs w:val="20"/>
                <w:lang w:eastAsia="en-US"/>
              </w:rPr>
            </w:pPr>
            <w:r>
              <w:rPr>
                <w:rStyle w:val="Strong"/>
                <w:rFonts w:ascii="Verdana" w:hAnsi="Verdana"/>
                <w:color w:val="000000"/>
                <w:szCs w:val="24"/>
              </w:rPr>
              <w:t>Value domain attributes</w:t>
            </w:r>
          </w:p>
        </w:tc>
      </w:tr>
      <w:tr w:rsidR="00901A4C" w14:paraId="4D58ED4A" w14:textId="77777777" w:rsidTr="00901A4C">
        <w:trPr>
          <w:trHeight w:val="295"/>
        </w:trPr>
        <w:tc>
          <w:tcPr>
            <w:tcW w:w="9720" w:type="dxa"/>
            <w:gridSpan w:val="4"/>
            <w:tcMar>
              <w:top w:w="0" w:type="dxa"/>
              <w:left w:w="30" w:type="dxa"/>
              <w:bottom w:w="0" w:type="dxa"/>
              <w:right w:w="30" w:type="dxa"/>
            </w:tcMar>
            <w:vAlign w:val="center"/>
            <w:hideMark/>
          </w:tcPr>
          <w:p w14:paraId="19CC4AA9" w14:textId="77777777" w:rsidR="00901A4C" w:rsidRDefault="00901A4C">
            <w:pPr>
              <w:pStyle w:val="NormalWeb"/>
              <w:spacing w:before="120" w:beforeAutospacing="0" w:after="60" w:afterAutospacing="0"/>
              <w:rPr>
                <w:sz w:val="20"/>
                <w:szCs w:val="20"/>
                <w:lang w:eastAsia="en-US"/>
              </w:rPr>
            </w:pPr>
            <w:r>
              <w:rPr>
                <w:rStyle w:val="Emphasis"/>
                <w:rFonts w:ascii="Verdana" w:hAnsi="Verdana"/>
                <w:color w:val="008080"/>
                <w:sz w:val="20"/>
                <w:szCs w:val="20"/>
              </w:rPr>
              <w:t>Representational attributes</w:t>
            </w:r>
          </w:p>
        </w:tc>
      </w:tr>
      <w:tr w:rsidR="00901A4C" w14:paraId="59D2BB15" w14:textId="77777777" w:rsidTr="00901A4C">
        <w:trPr>
          <w:trHeight w:val="295"/>
        </w:trPr>
        <w:tc>
          <w:tcPr>
            <w:tcW w:w="2520" w:type="dxa"/>
            <w:tcMar>
              <w:top w:w="0" w:type="dxa"/>
              <w:left w:w="30" w:type="dxa"/>
              <w:bottom w:w="0" w:type="dxa"/>
              <w:right w:w="30" w:type="dxa"/>
            </w:tcMar>
            <w:vAlign w:val="center"/>
            <w:hideMark/>
          </w:tcPr>
          <w:p w14:paraId="67941D0D"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Representation class</w:t>
            </w:r>
          </w:p>
        </w:tc>
        <w:tc>
          <w:tcPr>
            <w:tcW w:w="1800" w:type="dxa"/>
            <w:tcMar>
              <w:top w:w="0" w:type="dxa"/>
              <w:left w:w="30" w:type="dxa"/>
              <w:bottom w:w="0" w:type="dxa"/>
              <w:right w:w="30" w:type="dxa"/>
            </w:tcMar>
            <w:vAlign w:val="center"/>
            <w:hideMark/>
          </w:tcPr>
          <w:p w14:paraId="382B6E83"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Quantity</w:t>
            </w:r>
          </w:p>
        </w:tc>
        <w:tc>
          <w:tcPr>
            <w:tcW w:w="2880" w:type="dxa"/>
            <w:tcMar>
              <w:top w:w="0" w:type="dxa"/>
              <w:left w:w="30" w:type="dxa"/>
              <w:bottom w:w="0" w:type="dxa"/>
              <w:right w:w="30" w:type="dxa"/>
            </w:tcMar>
            <w:vAlign w:val="center"/>
            <w:hideMark/>
          </w:tcPr>
          <w:p w14:paraId="753B7BEA"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Data type</w:t>
            </w:r>
          </w:p>
        </w:tc>
        <w:tc>
          <w:tcPr>
            <w:tcW w:w="2520" w:type="dxa"/>
            <w:tcMar>
              <w:top w:w="0" w:type="dxa"/>
              <w:left w:w="30" w:type="dxa"/>
              <w:bottom w:w="0" w:type="dxa"/>
              <w:right w:w="30" w:type="dxa"/>
            </w:tcMar>
            <w:vAlign w:val="center"/>
            <w:hideMark/>
          </w:tcPr>
          <w:p w14:paraId="060DC888"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Number</w:t>
            </w:r>
          </w:p>
        </w:tc>
      </w:tr>
      <w:tr w:rsidR="00901A4C" w14:paraId="4230847A" w14:textId="77777777" w:rsidTr="00901A4C">
        <w:trPr>
          <w:trHeight w:val="295"/>
        </w:trPr>
        <w:tc>
          <w:tcPr>
            <w:tcW w:w="2520" w:type="dxa"/>
            <w:tcMar>
              <w:top w:w="0" w:type="dxa"/>
              <w:left w:w="30" w:type="dxa"/>
              <w:bottom w:w="0" w:type="dxa"/>
              <w:right w:w="30" w:type="dxa"/>
            </w:tcMar>
            <w:vAlign w:val="center"/>
            <w:hideMark/>
          </w:tcPr>
          <w:p w14:paraId="045FFEE2"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Format</w:t>
            </w:r>
          </w:p>
        </w:tc>
        <w:tc>
          <w:tcPr>
            <w:tcW w:w="1800" w:type="dxa"/>
            <w:tcMar>
              <w:top w:w="0" w:type="dxa"/>
              <w:left w:w="30" w:type="dxa"/>
              <w:bottom w:w="0" w:type="dxa"/>
              <w:right w:w="30" w:type="dxa"/>
            </w:tcMar>
            <w:vAlign w:val="center"/>
            <w:hideMark/>
          </w:tcPr>
          <w:p w14:paraId="71C1C6F1"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N[N][N][N]</w:t>
            </w:r>
          </w:p>
        </w:tc>
        <w:tc>
          <w:tcPr>
            <w:tcW w:w="2880" w:type="dxa"/>
            <w:tcMar>
              <w:top w:w="0" w:type="dxa"/>
              <w:left w:w="30" w:type="dxa"/>
              <w:bottom w:w="0" w:type="dxa"/>
              <w:right w:w="30" w:type="dxa"/>
            </w:tcMar>
            <w:vAlign w:val="center"/>
            <w:hideMark/>
          </w:tcPr>
          <w:p w14:paraId="31F9F726"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Maximum character length</w:t>
            </w:r>
          </w:p>
        </w:tc>
        <w:tc>
          <w:tcPr>
            <w:tcW w:w="2520" w:type="dxa"/>
            <w:tcMar>
              <w:top w:w="0" w:type="dxa"/>
              <w:left w:w="30" w:type="dxa"/>
              <w:bottom w:w="0" w:type="dxa"/>
              <w:right w:w="30" w:type="dxa"/>
            </w:tcMar>
            <w:vAlign w:val="center"/>
            <w:hideMark/>
          </w:tcPr>
          <w:p w14:paraId="5D8B4059"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4</w:t>
            </w:r>
          </w:p>
        </w:tc>
      </w:tr>
      <w:tr w:rsidR="00901A4C" w14:paraId="66C5939E" w14:textId="77777777" w:rsidTr="00901A4C">
        <w:trPr>
          <w:trHeight w:val="294"/>
        </w:trPr>
        <w:tc>
          <w:tcPr>
            <w:tcW w:w="2520" w:type="dxa"/>
            <w:tcMar>
              <w:top w:w="0" w:type="dxa"/>
              <w:left w:w="30" w:type="dxa"/>
              <w:bottom w:w="0" w:type="dxa"/>
              <w:right w:w="30" w:type="dxa"/>
            </w:tcMar>
            <w:vAlign w:val="center"/>
            <w:hideMark/>
          </w:tcPr>
          <w:p w14:paraId="5A57169C"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Permissible values</w:t>
            </w:r>
          </w:p>
        </w:tc>
        <w:tc>
          <w:tcPr>
            <w:tcW w:w="1800" w:type="dxa"/>
            <w:tcMar>
              <w:top w:w="0" w:type="dxa"/>
              <w:left w:w="30" w:type="dxa"/>
              <w:bottom w:w="0" w:type="dxa"/>
              <w:right w:w="30" w:type="dxa"/>
            </w:tcMar>
            <w:vAlign w:val="center"/>
            <w:hideMark/>
          </w:tcPr>
          <w:p w14:paraId="5A0B33CA" w14:textId="77777777" w:rsidR="00901A4C" w:rsidRDefault="00901A4C">
            <w:pPr>
              <w:pStyle w:val="NormalWeb"/>
              <w:spacing w:before="60" w:beforeAutospacing="0" w:after="60" w:afterAutospacing="0"/>
              <w:rPr>
                <w:sz w:val="20"/>
                <w:szCs w:val="20"/>
                <w:lang w:eastAsia="en-US"/>
              </w:rPr>
            </w:pPr>
            <w:r>
              <w:rPr>
                <w:rStyle w:val="Emphasis"/>
                <w:rFonts w:ascii="Verdana" w:hAnsi="Verdana"/>
                <w:b/>
                <w:bCs/>
                <w:color w:val="000000"/>
                <w:sz w:val="20"/>
                <w:szCs w:val="20"/>
              </w:rPr>
              <w:t>Value</w:t>
            </w:r>
          </w:p>
        </w:tc>
        <w:tc>
          <w:tcPr>
            <w:tcW w:w="5400" w:type="dxa"/>
            <w:gridSpan w:val="2"/>
            <w:tcMar>
              <w:top w:w="0" w:type="dxa"/>
              <w:left w:w="30" w:type="dxa"/>
              <w:bottom w:w="0" w:type="dxa"/>
              <w:right w:w="30" w:type="dxa"/>
            </w:tcMar>
            <w:vAlign w:val="center"/>
            <w:hideMark/>
          </w:tcPr>
          <w:p w14:paraId="7ACEB368" w14:textId="77777777" w:rsidR="00901A4C" w:rsidRDefault="00901A4C">
            <w:pPr>
              <w:pStyle w:val="NormalWeb"/>
              <w:spacing w:before="60" w:beforeAutospacing="0" w:after="60" w:afterAutospacing="0"/>
              <w:rPr>
                <w:sz w:val="20"/>
                <w:szCs w:val="20"/>
                <w:lang w:eastAsia="en-US"/>
              </w:rPr>
            </w:pPr>
            <w:r>
              <w:rPr>
                <w:rStyle w:val="Emphasis"/>
                <w:rFonts w:ascii="Verdana" w:hAnsi="Verdana"/>
                <w:b/>
                <w:bCs/>
                <w:color w:val="000000"/>
                <w:sz w:val="20"/>
                <w:szCs w:val="20"/>
              </w:rPr>
              <w:t>Meaning</w:t>
            </w:r>
          </w:p>
        </w:tc>
      </w:tr>
      <w:tr w:rsidR="00901A4C" w14:paraId="116253B7" w14:textId="77777777" w:rsidTr="00901A4C">
        <w:trPr>
          <w:trHeight w:val="294"/>
        </w:trPr>
        <w:tc>
          <w:tcPr>
            <w:tcW w:w="2520" w:type="dxa"/>
            <w:tcMar>
              <w:top w:w="0" w:type="dxa"/>
              <w:left w:w="30" w:type="dxa"/>
              <w:bottom w:w="0" w:type="dxa"/>
              <w:right w:w="30" w:type="dxa"/>
            </w:tcMar>
            <w:vAlign w:val="center"/>
            <w:hideMark/>
          </w:tcPr>
          <w:p w14:paraId="44BCF189"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 </w:t>
            </w:r>
          </w:p>
        </w:tc>
        <w:tc>
          <w:tcPr>
            <w:tcW w:w="1800" w:type="dxa"/>
            <w:tcMar>
              <w:top w:w="0" w:type="dxa"/>
              <w:left w:w="30" w:type="dxa"/>
              <w:bottom w:w="0" w:type="dxa"/>
              <w:right w:w="30" w:type="dxa"/>
            </w:tcMar>
            <w:vAlign w:val="center"/>
            <w:hideMark/>
          </w:tcPr>
          <w:p w14:paraId="1F8AE625"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0&lt; and &lt;9999</w:t>
            </w:r>
          </w:p>
        </w:tc>
        <w:tc>
          <w:tcPr>
            <w:tcW w:w="3270" w:type="dxa"/>
            <w:gridSpan w:val="2"/>
            <w:tcMar>
              <w:top w:w="0" w:type="dxa"/>
              <w:left w:w="30" w:type="dxa"/>
              <w:bottom w:w="0" w:type="dxa"/>
              <w:right w:w="30" w:type="dxa"/>
            </w:tcMar>
            <w:vAlign w:val="center"/>
            <w:hideMark/>
          </w:tcPr>
          <w:p w14:paraId="2EABD6F5" w14:textId="77777777" w:rsidR="00901A4C" w:rsidRDefault="00901A4C">
            <w:pPr>
              <w:pStyle w:val="NormalWeb"/>
              <w:rPr>
                <w:sz w:val="20"/>
                <w:szCs w:val="20"/>
                <w:lang w:eastAsia="en-US"/>
              </w:rPr>
            </w:pPr>
            <w:r>
              <w:rPr>
                <w:rFonts w:ascii="Arial" w:hAnsi="Arial" w:cs="Arial"/>
                <w:color w:val="000000"/>
                <w:sz w:val="20"/>
                <w:szCs w:val="20"/>
                <w:lang w:eastAsia="en-US"/>
              </w:rPr>
              <w:t xml:space="preserve">Value greater than </w:t>
            </w:r>
            <w:r>
              <w:rPr>
                <w:rFonts w:ascii="Arial" w:hAnsi="Arial" w:cs="Arial"/>
                <w:color w:val="000000"/>
                <w:sz w:val="20"/>
                <w:szCs w:val="20"/>
                <w:shd w:val="clear" w:color="auto" w:fill="00FF00"/>
                <w:lang w:eastAsia="en-US"/>
              </w:rPr>
              <w:t xml:space="preserve">or equal to </w:t>
            </w:r>
            <w:r>
              <w:rPr>
                <w:rFonts w:ascii="Arial" w:hAnsi="Arial" w:cs="Arial"/>
                <w:color w:val="000000"/>
                <w:sz w:val="20"/>
                <w:szCs w:val="20"/>
                <w:shd w:val="clear" w:color="auto" w:fill="FFFFFF"/>
                <w:lang w:eastAsia="en-US"/>
              </w:rPr>
              <w:t xml:space="preserve">zero </w:t>
            </w:r>
            <w:r>
              <w:rPr>
                <w:rFonts w:ascii="Arial" w:hAnsi="Arial" w:cs="Arial"/>
                <w:color w:val="000000"/>
                <w:sz w:val="20"/>
                <w:szCs w:val="20"/>
                <w:lang w:eastAsia="en-US"/>
              </w:rPr>
              <w:t>and less than 9999</w:t>
            </w:r>
          </w:p>
        </w:tc>
      </w:tr>
      <w:tr w:rsidR="00901A4C" w14:paraId="15264407" w14:textId="77777777" w:rsidTr="00901A4C">
        <w:trPr>
          <w:trHeight w:val="295"/>
        </w:trPr>
        <w:tc>
          <w:tcPr>
            <w:tcW w:w="2520" w:type="dxa"/>
            <w:tcMar>
              <w:top w:w="0" w:type="dxa"/>
              <w:left w:w="30" w:type="dxa"/>
              <w:bottom w:w="0" w:type="dxa"/>
              <w:right w:w="30" w:type="dxa"/>
            </w:tcMar>
            <w:vAlign w:val="center"/>
            <w:hideMark/>
          </w:tcPr>
          <w:p w14:paraId="04325DBD"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Supplementary values</w:t>
            </w:r>
          </w:p>
        </w:tc>
        <w:tc>
          <w:tcPr>
            <w:tcW w:w="1800" w:type="dxa"/>
            <w:tcMar>
              <w:top w:w="0" w:type="dxa"/>
              <w:left w:w="30" w:type="dxa"/>
              <w:bottom w:w="0" w:type="dxa"/>
              <w:right w:w="30" w:type="dxa"/>
            </w:tcMar>
            <w:vAlign w:val="center"/>
            <w:hideMark/>
          </w:tcPr>
          <w:p w14:paraId="1B42CF5D" w14:textId="77777777" w:rsidR="00901A4C" w:rsidRDefault="00901A4C">
            <w:pPr>
              <w:pStyle w:val="NormalWeb"/>
              <w:spacing w:before="60" w:beforeAutospacing="0" w:after="60" w:afterAutospacing="0"/>
              <w:rPr>
                <w:sz w:val="20"/>
                <w:szCs w:val="20"/>
                <w:lang w:eastAsia="en-US"/>
              </w:rPr>
            </w:pPr>
            <w:r>
              <w:rPr>
                <w:rStyle w:val="Emphasis"/>
                <w:rFonts w:ascii="Verdana" w:hAnsi="Verdana"/>
                <w:b/>
                <w:bCs/>
                <w:color w:val="000000"/>
                <w:sz w:val="20"/>
                <w:szCs w:val="20"/>
              </w:rPr>
              <w:t>Value</w:t>
            </w:r>
          </w:p>
        </w:tc>
        <w:tc>
          <w:tcPr>
            <w:tcW w:w="5400" w:type="dxa"/>
            <w:gridSpan w:val="2"/>
            <w:tcMar>
              <w:top w:w="0" w:type="dxa"/>
              <w:left w:w="30" w:type="dxa"/>
              <w:bottom w:w="0" w:type="dxa"/>
              <w:right w:w="30" w:type="dxa"/>
            </w:tcMar>
            <w:vAlign w:val="center"/>
            <w:hideMark/>
          </w:tcPr>
          <w:p w14:paraId="6D19E2FF" w14:textId="77777777" w:rsidR="00901A4C" w:rsidRDefault="00901A4C">
            <w:pPr>
              <w:pStyle w:val="NormalWeb"/>
              <w:spacing w:before="60" w:beforeAutospacing="0" w:after="60" w:afterAutospacing="0"/>
              <w:rPr>
                <w:sz w:val="20"/>
                <w:szCs w:val="20"/>
                <w:lang w:eastAsia="en-US"/>
              </w:rPr>
            </w:pPr>
            <w:r>
              <w:rPr>
                <w:rStyle w:val="Emphasis"/>
                <w:rFonts w:ascii="Verdana" w:hAnsi="Verdana"/>
                <w:b/>
                <w:bCs/>
                <w:color w:val="000000"/>
                <w:sz w:val="20"/>
                <w:szCs w:val="20"/>
              </w:rPr>
              <w:t>Meaning</w:t>
            </w:r>
          </w:p>
        </w:tc>
      </w:tr>
      <w:tr w:rsidR="00901A4C" w14:paraId="1018B2DF" w14:textId="77777777" w:rsidTr="00901A4C">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780C8FE4" w14:textId="77777777" w:rsidR="00901A4C" w:rsidRDefault="00901A4C">
            <w:pPr>
              <w:pStyle w:val="NormalWeb"/>
              <w:spacing w:before="40" w:beforeAutospacing="0" w:after="40" w:afterAutospacing="0"/>
              <w:rPr>
                <w:sz w:val="20"/>
                <w:szCs w:val="20"/>
                <w:lang w:eastAsia="en-US"/>
              </w:rPr>
            </w:pPr>
            <w:r>
              <w:rPr>
                <w:rStyle w:val="Strong"/>
                <w:rFonts w:ascii="Verdana" w:hAnsi="Verdana"/>
                <w:color w:val="000000"/>
                <w:sz w:val="20"/>
                <w:szCs w:val="20"/>
              </w:rPr>
              <w:t> </w:t>
            </w:r>
          </w:p>
        </w:tc>
        <w:tc>
          <w:tcPr>
            <w:tcW w:w="1800" w:type="dxa"/>
            <w:tcBorders>
              <w:top w:val="nil"/>
              <w:left w:val="nil"/>
              <w:bottom w:val="single" w:sz="8" w:space="0" w:color="auto"/>
              <w:right w:val="nil"/>
            </w:tcBorders>
            <w:tcMar>
              <w:top w:w="0" w:type="dxa"/>
              <w:left w:w="30" w:type="dxa"/>
              <w:bottom w:w="0" w:type="dxa"/>
              <w:right w:w="30" w:type="dxa"/>
            </w:tcMar>
            <w:vAlign w:val="center"/>
            <w:hideMark/>
          </w:tcPr>
          <w:p w14:paraId="14F90562"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9999</w:t>
            </w:r>
          </w:p>
        </w:tc>
        <w:tc>
          <w:tcPr>
            <w:tcW w:w="5400" w:type="dxa"/>
            <w:gridSpan w:val="2"/>
            <w:tcBorders>
              <w:top w:val="nil"/>
              <w:left w:val="nil"/>
              <w:bottom w:val="single" w:sz="8" w:space="0" w:color="auto"/>
              <w:right w:val="nil"/>
            </w:tcBorders>
            <w:tcMar>
              <w:top w:w="0" w:type="dxa"/>
              <w:left w:w="30" w:type="dxa"/>
              <w:bottom w:w="0" w:type="dxa"/>
              <w:right w:w="30" w:type="dxa"/>
            </w:tcMar>
            <w:vAlign w:val="center"/>
            <w:hideMark/>
          </w:tcPr>
          <w:p w14:paraId="30503547"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not stated/inadequately described</w:t>
            </w:r>
          </w:p>
        </w:tc>
      </w:tr>
    </w:tbl>
    <w:p w14:paraId="1E92D2D4" w14:textId="77777777" w:rsidR="00901A4C" w:rsidRDefault="00901A4C" w:rsidP="00901A4C">
      <w:pPr>
        <w:rPr>
          <w:rFonts w:ascii="Calibri" w:eastAsiaTheme="minorHAnsi" w:hAnsi="Calibri" w:cs="Calibri"/>
          <w:sz w:val="22"/>
          <w:szCs w:val="22"/>
        </w:rPr>
      </w:pPr>
    </w:p>
    <w:p w14:paraId="01AEE33D" w14:textId="0C1B2E64" w:rsidR="006C18B8" w:rsidRDefault="006C18B8" w:rsidP="00901A4C">
      <w:r>
        <w:br w:type="page"/>
      </w:r>
    </w:p>
    <w:p w14:paraId="3DA877AC" w14:textId="77777777" w:rsidR="00901A4C" w:rsidRDefault="00901A4C" w:rsidP="00901A4C">
      <w:pPr>
        <w:pStyle w:val="NormalWeb"/>
        <w:spacing w:before="0" w:beforeAutospacing="0" w:after="60" w:afterAutospacing="0"/>
        <w:ind w:right="680"/>
        <w:rPr>
          <w:rFonts w:ascii="Arial" w:hAnsi="Arial" w:cs="Arial"/>
          <w:color w:val="000000"/>
          <w:sz w:val="20"/>
          <w:szCs w:val="20"/>
        </w:rPr>
      </w:pPr>
      <w:r>
        <w:rPr>
          <w:rStyle w:val="Strong"/>
          <w:szCs w:val="24"/>
        </w:rPr>
        <w:lastRenderedPageBreak/>
        <w:t xml:space="preserve">5.4.2 </w:t>
      </w:r>
      <w:r>
        <w:rPr>
          <w:rStyle w:val="Strong"/>
          <w:sz w:val="14"/>
          <w:szCs w:val="14"/>
        </w:rPr>
        <w:t xml:space="preserve">     </w:t>
      </w:r>
      <w:r>
        <w:rPr>
          <w:rStyle w:val="Strong"/>
          <w:szCs w:val="24"/>
        </w:rPr>
        <w:t>Event—course length—N</w:t>
      </w:r>
    </w:p>
    <w:tbl>
      <w:tblPr>
        <w:tblW w:w="9720" w:type="dxa"/>
        <w:tblInd w:w="30" w:type="dxa"/>
        <w:tblCellMar>
          <w:left w:w="0" w:type="dxa"/>
          <w:right w:w="0" w:type="dxa"/>
        </w:tblCellMar>
        <w:tblLook w:val="04A0" w:firstRow="1" w:lastRow="0" w:firstColumn="1" w:lastColumn="0" w:noHBand="0" w:noVBand="1"/>
      </w:tblPr>
      <w:tblGrid>
        <w:gridCol w:w="2968"/>
        <w:gridCol w:w="1745"/>
        <w:gridCol w:w="2820"/>
        <w:gridCol w:w="2367"/>
      </w:tblGrid>
      <w:tr w:rsidR="00901A4C" w14:paraId="479FBE33" w14:textId="77777777" w:rsidTr="00901A4C">
        <w:trPr>
          <w:trHeight w:val="295"/>
        </w:trPr>
        <w:tc>
          <w:tcPr>
            <w:tcW w:w="9720" w:type="dxa"/>
            <w:gridSpan w:val="4"/>
            <w:tcBorders>
              <w:top w:val="single" w:sz="8" w:space="0" w:color="auto"/>
              <w:left w:val="nil"/>
              <w:bottom w:val="nil"/>
              <w:right w:val="nil"/>
            </w:tcBorders>
            <w:tcMar>
              <w:top w:w="0" w:type="dxa"/>
              <w:left w:w="30" w:type="dxa"/>
              <w:bottom w:w="0" w:type="dxa"/>
              <w:right w:w="30" w:type="dxa"/>
            </w:tcMar>
            <w:vAlign w:val="center"/>
            <w:hideMark/>
          </w:tcPr>
          <w:p w14:paraId="0303E61E" w14:textId="77777777" w:rsidR="00901A4C" w:rsidRDefault="00901A4C">
            <w:pPr>
              <w:pStyle w:val="NormalWeb"/>
              <w:keepNext/>
              <w:spacing w:before="120" w:beforeAutospacing="0" w:after="60" w:afterAutospacing="0"/>
              <w:rPr>
                <w:sz w:val="20"/>
                <w:szCs w:val="20"/>
                <w:lang w:eastAsia="en-US"/>
              </w:rPr>
            </w:pPr>
            <w:r>
              <w:rPr>
                <w:rFonts w:ascii="Verdana" w:hAnsi="Verdana"/>
                <w:i/>
                <w:iCs/>
                <w:color w:val="008080"/>
                <w:spacing w:val="-4"/>
                <w:sz w:val="20"/>
                <w:szCs w:val="20"/>
                <w:lang w:eastAsia="en-US"/>
              </w:rPr>
              <w:t>Identifying and definitional attributes</w:t>
            </w:r>
          </w:p>
        </w:tc>
      </w:tr>
      <w:tr w:rsidR="00901A4C" w14:paraId="3D845FE4" w14:textId="77777777" w:rsidTr="00901A4C">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5650984C"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Definition</w:t>
            </w:r>
          </w:p>
        </w:tc>
        <w:tc>
          <w:tcPr>
            <w:tcW w:w="7200" w:type="dxa"/>
            <w:gridSpan w:val="3"/>
            <w:tcBorders>
              <w:top w:val="nil"/>
              <w:left w:val="nil"/>
              <w:bottom w:val="single" w:sz="8" w:space="0" w:color="auto"/>
              <w:right w:val="nil"/>
            </w:tcBorders>
            <w:tcMar>
              <w:top w:w="0" w:type="dxa"/>
              <w:left w:w="30" w:type="dxa"/>
              <w:bottom w:w="0" w:type="dxa"/>
              <w:right w:w="30" w:type="dxa"/>
            </w:tcMar>
            <w:vAlign w:val="center"/>
            <w:hideMark/>
          </w:tcPr>
          <w:p w14:paraId="6CEF906C"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The length of a treatment service event</w:t>
            </w:r>
          </w:p>
        </w:tc>
      </w:tr>
      <w:tr w:rsidR="00901A4C" w14:paraId="5FBBE795" w14:textId="77777777" w:rsidTr="00901A4C">
        <w:trPr>
          <w:trHeight w:val="295"/>
        </w:trPr>
        <w:tc>
          <w:tcPr>
            <w:tcW w:w="9720" w:type="dxa"/>
            <w:gridSpan w:val="4"/>
            <w:tcMar>
              <w:top w:w="0" w:type="dxa"/>
              <w:left w:w="30" w:type="dxa"/>
              <w:bottom w:w="0" w:type="dxa"/>
              <w:right w:w="30" w:type="dxa"/>
            </w:tcMar>
            <w:vAlign w:val="center"/>
            <w:hideMark/>
          </w:tcPr>
          <w:p w14:paraId="1A5F93F5" w14:textId="77777777" w:rsidR="00901A4C" w:rsidRDefault="00901A4C">
            <w:pPr>
              <w:pStyle w:val="NormalWeb"/>
              <w:keepNext/>
              <w:spacing w:before="120" w:beforeAutospacing="0"/>
              <w:rPr>
                <w:sz w:val="20"/>
                <w:szCs w:val="20"/>
                <w:lang w:eastAsia="en-US"/>
              </w:rPr>
            </w:pPr>
            <w:r>
              <w:rPr>
                <w:rFonts w:ascii="Verdana" w:hAnsi="Verdana"/>
                <w:b/>
                <w:bCs/>
                <w:color w:val="000000"/>
                <w:sz w:val="24"/>
                <w:szCs w:val="24"/>
                <w:lang w:eastAsia="en-US"/>
              </w:rPr>
              <w:t>Value domain attributes</w:t>
            </w:r>
          </w:p>
        </w:tc>
      </w:tr>
      <w:tr w:rsidR="00901A4C" w14:paraId="6EDCDB31" w14:textId="77777777" w:rsidTr="00901A4C">
        <w:trPr>
          <w:cantSplit/>
          <w:trHeight w:val="295"/>
        </w:trPr>
        <w:tc>
          <w:tcPr>
            <w:tcW w:w="9720" w:type="dxa"/>
            <w:gridSpan w:val="4"/>
            <w:tcMar>
              <w:top w:w="0" w:type="dxa"/>
              <w:left w:w="30" w:type="dxa"/>
              <w:bottom w:w="0" w:type="dxa"/>
              <w:right w:w="30" w:type="dxa"/>
            </w:tcMar>
            <w:vAlign w:val="center"/>
            <w:hideMark/>
          </w:tcPr>
          <w:p w14:paraId="46B02734" w14:textId="77777777" w:rsidR="00901A4C" w:rsidRDefault="00901A4C">
            <w:pPr>
              <w:pStyle w:val="NormalWeb"/>
              <w:keepNext/>
              <w:spacing w:before="120" w:beforeAutospacing="0" w:after="60" w:afterAutospacing="0"/>
              <w:rPr>
                <w:sz w:val="20"/>
                <w:szCs w:val="20"/>
                <w:lang w:eastAsia="en-US"/>
              </w:rPr>
            </w:pPr>
            <w:r>
              <w:rPr>
                <w:rFonts w:ascii="Verdana" w:hAnsi="Verdana"/>
                <w:i/>
                <w:iCs/>
                <w:color w:val="008080"/>
                <w:spacing w:val="-4"/>
                <w:sz w:val="20"/>
                <w:szCs w:val="20"/>
                <w:lang w:eastAsia="en-US"/>
              </w:rPr>
              <w:t>Representational attributes</w:t>
            </w:r>
          </w:p>
        </w:tc>
      </w:tr>
      <w:tr w:rsidR="00901A4C" w14:paraId="1CDFA5D5" w14:textId="77777777" w:rsidTr="00901A4C">
        <w:trPr>
          <w:trHeight w:val="295"/>
        </w:trPr>
        <w:tc>
          <w:tcPr>
            <w:tcW w:w="2520" w:type="dxa"/>
            <w:tcMar>
              <w:top w:w="0" w:type="dxa"/>
              <w:left w:w="30" w:type="dxa"/>
              <w:bottom w:w="0" w:type="dxa"/>
              <w:right w:w="30" w:type="dxa"/>
            </w:tcMar>
            <w:vAlign w:val="center"/>
            <w:hideMark/>
          </w:tcPr>
          <w:p w14:paraId="29D1D6D2"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Representation class</w:t>
            </w:r>
          </w:p>
        </w:tc>
        <w:tc>
          <w:tcPr>
            <w:tcW w:w="1800" w:type="dxa"/>
            <w:tcMar>
              <w:top w:w="0" w:type="dxa"/>
              <w:left w:w="30" w:type="dxa"/>
              <w:bottom w:w="0" w:type="dxa"/>
              <w:right w:w="30" w:type="dxa"/>
            </w:tcMar>
            <w:vAlign w:val="center"/>
            <w:hideMark/>
          </w:tcPr>
          <w:p w14:paraId="722AFF0B"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Code</w:t>
            </w:r>
          </w:p>
        </w:tc>
        <w:tc>
          <w:tcPr>
            <w:tcW w:w="2880" w:type="dxa"/>
            <w:tcMar>
              <w:top w:w="0" w:type="dxa"/>
              <w:left w:w="30" w:type="dxa"/>
              <w:bottom w:w="0" w:type="dxa"/>
              <w:right w:w="30" w:type="dxa"/>
            </w:tcMar>
            <w:vAlign w:val="center"/>
            <w:hideMark/>
          </w:tcPr>
          <w:p w14:paraId="76873125"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Data type</w:t>
            </w:r>
          </w:p>
        </w:tc>
        <w:tc>
          <w:tcPr>
            <w:tcW w:w="2520" w:type="dxa"/>
            <w:tcMar>
              <w:top w:w="0" w:type="dxa"/>
              <w:left w:w="30" w:type="dxa"/>
              <w:bottom w:w="0" w:type="dxa"/>
              <w:right w:w="30" w:type="dxa"/>
            </w:tcMar>
            <w:vAlign w:val="center"/>
            <w:hideMark/>
          </w:tcPr>
          <w:p w14:paraId="3B7544DD"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Number</w:t>
            </w:r>
          </w:p>
        </w:tc>
      </w:tr>
      <w:tr w:rsidR="00901A4C" w14:paraId="3707E8F3" w14:textId="77777777" w:rsidTr="00901A4C">
        <w:trPr>
          <w:trHeight w:val="295"/>
        </w:trPr>
        <w:tc>
          <w:tcPr>
            <w:tcW w:w="2520" w:type="dxa"/>
            <w:tcMar>
              <w:top w:w="0" w:type="dxa"/>
              <w:left w:w="30" w:type="dxa"/>
              <w:bottom w:w="0" w:type="dxa"/>
              <w:right w:w="30" w:type="dxa"/>
            </w:tcMar>
            <w:vAlign w:val="center"/>
            <w:hideMark/>
          </w:tcPr>
          <w:p w14:paraId="4AE9A429"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Format</w:t>
            </w:r>
          </w:p>
        </w:tc>
        <w:tc>
          <w:tcPr>
            <w:tcW w:w="1800" w:type="dxa"/>
            <w:tcMar>
              <w:top w:w="0" w:type="dxa"/>
              <w:left w:w="30" w:type="dxa"/>
              <w:bottom w:w="0" w:type="dxa"/>
              <w:right w:w="30" w:type="dxa"/>
            </w:tcMar>
            <w:vAlign w:val="center"/>
            <w:hideMark/>
          </w:tcPr>
          <w:p w14:paraId="004B9330"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w:t>
            </w:r>
          </w:p>
        </w:tc>
        <w:tc>
          <w:tcPr>
            <w:tcW w:w="2880" w:type="dxa"/>
            <w:tcMar>
              <w:top w:w="0" w:type="dxa"/>
              <w:left w:w="30" w:type="dxa"/>
              <w:bottom w:w="0" w:type="dxa"/>
              <w:right w:w="30" w:type="dxa"/>
            </w:tcMar>
            <w:vAlign w:val="center"/>
            <w:hideMark/>
          </w:tcPr>
          <w:p w14:paraId="6E5A4731"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Maximum character length</w:t>
            </w:r>
          </w:p>
        </w:tc>
        <w:tc>
          <w:tcPr>
            <w:tcW w:w="2520" w:type="dxa"/>
            <w:tcMar>
              <w:top w:w="0" w:type="dxa"/>
              <w:left w:w="30" w:type="dxa"/>
              <w:bottom w:w="0" w:type="dxa"/>
              <w:right w:w="30" w:type="dxa"/>
            </w:tcMar>
            <w:vAlign w:val="center"/>
            <w:hideMark/>
          </w:tcPr>
          <w:p w14:paraId="186A09D5"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1</w:t>
            </w:r>
          </w:p>
        </w:tc>
      </w:tr>
      <w:tr w:rsidR="00901A4C" w14:paraId="6E0BA694" w14:textId="77777777" w:rsidTr="00901A4C">
        <w:trPr>
          <w:trHeight w:val="294"/>
        </w:trPr>
        <w:tc>
          <w:tcPr>
            <w:tcW w:w="2520" w:type="dxa"/>
            <w:tcMar>
              <w:top w:w="0" w:type="dxa"/>
              <w:left w:w="30" w:type="dxa"/>
              <w:bottom w:w="0" w:type="dxa"/>
              <w:right w:w="30" w:type="dxa"/>
            </w:tcMar>
            <w:vAlign w:val="center"/>
            <w:hideMark/>
          </w:tcPr>
          <w:p w14:paraId="45809170"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Permissible values</w:t>
            </w:r>
          </w:p>
        </w:tc>
        <w:tc>
          <w:tcPr>
            <w:tcW w:w="1800" w:type="dxa"/>
            <w:tcMar>
              <w:top w:w="0" w:type="dxa"/>
              <w:left w:w="30" w:type="dxa"/>
              <w:bottom w:w="0" w:type="dxa"/>
              <w:right w:w="30" w:type="dxa"/>
            </w:tcMar>
            <w:vAlign w:val="center"/>
            <w:hideMark/>
          </w:tcPr>
          <w:p w14:paraId="70584363" w14:textId="77777777" w:rsidR="00901A4C" w:rsidRDefault="00901A4C">
            <w:pPr>
              <w:pStyle w:val="NormalWeb"/>
              <w:spacing w:before="40" w:beforeAutospacing="0" w:after="40" w:afterAutospacing="0"/>
              <w:rPr>
                <w:sz w:val="20"/>
                <w:szCs w:val="20"/>
                <w:lang w:eastAsia="en-US"/>
              </w:rPr>
            </w:pPr>
            <w:r>
              <w:rPr>
                <w:rFonts w:ascii="Verdana" w:hAnsi="Verdana"/>
                <w:b/>
                <w:bCs/>
                <w:i/>
                <w:iCs/>
                <w:color w:val="000000"/>
                <w:sz w:val="18"/>
                <w:szCs w:val="18"/>
                <w:lang w:eastAsia="en-US"/>
              </w:rPr>
              <w:t>Value</w:t>
            </w:r>
          </w:p>
        </w:tc>
        <w:tc>
          <w:tcPr>
            <w:tcW w:w="5400" w:type="dxa"/>
            <w:gridSpan w:val="2"/>
            <w:tcMar>
              <w:top w:w="0" w:type="dxa"/>
              <w:left w:w="30" w:type="dxa"/>
              <w:bottom w:w="0" w:type="dxa"/>
              <w:right w:w="30" w:type="dxa"/>
            </w:tcMar>
            <w:vAlign w:val="center"/>
            <w:hideMark/>
          </w:tcPr>
          <w:p w14:paraId="051E14AB" w14:textId="77777777" w:rsidR="00901A4C" w:rsidRDefault="00901A4C">
            <w:pPr>
              <w:pStyle w:val="NormalWeb"/>
              <w:spacing w:before="40" w:beforeAutospacing="0" w:after="40" w:afterAutospacing="0"/>
              <w:rPr>
                <w:sz w:val="20"/>
                <w:szCs w:val="20"/>
                <w:lang w:eastAsia="en-US"/>
              </w:rPr>
            </w:pPr>
            <w:r>
              <w:rPr>
                <w:rFonts w:ascii="Verdana" w:hAnsi="Verdana"/>
                <w:b/>
                <w:bCs/>
                <w:i/>
                <w:iCs/>
                <w:color w:val="000000"/>
                <w:sz w:val="18"/>
                <w:szCs w:val="18"/>
                <w:lang w:eastAsia="en-US"/>
              </w:rPr>
              <w:t>Meaning</w:t>
            </w:r>
          </w:p>
        </w:tc>
      </w:tr>
      <w:tr w:rsidR="00901A4C" w14:paraId="439EB730" w14:textId="77777777" w:rsidTr="00901A4C">
        <w:trPr>
          <w:trHeight w:val="294"/>
        </w:trPr>
        <w:tc>
          <w:tcPr>
            <w:tcW w:w="2520" w:type="dxa"/>
            <w:tcMar>
              <w:top w:w="0" w:type="dxa"/>
              <w:left w:w="30" w:type="dxa"/>
              <w:bottom w:w="0" w:type="dxa"/>
              <w:right w:w="30" w:type="dxa"/>
            </w:tcMar>
            <w:vAlign w:val="center"/>
            <w:hideMark/>
          </w:tcPr>
          <w:p w14:paraId="50028063"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1800" w:type="dxa"/>
            <w:tcMar>
              <w:top w:w="0" w:type="dxa"/>
              <w:left w:w="30" w:type="dxa"/>
              <w:bottom w:w="0" w:type="dxa"/>
              <w:right w:w="30" w:type="dxa"/>
            </w:tcMar>
            <w:vAlign w:val="center"/>
            <w:hideMark/>
          </w:tcPr>
          <w:p w14:paraId="0B04434A"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 xml:space="preserve">1 </w:t>
            </w:r>
          </w:p>
        </w:tc>
        <w:tc>
          <w:tcPr>
            <w:tcW w:w="5400" w:type="dxa"/>
            <w:gridSpan w:val="2"/>
            <w:tcMar>
              <w:top w:w="0" w:type="dxa"/>
              <w:left w:w="30" w:type="dxa"/>
              <w:bottom w:w="0" w:type="dxa"/>
              <w:right w:w="30" w:type="dxa"/>
            </w:tcMar>
            <w:vAlign w:val="center"/>
            <w:hideMark/>
          </w:tcPr>
          <w:p w14:paraId="3D9621E2"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standard</w:t>
            </w:r>
          </w:p>
        </w:tc>
      </w:tr>
      <w:tr w:rsidR="00901A4C" w14:paraId="252C3B86" w14:textId="77777777" w:rsidTr="00901A4C">
        <w:trPr>
          <w:trHeight w:val="294"/>
        </w:trPr>
        <w:tc>
          <w:tcPr>
            <w:tcW w:w="2520" w:type="dxa"/>
            <w:tcMar>
              <w:top w:w="0" w:type="dxa"/>
              <w:left w:w="30" w:type="dxa"/>
              <w:bottom w:w="0" w:type="dxa"/>
              <w:right w:w="30" w:type="dxa"/>
            </w:tcMar>
            <w:vAlign w:val="center"/>
            <w:hideMark/>
          </w:tcPr>
          <w:p w14:paraId="3AE68F58"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1800" w:type="dxa"/>
            <w:tcMar>
              <w:top w:w="0" w:type="dxa"/>
              <w:left w:w="30" w:type="dxa"/>
              <w:bottom w:w="0" w:type="dxa"/>
              <w:right w:w="30" w:type="dxa"/>
            </w:tcMar>
            <w:vAlign w:val="center"/>
            <w:hideMark/>
          </w:tcPr>
          <w:p w14:paraId="3A15F3D1"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2</w:t>
            </w:r>
          </w:p>
        </w:tc>
        <w:tc>
          <w:tcPr>
            <w:tcW w:w="5400" w:type="dxa"/>
            <w:gridSpan w:val="2"/>
            <w:tcMar>
              <w:top w:w="0" w:type="dxa"/>
              <w:left w:w="30" w:type="dxa"/>
              <w:bottom w:w="0" w:type="dxa"/>
              <w:right w:w="30" w:type="dxa"/>
            </w:tcMar>
            <w:vAlign w:val="center"/>
            <w:hideMark/>
          </w:tcPr>
          <w:p w14:paraId="77377263"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extended</w:t>
            </w:r>
          </w:p>
        </w:tc>
      </w:tr>
      <w:tr w:rsidR="00901A4C" w14:paraId="527E2621" w14:textId="77777777" w:rsidTr="00901A4C">
        <w:trPr>
          <w:trHeight w:val="295"/>
        </w:trPr>
        <w:tc>
          <w:tcPr>
            <w:tcW w:w="2520" w:type="dxa"/>
            <w:tcMar>
              <w:top w:w="0" w:type="dxa"/>
              <w:left w:w="30" w:type="dxa"/>
              <w:bottom w:w="0" w:type="dxa"/>
              <w:right w:w="30" w:type="dxa"/>
            </w:tcMar>
            <w:vAlign w:val="center"/>
            <w:hideMark/>
          </w:tcPr>
          <w:p w14:paraId="2CF44B63"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Supplementary values</w:t>
            </w:r>
          </w:p>
        </w:tc>
        <w:tc>
          <w:tcPr>
            <w:tcW w:w="1800" w:type="dxa"/>
            <w:tcMar>
              <w:top w:w="0" w:type="dxa"/>
              <w:left w:w="30" w:type="dxa"/>
              <w:bottom w:w="0" w:type="dxa"/>
              <w:right w:w="30" w:type="dxa"/>
            </w:tcMar>
            <w:vAlign w:val="center"/>
            <w:hideMark/>
          </w:tcPr>
          <w:p w14:paraId="32FCE849" w14:textId="77777777" w:rsidR="00901A4C" w:rsidRDefault="00901A4C">
            <w:pPr>
              <w:pStyle w:val="NormalWeb"/>
              <w:spacing w:before="40" w:beforeAutospacing="0" w:after="40" w:afterAutospacing="0"/>
              <w:rPr>
                <w:sz w:val="20"/>
                <w:szCs w:val="20"/>
                <w:lang w:eastAsia="en-US"/>
              </w:rPr>
            </w:pPr>
            <w:r>
              <w:rPr>
                <w:rFonts w:ascii="Verdana" w:hAnsi="Verdana"/>
                <w:b/>
                <w:bCs/>
                <w:i/>
                <w:iCs/>
                <w:color w:val="000000"/>
                <w:sz w:val="18"/>
                <w:szCs w:val="18"/>
                <w:lang w:eastAsia="en-US"/>
              </w:rPr>
              <w:t>Value</w:t>
            </w:r>
          </w:p>
        </w:tc>
        <w:tc>
          <w:tcPr>
            <w:tcW w:w="5400" w:type="dxa"/>
            <w:gridSpan w:val="2"/>
            <w:tcMar>
              <w:top w:w="0" w:type="dxa"/>
              <w:left w:w="30" w:type="dxa"/>
              <w:bottom w:w="0" w:type="dxa"/>
              <w:right w:w="30" w:type="dxa"/>
            </w:tcMar>
            <w:vAlign w:val="center"/>
            <w:hideMark/>
          </w:tcPr>
          <w:p w14:paraId="2B6811C3" w14:textId="77777777" w:rsidR="00901A4C" w:rsidRDefault="00901A4C">
            <w:pPr>
              <w:pStyle w:val="NormalWeb"/>
              <w:spacing w:before="40" w:beforeAutospacing="0" w:after="40" w:afterAutospacing="0"/>
              <w:rPr>
                <w:sz w:val="20"/>
                <w:szCs w:val="20"/>
                <w:lang w:eastAsia="en-US"/>
              </w:rPr>
            </w:pPr>
            <w:r>
              <w:rPr>
                <w:rFonts w:ascii="Verdana" w:hAnsi="Verdana"/>
                <w:b/>
                <w:bCs/>
                <w:i/>
                <w:iCs/>
                <w:color w:val="000000"/>
                <w:sz w:val="18"/>
                <w:szCs w:val="18"/>
                <w:lang w:eastAsia="en-US"/>
              </w:rPr>
              <w:t>Meaning</w:t>
            </w:r>
          </w:p>
        </w:tc>
      </w:tr>
      <w:tr w:rsidR="00901A4C" w14:paraId="0D866CEE" w14:textId="77777777" w:rsidTr="00901A4C">
        <w:trPr>
          <w:trHeight w:val="294"/>
        </w:trPr>
        <w:tc>
          <w:tcPr>
            <w:tcW w:w="2520" w:type="dxa"/>
            <w:tcMar>
              <w:top w:w="0" w:type="dxa"/>
              <w:left w:w="30" w:type="dxa"/>
              <w:bottom w:w="0" w:type="dxa"/>
              <w:right w:w="30" w:type="dxa"/>
            </w:tcMar>
            <w:vAlign w:val="center"/>
            <w:hideMark/>
          </w:tcPr>
          <w:p w14:paraId="4C8993FC"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1800" w:type="dxa"/>
            <w:tcMar>
              <w:top w:w="0" w:type="dxa"/>
              <w:left w:w="30" w:type="dxa"/>
              <w:bottom w:w="0" w:type="dxa"/>
              <w:right w:w="30" w:type="dxa"/>
            </w:tcMar>
            <w:vAlign w:val="center"/>
            <w:hideMark/>
          </w:tcPr>
          <w:p w14:paraId="54FEF5C6"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8</w:t>
            </w:r>
          </w:p>
        </w:tc>
        <w:tc>
          <w:tcPr>
            <w:tcW w:w="5400" w:type="dxa"/>
            <w:gridSpan w:val="2"/>
            <w:tcMar>
              <w:top w:w="0" w:type="dxa"/>
              <w:left w:w="30" w:type="dxa"/>
              <w:bottom w:w="0" w:type="dxa"/>
              <w:right w:w="30" w:type="dxa"/>
            </w:tcMar>
            <w:vAlign w:val="center"/>
            <w:hideMark/>
          </w:tcPr>
          <w:p w14:paraId="542794DB"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not applicable</w:t>
            </w:r>
          </w:p>
        </w:tc>
      </w:tr>
      <w:tr w:rsidR="00901A4C" w14:paraId="16EB87CC" w14:textId="77777777" w:rsidTr="00901A4C">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790D91FE"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1800" w:type="dxa"/>
            <w:tcBorders>
              <w:top w:val="nil"/>
              <w:left w:val="nil"/>
              <w:bottom w:val="single" w:sz="8" w:space="0" w:color="auto"/>
              <w:right w:val="nil"/>
            </w:tcBorders>
            <w:tcMar>
              <w:top w:w="0" w:type="dxa"/>
              <w:left w:w="30" w:type="dxa"/>
              <w:bottom w:w="0" w:type="dxa"/>
              <w:right w:w="30" w:type="dxa"/>
            </w:tcMar>
            <w:vAlign w:val="center"/>
            <w:hideMark/>
          </w:tcPr>
          <w:p w14:paraId="18A6AB92"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9</w:t>
            </w:r>
          </w:p>
        </w:tc>
        <w:tc>
          <w:tcPr>
            <w:tcW w:w="5400" w:type="dxa"/>
            <w:gridSpan w:val="2"/>
            <w:tcBorders>
              <w:top w:val="nil"/>
              <w:left w:val="nil"/>
              <w:bottom w:val="single" w:sz="8" w:space="0" w:color="auto"/>
              <w:right w:val="nil"/>
            </w:tcBorders>
            <w:tcMar>
              <w:top w:w="0" w:type="dxa"/>
              <w:left w:w="30" w:type="dxa"/>
              <w:bottom w:w="0" w:type="dxa"/>
              <w:right w:w="30" w:type="dxa"/>
            </w:tcMar>
            <w:vAlign w:val="center"/>
            <w:hideMark/>
          </w:tcPr>
          <w:p w14:paraId="4D10C1E7"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not stated/inadequately described</w:t>
            </w:r>
          </w:p>
        </w:tc>
      </w:tr>
      <w:tr w:rsidR="00901A4C" w14:paraId="02C8041D" w14:textId="77777777" w:rsidTr="00901A4C">
        <w:trPr>
          <w:trHeight w:val="295"/>
        </w:trPr>
        <w:tc>
          <w:tcPr>
            <w:tcW w:w="9720" w:type="dxa"/>
            <w:gridSpan w:val="4"/>
            <w:tcMar>
              <w:top w:w="0" w:type="dxa"/>
              <w:left w:w="30" w:type="dxa"/>
              <w:bottom w:w="0" w:type="dxa"/>
              <w:right w:w="30" w:type="dxa"/>
            </w:tcMar>
            <w:vAlign w:val="center"/>
            <w:hideMark/>
          </w:tcPr>
          <w:p w14:paraId="64C55E85" w14:textId="77777777" w:rsidR="00901A4C" w:rsidRDefault="00901A4C">
            <w:pPr>
              <w:pStyle w:val="NormalWeb"/>
              <w:keepNext/>
              <w:spacing w:before="120" w:beforeAutospacing="0"/>
              <w:rPr>
                <w:sz w:val="20"/>
                <w:szCs w:val="20"/>
                <w:lang w:eastAsia="en-US"/>
              </w:rPr>
            </w:pPr>
            <w:r>
              <w:rPr>
                <w:rFonts w:ascii="Verdana" w:hAnsi="Verdana"/>
                <w:b/>
                <w:bCs/>
                <w:color w:val="000000"/>
                <w:sz w:val="24"/>
                <w:szCs w:val="24"/>
                <w:lang w:eastAsia="en-US"/>
              </w:rPr>
              <w:t>Data element attributes</w:t>
            </w:r>
          </w:p>
        </w:tc>
      </w:tr>
      <w:tr w:rsidR="00901A4C" w14:paraId="46F99D06" w14:textId="77777777" w:rsidTr="00901A4C">
        <w:trPr>
          <w:trHeight w:val="295"/>
        </w:trPr>
        <w:tc>
          <w:tcPr>
            <w:tcW w:w="9720" w:type="dxa"/>
            <w:gridSpan w:val="4"/>
            <w:tcMar>
              <w:top w:w="0" w:type="dxa"/>
              <w:left w:w="30" w:type="dxa"/>
              <w:bottom w:w="0" w:type="dxa"/>
              <w:right w:w="30" w:type="dxa"/>
            </w:tcMar>
            <w:vAlign w:val="center"/>
            <w:hideMark/>
          </w:tcPr>
          <w:tbl>
            <w:tblPr>
              <w:tblW w:w="9720" w:type="dxa"/>
              <w:tblInd w:w="30" w:type="dxa"/>
              <w:tblCellMar>
                <w:left w:w="0" w:type="dxa"/>
                <w:right w:w="0" w:type="dxa"/>
              </w:tblCellMar>
              <w:tblLook w:val="04A0" w:firstRow="1" w:lastRow="0" w:firstColumn="1" w:lastColumn="0" w:noHBand="0" w:noVBand="1"/>
            </w:tblPr>
            <w:tblGrid>
              <w:gridCol w:w="9810"/>
            </w:tblGrid>
            <w:tr w:rsidR="00901A4C" w14:paraId="2550D4EC" w14:textId="77777777">
              <w:trPr>
                <w:trHeight w:val="295"/>
              </w:trPr>
              <w:tc>
                <w:tcPr>
                  <w:tcW w:w="9720" w:type="dxa"/>
                  <w:tcBorders>
                    <w:top w:val="single" w:sz="8" w:space="0" w:color="auto"/>
                    <w:left w:val="nil"/>
                    <w:bottom w:val="nil"/>
                    <w:right w:val="nil"/>
                  </w:tcBorders>
                  <w:tcMar>
                    <w:top w:w="0" w:type="dxa"/>
                    <w:left w:w="30" w:type="dxa"/>
                    <w:bottom w:w="0" w:type="dxa"/>
                    <w:right w:w="30" w:type="dxa"/>
                  </w:tcMar>
                  <w:vAlign w:val="center"/>
                  <w:hideMark/>
                </w:tcPr>
                <w:tbl>
                  <w:tblPr>
                    <w:tblW w:w="9720" w:type="dxa"/>
                    <w:tblInd w:w="30" w:type="dxa"/>
                    <w:tblCellMar>
                      <w:left w:w="0" w:type="dxa"/>
                      <w:right w:w="0" w:type="dxa"/>
                    </w:tblCellMar>
                    <w:tblLook w:val="04A0" w:firstRow="1" w:lastRow="0" w:firstColumn="1" w:lastColumn="0" w:noHBand="0" w:noVBand="1"/>
                  </w:tblPr>
                  <w:tblGrid>
                    <w:gridCol w:w="2520"/>
                    <w:gridCol w:w="7200"/>
                  </w:tblGrid>
                  <w:tr w:rsidR="00901A4C" w14:paraId="4E11443F" w14:textId="77777777">
                    <w:trPr>
                      <w:trHeight w:val="295"/>
                    </w:trPr>
                    <w:tc>
                      <w:tcPr>
                        <w:tcW w:w="9720" w:type="dxa"/>
                        <w:gridSpan w:val="2"/>
                        <w:tcMar>
                          <w:top w:w="0" w:type="dxa"/>
                          <w:left w:w="30" w:type="dxa"/>
                          <w:bottom w:w="0" w:type="dxa"/>
                          <w:right w:w="30" w:type="dxa"/>
                        </w:tcMar>
                        <w:vAlign w:val="center"/>
                        <w:hideMark/>
                      </w:tcPr>
                      <w:p w14:paraId="4E52804F" w14:textId="77777777" w:rsidR="00901A4C" w:rsidRDefault="00901A4C">
                        <w:pPr>
                          <w:pStyle w:val="NormalWeb"/>
                          <w:keepNext/>
                          <w:spacing w:before="120" w:beforeAutospacing="0" w:after="60" w:afterAutospacing="0"/>
                          <w:rPr>
                            <w:sz w:val="20"/>
                            <w:szCs w:val="20"/>
                            <w:lang w:eastAsia="en-US"/>
                          </w:rPr>
                        </w:pPr>
                        <w:r>
                          <w:rPr>
                            <w:rFonts w:ascii="Verdana" w:hAnsi="Verdana"/>
                            <w:i/>
                            <w:iCs/>
                            <w:color w:val="008080"/>
                            <w:spacing w:val="-4"/>
                            <w:sz w:val="20"/>
                            <w:szCs w:val="20"/>
                            <w:lang w:eastAsia="en-US"/>
                          </w:rPr>
                          <w:t>Reporting attributes</w:t>
                        </w:r>
                        <w:r>
                          <w:rPr>
                            <w:rFonts w:ascii="Cambria" w:hAnsi="Cambria"/>
                            <w:i/>
                            <w:iCs/>
                            <w:color w:val="008080"/>
                            <w:spacing w:val="-4"/>
                            <w:sz w:val="20"/>
                            <w:szCs w:val="20"/>
                            <w:lang w:eastAsia="en-US"/>
                          </w:rPr>
                          <w:t xml:space="preserve"> </w:t>
                        </w:r>
                      </w:p>
                    </w:tc>
                  </w:tr>
                  <w:tr w:rsidR="00901A4C" w14:paraId="1EA83F71" w14:textId="77777777">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077404CC"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Reporting requirements</w:t>
                        </w:r>
                      </w:p>
                    </w:tc>
                    <w:tc>
                      <w:tcPr>
                        <w:tcW w:w="7200" w:type="dxa"/>
                        <w:tcBorders>
                          <w:top w:val="nil"/>
                          <w:left w:val="nil"/>
                          <w:bottom w:val="single" w:sz="8" w:space="0" w:color="auto"/>
                          <w:right w:val="nil"/>
                        </w:tcBorders>
                        <w:tcMar>
                          <w:top w:w="0" w:type="dxa"/>
                          <w:left w:w="30" w:type="dxa"/>
                          <w:bottom w:w="0" w:type="dxa"/>
                          <w:right w:w="30" w:type="dxa"/>
                        </w:tcMar>
                        <w:vAlign w:val="center"/>
                        <w:hideMark/>
                      </w:tcPr>
                      <w:p w14:paraId="08E8CCC5"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Conditional-</w:t>
                        </w:r>
                      </w:p>
                      <w:p w14:paraId="6604600E"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 xml:space="preserve">Mandatory for Treatment service events with service stream of Counselling, or </w:t>
                        </w:r>
                        <w:r>
                          <w:rPr>
                            <w:rFonts w:ascii="Arial" w:hAnsi="Arial" w:cs="Arial"/>
                            <w:color w:val="000000"/>
                            <w:sz w:val="20"/>
                            <w:szCs w:val="20"/>
                            <w:shd w:val="clear" w:color="auto" w:fill="00FF00"/>
                            <w:lang w:eastAsia="en-US"/>
                          </w:rPr>
                          <w:t>Non-Residential Withdrawal</w:t>
                        </w:r>
                        <w:r>
                          <w:rPr>
                            <w:rFonts w:ascii="Arial" w:hAnsi="Arial" w:cs="Arial"/>
                            <w:color w:val="000000"/>
                            <w:sz w:val="20"/>
                            <w:szCs w:val="20"/>
                            <w:lang w:eastAsia="en-US"/>
                          </w:rPr>
                          <w:t xml:space="preserve"> </w:t>
                        </w:r>
                      </w:p>
                      <w:p w14:paraId="50E5E5A8" w14:textId="77777777" w:rsidR="00901A4C" w:rsidRDefault="00901A4C">
                        <w:pPr>
                          <w:pStyle w:val="NormalWeb"/>
                          <w:rPr>
                            <w:sz w:val="20"/>
                            <w:szCs w:val="20"/>
                            <w:lang w:eastAsia="en-US"/>
                          </w:rPr>
                        </w:pPr>
                        <w:r>
                          <w:rPr>
                            <w:rFonts w:ascii="Cambria" w:hAnsi="Cambria"/>
                            <w:color w:val="000000"/>
                            <w:sz w:val="18"/>
                            <w:szCs w:val="18"/>
                            <w:lang w:eastAsia="en-US"/>
                          </w:rPr>
                          <w:t> </w:t>
                        </w:r>
                      </w:p>
                    </w:tc>
                  </w:tr>
                </w:tbl>
                <w:p w14:paraId="37968A9F" w14:textId="77777777" w:rsidR="00901A4C" w:rsidRDefault="00901A4C">
                  <w:pPr>
                    <w:rPr>
                      <w:rFonts w:ascii="Times New Roman" w:hAnsi="Times New Roman"/>
                      <w:sz w:val="20"/>
                      <w:lang w:eastAsia="en-AU"/>
                    </w:rPr>
                  </w:pPr>
                </w:p>
              </w:tc>
            </w:tr>
          </w:tbl>
          <w:p w14:paraId="29052F70" w14:textId="77777777" w:rsidR="00901A4C" w:rsidRDefault="00901A4C">
            <w:pPr>
              <w:rPr>
                <w:rFonts w:ascii="Times New Roman" w:hAnsi="Times New Roman"/>
                <w:sz w:val="20"/>
                <w:lang w:eastAsia="en-AU"/>
              </w:rPr>
            </w:pPr>
          </w:p>
        </w:tc>
      </w:tr>
    </w:tbl>
    <w:p w14:paraId="7109D800" w14:textId="4BC1EDE0" w:rsidR="00901A4C" w:rsidRDefault="00901A4C" w:rsidP="00901A4C">
      <w:pPr>
        <w:pStyle w:val="NormalWeb"/>
        <w:spacing w:before="0" w:beforeAutospacing="0" w:after="60" w:afterAutospacing="0"/>
        <w:ind w:right="680"/>
        <w:rPr>
          <w:rFonts w:ascii="Arial" w:hAnsi="Arial" w:cs="Arial"/>
          <w:color w:val="000000"/>
          <w:sz w:val="20"/>
          <w:szCs w:val="20"/>
        </w:rPr>
      </w:pPr>
    </w:p>
    <w:p w14:paraId="69CF92BF" w14:textId="77777777" w:rsidR="000058E4" w:rsidRDefault="000058E4" w:rsidP="00901A4C">
      <w:pPr>
        <w:pStyle w:val="NormalWeb"/>
        <w:spacing w:before="0" w:beforeAutospacing="0" w:after="60" w:afterAutospacing="0"/>
        <w:ind w:right="680"/>
        <w:rPr>
          <w:rFonts w:ascii="Arial" w:hAnsi="Arial" w:cs="Arial"/>
          <w:color w:val="000000"/>
          <w:sz w:val="20"/>
          <w:szCs w:val="20"/>
        </w:rPr>
      </w:pPr>
    </w:p>
    <w:p w14:paraId="1887A8DF" w14:textId="5B398B8A" w:rsidR="006C18B8" w:rsidRPr="00B67579" w:rsidRDefault="00B67579" w:rsidP="00B67579">
      <w:pPr>
        <w:pStyle w:val="Heading2"/>
        <w:rPr>
          <w:i/>
          <w:iCs/>
          <w:lang w:eastAsia="en-AU"/>
        </w:rPr>
      </w:pPr>
      <w:bookmarkStart w:id="2" w:name="_Toc72402644"/>
      <w:r>
        <w:rPr>
          <w:lang w:eastAsia="en-AU"/>
        </w:rPr>
        <w:t>1.2</w:t>
      </w:r>
      <w:r>
        <w:rPr>
          <w:lang w:eastAsia="en-AU"/>
        </w:rPr>
        <w:tab/>
        <w:t xml:space="preserve">Updates since publication of the </w:t>
      </w:r>
      <w:r w:rsidRPr="00B67579">
        <w:rPr>
          <w:i/>
          <w:iCs/>
          <w:lang w:eastAsia="en-AU"/>
        </w:rPr>
        <w:t>VADC Data Specification 2021-22 V1.0</w:t>
      </w:r>
      <w:bookmarkEnd w:id="2"/>
    </w:p>
    <w:p w14:paraId="312249A8" w14:textId="77777777" w:rsidR="00B67579" w:rsidRDefault="00B67579" w:rsidP="00901A4C">
      <w:pPr>
        <w:pStyle w:val="NormalWeb"/>
        <w:spacing w:before="0" w:beforeAutospacing="0" w:after="60" w:afterAutospacing="0"/>
        <w:ind w:right="680"/>
        <w:rPr>
          <w:rFonts w:ascii="Arial" w:hAnsi="Arial" w:cs="Arial"/>
          <w:color w:val="000000"/>
          <w:sz w:val="20"/>
          <w:szCs w:val="20"/>
        </w:rPr>
      </w:pPr>
    </w:p>
    <w:p w14:paraId="0112F43D" w14:textId="108B4C7D" w:rsidR="00D30E68" w:rsidRPr="00B67D37" w:rsidRDefault="00D30E68" w:rsidP="00D30E68">
      <w:pPr>
        <w:spacing w:after="60" w:line="240" w:lineRule="auto"/>
        <w:ind w:right="680"/>
        <w:rPr>
          <w:rFonts w:cs="Arial"/>
          <w:szCs w:val="21"/>
          <w:lang w:eastAsia="en-AU"/>
        </w:rPr>
      </w:pPr>
      <w:r>
        <w:rPr>
          <w:rFonts w:cs="Arial"/>
          <w:szCs w:val="21"/>
          <w:lang w:eastAsia="en-AU"/>
        </w:rPr>
        <w:t xml:space="preserve">The </w:t>
      </w:r>
      <w:r w:rsidRPr="00B67D37">
        <w:t xml:space="preserve">VADC Data Specification 2021-22 Version 1.0 </w:t>
      </w:r>
      <w:r w:rsidRPr="00B67D37">
        <w:rPr>
          <w:rFonts w:cs="Arial"/>
          <w:szCs w:val="21"/>
          <w:lang w:eastAsia="en-AU"/>
        </w:rPr>
        <w:t xml:space="preserve">released on 20.04.2021 </w:t>
      </w:r>
      <w:r>
        <w:rPr>
          <w:rFonts w:cs="Arial"/>
          <w:szCs w:val="21"/>
          <w:lang w:eastAsia="en-AU"/>
        </w:rPr>
        <w:t xml:space="preserve">omitted the inclusion of ‘or treatment’ in </w:t>
      </w:r>
      <w:r w:rsidRPr="00B67D37">
        <w:rPr>
          <w:rFonts w:cs="Arial"/>
          <w:szCs w:val="21"/>
          <w:lang w:eastAsia="en-AU"/>
        </w:rPr>
        <w:t xml:space="preserve">warning </w:t>
      </w:r>
      <w:r>
        <w:rPr>
          <w:rFonts w:cs="Arial"/>
          <w:szCs w:val="21"/>
          <w:lang w:eastAsia="en-AU"/>
        </w:rPr>
        <w:t>validation A0D29 in Section 5.4.21</w:t>
      </w:r>
      <w:r w:rsidRPr="00B67D37">
        <w:rPr>
          <w:rFonts w:cs="Arial"/>
          <w:szCs w:val="21"/>
          <w:lang w:eastAsia="en-AU"/>
        </w:rPr>
        <w:t>.  The correct information (with omitted information highlighted) is below:</w:t>
      </w:r>
    </w:p>
    <w:p w14:paraId="7AA39C6A" w14:textId="4F30677B" w:rsidR="00D30E68" w:rsidRDefault="00D30E68" w:rsidP="006C18B8">
      <w:pPr>
        <w:spacing w:after="60" w:line="240" w:lineRule="auto"/>
        <w:ind w:right="680"/>
        <w:rPr>
          <w:rFonts w:cs="Arial"/>
          <w:szCs w:val="21"/>
          <w:lang w:eastAsia="en-AU"/>
        </w:rPr>
      </w:pPr>
    </w:p>
    <w:p w14:paraId="2FEDA054" w14:textId="77777777" w:rsidR="00901A4C" w:rsidRDefault="00901A4C" w:rsidP="00901A4C">
      <w:pPr>
        <w:pStyle w:val="NormalWeb"/>
        <w:spacing w:before="0" w:beforeAutospacing="0" w:after="60" w:afterAutospacing="0"/>
        <w:ind w:right="680"/>
        <w:rPr>
          <w:rFonts w:ascii="Arial" w:hAnsi="Arial" w:cs="Arial"/>
          <w:color w:val="000000"/>
          <w:sz w:val="21"/>
          <w:szCs w:val="21"/>
        </w:rPr>
      </w:pPr>
      <w:r>
        <w:rPr>
          <w:rStyle w:val="Strong"/>
          <w:szCs w:val="24"/>
        </w:rPr>
        <w:t>5.4.21</w:t>
      </w:r>
      <w:r>
        <w:rPr>
          <w:rStyle w:val="Strong"/>
          <w:sz w:val="14"/>
          <w:szCs w:val="14"/>
        </w:rPr>
        <w:t xml:space="preserve">    </w:t>
      </w:r>
      <w:r>
        <w:rPr>
          <w:rStyle w:val="Strong"/>
          <w:szCs w:val="24"/>
        </w:rPr>
        <w:t>Event—TIER—N</w:t>
      </w:r>
    </w:p>
    <w:p w14:paraId="2951D440" w14:textId="77777777" w:rsidR="00901A4C" w:rsidRDefault="00901A4C" w:rsidP="00901A4C">
      <w:pPr>
        <w:pStyle w:val="NormalWeb"/>
        <w:spacing w:before="0" w:beforeAutospacing="0" w:after="60" w:afterAutospacing="0"/>
        <w:ind w:right="680"/>
        <w:rPr>
          <w:rFonts w:ascii="Arial" w:hAnsi="Arial" w:cs="Arial"/>
          <w:color w:val="000000"/>
          <w:sz w:val="20"/>
          <w:szCs w:val="20"/>
        </w:rPr>
      </w:pPr>
    </w:p>
    <w:tbl>
      <w:tblPr>
        <w:tblW w:w="9720" w:type="dxa"/>
        <w:tblInd w:w="30" w:type="dxa"/>
        <w:tblCellMar>
          <w:left w:w="0" w:type="dxa"/>
          <w:right w:w="0" w:type="dxa"/>
        </w:tblCellMar>
        <w:tblLook w:val="04A0" w:firstRow="1" w:lastRow="0" w:firstColumn="1" w:lastColumn="0" w:noHBand="0" w:noVBand="1"/>
      </w:tblPr>
      <w:tblGrid>
        <w:gridCol w:w="2520"/>
        <w:gridCol w:w="7200"/>
      </w:tblGrid>
      <w:tr w:rsidR="00901A4C" w14:paraId="4D0E8D0C" w14:textId="77777777" w:rsidTr="00901A4C">
        <w:trPr>
          <w:trHeight w:val="295"/>
        </w:trPr>
        <w:tc>
          <w:tcPr>
            <w:tcW w:w="9720" w:type="dxa"/>
            <w:gridSpan w:val="2"/>
            <w:tcBorders>
              <w:top w:val="single" w:sz="8" w:space="0" w:color="auto"/>
              <w:left w:val="nil"/>
              <w:bottom w:val="nil"/>
              <w:right w:val="nil"/>
            </w:tcBorders>
            <w:tcMar>
              <w:top w:w="0" w:type="dxa"/>
              <w:left w:w="30" w:type="dxa"/>
              <w:bottom w:w="0" w:type="dxa"/>
              <w:right w:w="30" w:type="dxa"/>
            </w:tcMar>
            <w:vAlign w:val="center"/>
            <w:hideMark/>
          </w:tcPr>
          <w:p w14:paraId="43487072" w14:textId="77777777" w:rsidR="00901A4C" w:rsidRDefault="00901A4C">
            <w:pPr>
              <w:pStyle w:val="NormalWeb"/>
              <w:keepNext/>
              <w:spacing w:before="120" w:beforeAutospacing="0" w:after="60" w:afterAutospacing="0"/>
              <w:rPr>
                <w:sz w:val="20"/>
                <w:szCs w:val="20"/>
                <w:lang w:eastAsia="en-US"/>
              </w:rPr>
            </w:pPr>
            <w:r>
              <w:rPr>
                <w:rFonts w:ascii="Verdana" w:hAnsi="Verdana"/>
                <w:i/>
                <w:iCs/>
                <w:color w:val="008080"/>
                <w:spacing w:val="-4"/>
                <w:sz w:val="20"/>
                <w:szCs w:val="20"/>
                <w:lang w:eastAsia="en-US"/>
              </w:rPr>
              <w:t>Relational attributes</w:t>
            </w:r>
          </w:p>
        </w:tc>
      </w:tr>
      <w:tr w:rsidR="00901A4C" w14:paraId="7103FE98" w14:textId="77777777" w:rsidTr="00901A4C">
        <w:trPr>
          <w:trHeight w:val="294"/>
        </w:trPr>
        <w:tc>
          <w:tcPr>
            <w:tcW w:w="2520" w:type="dxa"/>
            <w:tcMar>
              <w:top w:w="0" w:type="dxa"/>
              <w:left w:w="30" w:type="dxa"/>
              <w:bottom w:w="0" w:type="dxa"/>
              <w:right w:w="30" w:type="dxa"/>
            </w:tcMar>
            <w:vAlign w:val="center"/>
            <w:hideMark/>
          </w:tcPr>
          <w:p w14:paraId="4245D1B6"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Related concepts</w:t>
            </w:r>
          </w:p>
        </w:tc>
        <w:tc>
          <w:tcPr>
            <w:tcW w:w="7200" w:type="dxa"/>
            <w:tcMar>
              <w:top w:w="0" w:type="dxa"/>
              <w:left w:w="30" w:type="dxa"/>
              <w:bottom w:w="0" w:type="dxa"/>
              <w:right w:w="30" w:type="dxa"/>
            </w:tcMar>
            <w:vAlign w:val="center"/>
            <w:hideMark/>
          </w:tcPr>
          <w:p w14:paraId="0B8B107B"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Client</w:t>
            </w:r>
          </w:p>
        </w:tc>
      </w:tr>
      <w:tr w:rsidR="00901A4C" w14:paraId="47B8000F" w14:textId="77777777" w:rsidTr="00901A4C">
        <w:trPr>
          <w:cantSplit/>
          <w:trHeight w:val="295"/>
        </w:trPr>
        <w:tc>
          <w:tcPr>
            <w:tcW w:w="2520" w:type="dxa"/>
            <w:tcMar>
              <w:top w:w="0" w:type="dxa"/>
              <w:left w:w="30" w:type="dxa"/>
              <w:bottom w:w="0" w:type="dxa"/>
              <w:right w:w="30" w:type="dxa"/>
            </w:tcMar>
            <w:vAlign w:val="center"/>
            <w:hideMark/>
          </w:tcPr>
          <w:p w14:paraId="414B0B19"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7200" w:type="dxa"/>
            <w:tcMar>
              <w:top w:w="0" w:type="dxa"/>
              <w:left w:w="30" w:type="dxa"/>
              <w:bottom w:w="0" w:type="dxa"/>
              <w:right w:w="30" w:type="dxa"/>
            </w:tcMar>
            <w:vAlign w:val="center"/>
            <w:hideMark/>
          </w:tcPr>
          <w:p w14:paraId="76F59DEA"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Service event</w:t>
            </w:r>
          </w:p>
        </w:tc>
      </w:tr>
      <w:tr w:rsidR="00901A4C" w14:paraId="11456BD3" w14:textId="77777777" w:rsidTr="00901A4C">
        <w:trPr>
          <w:cantSplit/>
          <w:trHeight w:val="295"/>
        </w:trPr>
        <w:tc>
          <w:tcPr>
            <w:tcW w:w="2520" w:type="dxa"/>
            <w:tcMar>
              <w:top w:w="0" w:type="dxa"/>
              <w:left w:w="30" w:type="dxa"/>
              <w:bottom w:w="0" w:type="dxa"/>
              <w:right w:w="30" w:type="dxa"/>
            </w:tcMar>
            <w:vAlign w:val="center"/>
            <w:hideMark/>
          </w:tcPr>
          <w:p w14:paraId="78E72892"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Related data elements</w:t>
            </w:r>
          </w:p>
        </w:tc>
        <w:tc>
          <w:tcPr>
            <w:tcW w:w="7200" w:type="dxa"/>
            <w:tcMar>
              <w:top w:w="0" w:type="dxa"/>
              <w:left w:w="30" w:type="dxa"/>
              <w:bottom w:w="0" w:type="dxa"/>
              <w:right w:w="30" w:type="dxa"/>
            </w:tcMar>
            <w:vAlign w:val="center"/>
            <w:hideMark/>
          </w:tcPr>
          <w:p w14:paraId="570C632C"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Event-end date</w:t>
            </w:r>
          </w:p>
        </w:tc>
      </w:tr>
      <w:tr w:rsidR="00901A4C" w14:paraId="7C2D6EB7" w14:textId="77777777" w:rsidTr="00901A4C">
        <w:trPr>
          <w:trHeight w:val="294"/>
        </w:trPr>
        <w:tc>
          <w:tcPr>
            <w:tcW w:w="2520" w:type="dxa"/>
            <w:tcMar>
              <w:top w:w="0" w:type="dxa"/>
              <w:left w:w="30" w:type="dxa"/>
              <w:bottom w:w="0" w:type="dxa"/>
              <w:right w:w="30" w:type="dxa"/>
            </w:tcMar>
            <w:vAlign w:val="center"/>
            <w:hideMark/>
          </w:tcPr>
          <w:p w14:paraId="2F463327" w14:textId="77777777" w:rsidR="00901A4C" w:rsidRDefault="00901A4C">
            <w:pPr>
              <w:pStyle w:val="NormalWeb"/>
              <w:spacing w:before="40" w:beforeAutospacing="0" w:after="40" w:afterAutospacing="0"/>
              <w:rPr>
                <w:sz w:val="20"/>
                <w:szCs w:val="20"/>
                <w:lang w:eastAsia="en-US"/>
              </w:rPr>
            </w:pPr>
            <w:r>
              <w:rPr>
                <w:rFonts w:ascii="Verdana" w:hAnsi="Verdana"/>
                <w:b/>
                <w:bCs/>
                <w:color w:val="000000"/>
                <w:sz w:val="18"/>
                <w:szCs w:val="18"/>
                <w:lang w:eastAsia="en-US"/>
              </w:rPr>
              <w:t>Edit/validation rules</w:t>
            </w:r>
          </w:p>
        </w:tc>
        <w:tc>
          <w:tcPr>
            <w:tcW w:w="7200" w:type="dxa"/>
            <w:tcMar>
              <w:top w:w="0" w:type="dxa"/>
              <w:left w:w="30" w:type="dxa"/>
              <w:bottom w:w="0" w:type="dxa"/>
              <w:right w:w="30" w:type="dxa"/>
            </w:tcMar>
            <w:vAlign w:val="center"/>
            <w:hideMark/>
          </w:tcPr>
          <w:p w14:paraId="33252D2B"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 xml:space="preserve">AOD0 value not in codeset for reporting period </w:t>
            </w:r>
          </w:p>
          <w:p w14:paraId="3442A7D5"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 xml:space="preserve">AOD29 event type mismatch, event type is not assessment </w:t>
            </w:r>
            <w:r>
              <w:rPr>
                <w:rFonts w:ascii="Arial" w:hAnsi="Arial" w:cs="Arial"/>
                <w:color w:val="000000"/>
                <w:sz w:val="20"/>
                <w:szCs w:val="20"/>
                <w:shd w:val="clear" w:color="auto" w:fill="00FF00"/>
                <w:lang w:eastAsia="en-US"/>
              </w:rPr>
              <w:t>or treatment</w:t>
            </w:r>
          </w:p>
        </w:tc>
      </w:tr>
      <w:tr w:rsidR="00901A4C" w14:paraId="1EF3A875" w14:textId="77777777" w:rsidTr="00901A4C">
        <w:trPr>
          <w:trHeight w:val="294"/>
        </w:trPr>
        <w:tc>
          <w:tcPr>
            <w:tcW w:w="2520" w:type="dxa"/>
            <w:tcMar>
              <w:top w:w="0" w:type="dxa"/>
              <w:left w:w="30" w:type="dxa"/>
              <w:bottom w:w="0" w:type="dxa"/>
              <w:right w:w="30" w:type="dxa"/>
            </w:tcMar>
            <w:vAlign w:val="center"/>
            <w:hideMark/>
          </w:tcPr>
          <w:p w14:paraId="75FD6899"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7200" w:type="dxa"/>
            <w:tcMar>
              <w:top w:w="0" w:type="dxa"/>
              <w:left w:w="30" w:type="dxa"/>
              <w:bottom w:w="0" w:type="dxa"/>
              <w:right w:w="30" w:type="dxa"/>
            </w:tcMar>
            <w:vAlign w:val="center"/>
            <w:hideMark/>
          </w:tcPr>
          <w:p w14:paraId="15A2BB2F"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AOD60 TIER and assessment not ended, when event type is assessment</w:t>
            </w:r>
          </w:p>
        </w:tc>
      </w:tr>
      <w:tr w:rsidR="00901A4C" w14:paraId="17777992" w14:textId="77777777" w:rsidTr="00901A4C">
        <w:trPr>
          <w:trHeight w:val="294"/>
        </w:trPr>
        <w:tc>
          <w:tcPr>
            <w:tcW w:w="2520" w:type="dxa"/>
            <w:tcBorders>
              <w:top w:val="nil"/>
              <w:left w:val="nil"/>
              <w:bottom w:val="single" w:sz="8" w:space="0" w:color="auto"/>
              <w:right w:val="nil"/>
            </w:tcBorders>
            <w:tcMar>
              <w:top w:w="0" w:type="dxa"/>
              <w:left w:w="30" w:type="dxa"/>
              <w:bottom w:w="0" w:type="dxa"/>
              <w:right w:w="30" w:type="dxa"/>
            </w:tcMar>
            <w:vAlign w:val="center"/>
            <w:hideMark/>
          </w:tcPr>
          <w:p w14:paraId="049254B1" w14:textId="77777777" w:rsidR="00901A4C" w:rsidRDefault="00901A4C">
            <w:pPr>
              <w:pStyle w:val="NormalWeb"/>
              <w:spacing w:before="40" w:beforeAutospacing="0" w:after="40" w:afterAutospacing="0"/>
              <w:rPr>
                <w:sz w:val="20"/>
                <w:szCs w:val="20"/>
                <w:lang w:eastAsia="en-US"/>
              </w:rPr>
            </w:pPr>
            <w:r>
              <w:rPr>
                <w:rFonts w:ascii="Cambria" w:hAnsi="Cambria"/>
                <w:b/>
                <w:bCs/>
                <w:color w:val="000000"/>
                <w:sz w:val="18"/>
                <w:szCs w:val="18"/>
                <w:lang w:eastAsia="en-US"/>
              </w:rPr>
              <w:t> </w:t>
            </w:r>
          </w:p>
        </w:tc>
        <w:tc>
          <w:tcPr>
            <w:tcW w:w="7200" w:type="dxa"/>
            <w:tcBorders>
              <w:top w:val="nil"/>
              <w:left w:val="nil"/>
              <w:bottom w:val="single" w:sz="8" w:space="0" w:color="auto"/>
              <w:right w:val="nil"/>
            </w:tcBorders>
            <w:tcMar>
              <w:top w:w="0" w:type="dxa"/>
              <w:left w:w="30" w:type="dxa"/>
              <w:bottom w:w="0" w:type="dxa"/>
              <w:right w:w="30" w:type="dxa"/>
            </w:tcMar>
            <w:vAlign w:val="center"/>
            <w:hideMark/>
          </w:tcPr>
          <w:p w14:paraId="7CC7C903" w14:textId="77777777" w:rsidR="00901A4C" w:rsidRDefault="00901A4C">
            <w:pPr>
              <w:pStyle w:val="NormalWeb"/>
              <w:spacing w:after="120" w:afterAutospacing="0"/>
              <w:rPr>
                <w:sz w:val="20"/>
                <w:szCs w:val="20"/>
                <w:lang w:eastAsia="en-US"/>
              </w:rPr>
            </w:pPr>
            <w:r>
              <w:rPr>
                <w:rFonts w:ascii="Arial" w:hAnsi="Arial" w:cs="Arial"/>
                <w:color w:val="000000"/>
                <w:sz w:val="20"/>
                <w:szCs w:val="20"/>
                <w:lang w:eastAsia="en-US"/>
              </w:rPr>
              <w:t>AOD61 no TIER and assessment has ended, when event type is assessment</w:t>
            </w:r>
          </w:p>
        </w:tc>
      </w:tr>
    </w:tbl>
    <w:p w14:paraId="63C83E4C" w14:textId="77777777" w:rsidR="00610623" w:rsidRDefault="00610623" w:rsidP="00610623">
      <w:pPr>
        <w:spacing w:after="60" w:line="240" w:lineRule="auto"/>
        <w:ind w:right="680"/>
        <w:rPr>
          <w:rFonts w:cs="Arial"/>
          <w:szCs w:val="21"/>
          <w:lang w:eastAsia="en-AU"/>
        </w:rPr>
      </w:pPr>
    </w:p>
    <w:p w14:paraId="4AA28C45" w14:textId="00739A11" w:rsidR="00952B7D" w:rsidRDefault="001975D2" w:rsidP="00952B7D">
      <w:pPr>
        <w:tabs>
          <w:tab w:val="left" w:pos="3450"/>
        </w:tabs>
      </w:pPr>
      <w:r w:rsidRPr="001975D2">
        <w:lastRenderedPageBreak/>
        <w:t>A</w:t>
      </w:r>
      <w:r w:rsidR="00B67579">
        <w:t>n</w:t>
      </w:r>
      <w:r w:rsidRPr="001975D2">
        <w:t xml:space="preserve"> update </w:t>
      </w:r>
      <w:r w:rsidR="003763B1">
        <w:t>has been made</w:t>
      </w:r>
      <w:r w:rsidRPr="001975D2">
        <w:t xml:space="preserve"> to </w:t>
      </w:r>
      <w:r w:rsidR="00A1784F">
        <w:t>7.3 Data Dictionary</w:t>
      </w:r>
      <w:r w:rsidR="003763B1">
        <w:t>,</w:t>
      </w:r>
      <w:r w:rsidR="00A1784F">
        <w:t xml:space="preserve"> </w:t>
      </w:r>
      <w:r w:rsidR="00941DCD" w:rsidRPr="00A1784F">
        <w:t xml:space="preserve">Table </w:t>
      </w:r>
      <w:r w:rsidR="000D6FDE">
        <w:t>12</w:t>
      </w:r>
      <w:r w:rsidR="00941DCD" w:rsidRPr="00A1784F">
        <w:t xml:space="preserve"> </w:t>
      </w:r>
      <w:r w:rsidR="000D6FDE">
        <w:t>Service Event</w:t>
      </w:r>
      <w:r w:rsidR="003763B1">
        <w:t>,</w:t>
      </w:r>
      <w:r w:rsidR="00941DCD">
        <w:t xml:space="preserve"> to align with</w:t>
      </w:r>
      <w:r w:rsidRPr="001975D2">
        <w:t xml:space="preserve"> </w:t>
      </w:r>
      <w:r w:rsidR="00941DCD">
        <w:t xml:space="preserve">the </w:t>
      </w:r>
      <w:r w:rsidR="003763B1">
        <w:t xml:space="preserve">data </w:t>
      </w:r>
      <w:r w:rsidR="00C02DC2">
        <w:t xml:space="preserve">element </w:t>
      </w:r>
      <w:r w:rsidR="003763B1">
        <w:t>definitions</w:t>
      </w:r>
      <w:r w:rsidR="00A1784F" w:rsidRPr="00D010F7" w:rsidDel="00C06E15">
        <w:t xml:space="preserve"> </w:t>
      </w:r>
      <w:r w:rsidR="00941DCD">
        <w:t>for</w:t>
      </w:r>
      <w:r w:rsidRPr="001975D2">
        <w:t xml:space="preserve"> </w:t>
      </w:r>
      <w:r w:rsidR="00C02DC2">
        <w:t>S</w:t>
      </w:r>
      <w:r w:rsidRPr="001975D2">
        <w:t xml:space="preserve">ervice </w:t>
      </w:r>
      <w:r w:rsidR="00C02DC2">
        <w:t>Event Ty</w:t>
      </w:r>
      <w:r w:rsidRPr="001975D2">
        <w:t xml:space="preserve">pes that are </w:t>
      </w:r>
      <w:r w:rsidR="00A1784F">
        <w:t>NOT</w:t>
      </w:r>
      <w:r w:rsidR="003763B1">
        <w:t xml:space="preserve"> </w:t>
      </w:r>
      <w:r w:rsidR="00C02DC2">
        <w:t>Intake and Comprehensive Assessment</w:t>
      </w:r>
    </w:p>
    <w:p w14:paraId="37F4F58A" w14:textId="4AA93E73" w:rsidR="00610623" w:rsidRDefault="001975D2" w:rsidP="001975D2">
      <w:pPr>
        <w:pStyle w:val="DHHStablecaption"/>
        <w:rPr>
          <w:rFonts w:eastAsiaTheme="minorHAnsi"/>
          <w:color w:val="000000"/>
          <w:sz w:val="20"/>
        </w:rPr>
      </w:pPr>
      <w:r w:rsidRPr="00AF022B">
        <w:t xml:space="preserve">Table </w:t>
      </w:r>
      <w:r w:rsidR="000D6FDE">
        <w:t>12</w:t>
      </w:r>
      <w:r w:rsidRPr="00AF022B">
        <w:t xml:space="preserve"> </w:t>
      </w:r>
      <w:r w:rsidR="000D6FDE">
        <w:t>Service event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532"/>
        <w:gridCol w:w="1531"/>
        <w:gridCol w:w="4961"/>
      </w:tblGrid>
      <w:tr w:rsidR="00952B7D" w:rsidRPr="00AF022B" w14:paraId="4047EF3C" w14:textId="77777777" w:rsidTr="00B276D3">
        <w:trPr>
          <w:tblHeader/>
        </w:trPr>
        <w:tc>
          <w:tcPr>
            <w:tcW w:w="2466" w:type="dxa"/>
            <w:shd w:val="clear" w:color="auto" w:fill="auto"/>
          </w:tcPr>
          <w:p w14:paraId="73FF8FC0" w14:textId="77777777" w:rsidR="00952B7D" w:rsidRPr="00C02DC2" w:rsidRDefault="00952B7D" w:rsidP="00B00C9F">
            <w:pPr>
              <w:pStyle w:val="DHHStablecolhead"/>
              <w:rPr>
                <w:color w:val="auto"/>
              </w:rPr>
            </w:pPr>
            <w:r w:rsidRPr="00C02DC2">
              <w:rPr>
                <w:color w:val="auto"/>
              </w:rPr>
              <w:t>Data element name</w:t>
            </w:r>
          </w:p>
        </w:tc>
        <w:tc>
          <w:tcPr>
            <w:tcW w:w="1532" w:type="dxa"/>
            <w:shd w:val="clear" w:color="auto" w:fill="auto"/>
          </w:tcPr>
          <w:p w14:paraId="2E3ABDC0" w14:textId="77777777" w:rsidR="00952B7D" w:rsidRPr="00C02DC2" w:rsidRDefault="00952B7D" w:rsidP="00B00C9F">
            <w:pPr>
              <w:pStyle w:val="DHHStablecolhead"/>
              <w:rPr>
                <w:color w:val="auto"/>
              </w:rPr>
            </w:pPr>
            <w:r w:rsidRPr="00C02DC2">
              <w:rPr>
                <w:color w:val="auto"/>
              </w:rPr>
              <w:t>Type</w:t>
            </w:r>
          </w:p>
        </w:tc>
        <w:tc>
          <w:tcPr>
            <w:tcW w:w="1531" w:type="dxa"/>
            <w:shd w:val="clear" w:color="auto" w:fill="auto"/>
          </w:tcPr>
          <w:p w14:paraId="1E8E321D" w14:textId="77777777" w:rsidR="00952B7D" w:rsidRPr="00C02DC2" w:rsidRDefault="00952B7D" w:rsidP="00B00C9F">
            <w:pPr>
              <w:pStyle w:val="DHHStablecolhead"/>
              <w:rPr>
                <w:color w:val="auto"/>
              </w:rPr>
            </w:pPr>
            <w:r w:rsidRPr="00C02DC2">
              <w:rPr>
                <w:color w:val="auto"/>
              </w:rPr>
              <w:t>Mandatory</w:t>
            </w:r>
          </w:p>
        </w:tc>
        <w:tc>
          <w:tcPr>
            <w:tcW w:w="4961" w:type="dxa"/>
          </w:tcPr>
          <w:p w14:paraId="50254153" w14:textId="77777777" w:rsidR="00952B7D" w:rsidRPr="00C02DC2" w:rsidRDefault="00952B7D" w:rsidP="00B00C9F">
            <w:pPr>
              <w:pStyle w:val="DHHStablecolhead"/>
              <w:rPr>
                <w:color w:val="auto"/>
              </w:rPr>
            </w:pPr>
            <w:r w:rsidRPr="00C02DC2">
              <w:rPr>
                <w:color w:val="auto"/>
              </w:rPr>
              <w:t>Comment</w:t>
            </w:r>
          </w:p>
        </w:tc>
      </w:tr>
      <w:tr w:rsidR="00952B7D" w:rsidRPr="00AF022B" w14:paraId="482415F0" w14:textId="77777777" w:rsidTr="00B276D3">
        <w:trPr>
          <w:tblHeader/>
        </w:trPr>
        <w:tc>
          <w:tcPr>
            <w:tcW w:w="2466" w:type="dxa"/>
            <w:tcBorders>
              <w:top w:val="single" w:sz="4" w:space="0" w:color="auto"/>
              <w:left w:val="single" w:sz="4" w:space="0" w:color="auto"/>
              <w:bottom w:val="single" w:sz="4" w:space="0" w:color="auto"/>
              <w:right w:val="single" w:sz="4" w:space="0" w:color="auto"/>
            </w:tcBorders>
            <w:shd w:val="clear" w:color="auto" w:fill="auto"/>
          </w:tcPr>
          <w:p w14:paraId="22B1A1B9" w14:textId="77777777" w:rsidR="00952B7D" w:rsidRPr="00952B7D" w:rsidRDefault="00952B7D" w:rsidP="00B00C9F">
            <w:pPr>
              <w:pStyle w:val="DHHStablecolhead"/>
              <w:rPr>
                <w:b w:val="0"/>
                <w:color w:val="auto"/>
              </w:rPr>
            </w:pPr>
            <w:r w:rsidRPr="00952B7D">
              <w:rPr>
                <w:b w:val="0"/>
                <w:color w:val="auto"/>
              </w:rPr>
              <w:t>MARAM tools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395F048" w14:textId="77777777" w:rsidR="00952B7D" w:rsidRPr="00952B7D" w:rsidRDefault="00952B7D" w:rsidP="00B00C9F">
            <w:pPr>
              <w:pStyle w:val="DHHStablecolhead"/>
              <w:rPr>
                <w:b w:val="0"/>
                <w:color w:val="auto"/>
              </w:rPr>
            </w:pPr>
            <w:r w:rsidRPr="00952B7D">
              <w:rPr>
                <w:b w:val="0"/>
                <w:color w:val="auto"/>
              </w:rPr>
              <w:t>N(1)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67055EA" w14:textId="77777777" w:rsidR="00952B7D" w:rsidRPr="00952B7D" w:rsidRDefault="00952B7D" w:rsidP="00B00C9F">
            <w:pPr>
              <w:pStyle w:val="DHHStablecolhead"/>
              <w:rPr>
                <w:b w:val="0"/>
                <w:strike/>
                <w:color w:val="auto"/>
              </w:rPr>
            </w:pPr>
            <w:r w:rsidRPr="00952B7D">
              <w:rPr>
                <w:b w:val="0"/>
                <w:strike/>
                <w:color w:val="auto"/>
              </w:rPr>
              <w:t>Yes</w:t>
            </w:r>
          </w:p>
          <w:p w14:paraId="7A2FA4DD" w14:textId="3E9CC4E1" w:rsidR="00952B7D" w:rsidRPr="00952B7D" w:rsidRDefault="00952B7D" w:rsidP="00B00C9F">
            <w:pPr>
              <w:pStyle w:val="DHHStablecolhead"/>
              <w:rPr>
                <w:b w:val="0"/>
                <w:color w:val="auto"/>
              </w:rPr>
            </w:pPr>
            <w:r w:rsidRPr="00952B7D">
              <w:rPr>
                <w:b w:val="0"/>
                <w:color w:val="auto"/>
                <w:highlight w:val="green"/>
              </w:rPr>
              <w:t>Conditional</w:t>
            </w:r>
          </w:p>
        </w:tc>
        <w:tc>
          <w:tcPr>
            <w:tcW w:w="4961" w:type="dxa"/>
            <w:tcBorders>
              <w:top w:val="single" w:sz="4" w:space="0" w:color="auto"/>
              <w:left w:val="single" w:sz="4" w:space="0" w:color="auto"/>
              <w:bottom w:val="single" w:sz="4" w:space="0" w:color="auto"/>
              <w:right w:val="single" w:sz="4" w:space="0" w:color="auto"/>
            </w:tcBorders>
          </w:tcPr>
          <w:p w14:paraId="10D4A0A8" w14:textId="77777777" w:rsidR="00952B7D" w:rsidRPr="00952B7D" w:rsidRDefault="00952B7D" w:rsidP="00B00C9F">
            <w:pPr>
              <w:pStyle w:val="DHHStablecolhead"/>
              <w:rPr>
                <w:b w:val="0"/>
                <w:color w:val="auto"/>
              </w:rPr>
            </w:pPr>
            <w:r w:rsidRPr="00952B7D">
              <w:rPr>
                <w:b w:val="0"/>
                <w:color w:val="auto"/>
              </w:rPr>
              <w:t>The status of whether MARAM framework/tools were applied at the current presentation.</w:t>
            </w:r>
          </w:p>
        </w:tc>
      </w:tr>
      <w:tr w:rsidR="00952B7D" w:rsidRPr="00AF022B" w14:paraId="53AAA499" w14:textId="77777777" w:rsidTr="00B276D3">
        <w:trPr>
          <w:tblHeader/>
        </w:trPr>
        <w:tc>
          <w:tcPr>
            <w:tcW w:w="2466" w:type="dxa"/>
            <w:tcBorders>
              <w:top w:val="single" w:sz="4" w:space="0" w:color="auto"/>
              <w:left w:val="single" w:sz="4" w:space="0" w:color="auto"/>
              <w:bottom w:val="single" w:sz="4" w:space="0" w:color="auto"/>
              <w:right w:val="single" w:sz="4" w:space="0" w:color="auto"/>
            </w:tcBorders>
            <w:shd w:val="clear" w:color="auto" w:fill="auto"/>
          </w:tcPr>
          <w:p w14:paraId="2B6A67EA" w14:textId="77777777" w:rsidR="00952B7D" w:rsidRPr="00952B7D" w:rsidRDefault="00952B7D" w:rsidP="00B00C9F">
            <w:pPr>
              <w:pStyle w:val="DHHStablecolhead"/>
              <w:rPr>
                <w:b w:val="0"/>
                <w:color w:val="auto"/>
              </w:rPr>
            </w:pPr>
            <w:r w:rsidRPr="00952B7D">
              <w:rPr>
                <w:b w:val="0"/>
                <w:color w:val="auto"/>
              </w:rPr>
              <w:t>Family violence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2139AD" w14:textId="77777777" w:rsidR="00952B7D" w:rsidRPr="00952B7D" w:rsidRDefault="00952B7D" w:rsidP="00B00C9F">
            <w:pPr>
              <w:pStyle w:val="DHHStablecolhead"/>
              <w:rPr>
                <w:b w:val="0"/>
                <w:color w:val="auto"/>
              </w:rPr>
            </w:pPr>
            <w:r w:rsidRPr="00952B7D">
              <w:rPr>
                <w:b w:val="0"/>
                <w:color w:val="auto"/>
              </w:rPr>
              <w:t>N(1)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F39C189" w14:textId="77777777" w:rsidR="00952B7D" w:rsidRPr="00952B7D" w:rsidRDefault="00952B7D" w:rsidP="00B00C9F">
            <w:pPr>
              <w:pStyle w:val="DHHStablecolhead"/>
              <w:rPr>
                <w:b w:val="0"/>
                <w:strike/>
                <w:color w:val="auto"/>
              </w:rPr>
            </w:pPr>
            <w:r w:rsidRPr="00952B7D">
              <w:rPr>
                <w:b w:val="0"/>
                <w:strike/>
                <w:color w:val="auto"/>
              </w:rPr>
              <w:t>Yes</w:t>
            </w:r>
          </w:p>
          <w:p w14:paraId="11AE6822" w14:textId="05C2576D" w:rsidR="00952B7D" w:rsidRPr="00952B7D" w:rsidRDefault="00952B7D" w:rsidP="00B00C9F">
            <w:pPr>
              <w:pStyle w:val="DHHStablecolhead"/>
              <w:rPr>
                <w:b w:val="0"/>
                <w:color w:val="auto"/>
              </w:rPr>
            </w:pPr>
            <w:r w:rsidRPr="00952B7D">
              <w:rPr>
                <w:b w:val="0"/>
                <w:color w:val="auto"/>
                <w:highlight w:val="green"/>
              </w:rPr>
              <w:t>Conditional</w:t>
            </w:r>
          </w:p>
        </w:tc>
        <w:tc>
          <w:tcPr>
            <w:tcW w:w="4961" w:type="dxa"/>
            <w:tcBorders>
              <w:top w:val="single" w:sz="4" w:space="0" w:color="auto"/>
              <w:left w:val="single" w:sz="4" w:space="0" w:color="auto"/>
              <w:bottom w:val="single" w:sz="4" w:space="0" w:color="auto"/>
              <w:right w:val="single" w:sz="4" w:space="0" w:color="auto"/>
            </w:tcBorders>
          </w:tcPr>
          <w:p w14:paraId="6ADDA25C" w14:textId="0E67D9A2" w:rsidR="00952B7D" w:rsidRPr="00952B7D" w:rsidRDefault="00952B7D" w:rsidP="00B00C9F">
            <w:pPr>
              <w:pStyle w:val="DHHStablecolhead"/>
              <w:rPr>
                <w:b w:val="0"/>
                <w:color w:val="auto"/>
              </w:rPr>
            </w:pPr>
            <w:r w:rsidRPr="00952B7D">
              <w:rPr>
                <w:b w:val="0"/>
                <w:color w:val="auto"/>
              </w:rPr>
              <w:t>Specifies whether the client has experienced family violence as a victim survivor or is a perpetrator (person who uses family violence)</w:t>
            </w:r>
            <w:r w:rsidR="00F35721">
              <w:rPr>
                <w:b w:val="0"/>
                <w:color w:val="auto"/>
              </w:rPr>
              <w:t xml:space="preserve"> </w:t>
            </w:r>
            <w:r w:rsidRPr="00952B7D">
              <w:rPr>
                <w:b w:val="0"/>
                <w:color w:val="auto"/>
              </w:rPr>
              <w:t>at the current presentation</w:t>
            </w:r>
          </w:p>
        </w:tc>
      </w:tr>
    </w:tbl>
    <w:p w14:paraId="4E17F615" w14:textId="5B3DAA90" w:rsidR="006E547D" w:rsidRDefault="006E547D" w:rsidP="00952B7D">
      <w:pPr>
        <w:tabs>
          <w:tab w:val="left" w:pos="3450"/>
        </w:tabs>
        <w:rPr>
          <w:rFonts w:eastAsiaTheme="minorHAnsi" w:cs="Arial"/>
          <w:color w:val="000000"/>
          <w:sz w:val="20"/>
        </w:rPr>
      </w:pPr>
    </w:p>
    <w:p w14:paraId="55D2730B" w14:textId="4E1AC747" w:rsidR="000B3DC3" w:rsidRDefault="000B3DC3" w:rsidP="00D60A06">
      <w:pPr>
        <w:pStyle w:val="DHHStablecaption"/>
      </w:pPr>
      <w:bookmarkStart w:id="3" w:name="_Hlk72396370"/>
      <w:r w:rsidRPr="000B3DC3">
        <w:rPr>
          <w:rFonts w:cs="Times New Roman"/>
          <w:b w:val="0"/>
          <w:bCs w:val="0"/>
          <w:sz w:val="21"/>
          <w:szCs w:val="20"/>
        </w:rPr>
        <w:t>A</w:t>
      </w:r>
      <w:r w:rsidR="0011590F">
        <w:rPr>
          <w:rFonts w:cs="Times New Roman"/>
          <w:b w:val="0"/>
          <w:bCs w:val="0"/>
          <w:sz w:val="21"/>
          <w:szCs w:val="20"/>
        </w:rPr>
        <w:t xml:space="preserve"> description</w:t>
      </w:r>
      <w:r w:rsidR="00B67579">
        <w:rPr>
          <w:rFonts w:cs="Times New Roman"/>
          <w:b w:val="0"/>
          <w:bCs w:val="0"/>
          <w:sz w:val="21"/>
          <w:szCs w:val="20"/>
        </w:rPr>
        <w:t xml:space="preserve"> </w:t>
      </w:r>
      <w:r w:rsidRPr="000B3DC3">
        <w:rPr>
          <w:rFonts w:cs="Times New Roman"/>
          <w:b w:val="0"/>
          <w:bCs w:val="0"/>
          <w:sz w:val="21"/>
          <w:szCs w:val="20"/>
        </w:rPr>
        <w:t xml:space="preserve">update has been made </w:t>
      </w:r>
      <w:r>
        <w:rPr>
          <w:rFonts w:cs="Times New Roman"/>
          <w:b w:val="0"/>
          <w:bCs w:val="0"/>
          <w:sz w:val="21"/>
          <w:szCs w:val="20"/>
        </w:rPr>
        <w:t>to Table 5.c</w:t>
      </w:r>
      <w:r w:rsidR="0011590F">
        <w:rPr>
          <w:rFonts w:cs="Times New Roman"/>
          <w:b w:val="0"/>
          <w:bCs w:val="0"/>
          <w:sz w:val="21"/>
          <w:szCs w:val="20"/>
        </w:rPr>
        <w:t xml:space="preserve"> </w:t>
      </w:r>
    </w:p>
    <w:p w14:paraId="6A75E9CE" w14:textId="46A8D3CE" w:rsidR="00D60A06" w:rsidRPr="00B276D3" w:rsidRDefault="00D60A06" w:rsidP="00D60A06">
      <w:pPr>
        <w:pStyle w:val="DHHStablecaption"/>
        <w:rPr>
          <w:rFonts w:cs="Times New Roman"/>
          <w:sz w:val="21"/>
        </w:rPr>
      </w:pPr>
      <w:r w:rsidRPr="00CB7D3F">
        <w:t>Table 5.c</w:t>
      </w:r>
      <w:r w:rsidRPr="00AF022B">
        <w:t xml:space="preserve"> Data Element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D60A06" w:rsidRPr="00BB5D0E" w14:paraId="0F4C3E25" w14:textId="77777777" w:rsidTr="00C05714">
        <w:trPr>
          <w:tblHeader/>
        </w:trPr>
        <w:tc>
          <w:tcPr>
            <w:tcW w:w="1134" w:type="dxa"/>
            <w:shd w:val="clear" w:color="auto" w:fill="auto"/>
          </w:tcPr>
          <w:p w14:paraId="426DF5E1" w14:textId="77777777" w:rsidR="00D60A06" w:rsidRPr="00BB5D0E" w:rsidRDefault="00D60A06" w:rsidP="00C05714">
            <w:pPr>
              <w:pStyle w:val="DHHStablecolhead"/>
            </w:pPr>
            <w:r w:rsidRPr="008C1424">
              <w:t>ID</w:t>
            </w:r>
          </w:p>
        </w:tc>
        <w:tc>
          <w:tcPr>
            <w:tcW w:w="3431" w:type="dxa"/>
            <w:shd w:val="clear" w:color="auto" w:fill="auto"/>
          </w:tcPr>
          <w:p w14:paraId="0F7E7F66" w14:textId="77777777" w:rsidR="00D60A06" w:rsidRPr="00BB5D0E" w:rsidRDefault="00D60A06" w:rsidP="00C05714">
            <w:pPr>
              <w:pStyle w:val="DHHStablecolhead"/>
            </w:pPr>
            <w:r w:rsidRPr="00BB5D0E">
              <w:t>Edit name/description</w:t>
            </w:r>
          </w:p>
        </w:tc>
        <w:tc>
          <w:tcPr>
            <w:tcW w:w="2693" w:type="dxa"/>
          </w:tcPr>
          <w:p w14:paraId="02EA2A8D" w14:textId="77777777" w:rsidR="00D60A06" w:rsidRPr="00BB5D0E" w:rsidRDefault="00D60A06" w:rsidP="00C05714">
            <w:pPr>
              <w:pStyle w:val="DHHStablecolhead"/>
            </w:pPr>
            <w:r w:rsidRPr="00BB5D0E">
              <w:t>Data elements</w:t>
            </w:r>
          </w:p>
        </w:tc>
        <w:tc>
          <w:tcPr>
            <w:tcW w:w="2127" w:type="dxa"/>
          </w:tcPr>
          <w:p w14:paraId="6C6F0311" w14:textId="77777777" w:rsidR="00D60A06" w:rsidRPr="00BB5D0E" w:rsidRDefault="00D60A06" w:rsidP="00C05714">
            <w:pPr>
              <w:pStyle w:val="DHHStablecolhead"/>
            </w:pPr>
            <w:r w:rsidRPr="00BB5D0E">
              <w:t>Pseudo code/rule</w:t>
            </w:r>
          </w:p>
        </w:tc>
        <w:tc>
          <w:tcPr>
            <w:tcW w:w="1134" w:type="dxa"/>
          </w:tcPr>
          <w:p w14:paraId="79D58495" w14:textId="77777777" w:rsidR="00D60A06" w:rsidRPr="00BB5D0E" w:rsidRDefault="00D60A06" w:rsidP="00C05714">
            <w:pPr>
              <w:pStyle w:val="DHHStablecolhead"/>
            </w:pPr>
            <w:r w:rsidRPr="00BB5D0E">
              <w:t>Status</w:t>
            </w:r>
          </w:p>
        </w:tc>
      </w:tr>
      <w:tr w:rsidR="00D60A06" w:rsidRPr="00BB5D0E" w14:paraId="383A93BF" w14:textId="77777777" w:rsidTr="00C05714">
        <w:trPr>
          <w:tblHeader/>
        </w:trPr>
        <w:tc>
          <w:tcPr>
            <w:tcW w:w="1134" w:type="dxa"/>
            <w:shd w:val="clear" w:color="auto" w:fill="auto"/>
          </w:tcPr>
          <w:p w14:paraId="18796107" w14:textId="77777777" w:rsidR="00D60A06" w:rsidRPr="00D60A06" w:rsidRDefault="00D60A06" w:rsidP="00C05714">
            <w:pPr>
              <w:pStyle w:val="DHHStablecolhead"/>
              <w:rPr>
                <w:b w:val="0"/>
                <w:bCs/>
              </w:rPr>
            </w:pPr>
            <w:r w:rsidRPr="00D60A06">
              <w:rPr>
                <w:b w:val="0"/>
                <w:bCs/>
              </w:rPr>
              <w:t>AOD176</w:t>
            </w:r>
          </w:p>
        </w:tc>
        <w:tc>
          <w:tcPr>
            <w:tcW w:w="3431" w:type="dxa"/>
            <w:shd w:val="clear" w:color="auto" w:fill="auto"/>
          </w:tcPr>
          <w:p w14:paraId="038C148D" w14:textId="3B6E35E0" w:rsidR="00D60A06" w:rsidRPr="00D60A06" w:rsidRDefault="00D60A06" w:rsidP="00C05714">
            <w:pPr>
              <w:pStyle w:val="DHHStablecolhead"/>
              <w:rPr>
                <w:b w:val="0"/>
                <w:bCs/>
              </w:rPr>
            </w:pPr>
            <w:r w:rsidRPr="00D60A06">
              <w:rPr>
                <w:b w:val="0"/>
                <w:bCs/>
              </w:rPr>
              <w:t xml:space="preserve">Drug of concern volume </w:t>
            </w:r>
            <w:r w:rsidRPr="00D60A06">
              <w:rPr>
                <w:b w:val="0"/>
                <w:bCs/>
                <w:strike/>
                <w:highlight w:val="yellow"/>
              </w:rPr>
              <w:t>not</w:t>
            </w:r>
            <w:r w:rsidRPr="00D60A06">
              <w:rPr>
                <w:b w:val="0"/>
                <w:bCs/>
                <w:strike/>
              </w:rPr>
              <w:t xml:space="preserve"> </w:t>
            </w:r>
            <w:r w:rsidRPr="00D60A06">
              <w:rPr>
                <w:b w:val="0"/>
                <w:bCs/>
                <w:highlight w:val="green"/>
              </w:rPr>
              <w:t>is</w:t>
            </w:r>
            <w:r>
              <w:rPr>
                <w:b w:val="0"/>
                <w:bCs/>
              </w:rPr>
              <w:t xml:space="preserve"> </w:t>
            </w:r>
            <w:r w:rsidRPr="00D60A06">
              <w:rPr>
                <w:b w:val="0"/>
                <w:bCs/>
              </w:rPr>
              <w:t>0, when</w:t>
            </w:r>
            <w:r w:rsidR="000D5F35">
              <w:rPr>
                <w:b w:val="0"/>
                <w:bCs/>
              </w:rPr>
              <w:t xml:space="preserve"> </w:t>
            </w:r>
            <w:r w:rsidR="000D5F35" w:rsidRPr="00853F9A">
              <w:rPr>
                <w:b w:val="0"/>
                <w:bCs/>
                <w:highlight w:val="green"/>
              </w:rPr>
              <w:t>there is</w:t>
            </w:r>
            <w:r w:rsidRPr="00D60A06">
              <w:rPr>
                <w:b w:val="0"/>
                <w:bCs/>
              </w:rPr>
              <w:t xml:space="preserve"> frequency of use</w:t>
            </w:r>
            <w:r w:rsidR="00853F9A">
              <w:rPr>
                <w:b w:val="0"/>
                <w:bCs/>
              </w:rPr>
              <w:t xml:space="preserve"> </w:t>
            </w:r>
            <w:r w:rsidR="00853F9A" w:rsidRPr="00853F9A">
              <w:rPr>
                <w:b w:val="0"/>
                <w:bCs/>
                <w:strike/>
                <w:highlight w:val="yellow"/>
              </w:rPr>
              <w:t>is not none</w:t>
            </w:r>
          </w:p>
        </w:tc>
        <w:tc>
          <w:tcPr>
            <w:tcW w:w="2693" w:type="dxa"/>
          </w:tcPr>
          <w:p w14:paraId="2FFD11E2" w14:textId="77777777" w:rsidR="00D60A06" w:rsidRPr="00D60A06" w:rsidRDefault="00D60A06" w:rsidP="00C05714">
            <w:pPr>
              <w:pStyle w:val="DHHStabletext"/>
              <w:spacing w:before="60"/>
              <w:rPr>
                <w:rFonts w:cs="Arial"/>
                <w:bCs/>
              </w:rPr>
            </w:pPr>
            <w:r w:rsidRPr="00D60A06">
              <w:rPr>
                <w:rFonts w:cs="Arial"/>
                <w:bCs/>
              </w:rPr>
              <w:t>Drug Concern-frequency last 30 days</w:t>
            </w:r>
          </w:p>
          <w:p w14:paraId="1AA3C878" w14:textId="77777777" w:rsidR="00D60A06" w:rsidRPr="00D60A06" w:rsidRDefault="00D60A06" w:rsidP="00C05714">
            <w:pPr>
              <w:pStyle w:val="DHHStabletext"/>
              <w:spacing w:before="60"/>
              <w:rPr>
                <w:rFonts w:cs="Arial"/>
                <w:bCs/>
              </w:rPr>
            </w:pPr>
            <w:r w:rsidRPr="00D60A06">
              <w:rPr>
                <w:rFonts w:cs="Arial"/>
                <w:bCs/>
              </w:rPr>
              <w:t>Drug Concern-date last use</w:t>
            </w:r>
          </w:p>
          <w:p w14:paraId="184E745F" w14:textId="77777777" w:rsidR="00D60A06" w:rsidRPr="00D60A06" w:rsidRDefault="00D60A06" w:rsidP="00C05714">
            <w:pPr>
              <w:pStyle w:val="DHHStablecolhead"/>
              <w:rPr>
                <w:b w:val="0"/>
                <w:bCs/>
              </w:rPr>
            </w:pPr>
            <w:r w:rsidRPr="00D60A06">
              <w:rPr>
                <w:b w:val="0"/>
                <w:bCs/>
              </w:rPr>
              <w:t>Outcomes-Client review date</w:t>
            </w:r>
          </w:p>
        </w:tc>
        <w:tc>
          <w:tcPr>
            <w:tcW w:w="2127" w:type="dxa"/>
          </w:tcPr>
          <w:p w14:paraId="14D30CA6" w14:textId="77777777" w:rsidR="00D60A06" w:rsidRPr="00D60A06" w:rsidRDefault="00D60A06" w:rsidP="00C05714">
            <w:pPr>
              <w:pStyle w:val="DHHStabletext"/>
              <w:spacing w:before="60"/>
              <w:rPr>
                <w:rFonts w:cs="Arial"/>
                <w:bCs/>
              </w:rPr>
            </w:pPr>
            <w:r w:rsidRPr="00D60A06">
              <w:rPr>
                <w:rFonts w:cs="Arial"/>
                <w:bCs/>
              </w:rPr>
              <w:t>DC-frequency last 30 days</w:t>
            </w:r>
            <w:r w:rsidRPr="00D60A06">
              <w:rPr>
                <w:bCs/>
              </w:rPr>
              <w:t xml:space="preserve"> != [0,9</w:t>
            </w:r>
            <w:r w:rsidRPr="00D60A06">
              <w:rPr>
                <w:rFonts w:cs="Arial"/>
                <w:bCs/>
              </w:rPr>
              <w:t xml:space="preserve">] </w:t>
            </w:r>
          </w:p>
          <w:p w14:paraId="7F98EF41" w14:textId="77777777" w:rsidR="00D60A06" w:rsidRPr="00D60A06" w:rsidRDefault="00D60A06" w:rsidP="00C05714">
            <w:pPr>
              <w:pStyle w:val="DHHStablecolhead"/>
              <w:rPr>
                <w:b w:val="0"/>
                <w:bCs/>
              </w:rPr>
            </w:pPr>
            <w:r w:rsidRPr="00D60A06">
              <w:rPr>
                <w:b w:val="0"/>
                <w:bCs/>
              </w:rPr>
              <w:t>AND DC-volume=0</w:t>
            </w:r>
          </w:p>
        </w:tc>
        <w:tc>
          <w:tcPr>
            <w:tcW w:w="1134" w:type="dxa"/>
          </w:tcPr>
          <w:p w14:paraId="291F7E3C" w14:textId="5EF4EC9F" w:rsidR="00D60A06" w:rsidRPr="00D60A06" w:rsidRDefault="00D60A06" w:rsidP="00C05714">
            <w:pPr>
              <w:pStyle w:val="DHHStablecolhead"/>
              <w:rPr>
                <w:b w:val="0"/>
                <w:bCs/>
              </w:rPr>
            </w:pPr>
            <w:r w:rsidRPr="00D60A06">
              <w:rPr>
                <w:b w:val="0"/>
                <w:bCs/>
              </w:rPr>
              <w:t>warning</w:t>
            </w:r>
          </w:p>
        </w:tc>
      </w:tr>
    </w:tbl>
    <w:p w14:paraId="02487076" w14:textId="13AF9004" w:rsidR="00E87556" w:rsidRDefault="00E87556" w:rsidP="00952B7D">
      <w:pPr>
        <w:tabs>
          <w:tab w:val="left" w:pos="3450"/>
        </w:tabs>
      </w:pPr>
    </w:p>
    <w:p w14:paraId="5134962F" w14:textId="77777777" w:rsidR="000058E4" w:rsidRDefault="000058E4" w:rsidP="00952B7D">
      <w:pPr>
        <w:tabs>
          <w:tab w:val="left" w:pos="3450"/>
        </w:tabs>
      </w:pPr>
    </w:p>
    <w:p w14:paraId="29191BD2" w14:textId="543DF0A1" w:rsidR="00B67579" w:rsidRPr="00B67579" w:rsidRDefault="00B67579" w:rsidP="00B67579">
      <w:pPr>
        <w:pStyle w:val="Heading2"/>
        <w:rPr>
          <w:i/>
          <w:iCs/>
          <w:lang w:eastAsia="en-AU"/>
        </w:rPr>
      </w:pPr>
      <w:bookmarkStart w:id="4" w:name="_Toc72402645"/>
      <w:r>
        <w:rPr>
          <w:lang w:eastAsia="en-AU"/>
        </w:rPr>
        <w:t>1.3</w:t>
      </w:r>
      <w:r>
        <w:rPr>
          <w:lang w:eastAsia="en-AU"/>
        </w:rPr>
        <w:tab/>
        <w:t xml:space="preserve">Clarification to AOD181 </w:t>
      </w:r>
      <w:r w:rsidRPr="00B67579">
        <w:rPr>
          <w:i/>
          <w:iCs/>
          <w:lang w:eastAsia="en-AU"/>
        </w:rPr>
        <w:t>VADC Data Specification 2021-22 V1.0</w:t>
      </w:r>
      <w:bookmarkEnd w:id="4"/>
    </w:p>
    <w:p w14:paraId="48BE72B6" w14:textId="77777777" w:rsidR="00B67579" w:rsidRDefault="00B67579" w:rsidP="00952B7D">
      <w:pPr>
        <w:tabs>
          <w:tab w:val="left" w:pos="3450"/>
        </w:tabs>
      </w:pPr>
    </w:p>
    <w:bookmarkEnd w:id="3"/>
    <w:p w14:paraId="6471B21F" w14:textId="5ACEC978" w:rsidR="00B276D3" w:rsidRDefault="00E242F4" w:rsidP="00952B7D">
      <w:pPr>
        <w:tabs>
          <w:tab w:val="left" w:pos="3450"/>
        </w:tabs>
      </w:pPr>
      <w:r>
        <w:t>In response to a query, c</w:t>
      </w:r>
      <w:r w:rsidR="00B276D3">
        <w:t>larification</w:t>
      </w:r>
      <w:r w:rsidR="00E87556">
        <w:t xml:space="preserve"> is provided on</w:t>
      </w:r>
      <w:r w:rsidR="00E87556" w:rsidRPr="00E87556">
        <w:t xml:space="preserve"> </w:t>
      </w:r>
      <w:r w:rsidR="00E87556">
        <w:t xml:space="preserve">Validation AOD181 </w:t>
      </w:r>
      <w:r w:rsidR="00D57B09">
        <w:t xml:space="preserve"> - this validation</w:t>
      </w:r>
      <w:r w:rsidR="00B21A7D">
        <w:t xml:space="preserve"> </w:t>
      </w:r>
      <w:r w:rsidR="00E87556">
        <w:t xml:space="preserve">applies to the </w:t>
      </w:r>
      <w:r w:rsidR="00E87556" w:rsidRPr="00D57B09">
        <w:rPr>
          <w:b/>
          <w:bCs/>
        </w:rPr>
        <w:t>current serv</w:t>
      </w:r>
      <w:r w:rsidR="00B21A7D" w:rsidRPr="00D57B09">
        <w:rPr>
          <w:b/>
          <w:bCs/>
        </w:rPr>
        <w:t>ice event</w:t>
      </w:r>
      <w:r w:rsidR="00B21A7D">
        <w:t xml:space="preserve"> to reflect clinical practice and meet</w:t>
      </w:r>
      <w:r w:rsidR="00D57B09">
        <w:t xml:space="preserve"> </w:t>
      </w:r>
      <w:r w:rsidR="00B21A7D">
        <w:t xml:space="preserve">the objectives of the </w:t>
      </w:r>
      <w:r w:rsidR="00B21A7D" w:rsidRPr="00D57B09">
        <w:rPr>
          <w:i/>
          <w:iCs/>
        </w:rPr>
        <w:t>Specifications for revisions to the Victorian Alcohol &amp; Drug Collection (VADC) for 1 July 2021</w:t>
      </w:r>
      <w:r w:rsidR="00B21A7D">
        <w:t>.</w:t>
      </w:r>
    </w:p>
    <w:p w14:paraId="46E852DA" w14:textId="77777777" w:rsidR="00B21A7D" w:rsidRDefault="00B21A7D" w:rsidP="00952B7D">
      <w:pPr>
        <w:tabs>
          <w:tab w:val="left" w:pos="3450"/>
        </w:tabs>
      </w:pPr>
    </w:p>
    <w:p w14:paraId="306DF6B1" w14:textId="0F7A5DEB" w:rsidR="00B276D3" w:rsidRPr="00B276D3" w:rsidRDefault="00B276D3" w:rsidP="00B276D3">
      <w:pPr>
        <w:pStyle w:val="DHHStablecaption"/>
        <w:rPr>
          <w:rFonts w:cs="Times New Roman"/>
          <w:sz w:val="21"/>
        </w:rPr>
      </w:pPr>
      <w:r w:rsidRPr="00CB7D3F">
        <w:t>Table 5.c</w:t>
      </w:r>
      <w:r w:rsidRPr="00AF022B">
        <w:t xml:space="preserve"> Data Element edit/validation rules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2268"/>
        <w:gridCol w:w="2835"/>
        <w:gridCol w:w="992"/>
        <w:gridCol w:w="1134"/>
      </w:tblGrid>
      <w:tr w:rsidR="00B276D3" w:rsidRPr="00AF022B" w14:paraId="1A40D2C3" w14:textId="77777777" w:rsidTr="00B276D3">
        <w:trPr>
          <w:trHeight w:val="714"/>
          <w:tblHeader/>
        </w:trPr>
        <w:tc>
          <w:tcPr>
            <w:tcW w:w="1101" w:type="dxa"/>
            <w:shd w:val="clear" w:color="auto" w:fill="auto"/>
          </w:tcPr>
          <w:p w14:paraId="157B6623" w14:textId="77777777" w:rsidR="00B276D3" w:rsidRPr="00AF022B" w:rsidRDefault="00B276D3" w:rsidP="00B00C9F">
            <w:pPr>
              <w:pStyle w:val="DHHStablecolhead"/>
            </w:pPr>
            <w:r w:rsidRPr="00AF022B">
              <w:t>ID</w:t>
            </w:r>
          </w:p>
        </w:tc>
        <w:tc>
          <w:tcPr>
            <w:tcW w:w="2126" w:type="dxa"/>
            <w:shd w:val="clear" w:color="auto" w:fill="auto"/>
          </w:tcPr>
          <w:p w14:paraId="3A0A018A" w14:textId="77777777" w:rsidR="00B276D3" w:rsidRPr="00AF022B" w:rsidRDefault="00B276D3" w:rsidP="00B00C9F">
            <w:pPr>
              <w:pStyle w:val="DHHStablecolhead"/>
            </w:pPr>
            <w:r w:rsidRPr="00AF022B">
              <w:t>Edit name/description</w:t>
            </w:r>
          </w:p>
        </w:tc>
        <w:tc>
          <w:tcPr>
            <w:tcW w:w="2268" w:type="dxa"/>
            <w:shd w:val="clear" w:color="auto" w:fill="auto"/>
          </w:tcPr>
          <w:p w14:paraId="2CE9E725" w14:textId="77777777" w:rsidR="00B276D3" w:rsidRPr="00AF022B" w:rsidRDefault="00B276D3" w:rsidP="00B00C9F">
            <w:pPr>
              <w:pStyle w:val="DHHStablecolhead"/>
            </w:pPr>
            <w:r w:rsidRPr="00AF022B">
              <w:t>Data elements</w:t>
            </w:r>
          </w:p>
        </w:tc>
        <w:tc>
          <w:tcPr>
            <w:tcW w:w="2835" w:type="dxa"/>
          </w:tcPr>
          <w:p w14:paraId="24555261" w14:textId="77777777" w:rsidR="00B276D3" w:rsidRPr="00AF022B" w:rsidRDefault="00B276D3" w:rsidP="00B00C9F">
            <w:pPr>
              <w:pStyle w:val="DHHStablecolhead"/>
            </w:pPr>
            <w:r w:rsidRPr="00AF022B">
              <w:t>Pseudo code/rule</w:t>
            </w:r>
          </w:p>
        </w:tc>
        <w:tc>
          <w:tcPr>
            <w:tcW w:w="992" w:type="dxa"/>
          </w:tcPr>
          <w:p w14:paraId="78462834" w14:textId="77777777" w:rsidR="00B276D3" w:rsidRPr="00AF022B" w:rsidRDefault="00B276D3" w:rsidP="00B00C9F">
            <w:pPr>
              <w:pStyle w:val="DHHStablecolhead"/>
            </w:pPr>
            <w:r w:rsidRPr="00AF022B">
              <w:t>Source</w:t>
            </w:r>
          </w:p>
        </w:tc>
        <w:tc>
          <w:tcPr>
            <w:tcW w:w="1134" w:type="dxa"/>
          </w:tcPr>
          <w:p w14:paraId="36815258" w14:textId="77777777" w:rsidR="00B276D3" w:rsidRPr="00AF022B" w:rsidRDefault="00B276D3" w:rsidP="00B00C9F">
            <w:pPr>
              <w:pStyle w:val="DHHStablecolhead"/>
            </w:pPr>
            <w:r w:rsidRPr="00AF022B">
              <w:t>Status</w:t>
            </w:r>
          </w:p>
        </w:tc>
      </w:tr>
      <w:tr w:rsidR="00B276D3" w:rsidRPr="00AF022B" w14:paraId="5F105D37" w14:textId="77777777" w:rsidTr="00B276D3">
        <w:trPr>
          <w:trHeight w:val="714"/>
          <w:tblHeader/>
        </w:trPr>
        <w:tc>
          <w:tcPr>
            <w:tcW w:w="1101" w:type="dxa"/>
            <w:shd w:val="clear" w:color="auto" w:fill="auto"/>
          </w:tcPr>
          <w:p w14:paraId="43E23FAF" w14:textId="77777777" w:rsidR="00B276D3" w:rsidRPr="005B3ACD" w:rsidRDefault="00B276D3" w:rsidP="00B00C9F">
            <w:pPr>
              <w:pStyle w:val="DHHStabletext"/>
              <w:spacing w:before="60"/>
              <w:rPr>
                <w:rFonts w:cs="Arial"/>
                <w:bCs/>
              </w:rPr>
            </w:pPr>
            <w:r w:rsidRPr="00051898">
              <w:rPr>
                <w:rFonts w:cs="Arial"/>
              </w:rPr>
              <w:t>AOD181</w:t>
            </w:r>
          </w:p>
        </w:tc>
        <w:tc>
          <w:tcPr>
            <w:tcW w:w="2126" w:type="dxa"/>
            <w:shd w:val="clear" w:color="auto" w:fill="auto"/>
          </w:tcPr>
          <w:p w14:paraId="59B1E2EE" w14:textId="77777777" w:rsidR="00B276D3" w:rsidRPr="00C63015" w:rsidRDefault="00B276D3" w:rsidP="00B00C9F">
            <w:pPr>
              <w:pStyle w:val="Default"/>
              <w:rPr>
                <w:rFonts w:ascii="Arial" w:hAnsi="Arial" w:cs="Arial"/>
                <w:color w:val="auto"/>
                <w:sz w:val="20"/>
                <w:szCs w:val="20"/>
                <w:lang w:eastAsia="en-US"/>
              </w:rPr>
            </w:pPr>
            <w:r w:rsidRPr="00C63015">
              <w:rPr>
                <w:rFonts w:ascii="Arial" w:hAnsi="Arial" w:cs="Arial"/>
                <w:color w:val="auto"/>
                <w:sz w:val="20"/>
                <w:szCs w:val="20"/>
                <w:lang w:eastAsia="en-US"/>
              </w:rPr>
              <w:t>No maltreatment code and client is the person of concern</w:t>
            </w:r>
          </w:p>
          <w:p w14:paraId="185BB3CF" w14:textId="77777777" w:rsidR="00B276D3" w:rsidRPr="00C63015" w:rsidRDefault="00B276D3" w:rsidP="00B00C9F">
            <w:pPr>
              <w:pStyle w:val="Default"/>
              <w:rPr>
                <w:rFonts w:ascii="Arial" w:hAnsi="Arial" w:cs="Arial"/>
                <w:color w:val="auto"/>
                <w:sz w:val="20"/>
                <w:szCs w:val="20"/>
                <w:lang w:eastAsia="en-US"/>
              </w:rPr>
            </w:pPr>
          </w:p>
          <w:p w14:paraId="110DBC88" w14:textId="77777777" w:rsidR="00B276D3" w:rsidRPr="00C63015" w:rsidRDefault="00B276D3" w:rsidP="00B00C9F">
            <w:pPr>
              <w:pStyle w:val="Default"/>
              <w:rPr>
                <w:rFonts w:ascii="Arial" w:hAnsi="Arial" w:cs="Arial"/>
                <w:i/>
                <w:iCs/>
                <w:sz w:val="20"/>
                <w:szCs w:val="20"/>
              </w:rPr>
            </w:pPr>
            <w:r w:rsidRPr="00C63015">
              <w:rPr>
                <w:rFonts w:ascii="Arial" w:hAnsi="Arial" w:cs="Arial"/>
                <w:i/>
                <w:iCs/>
                <w:sz w:val="20"/>
                <w:szCs w:val="20"/>
              </w:rPr>
              <w:t>Only applies when Report Period &gt;= 072021</w:t>
            </w:r>
          </w:p>
          <w:p w14:paraId="570666F3" w14:textId="77777777" w:rsidR="00B276D3" w:rsidRPr="00C63015" w:rsidRDefault="00B276D3" w:rsidP="00B00C9F">
            <w:pPr>
              <w:pStyle w:val="DHHStabletext"/>
              <w:spacing w:before="60"/>
              <w:rPr>
                <w:rFonts w:cs="Arial"/>
                <w:bCs/>
              </w:rPr>
            </w:pPr>
          </w:p>
        </w:tc>
        <w:tc>
          <w:tcPr>
            <w:tcW w:w="2268" w:type="dxa"/>
            <w:shd w:val="clear" w:color="auto" w:fill="auto"/>
          </w:tcPr>
          <w:p w14:paraId="2BA8654D" w14:textId="77777777" w:rsidR="00B276D3" w:rsidRPr="00051898" w:rsidRDefault="00B276D3" w:rsidP="00B00C9F">
            <w:pPr>
              <w:pStyle w:val="DHHStabletext"/>
              <w:spacing w:before="60"/>
              <w:rPr>
                <w:rFonts w:cs="Arial"/>
              </w:rPr>
            </w:pPr>
            <w:r w:rsidRPr="00051898">
              <w:rPr>
                <w:rFonts w:cs="Arial"/>
              </w:rPr>
              <w:t>Event –maltreatment code</w:t>
            </w:r>
          </w:p>
          <w:p w14:paraId="7642F976" w14:textId="77777777" w:rsidR="00B276D3" w:rsidRDefault="00B276D3" w:rsidP="00B00C9F">
            <w:pPr>
              <w:pStyle w:val="DHHStabletext"/>
              <w:spacing w:before="60"/>
              <w:rPr>
                <w:rFonts w:cs="Arial"/>
              </w:rPr>
            </w:pPr>
            <w:r w:rsidRPr="00055CE3">
              <w:rPr>
                <w:rFonts w:cs="Arial"/>
              </w:rPr>
              <w:t>Contact-relationship to client</w:t>
            </w:r>
            <w:r w:rsidRPr="00051898">
              <w:rPr>
                <w:rFonts w:cs="Arial"/>
              </w:rPr>
              <w:t xml:space="preserve"> </w:t>
            </w:r>
          </w:p>
          <w:p w14:paraId="02691071" w14:textId="77777777" w:rsidR="00B276D3" w:rsidRPr="00C92D84" w:rsidRDefault="00B276D3" w:rsidP="00B00C9F">
            <w:pPr>
              <w:pStyle w:val="DHHStabletext"/>
              <w:spacing w:before="60"/>
              <w:rPr>
                <w:rFonts w:cs="Arial"/>
                <w:bCs/>
              </w:rPr>
            </w:pPr>
            <w:r w:rsidRPr="00051898">
              <w:rPr>
                <w:rFonts w:cs="Arial"/>
              </w:rPr>
              <w:t>Event-service stream</w:t>
            </w:r>
          </w:p>
        </w:tc>
        <w:tc>
          <w:tcPr>
            <w:tcW w:w="2835" w:type="dxa"/>
          </w:tcPr>
          <w:p w14:paraId="13A87A2C" w14:textId="77777777" w:rsidR="00B276D3" w:rsidRPr="00C92D84" w:rsidRDefault="00B276D3" w:rsidP="00B00C9F">
            <w:pPr>
              <w:pStyle w:val="DHHStabletext"/>
              <w:spacing w:before="60"/>
              <w:rPr>
                <w:rFonts w:cs="Arial"/>
                <w:bCs/>
              </w:rPr>
            </w:pPr>
            <w:r w:rsidRPr="00D57B09">
              <w:rPr>
                <w:rFonts w:cs="Arial"/>
              </w:rPr>
              <w:t>Event</w:t>
            </w:r>
            <w:r w:rsidRPr="00051898">
              <w:rPr>
                <w:rFonts w:cs="Arial"/>
              </w:rPr>
              <w:t xml:space="preserve"> –maltreatment code = null AND (Contact-relationship to client =0 OR Event service stream = (Table 3 Activity Type = R))</w:t>
            </w:r>
          </w:p>
        </w:tc>
        <w:tc>
          <w:tcPr>
            <w:tcW w:w="992" w:type="dxa"/>
          </w:tcPr>
          <w:p w14:paraId="4163A987" w14:textId="77777777" w:rsidR="00B276D3" w:rsidRDefault="00B276D3" w:rsidP="00B00C9F">
            <w:pPr>
              <w:pStyle w:val="DHHStabletext"/>
              <w:spacing w:before="60"/>
              <w:rPr>
                <w:rFonts w:cs="Arial"/>
                <w:lang w:val="en-US" w:eastAsia="en-AU"/>
              </w:rPr>
            </w:pPr>
            <w:r>
              <w:rPr>
                <w:rFonts w:cs="Arial"/>
                <w:lang w:val="en-US" w:eastAsia="en-AU"/>
              </w:rPr>
              <w:t>DH</w:t>
            </w:r>
          </w:p>
        </w:tc>
        <w:tc>
          <w:tcPr>
            <w:tcW w:w="1134" w:type="dxa"/>
          </w:tcPr>
          <w:p w14:paraId="276B6BB9" w14:textId="77777777" w:rsidR="00B276D3" w:rsidRPr="005B3ACD" w:rsidRDefault="00B276D3" w:rsidP="00B00C9F">
            <w:pPr>
              <w:pStyle w:val="DHHStabletext"/>
              <w:spacing w:before="60"/>
              <w:rPr>
                <w:rFonts w:cs="Arial"/>
                <w:bCs/>
              </w:rPr>
            </w:pPr>
            <w:r>
              <w:rPr>
                <w:rFonts w:cs="Arial"/>
                <w:bCs/>
              </w:rPr>
              <w:t>error</w:t>
            </w:r>
          </w:p>
        </w:tc>
      </w:tr>
    </w:tbl>
    <w:p w14:paraId="00FC10AD" w14:textId="77777777" w:rsidR="006E547D" w:rsidRDefault="006E547D" w:rsidP="00952B7D">
      <w:pPr>
        <w:tabs>
          <w:tab w:val="left" w:pos="3450"/>
        </w:tabs>
        <w:rPr>
          <w:rFonts w:eastAsiaTheme="minorHAnsi" w:cs="Arial"/>
          <w:color w:val="000000"/>
          <w:sz w:val="20"/>
        </w:rPr>
      </w:pPr>
    </w:p>
    <w:p w14:paraId="33AA3E82" w14:textId="4594E492" w:rsidR="00F35721" w:rsidRDefault="00F35721" w:rsidP="00952B7D">
      <w:pPr>
        <w:tabs>
          <w:tab w:val="left" w:pos="3450"/>
        </w:tabs>
        <w:rPr>
          <w:rFonts w:eastAsiaTheme="minorHAnsi" w:cs="Arial"/>
          <w:color w:val="000000"/>
          <w:sz w:val="20"/>
        </w:rPr>
      </w:pPr>
      <w:r>
        <w:rPr>
          <w:rFonts w:eastAsiaTheme="minorHAnsi" w:cs="Arial"/>
          <w:color w:val="000000"/>
          <w:sz w:val="20"/>
        </w:rPr>
        <w:br w:type="page"/>
      </w:r>
    </w:p>
    <w:p w14:paraId="67D98487" w14:textId="4E62DBF5" w:rsidR="00F35721" w:rsidRPr="00C03253" w:rsidRDefault="00F35721" w:rsidP="00C03253">
      <w:pPr>
        <w:pStyle w:val="Heading1"/>
        <w:numPr>
          <w:ilvl w:val="0"/>
          <w:numId w:val="15"/>
        </w:numPr>
        <w:rPr>
          <w:lang w:eastAsia="en-AU"/>
        </w:rPr>
      </w:pPr>
      <w:bookmarkStart w:id="5" w:name="_Toc64618460"/>
      <w:bookmarkStart w:id="6" w:name="_Toc64631956"/>
      <w:bookmarkStart w:id="7" w:name="_Toc72402646"/>
      <w:r w:rsidRPr="00C03253">
        <w:rPr>
          <w:lang w:eastAsia="en-AU"/>
        </w:rPr>
        <w:lastRenderedPageBreak/>
        <w:t>End of year transition reminder</w:t>
      </w:r>
      <w:bookmarkEnd w:id="5"/>
      <w:bookmarkEnd w:id="6"/>
      <w:bookmarkEnd w:id="7"/>
    </w:p>
    <w:p w14:paraId="1EBE0D61" w14:textId="17C9F9B4" w:rsidR="00F35721" w:rsidRDefault="00F35721" w:rsidP="00F35721">
      <w:pPr>
        <w:rPr>
          <w:rFonts w:eastAsiaTheme="minorHAnsi"/>
          <w:color w:val="000000"/>
        </w:rPr>
      </w:pPr>
      <w:r>
        <w:rPr>
          <w:lang w:eastAsia="en-AU"/>
        </w:rPr>
        <w:t>Do not artificially close service events on 30 June 2021 due to end of financial year. There is no requirement for this as part of end of financial year arrangements.</w:t>
      </w:r>
      <w:r w:rsidR="00B67579">
        <w:rPr>
          <w:lang w:eastAsia="en-AU"/>
        </w:rPr>
        <w:t xml:space="preserve">  Details regarding how to handle service events spanning the two financial years are in </w:t>
      </w:r>
      <w:r w:rsidR="00252C63">
        <w:rPr>
          <w:lang w:eastAsia="en-AU"/>
        </w:rPr>
        <w:t xml:space="preserve">Section 8 of </w:t>
      </w:r>
      <w:r w:rsidR="00252C63" w:rsidRPr="00252C63">
        <w:rPr>
          <w:i/>
          <w:iCs/>
          <w:lang w:eastAsia="en-AU"/>
        </w:rPr>
        <w:t>VADC Compilation and Submission</w:t>
      </w:r>
      <w:r w:rsidR="00252C63">
        <w:rPr>
          <w:i/>
          <w:iCs/>
          <w:lang w:eastAsia="en-AU"/>
        </w:rPr>
        <w:t xml:space="preserve"> 2021-22.</w:t>
      </w:r>
    </w:p>
    <w:p w14:paraId="2B3E4203" w14:textId="080ACFC8" w:rsidR="00EB6E49" w:rsidRDefault="00F35721" w:rsidP="00901A4C">
      <w:pPr>
        <w:rPr>
          <w:color w:val="000000"/>
        </w:rPr>
      </w:pPr>
      <w:r>
        <w:rPr>
          <w:color w:val="000000"/>
        </w:rPr>
        <w:t>To allow extra time for implementation, the July 21 submission deadline (ordinarily 15 August 2021) will be relaxed and services can submit July 2021 data no later than 15 Sept 2021.</w:t>
      </w:r>
      <w:r w:rsidR="00136BCC">
        <w:rPr>
          <w:color w:val="000000"/>
        </w:rPr>
        <w:t xml:space="preserve"> </w:t>
      </w:r>
      <w:r>
        <w:rPr>
          <w:color w:val="000000"/>
        </w:rPr>
        <w:t xml:space="preserve"> August 2021 data will also be due on Sept 15</w:t>
      </w:r>
      <w:r w:rsidR="009C3532">
        <w:rPr>
          <w:color w:val="000000"/>
        </w:rPr>
        <w:t>,</w:t>
      </w:r>
      <w:r>
        <w:rPr>
          <w:color w:val="000000"/>
        </w:rPr>
        <w:t xml:space="preserve"> 2021. </w:t>
      </w:r>
    </w:p>
    <w:p w14:paraId="43A39FE1" w14:textId="7739552C" w:rsidR="00F35721" w:rsidRDefault="00F35721" w:rsidP="00901A4C">
      <w:pPr>
        <w:rPr>
          <w:rFonts w:eastAsiaTheme="minorHAnsi" w:cs="Arial"/>
          <w:color w:val="000000"/>
        </w:rPr>
      </w:pPr>
    </w:p>
    <w:p w14:paraId="6D858267" w14:textId="55405621" w:rsidR="00F35721" w:rsidRDefault="00F35721" w:rsidP="00901A4C">
      <w:pPr>
        <w:rPr>
          <w:rFonts w:eastAsiaTheme="minorHAnsi" w:cs="Arial"/>
          <w:color w:val="000000"/>
        </w:rPr>
      </w:pPr>
    </w:p>
    <w:p w14:paraId="20351392" w14:textId="1D60C71A" w:rsidR="00F35721" w:rsidRDefault="00F35721" w:rsidP="00901A4C">
      <w:pPr>
        <w:rPr>
          <w:rFonts w:eastAsiaTheme="minorHAnsi" w:cs="Arial"/>
          <w:color w:val="000000"/>
        </w:rPr>
      </w:pPr>
    </w:p>
    <w:p w14:paraId="24C2FEBF" w14:textId="584837CC" w:rsidR="00F35721" w:rsidRDefault="00F35721" w:rsidP="00901A4C">
      <w:pPr>
        <w:rPr>
          <w:rFonts w:eastAsiaTheme="minorHAnsi" w:cs="Arial"/>
          <w:color w:val="000000"/>
        </w:rPr>
      </w:pPr>
    </w:p>
    <w:p w14:paraId="6591849E" w14:textId="42C726A4" w:rsidR="00F35721" w:rsidRDefault="00F35721" w:rsidP="00901A4C">
      <w:pPr>
        <w:rPr>
          <w:rFonts w:eastAsiaTheme="minorHAnsi" w:cs="Arial"/>
          <w:color w:val="000000"/>
        </w:rPr>
      </w:pPr>
    </w:p>
    <w:p w14:paraId="6D224634" w14:textId="77777777" w:rsidR="00F35721" w:rsidRDefault="00F35721" w:rsidP="00901A4C">
      <w:pPr>
        <w:rPr>
          <w:rFonts w:eastAsiaTheme="minorHAnsi" w:cs="Arial"/>
          <w:color w:val="000000"/>
          <w:sz w:val="20"/>
        </w:rPr>
      </w:pPr>
    </w:p>
    <w:tbl>
      <w:tblPr>
        <w:tblStyle w:val="TableGrid"/>
        <w:tblW w:w="0" w:type="auto"/>
        <w:tblCellMar>
          <w:bottom w:w="108" w:type="dxa"/>
        </w:tblCellMar>
        <w:tblLook w:val="0600" w:firstRow="0" w:lastRow="0" w:firstColumn="0" w:lastColumn="0" w:noHBand="1" w:noVBand="1"/>
      </w:tblPr>
      <w:tblGrid>
        <w:gridCol w:w="9951"/>
      </w:tblGrid>
      <w:tr w:rsidR="0055119B" w14:paraId="2B13446B" w14:textId="77777777" w:rsidTr="00EB6E49">
        <w:trPr>
          <w:trHeight w:val="844"/>
        </w:trPr>
        <w:tc>
          <w:tcPr>
            <w:tcW w:w="9951" w:type="dxa"/>
          </w:tcPr>
          <w:p w14:paraId="5F18E3B1" w14:textId="7A155F2B" w:rsidR="0055119B" w:rsidRPr="003347DE" w:rsidRDefault="0055119B" w:rsidP="0055119B">
            <w:pPr>
              <w:pStyle w:val="Accessibilitypara"/>
              <w:rPr>
                <w:sz w:val="20"/>
                <w:szCs w:val="20"/>
              </w:rPr>
            </w:pPr>
            <w:bookmarkStart w:id="8" w:name="_Hlk37240926"/>
            <w:r w:rsidRPr="003347DE">
              <w:rPr>
                <w:sz w:val="20"/>
                <w:szCs w:val="20"/>
              </w:rPr>
              <w:t xml:space="preserve">To receive this document in another format email </w:t>
            </w:r>
            <w:hyperlink r:id="rId16" w:history="1">
              <w:r w:rsidR="00722FF5" w:rsidRPr="003347DE">
                <w:rPr>
                  <w:rStyle w:val="Hyperlink"/>
                  <w:sz w:val="20"/>
                  <w:szCs w:val="20"/>
                </w:rPr>
                <w:t>vadc_data@health.vic.gov.au</w:t>
              </w:r>
            </w:hyperlink>
            <w:r w:rsidR="00722FF5" w:rsidRPr="003347DE">
              <w:rPr>
                <w:sz w:val="20"/>
                <w:szCs w:val="20"/>
              </w:rPr>
              <w:t xml:space="preserve"> </w:t>
            </w:r>
          </w:p>
          <w:p w14:paraId="58E3EDEB" w14:textId="77777777" w:rsidR="0055119B" w:rsidRPr="003347DE" w:rsidRDefault="0055119B" w:rsidP="00E33237">
            <w:pPr>
              <w:pStyle w:val="Imprint"/>
            </w:pPr>
            <w:r w:rsidRPr="003347DE">
              <w:t>Authorised and published by the Victorian Government, 1 Treasury Place, Melbourne.</w:t>
            </w:r>
          </w:p>
          <w:p w14:paraId="1AAAF204" w14:textId="331CDECC" w:rsidR="0055119B" w:rsidRDefault="0055119B" w:rsidP="00E33237">
            <w:pPr>
              <w:pStyle w:val="Imprint"/>
            </w:pPr>
            <w:r w:rsidRPr="003347DE">
              <w:t xml:space="preserve">© State of Victoria, Australia, </w:t>
            </w:r>
            <w:r w:rsidR="001E2A36" w:rsidRPr="003347DE">
              <w:t>Department of Health</w:t>
            </w:r>
            <w:r w:rsidRPr="003347DE">
              <w:t xml:space="preserve">, </w:t>
            </w:r>
            <w:r w:rsidR="00A12403">
              <w:t>May</w:t>
            </w:r>
            <w:r w:rsidR="00D30E68">
              <w:t xml:space="preserve"> </w:t>
            </w:r>
            <w:r w:rsidR="00924CC7" w:rsidRPr="003347DE">
              <w:t>2021</w:t>
            </w:r>
            <w:r w:rsidRPr="003347DE">
              <w:t>.</w:t>
            </w:r>
          </w:p>
        </w:tc>
      </w:tr>
      <w:bookmarkEnd w:id="8"/>
    </w:tbl>
    <w:p w14:paraId="1D3482DB" w14:textId="77777777" w:rsidR="00162CA9" w:rsidRDefault="00162CA9" w:rsidP="00162CA9">
      <w:pPr>
        <w:pStyle w:val="Body"/>
      </w:pPr>
    </w:p>
    <w:sectPr w:rsidR="00162CA9" w:rsidSect="00E62622">
      <w:head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F792" w14:textId="77777777" w:rsidR="000B423A" w:rsidRDefault="000B423A">
      <w:r>
        <w:separator/>
      </w:r>
    </w:p>
  </w:endnote>
  <w:endnote w:type="continuationSeparator" w:id="0">
    <w:p w14:paraId="63C2BD9F" w14:textId="77777777" w:rsidR="000B423A" w:rsidRDefault="000B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CE6E" w14:textId="77777777" w:rsidR="002672D7" w:rsidRDefault="0026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B912" w14:textId="533C8068" w:rsidR="00E261B3" w:rsidRPr="00F65AA9" w:rsidRDefault="00FC7FB6" w:rsidP="003A7F15">
    <w:pPr>
      <w:pStyle w:val="Footer"/>
      <w:jc w:val="right"/>
    </w:pPr>
    <w:r>
      <w:rPr>
        <w:noProof/>
        <w:lang w:eastAsia="en-AU"/>
      </w:rPr>
      <w:drawing>
        <wp:anchor distT="0" distB="0" distL="114300" distR="114300" simplePos="0" relativeHeight="251660288" behindDoc="1" locked="1" layoutInCell="1" allowOverlap="1" wp14:anchorId="065B32B4" wp14:editId="73B4DD75">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6192" behindDoc="0" locked="0" layoutInCell="0" allowOverlap="1" wp14:anchorId="7CA0C8F0" wp14:editId="3F498DB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B72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0C8F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1CB72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3136" w14:textId="77777777" w:rsidR="00E261B3" w:rsidRDefault="00E261B3">
    <w:pPr>
      <w:pStyle w:val="Footer"/>
    </w:pPr>
    <w:r>
      <w:rPr>
        <w:noProof/>
        <w:lang w:eastAsia="en-AU"/>
      </w:rPr>
      <mc:AlternateContent>
        <mc:Choice Requires="wps">
          <w:drawing>
            <wp:anchor distT="0" distB="0" distL="114300" distR="114300" simplePos="1" relativeHeight="251658240" behindDoc="0" locked="0" layoutInCell="0" allowOverlap="1" wp14:anchorId="03CE2F9A" wp14:editId="1804C8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FCD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CE2F9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DBFCD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03B9" w14:textId="77777777" w:rsidR="000B423A" w:rsidRDefault="000B423A" w:rsidP="002862F1">
      <w:pPr>
        <w:spacing w:before="120"/>
      </w:pPr>
      <w:r>
        <w:separator/>
      </w:r>
    </w:p>
  </w:footnote>
  <w:footnote w:type="continuationSeparator" w:id="0">
    <w:p w14:paraId="6A6659D2" w14:textId="77777777" w:rsidR="000B423A" w:rsidRDefault="000B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DCD4" w14:textId="77777777" w:rsidR="002672D7" w:rsidRDefault="0026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822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B71C" w14:textId="77777777" w:rsidR="002672D7" w:rsidRDefault="00267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771B" w14:textId="1E75891C" w:rsidR="00E261B3" w:rsidRPr="0051568D" w:rsidRDefault="00FC7FB6" w:rsidP="0011701A">
    <w:pPr>
      <w:pStyle w:val="Header"/>
    </w:pPr>
    <w:r>
      <w:rPr>
        <w:noProof/>
        <w:lang w:eastAsia="en-AU"/>
      </w:rPr>
      <w:drawing>
        <wp:anchor distT="0" distB="0" distL="114300" distR="114300" simplePos="0" relativeHeight="251661312" behindDoc="1" locked="1" layoutInCell="1" allowOverlap="1" wp14:anchorId="0A7BF298" wp14:editId="50167075">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56973">
      <w:t xml:space="preserve">VADC Bulletin 2020-21 – Edition </w:t>
    </w:r>
    <w:r w:rsidR="00130B8A">
      <w:t>13 20</w:t>
    </w:r>
    <w:r w:rsidR="00856973">
      <w:t xml:space="preserve"> </w:t>
    </w:r>
    <w:r w:rsidR="00D57B09">
      <w:t>May</w:t>
    </w:r>
    <w:r w:rsidR="00856973">
      <w:t xml:space="preserve"> 2021</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E242F4">
      <w:rPr>
        <w:b/>
        <w:bCs/>
        <w:noProof/>
      </w:rPr>
      <w:t>4</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3038DA"/>
    <w:multiLevelType w:val="hybridMultilevel"/>
    <w:tmpl w:val="45764F66"/>
    <w:lvl w:ilvl="0" w:tplc="83EC58F0">
      <w:start w:val="1"/>
      <w:numFmt w:val="decimal"/>
      <w:lvlText w:val="%1."/>
      <w:lvlJc w:val="left"/>
      <w:pPr>
        <w:ind w:left="720" w:hanging="49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23589"/>
    <w:multiLevelType w:val="hybridMultilevel"/>
    <w:tmpl w:val="09CE69D6"/>
    <w:lvl w:ilvl="0" w:tplc="BD74A2F8">
      <w:start w:val="1"/>
      <w:numFmt w:val="bullet"/>
      <w:lvlText w:val=""/>
      <w:lvlJc w:val="left"/>
      <w:pPr>
        <w:ind w:left="720" w:hanging="360"/>
      </w:pPr>
      <w:rPr>
        <w:rFonts w:ascii="Symbol" w:hAnsi="Symbol" w:hint="default"/>
      </w:rPr>
    </w:lvl>
    <w:lvl w:ilvl="1" w:tplc="B4884904">
      <w:start w:val="1"/>
      <w:numFmt w:val="bullet"/>
      <w:lvlText w:val="o"/>
      <w:lvlJc w:val="left"/>
      <w:pPr>
        <w:ind w:left="1440" w:hanging="360"/>
      </w:pPr>
      <w:rPr>
        <w:rFonts w:ascii="Courier New" w:hAnsi="Courier New" w:hint="default"/>
      </w:rPr>
    </w:lvl>
    <w:lvl w:ilvl="2" w:tplc="B51A39DC">
      <w:start w:val="1"/>
      <w:numFmt w:val="bullet"/>
      <w:lvlText w:val=""/>
      <w:lvlJc w:val="left"/>
      <w:pPr>
        <w:ind w:left="2160" w:hanging="360"/>
      </w:pPr>
      <w:rPr>
        <w:rFonts w:ascii="Wingdings" w:hAnsi="Wingdings" w:hint="default"/>
      </w:rPr>
    </w:lvl>
    <w:lvl w:ilvl="3" w:tplc="3C4A3ADE">
      <w:start w:val="1"/>
      <w:numFmt w:val="bullet"/>
      <w:lvlText w:val=""/>
      <w:lvlJc w:val="left"/>
      <w:pPr>
        <w:ind w:left="2880" w:hanging="360"/>
      </w:pPr>
      <w:rPr>
        <w:rFonts w:ascii="Symbol" w:hAnsi="Symbol" w:hint="default"/>
      </w:rPr>
    </w:lvl>
    <w:lvl w:ilvl="4" w:tplc="D01C5E5E">
      <w:start w:val="1"/>
      <w:numFmt w:val="bullet"/>
      <w:lvlText w:val="o"/>
      <w:lvlJc w:val="left"/>
      <w:pPr>
        <w:ind w:left="3600" w:hanging="360"/>
      </w:pPr>
      <w:rPr>
        <w:rFonts w:ascii="Courier New" w:hAnsi="Courier New" w:hint="default"/>
      </w:rPr>
    </w:lvl>
    <w:lvl w:ilvl="5" w:tplc="AE6E610E">
      <w:start w:val="1"/>
      <w:numFmt w:val="bullet"/>
      <w:lvlText w:val=""/>
      <w:lvlJc w:val="left"/>
      <w:pPr>
        <w:ind w:left="4320" w:hanging="360"/>
      </w:pPr>
      <w:rPr>
        <w:rFonts w:ascii="Wingdings" w:hAnsi="Wingdings" w:hint="default"/>
      </w:rPr>
    </w:lvl>
    <w:lvl w:ilvl="6" w:tplc="EFD8C7F6">
      <w:start w:val="1"/>
      <w:numFmt w:val="bullet"/>
      <w:lvlText w:val=""/>
      <w:lvlJc w:val="left"/>
      <w:pPr>
        <w:ind w:left="5040" w:hanging="360"/>
      </w:pPr>
      <w:rPr>
        <w:rFonts w:ascii="Symbol" w:hAnsi="Symbol" w:hint="default"/>
      </w:rPr>
    </w:lvl>
    <w:lvl w:ilvl="7" w:tplc="B68CBC6A">
      <w:start w:val="1"/>
      <w:numFmt w:val="bullet"/>
      <w:lvlText w:val="o"/>
      <w:lvlJc w:val="left"/>
      <w:pPr>
        <w:ind w:left="5760" w:hanging="360"/>
      </w:pPr>
      <w:rPr>
        <w:rFonts w:ascii="Courier New" w:hAnsi="Courier New" w:hint="default"/>
      </w:rPr>
    </w:lvl>
    <w:lvl w:ilvl="8" w:tplc="C6C276AC">
      <w:start w:val="1"/>
      <w:numFmt w:val="bullet"/>
      <w:lvlText w:val=""/>
      <w:lvlJc w:val="left"/>
      <w:pPr>
        <w:ind w:left="6480" w:hanging="360"/>
      </w:pPr>
      <w:rPr>
        <w:rFonts w:ascii="Wingdings" w:hAnsi="Wingdings" w:hint="default"/>
      </w:rPr>
    </w:lvl>
  </w:abstractNum>
  <w:abstractNum w:abstractNumId="4" w15:restartNumberingAfterBreak="0">
    <w:nsid w:val="117202C4"/>
    <w:multiLevelType w:val="multilevel"/>
    <w:tmpl w:val="D4427D34"/>
    <w:lvl w:ilvl="0">
      <w:start w:val="1"/>
      <w:numFmt w:val="decimal"/>
      <w:lvlText w:val="%1."/>
      <w:lvlJc w:val="left"/>
      <w:pPr>
        <w:ind w:left="720" w:hanging="360"/>
      </w:pPr>
    </w:lvl>
    <w:lvl w:ilvl="1">
      <w:start w:val="1"/>
      <w:numFmt w:val="decimal"/>
      <w:isLgl/>
      <w:lvlText w:val="%1.%2"/>
      <w:lvlJc w:val="left"/>
      <w:pPr>
        <w:ind w:left="1080" w:hanging="720"/>
      </w:pPr>
      <w:rPr>
        <w:rFonts w:eastAsia="MS Gothic" w:hint="default"/>
      </w:rPr>
    </w:lvl>
    <w:lvl w:ilvl="2">
      <w:start w:val="1"/>
      <w:numFmt w:val="decimal"/>
      <w:isLgl/>
      <w:lvlText w:val="%1.%2.%3"/>
      <w:lvlJc w:val="left"/>
      <w:pPr>
        <w:ind w:left="1080" w:hanging="720"/>
      </w:pPr>
      <w:rPr>
        <w:rFonts w:eastAsia="MS Gothic" w:hint="default"/>
      </w:rPr>
    </w:lvl>
    <w:lvl w:ilvl="3">
      <w:start w:val="1"/>
      <w:numFmt w:val="decimal"/>
      <w:isLgl/>
      <w:lvlText w:val="%1.%2.%3.%4"/>
      <w:lvlJc w:val="left"/>
      <w:pPr>
        <w:ind w:left="1440" w:hanging="1080"/>
      </w:pPr>
      <w:rPr>
        <w:rFonts w:eastAsia="MS Gothic" w:hint="default"/>
      </w:rPr>
    </w:lvl>
    <w:lvl w:ilvl="4">
      <w:start w:val="1"/>
      <w:numFmt w:val="decimal"/>
      <w:isLgl/>
      <w:lvlText w:val="%1.%2.%3.%4.%5"/>
      <w:lvlJc w:val="left"/>
      <w:pPr>
        <w:ind w:left="1440" w:hanging="1080"/>
      </w:pPr>
      <w:rPr>
        <w:rFonts w:eastAsia="MS Gothic" w:hint="default"/>
      </w:rPr>
    </w:lvl>
    <w:lvl w:ilvl="5">
      <w:start w:val="1"/>
      <w:numFmt w:val="decimal"/>
      <w:isLgl/>
      <w:lvlText w:val="%1.%2.%3.%4.%5.%6"/>
      <w:lvlJc w:val="left"/>
      <w:pPr>
        <w:ind w:left="1800" w:hanging="1440"/>
      </w:pPr>
      <w:rPr>
        <w:rFonts w:eastAsia="MS Gothic" w:hint="default"/>
      </w:rPr>
    </w:lvl>
    <w:lvl w:ilvl="6">
      <w:start w:val="1"/>
      <w:numFmt w:val="decimal"/>
      <w:isLgl/>
      <w:lvlText w:val="%1.%2.%3.%4.%5.%6.%7"/>
      <w:lvlJc w:val="left"/>
      <w:pPr>
        <w:ind w:left="2160" w:hanging="1800"/>
      </w:pPr>
      <w:rPr>
        <w:rFonts w:eastAsia="MS Gothic" w:hint="default"/>
      </w:rPr>
    </w:lvl>
    <w:lvl w:ilvl="7">
      <w:start w:val="1"/>
      <w:numFmt w:val="decimal"/>
      <w:isLgl/>
      <w:lvlText w:val="%1.%2.%3.%4.%5.%6.%7.%8"/>
      <w:lvlJc w:val="left"/>
      <w:pPr>
        <w:ind w:left="2160" w:hanging="1800"/>
      </w:pPr>
      <w:rPr>
        <w:rFonts w:eastAsia="MS Gothic" w:hint="default"/>
      </w:rPr>
    </w:lvl>
    <w:lvl w:ilvl="8">
      <w:start w:val="1"/>
      <w:numFmt w:val="decimal"/>
      <w:isLgl/>
      <w:lvlText w:val="%1.%2.%3.%4.%5.%6.%7.%8.%9"/>
      <w:lvlJc w:val="left"/>
      <w:pPr>
        <w:ind w:left="2520" w:hanging="2160"/>
      </w:pPr>
      <w:rPr>
        <w:rFonts w:eastAsia="MS Gothic" w:hint="default"/>
      </w:rPr>
    </w:lvl>
  </w:abstractNum>
  <w:abstractNum w:abstractNumId="5" w15:restartNumberingAfterBreak="0">
    <w:nsid w:val="20337210"/>
    <w:multiLevelType w:val="hybridMultilevel"/>
    <w:tmpl w:val="23A0F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530BDB"/>
    <w:multiLevelType w:val="multilevel"/>
    <w:tmpl w:val="D4427D34"/>
    <w:lvl w:ilvl="0">
      <w:start w:val="1"/>
      <w:numFmt w:val="decimal"/>
      <w:lvlText w:val="%1."/>
      <w:lvlJc w:val="left"/>
      <w:pPr>
        <w:ind w:left="720" w:hanging="360"/>
      </w:pPr>
    </w:lvl>
    <w:lvl w:ilvl="1">
      <w:start w:val="1"/>
      <w:numFmt w:val="decimal"/>
      <w:isLgl/>
      <w:lvlText w:val="%1.%2"/>
      <w:lvlJc w:val="left"/>
      <w:pPr>
        <w:ind w:left="1080" w:hanging="720"/>
      </w:pPr>
      <w:rPr>
        <w:rFonts w:eastAsia="MS Gothic" w:hint="default"/>
      </w:rPr>
    </w:lvl>
    <w:lvl w:ilvl="2">
      <w:start w:val="1"/>
      <w:numFmt w:val="decimal"/>
      <w:isLgl/>
      <w:lvlText w:val="%1.%2.%3"/>
      <w:lvlJc w:val="left"/>
      <w:pPr>
        <w:ind w:left="1080" w:hanging="720"/>
      </w:pPr>
      <w:rPr>
        <w:rFonts w:eastAsia="MS Gothic" w:hint="default"/>
      </w:rPr>
    </w:lvl>
    <w:lvl w:ilvl="3">
      <w:start w:val="1"/>
      <w:numFmt w:val="decimal"/>
      <w:isLgl/>
      <w:lvlText w:val="%1.%2.%3.%4"/>
      <w:lvlJc w:val="left"/>
      <w:pPr>
        <w:ind w:left="1440" w:hanging="1080"/>
      </w:pPr>
      <w:rPr>
        <w:rFonts w:eastAsia="MS Gothic" w:hint="default"/>
      </w:rPr>
    </w:lvl>
    <w:lvl w:ilvl="4">
      <w:start w:val="1"/>
      <w:numFmt w:val="decimal"/>
      <w:isLgl/>
      <w:lvlText w:val="%1.%2.%3.%4.%5"/>
      <w:lvlJc w:val="left"/>
      <w:pPr>
        <w:ind w:left="1440" w:hanging="1080"/>
      </w:pPr>
      <w:rPr>
        <w:rFonts w:eastAsia="MS Gothic" w:hint="default"/>
      </w:rPr>
    </w:lvl>
    <w:lvl w:ilvl="5">
      <w:start w:val="1"/>
      <w:numFmt w:val="decimal"/>
      <w:isLgl/>
      <w:lvlText w:val="%1.%2.%3.%4.%5.%6"/>
      <w:lvlJc w:val="left"/>
      <w:pPr>
        <w:ind w:left="1800" w:hanging="1440"/>
      </w:pPr>
      <w:rPr>
        <w:rFonts w:eastAsia="MS Gothic" w:hint="default"/>
      </w:rPr>
    </w:lvl>
    <w:lvl w:ilvl="6">
      <w:start w:val="1"/>
      <w:numFmt w:val="decimal"/>
      <w:isLgl/>
      <w:lvlText w:val="%1.%2.%3.%4.%5.%6.%7"/>
      <w:lvlJc w:val="left"/>
      <w:pPr>
        <w:ind w:left="2160" w:hanging="1800"/>
      </w:pPr>
      <w:rPr>
        <w:rFonts w:eastAsia="MS Gothic" w:hint="default"/>
      </w:rPr>
    </w:lvl>
    <w:lvl w:ilvl="7">
      <w:start w:val="1"/>
      <w:numFmt w:val="decimal"/>
      <w:isLgl/>
      <w:lvlText w:val="%1.%2.%3.%4.%5.%6.%7.%8"/>
      <w:lvlJc w:val="left"/>
      <w:pPr>
        <w:ind w:left="2160" w:hanging="1800"/>
      </w:pPr>
      <w:rPr>
        <w:rFonts w:eastAsia="MS Gothic" w:hint="default"/>
      </w:rPr>
    </w:lvl>
    <w:lvl w:ilvl="8">
      <w:start w:val="1"/>
      <w:numFmt w:val="decimal"/>
      <w:isLgl/>
      <w:lvlText w:val="%1.%2.%3.%4.%5.%6.%7.%8.%9"/>
      <w:lvlJc w:val="left"/>
      <w:pPr>
        <w:ind w:left="2520" w:hanging="2160"/>
      </w:pPr>
      <w:rPr>
        <w:rFonts w:eastAsia="MS Gothic"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C1B7F8C"/>
    <w:multiLevelType w:val="hybridMultilevel"/>
    <w:tmpl w:val="DC74D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0155A5"/>
    <w:multiLevelType w:val="hybridMultilevel"/>
    <w:tmpl w:val="C532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B031584"/>
    <w:multiLevelType w:val="hybridMultilevel"/>
    <w:tmpl w:val="A0661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3"/>
  </w:num>
  <w:num w:numId="5">
    <w:abstractNumId w:val="8"/>
  </w:num>
  <w:num w:numId="6">
    <w:abstractNumId w:val="1"/>
  </w:num>
  <w:num w:numId="7">
    <w:abstractNumId w:val="3"/>
  </w:num>
  <w:num w:numId="8">
    <w:abstractNumId w:val="15"/>
  </w:num>
  <w:num w:numId="9">
    <w:abstractNumId w:val="5"/>
  </w:num>
  <w:num w:numId="10">
    <w:abstractNumId w:val="2"/>
  </w:num>
  <w:num w:numId="11">
    <w:abstractNumId w:val="10"/>
  </w:num>
  <w:num w:numId="12">
    <w:abstractNumId w:val="9"/>
  </w:num>
  <w:num w:numId="13">
    <w:abstractNumId w:val="14"/>
  </w:num>
  <w:num w:numId="14">
    <w:abstractNumId w:val="4"/>
  </w:num>
  <w:num w:numId="15">
    <w:abstractNumId w:val="6"/>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E"/>
    <w:rsid w:val="00000719"/>
    <w:rsid w:val="00003403"/>
    <w:rsid w:val="00005347"/>
    <w:rsid w:val="000058E4"/>
    <w:rsid w:val="00006558"/>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47F8E"/>
    <w:rsid w:val="000527DD"/>
    <w:rsid w:val="000546CA"/>
    <w:rsid w:val="00054DD6"/>
    <w:rsid w:val="00055863"/>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A7D39"/>
    <w:rsid w:val="000B3DC3"/>
    <w:rsid w:val="000B3EDB"/>
    <w:rsid w:val="000B423A"/>
    <w:rsid w:val="000B543D"/>
    <w:rsid w:val="000B55F9"/>
    <w:rsid w:val="000B5BF7"/>
    <w:rsid w:val="000B6BC8"/>
    <w:rsid w:val="000C0303"/>
    <w:rsid w:val="000C42EA"/>
    <w:rsid w:val="000C4546"/>
    <w:rsid w:val="000D1242"/>
    <w:rsid w:val="000D5F35"/>
    <w:rsid w:val="000D6FDE"/>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590F"/>
    <w:rsid w:val="0011701A"/>
    <w:rsid w:val="00120BD3"/>
    <w:rsid w:val="00122FEA"/>
    <w:rsid w:val="001232BD"/>
    <w:rsid w:val="00124ED5"/>
    <w:rsid w:val="001276FA"/>
    <w:rsid w:val="00130B8A"/>
    <w:rsid w:val="00136BCC"/>
    <w:rsid w:val="0014255B"/>
    <w:rsid w:val="001447B3"/>
    <w:rsid w:val="00152073"/>
    <w:rsid w:val="00154E2D"/>
    <w:rsid w:val="00156598"/>
    <w:rsid w:val="00161939"/>
    <w:rsid w:val="00161AA0"/>
    <w:rsid w:val="00161D2E"/>
    <w:rsid w:val="00161F3E"/>
    <w:rsid w:val="00162093"/>
    <w:rsid w:val="00162CA9"/>
    <w:rsid w:val="00165459"/>
    <w:rsid w:val="00165A57"/>
    <w:rsid w:val="00170AE3"/>
    <w:rsid w:val="001712C2"/>
    <w:rsid w:val="00172BAF"/>
    <w:rsid w:val="00172FE1"/>
    <w:rsid w:val="001771DD"/>
    <w:rsid w:val="00177995"/>
    <w:rsid w:val="00177A8C"/>
    <w:rsid w:val="00186B33"/>
    <w:rsid w:val="00191459"/>
    <w:rsid w:val="00192F9D"/>
    <w:rsid w:val="00196EB8"/>
    <w:rsid w:val="00196EFB"/>
    <w:rsid w:val="001975D2"/>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4E3B"/>
    <w:rsid w:val="0022701F"/>
    <w:rsid w:val="00227C68"/>
    <w:rsid w:val="002333F5"/>
    <w:rsid w:val="00233724"/>
    <w:rsid w:val="002365B4"/>
    <w:rsid w:val="002432E1"/>
    <w:rsid w:val="00246207"/>
    <w:rsid w:val="00246C5E"/>
    <w:rsid w:val="00250960"/>
    <w:rsid w:val="00251343"/>
    <w:rsid w:val="00252C63"/>
    <w:rsid w:val="002536A4"/>
    <w:rsid w:val="00254F58"/>
    <w:rsid w:val="002620BC"/>
    <w:rsid w:val="00262802"/>
    <w:rsid w:val="00263A90"/>
    <w:rsid w:val="00263C1F"/>
    <w:rsid w:val="0026408B"/>
    <w:rsid w:val="002672D7"/>
    <w:rsid w:val="00267C3E"/>
    <w:rsid w:val="002709BB"/>
    <w:rsid w:val="0027113F"/>
    <w:rsid w:val="00273BAC"/>
    <w:rsid w:val="002763B3"/>
    <w:rsid w:val="002802E3"/>
    <w:rsid w:val="0028213D"/>
    <w:rsid w:val="002862F1"/>
    <w:rsid w:val="00291373"/>
    <w:rsid w:val="0029257E"/>
    <w:rsid w:val="0029597D"/>
    <w:rsid w:val="002962C3"/>
    <w:rsid w:val="0029752B"/>
    <w:rsid w:val="002A0863"/>
    <w:rsid w:val="002A0A9C"/>
    <w:rsid w:val="002A483C"/>
    <w:rsid w:val="002B0C7C"/>
    <w:rsid w:val="002B1729"/>
    <w:rsid w:val="002B36C7"/>
    <w:rsid w:val="002B41CD"/>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489D"/>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47DE"/>
    <w:rsid w:val="003406C6"/>
    <w:rsid w:val="003418CC"/>
    <w:rsid w:val="003459BD"/>
    <w:rsid w:val="00350D38"/>
    <w:rsid w:val="00350E15"/>
    <w:rsid w:val="00351B36"/>
    <w:rsid w:val="00357B4E"/>
    <w:rsid w:val="003716FD"/>
    <w:rsid w:val="0037204B"/>
    <w:rsid w:val="003744CF"/>
    <w:rsid w:val="00374717"/>
    <w:rsid w:val="003763B1"/>
    <w:rsid w:val="0037676C"/>
    <w:rsid w:val="00381043"/>
    <w:rsid w:val="003829E5"/>
    <w:rsid w:val="00386109"/>
    <w:rsid w:val="00386944"/>
    <w:rsid w:val="003956CC"/>
    <w:rsid w:val="00395C9A"/>
    <w:rsid w:val="003A0853"/>
    <w:rsid w:val="003A6B67"/>
    <w:rsid w:val="003A7F15"/>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0921"/>
    <w:rsid w:val="0045230A"/>
    <w:rsid w:val="00454AD0"/>
    <w:rsid w:val="00456D88"/>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38F4"/>
    <w:rsid w:val="005548B5"/>
    <w:rsid w:val="005616AE"/>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3F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850"/>
    <w:rsid w:val="00605908"/>
    <w:rsid w:val="00610623"/>
    <w:rsid w:val="00610D7C"/>
    <w:rsid w:val="00613414"/>
    <w:rsid w:val="00620154"/>
    <w:rsid w:val="0062408D"/>
    <w:rsid w:val="006240CC"/>
    <w:rsid w:val="00624940"/>
    <w:rsid w:val="006254F8"/>
    <w:rsid w:val="00627DA7"/>
    <w:rsid w:val="00630DA4"/>
    <w:rsid w:val="00632597"/>
    <w:rsid w:val="006358B4"/>
    <w:rsid w:val="006419AA"/>
    <w:rsid w:val="006448D8"/>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66B8"/>
    <w:rsid w:val="00691B62"/>
    <w:rsid w:val="006933B5"/>
    <w:rsid w:val="00693D14"/>
    <w:rsid w:val="00696F27"/>
    <w:rsid w:val="006A18C2"/>
    <w:rsid w:val="006A3383"/>
    <w:rsid w:val="006B077C"/>
    <w:rsid w:val="006B6803"/>
    <w:rsid w:val="006C18B8"/>
    <w:rsid w:val="006D0F16"/>
    <w:rsid w:val="006D1100"/>
    <w:rsid w:val="006D2A3F"/>
    <w:rsid w:val="006D2FBC"/>
    <w:rsid w:val="006D7093"/>
    <w:rsid w:val="006E0541"/>
    <w:rsid w:val="006E138B"/>
    <w:rsid w:val="006E547D"/>
    <w:rsid w:val="006F0330"/>
    <w:rsid w:val="006F1FDC"/>
    <w:rsid w:val="006F6B8C"/>
    <w:rsid w:val="007013EF"/>
    <w:rsid w:val="007055BD"/>
    <w:rsid w:val="007173CA"/>
    <w:rsid w:val="007216AA"/>
    <w:rsid w:val="00721AB5"/>
    <w:rsid w:val="00721CFB"/>
    <w:rsid w:val="00721DEF"/>
    <w:rsid w:val="00722FF5"/>
    <w:rsid w:val="00724A43"/>
    <w:rsid w:val="007273AC"/>
    <w:rsid w:val="00731AD4"/>
    <w:rsid w:val="007346E4"/>
    <w:rsid w:val="00736E49"/>
    <w:rsid w:val="00740F22"/>
    <w:rsid w:val="00741CF0"/>
    <w:rsid w:val="00741F1A"/>
    <w:rsid w:val="007447DA"/>
    <w:rsid w:val="007450F8"/>
    <w:rsid w:val="0074696E"/>
    <w:rsid w:val="00747789"/>
    <w:rsid w:val="00750135"/>
    <w:rsid w:val="00750EC2"/>
    <w:rsid w:val="00752B28"/>
    <w:rsid w:val="007541A9"/>
    <w:rsid w:val="00754E36"/>
    <w:rsid w:val="00763139"/>
    <w:rsid w:val="00770F37"/>
    <w:rsid w:val="007711A0"/>
    <w:rsid w:val="00772D5E"/>
    <w:rsid w:val="0077463E"/>
    <w:rsid w:val="00776928"/>
    <w:rsid w:val="00776E0F"/>
    <w:rsid w:val="007770C7"/>
    <w:rsid w:val="007774B1"/>
    <w:rsid w:val="00777BE1"/>
    <w:rsid w:val="007829CB"/>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A90"/>
    <w:rsid w:val="007D72F5"/>
    <w:rsid w:val="007E0DE2"/>
    <w:rsid w:val="007E1227"/>
    <w:rsid w:val="007E2E2F"/>
    <w:rsid w:val="007E3B98"/>
    <w:rsid w:val="007E417A"/>
    <w:rsid w:val="007F1E66"/>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338A2"/>
    <w:rsid w:val="00835FAF"/>
    <w:rsid w:val="00841AA9"/>
    <w:rsid w:val="008474FE"/>
    <w:rsid w:val="00853EE4"/>
    <w:rsid w:val="00853F9A"/>
    <w:rsid w:val="00855535"/>
    <w:rsid w:val="00856973"/>
    <w:rsid w:val="00857C5A"/>
    <w:rsid w:val="00862334"/>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1A4C"/>
    <w:rsid w:val="00902A9A"/>
    <w:rsid w:val="00904A1C"/>
    <w:rsid w:val="00905030"/>
    <w:rsid w:val="00906490"/>
    <w:rsid w:val="009111B2"/>
    <w:rsid w:val="009151F5"/>
    <w:rsid w:val="00924AE1"/>
    <w:rsid w:val="00924CC7"/>
    <w:rsid w:val="009269B1"/>
    <w:rsid w:val="0092724D"/>
    <w:rsid w:val="009272B3"/>
    <w:rsid w:val="009315BE"/>
    <w:rsid w:val="0093338F"/>
    <w:rsid w:val="00937BD9"/>
    <w:rsid w:val="00941DCD"/>
    <w:rsid w:val="00950E2C"/>
    <w:rsid w:val="00951D50"/>
    <w:rsid w:val="009525EB"/>
    <w:rsid w:val="00952B7D"/>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1949"/>
    <w:rsid w:val="009C3532"/>
    <w:rsid w:val="009C5E77"/>
    <w:rsid w:val="009C757A"/>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2403"/>
    <w:rsid w:val="00A1389F"/>
    <w:rsid w:val="00A157B1"/>
    <w:rsid w:val="00A1784F"/>
    <w:rsid w:val="00A22229"/>
    <w:rsid w:val="00A24442"/>
    <w:rsid w:val="00A25D1D"/>
    <w:rsid w:val="00A330BB"/>
    <w:rsid w:val="00A40857"/>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02B"/>
    <w:rsid w:val="00B00672"/>
    <w:rsid w:val="00B01B4D"/>
    <w:rsid w:val="00B06571"/>
    <w:rsid w:val="00B068BA"/>
    <w:rsid w:val="00B13851"/>
    <w:rsid w:val="00B13B1C"/>
    <w:rsid w:val="00B14780"/>
    <w:rsid w:val="00B21A7D"/>
    <w:rsid w:val="00B21F90"/>
    <w:rsid w:val="00B22291"/>
    <w:rsid w:val="00B23F9A"/>
    <w:rsid w:val="00B2417B"/>
    <w:rsid w:val="00B24E6F"/>
    <w:rsid w:val="00B26CB5"/>
    <w:rsid w:val="00B2752E"/>
    <w:rsid w:val="00B276D3"/>
    <w:rsid w:val="00B3077F"/>
    <w:rsid w:val="00B307CC"/>
    <w:rsid w:val="00B326B7"/>
    <w:rsid w:val="00B3588E"/>
    <w:rsid w:val="00B41F3D"/>
    <w:rsid w:val="00B431E8"/>
    <w:rsid w:val="00B45141"/>
    <w:rsid w:val="00B45B5D"/>
    <w:rsid w:val="00B46DE7"/>
    <w:rsid w:val="00B519CD"/>
    <w:rsid w:val="00B5273A"/>
    <w:rsid w:val="00B57329"/>
    <w:rsid w:val="00B60E61"/>
    <w:rsid w:val="00B62B50"/>
    <w:rsid w:val="00B62F51"/>
    <w:rsid w:val="00B635B7"/>
    <w:rsid w:val="00B63AE8"/>
    <w:rsid w:val="00B65950"/>
    <w:rsid w:val="00B66D83"/>
    <w:rsid w:val="00B672C0"/>
    <w:rsid w:val="00B67579"/>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E6557"/>
    <w:rsid w:val="00BF557D"/>
    <w:rsid w:val="00BF7F58"/>
    <w:rsid w:val="00C01381"/>
    <w:rsid w:val="00C01AB1"/>
    <w:rsid w:val="00C026A0"/>
    <w:rsid w:val="00C02DC2"/>
    <w:rsid w:val="00C03253"/>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5B29"/>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4CD0"/>
    <w:rsid w:val="00CF6198"/>
    <w:rsid w:val="00D02919"/>
    <w:rsid w:val="00D04C61"/>
    <w:rsid w:val="00D05B8D"/>
    <w:rsid w:val="00D065A2"/>
    <w:rsid w:val="00D079AA"/>
    <w:rsid w:val="00D07F00"/>
    <w:rsid w:val="00D1130F"/>
    <w:rsid w:val="00D15416"/>
    <w:rsid w:val="00D17B72"/>
    <w:rsid w:val="00D30E68"/>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57B09"/>
    <w:rsid w:val="00D60A06"/>
    <w:rsid w:val="00D618F4"/>
    <w:rsid w:val="00D714CC"/>
    <w:rsid w:val="00D75EA7"/>
    <w:rsid w:val="00D81ADF"/>
    <w:rsid w:val="00D81F21"/>
    <w:rsid w:val="00D864F2"/>
    <w:rsid w:val="00D943F8"/>
    <w:rsid w:val="00D95470"/>
    <w:rsid w:val="00D96B55"/>
    <w:rsid w:val="00DA2619"/>
    <w:rsid w:val="00DA4239"/>
    <w:rsid w:val="00DA57BC"/>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42F4"/>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556"/>
    <w:rsid w:val="00E8787E"/>
    <w:rsid w:val="00E92AC3"/>
    <w:rsid w:val="00EA1360"/>
    <w:rsid w:val="00EA2F6A"/>
    <w:rsid w:val="00EB00E0"/>
    <w:rsid w:val="00EB4902"/>
    <w:rsid w:val="00EB6E49"/>
    <w:rsid w:val="00EC059F"/>
    <w:rsid w:val="00EC1F24"/>
    <w:rsid w:val="00EC22F6"/>
    <w:rsid w:val="00EC40D5"/>
    <w:rsid w:val="00EC7512"/>
    <w:rsid w:val="00ED5B9B"/>
    <w:rsid w:val="00ED6BAD"/>
    <w:rsid w:val="00ED7447"/>
    <w:rsid w:val="00EE00D6"/>
    <w:rsid w:val="00EE11E7"/>
    <w:rsid w:val="00EE1488"/>
    <w:rsid w:val="00EE2704"/>
    <w:rsid w:val="00EE29AD"/>
    <w:rsid w:val="00EE3E24"/>
    <w:rsid w:val="00EE4585"/>
    <w:rsid w:val="00EE4D5D"/>
    <w:rsid w:val="00EE5131"/>
    <w:rsid w:val="00EF109B"/>
    <w:rsid w:val="00EF201C"/>
    <w:rsid w:val="00EF2E42"/>
    <w:rsid w:val="00EF36AF"/>
    <w:rsid w:val="00EF59A3"/>
    <w:rsid w:val="00EF6675"/>
    <w:rsid w:val="00F00F9C"/>
    <w:rsid w:val="00F01E5F"/>
    <w:rsid w:val="00F024F3"/>
    <w:rsid w:val="00F02ABA"/>
    <w:rsid w:val="00F0437A"/>
    <w:rsid w:val="00F101B8"/>
    <w:rsid w:val="00F11037"/>
    <w:rsid w:val="00F11FE9"/>
    <w:rsid w:val="00F16F1B"/>
    <w:rsid w:val="00F250A9"/>
    <w:rsid w:val="00F267AF"/>
    <w:rsid w:val="00F30FF4"/>
    <w:rsid w:val="00F3122E"/>
    <w:rsid w:val="00F32368"/>
    <w:rsid w:val="00F331AD"/>
    <w:rsid w:val="00F35287"/>
    <w:rsid w:val="00F35721"/>
    <w:rsid w:val="00F40A70"/>
    <w:rsid w:val="00F43A37"/>
    <w:rsid w:val="00F451AB"/>
    <w:rsid w:val="00F4641B"/>
    <w:rsid w:val="00F46EB8"/>
    <w:rsid w:val="00F50CD1"/>
    <w:rsid w:val="00F511E4"/>
    <w:rsid w:val="00F52D09"/>
    <w:rsid w:val="00F52E08"/>
    <w:rsid w:val="00F53A66"/>
    <w:rsid w:val="00F53E8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1368"/>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64CA"/>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7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22FF5"/>
    <w:pPr>
      <w:spacing w:after="120" w:line="270" w:lineRule="atLeast"/>
    </w:pPr>
    <w:rPr>
      <w:rFonts w:ascii="Arial" w:eastAsia="Times" w:hAnsi="Arial"/>
      <w:lang w:eastAsia="en-US"/>
    </w:rPr>
  </w:style>
  <w:style w:type="paragraph" w:customStyle="1" w:styleId="DHHStabletext">
    <w:name w:val="DHHS table text"/>
    <w:uiPriority w:val="3"/>
    <w:qFormat/>
    <w:rsid w:val="00722FF5"/>
    <w:pPr>
      <w:spacing w:before="80" w:after="60"/>
    </w:pPr>
    <w:rPr>
      <w:rFonts w:ascii="Arial" w:hAnsi="Arial"/>
      <w:lang w:eastAsia="en-US"/>
    </w:rPr>
  </w:style>
  <w:style w:type="paragraph" w:styleId="ListParagraph">
    <w:name w:val="List Paragraph"/>
    <w:basedOn w:val="Normal"/>
    <w:uiPriority w:val="34"/>
    <w:qFormat/>
    <w:rsid w:val="00722FF5"/>
    <w:pPr>
      <w:spacing w:after="0" w:line="240" w:lineRule="auto"/>
      <w:ind w:left="720"/>
      <w:contextualSpacing/>
    </w:pPr>
    <w:rPr>
      <w:rFonts w:ascii="Calibri" w:eastAsiaTheme="minorHAnsi" w:hAnsi="Calibri" w:cs="Calibri"/>
      <w:sz w:val="22"/>
      <w:szCs w:val="22"/>
    </w:rPr>
  </w:style>
  <w:style w:type="character" w:customStyle="1" w:styleId="DHHSbodyChar">
    <w:name w:val="DHHS body Char"/>
    <w:link w:val="DHHSbody"/>
    <w:locked/>
    <w:rsid w:val="00722FF5"/>
    <w:rPr>
      <w:rFonts w:ascii="Arial" w:eastAsia="Times" w:hAnsi="Arial"/>
      <w:lang w:eastAsia="en-US"/>
    </w:rPr>
  </w:style>
  <w:style w:type="character" w:customStyle="1" w:styleId="FooterChar">
    <w:name w:val="Footer Char"/>
    <w:basedOn w:val="DefaultParagraphFont"/>
    <w:link w:val="Footer"/>
    <w:uiPriority w:val="99"/>
    <w:rsid w:val="00722FF5"/>
    <w:rPr>
      <w:rFonts w:ascii="Arial" w:hAnsi="Arial" w:cs="Arial"/>
      <w:szCs w:val="18"/>
      <w:lang w:eastAsia="en-US"/>
    </w:rPr>
  </w:style>
  <w:style w:type="paragraph" w:styleId="TOCHeading">
    <w:name w:val="TOC Heading"/>
    <w:basedOn w:val="Heading1"/>
    <w:next w:val="Normal"/>
    <w:uiPriority w:val="39"/>
    <w:unhideWhenUsed/>
    <w:qFormat/>
    <w:rsid w:val="0085697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NormalWeb">
    <w:name w:val="Normal (Web)"/>
    <w:basedOn w:val="Normal"/>
    <w:uiPriority w:val="99"/>
    <w:semiHidden/>
    <w:unhideWhenUsed/>
    <w:rsid w:val="00901A4C"/>
    <w:pPr>
      <w:spacing w:before="100" w:beforeAutospacing="1" w:after="100" w:afterAutospacing="1" w:line="240" w:lineRule="auto"/>
    </w:pPr>
    <w:rPr>
      <w:rFonts w:ascii="Calibri" w:eastAsiaTheme="minorHAnsi" w:hAnsi="Calibri" w:cs="Calibri"/>
      <w:sz w:val="22"/>
      <w:szCs w:val="22"/>
      <w:lang w:eastAsia="en-AU"/>
    </w:rPr>
  </w:style>
  <w:style w:type="character" w:styleId="Emphasis">
    <w:name w:val="Emphasis"/>
    <w:basedOn w:val="DefaultParagraphFont"/>
    <w:uiPriority w:val="20"/>
    <w:qFormat/>
    <w:rsid w:val="00901A4C"/>
    <w:rPr>
      <w:i/>
      <w:iCs/>
    </w:rPr>
  </w:style>
  <w:style w:type="paragraph" w:customStyle="1" w:styleId="DHHStablecolhead">
    <w:name w:val="DHHS table col head"/>
    <w:uiPriority w:val="3"/>
    <w:qFormat/>
    <w:rsid w:val="00610623"/>
    <w:pPr>
      <w:spacing w:before="80" w:after="60"/>
    </w:pPr>
    <w:rPr>
      <w:rFonts w:ascii="Arial" w:hAnsi="Arial" w:cs="Arial"/>
      <w:b/>
      <w:color w:val="53565A"/>
      <w:lang w:eastAsia="en-US"/>
    </w:rPr>
  </w:style>
  <w:style w:type="paragraph" w:customStyle="1" w:styleId="Default">
    <w:name w:val="Default"/>
    <w:rsid w:val="00610623"/>
    <w:pPr>
      <w:autoSpaceDE w:val="0"/>
      <w:autoSpaceDN w:val="0"/>
      <w:adjustRightInd w:val="0"/>
    </w:pPr>
    <w:rPr>
      <w:rFonts w:ascii="Verdana" w:hAnsi="Verdana" w:cs="Verdana"/>
      <w:color w:val="000000"/>
      <w:sz w:val="24"/>
      <w:szCs w:val="24"/>
    </w:rPr>
  </w:style>
  <w:style w:type="paragraph" w:customStyle="1" w:styleId="xmsonormal">
    <w:name w:val="x_msonormal"/>
    <w:basedOn w:val="Normal"/>
    <w:rsid w:val="00610623"/>
    <w:pPr>
      <w:spacing w:after="0" w:line="240" w:lineRule="auto"/>
    </w:pPr>
    <w:rPr>
      <w:rFonts w:ascii="Calibri" w:eastAsiaTheme="minorHAnsi" w:hAnsi="Calibri" w:cs="Calibri"/>
      <w:sz w:val="22"/>
      <w:szCs w:val="22"/>
      <w:lang w:eastAsia="en-AU"/>
    </w:rPr>
  </w:style>
  <w:style w:type="paragraph" w:customStyle="1" w:styleId="DHHStablecaption">
    <w:name w:val="DHHS table caption"/>
    <w:basedOn w:val="Caption"/>
    <w:next w:val="Normal"/>
    <w:uiPriority w:val="3"/>
    <w:qFormat/>
    <w:rsid w:val="001975D2"/>
    <w:pPr>
      <w:keepNext/>
    </w:pPr>
    <w:rPr>
      <w:rFonts w:cs="Arial"/>
      <w:color w:val="auto"/>
      <w:sz w:val="22"/>
      <w:szCs w:val="22"/>
    </w:rPr>
  </w:style>
  <w:style w:type="paragraph" w:styleId="Caption">
    <w:name w:val="caption"/>
    <w:basedOn w:val="Normal"/>
    <w:next w:val="Normal"/>
    <w:uiPriority w:val="35"/>
    <w:unhideWhenUsed/>
    <w:qFormat/>
    <w:rsid w:val="001975D2"/>
    <w:pPr>
      <w:spacing w:after="200" w:line="240" w:lineRule="auto"/>
    </w:pPr>
    <w:rPr>
      <w:b/>
      <w:bCs/>
      <w:color w:val="4F81BD" w:themeColor="accent1"/>
      <w:sz w:val="18"/>
      <w:szCs w:val="18"/>
    </w:rPr>
  </w:style>
  <w:style w:type="paragraph" w:customStyle="1" w:styleId="DHHSbullet1">
    <w:name w:val="DHHS bullet 1"/>
    <w:basedOn w:val="DHHSbody"/>
    <w:qFormat/>
    <w:rsid w:val="001975D2"/>
    <w:pPr>
      <w:spacing w:after="40"/>
      <w:ind w:left="284" w:hanging="284"/>
    </w:pPr>
  </w:style>
  <w:style w:type="paragraph" w:customStyle="1" w:styleId="DHHSbullet2">
    <w:name w:val="DHHS bullet 2"/>
    <w:basedOn w:val="DHHSbody"/>
    <w:uiPriority w:val="2"/>
    <w:qFormat/>
    <w:rsid w:val="001975D2"/>
    <w:pPr>
      <w:spacing w:after="40"/>
      <w:ind w:left="567" w:hanging="283"/>
    </w:pPr>
  </w:style>
  <w:style w:type="paragraph" w:customStyle="1" w:styleId="DHHSbullet1lastline">
    <w:name w:val="DHHS bullet 1 last line"/>
    <w:basedOn w:val="DHHSbullet1"/>
    <w:qFormat/>
    <w:rsid w:val="001975D2"/>
    <w:pPr>
      <w:spacing w:after="120"/>
    </w:pPr>
  </w:style>
  <w:style w:type="paragraph" w:customStyle="1" w:styleId="DHHSbullet2lastline">
    <w:name w:val="DHHS bullet 2 last line"/>
    <w:basedOn w:val="DHHSbullet2"/>
    <w:uiPriority w:val="2"/>
    <w:qFormat/>
    <w:rsid w:val="001975D2"/>
    <w:pPr>
      <w:spacing w:after="120"/>
    </w:pPr>
  </w:style>
  <w:style w:type="paragraph" w:customStyle="1" w:styleId="DHHStablebullet">
    <w:name w:val="DHHS table bullet"/>
    <w:basedOn w:val="DHHStabletext"/>
    <w:uiPriority w:val="3"/>
    <w:qFormat/>
    <w:rsid w:val="001975D2"/>
    <w:pPr>
      <w:ind w:left="227" w:hanging="227"/>
    </w:pPr>
  </w:style>
  <w:style w:type="paragraph" w:customStyle="1" w:styleId="DHHSbulletindent">
    <w:name w:val="DHHS bullet indent"/>
    <w:basedOn w:val="DHHSbody"/>
    <w:uiPriority w:val="4"/>
    <w:rsid w:val="001975D2"/>
    <w:pPr>
      <w:spacing w:after="40"/>
      <w:ind w:left="680" w:hanging="283"/>
    </w:pPr>
  </w:style>
  <w:style w:type="paragraph" w:customStyle="1" w:styleId="DHHSbulletindentlastline">
    <w:name w:val="DHHS bullet indent last line"/>
    <w:basedOn w:val="DHHSbody"/>
    <w:uiPriority w:val="4"/>
    <w:rsid w:val="001975D2"/>
    <w:pPr>
      <w:ind w:left="680" w:hanging="283"/>
    </w:pPr>
  </w:style>
  <w:style w:type="character" w:styleId="UnresolvedMention">
    <w:name w:val="Unresolved Mention"/>
    <w:basedOn w:val="DefaultParagraphFont"/>
    <w:uiPriority w:val="99"/>
    <w:semiHidden/>
    <w:unhideWhenUsed/>
    <w:rsid w:val="00456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480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1862914">
      <w:bodyDiv w:val="1"/>
      <w:marLeft w:val="0"/>
      <w:marRight w:val="0"/>
      <w:marTop w:val="0"/>
      <w:marBottom w:val="0"/>
      <w:divBdr>
        <w:top w:val="none" w:sz="0" w:space="0" w:color="auto"/>
        <w:left w:val="none" w:sz="0" w:space="0" w:color="auto"/>
        <w:bottom w:val="none" w:sz="0" w:space="0" w:color="auto"/>
        <w:right w:val="none" w:sz="0" w:space="0" w:color="auto"/>
      </w:divBdr>
    </w:div>
    <w:div w:id="388921269">
      <w:bodyDiv w:val="1"/>
      <w:marLeft w:val="0"/>
      <w:marRight w:val="0"/>
      <w:marTop w:val="0"/>
      <w:marBottom w:val="0"/>
      <w:divBdr>
        <w:top w:val="none" w:sz="0" w:space="0" w:color="auto"/>
        <w:left w:val="none" w:sz="0" w:space="0" w:color="auto"/>
        <w:bottom w:val="none" w:sz="0" w:space="0" w:color="auto"/>
        <w:right w:val="none" w:sz="0" w:space="0" w:color="auto"/>
      </w:divBdr>
    </w:div>
    <w:div w:id="64960198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3189182">
      <w:bodyDiv w:val="1"/>
      <w:marLeft w:val="0"/>
      <w:marRight w:val="0"/>
      <w:marTop w:val="0"/>
      <w:marBottom w:val="0"/>
      <w:divBdr>
        <w:top w:val="none" w:sz="0" w:space="0" w:color="auto"/>
        <w:left w:val="none" w:sz="0" w:space="0" w:color="auto"/>
        <w:bottom w:val="none" w:sz="0" w:space="0" w:color="auto"/>
        <w:right w:val="none" w:sz="0" w:space="0" w:color="auto"/>
      </w:divBdr>
    </w:div>
    <w:div w:id="1174107972">
      <w:bodyDiv w:val="1"/>
      <w:marLeft w:val="0"/>
      <w:marRight w:val="0"/>
      <w:marTop w:val="0"/>
      <w:marBottom w:val="0"/>
      <w:divBdr>
        <w:top w:val="none" w:sz="0" w:space="0" w:color="auto"/>
        <w:left w:val="none" w:sz="0" w:space="0" w:color="auto"/>
        <w:bottom w:val="none" w:sz="0" w:space="0" w:color="auto"/>
        <w:right w:val="none" w:sz="0" w:space="0" w:color="auto"/>
      </w:divBdr>
    </w:div>
    <w:div w:id="1373768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4876">
          <w:marLeft w:val="0"/>
          <w:marRight w:val="0"/>
          <w:marTop w:val="0"/>
          <w:marBottom w:val="0"/>
          <w:divBdr>
            <w:top w:val="none" w:sz="0" w:space="0" w:color="auto"/>
            <w:left w:val="none" w:sz="0" w:space="0" w:color="auto"/>
            <w:bottom w:val="none" w:sz="0" w:space="0" w:color="auto"/>
            <w:right w:val="none" w:sz="0" w:space="0" w:color="auto"/>
          </w:divBdr>
          <w:divsChild>
            <w:div w:id="2116056059">
              <w:marLeft w:val="0"/>
              <w:marRight w:val="0"/>
              <w:marTop w:val="0"/>
              <w:marBottom w:val="0"/>
              <w:divBdr>
                <w:top w:val="none" w:sz="0" w:space="0" w:color="auto"/>
                <w:left w:val="none" w:sz="0" w:space="0" w:color="auto"/>
                <w:bottom w:val="none" w:sz="0" w:space="0" w:color="auto"/>
                <w:right w:val="none" w:sz="0" w:space="0" w:color="auto"/>
              </w:divBdr>
              <w:divsChild>
                <w:div w:id="1681397491">
                  <w:marLeft w:val="0"/>
                  <w:marRight w:val="0"/>
                  <w:marTop w:val="0"/>
                  <w:marBottom w:val="0"/>
                  <w:divBdr>
                    <w:top w:val="none" w:sz="0" w:space="0" w:color="auto"/>
                    <w:left w:val="none" w:sz="0" w:space="0" w:color="auto"/>
                    <w:bottom w:val="none" w:sz="0" w:space="0" w:color="auto"/>
                    <w:right w:val="none" w:sz="0" w:space="0" w:color="auto"/>
                  </w:divBdr>
                  <w:divsChild>
                    <w:div w:id="1494296688">
                      <w:marLeft w:val="0"/>
                      <w:marRight w:val="0"/>
                      <w:marTop w:val="0"/>
                      <w:marBottom w:val="0"/>
                      <w:divBdr>
                        <w:top w:val="none" w:sz="0" w:space="0" w:color="auto"/>
                        <w:left w:val="none" w:sz="0" w:space="0" w:color="auto"/>
                        <w:bottom w:val="none" w:sz="0" w:space="0" w:color="auto"/>
                        <w:right w:val="none" w:sz="0" w:space="0" w:color="auto"/>
                      </w:divBdr>
                      <w:divsChild>
                        <w:div w:id="1925188644">
                          <w:marLeft w:val="0"/>
                          <w:marRight w:val="0"/>
                          <w:marTop w:val="0"/>
                          <w:marBottom w:val="0"/>
                          <w:divBdr>
                            <w:top w:val="none" w:sz="0" w:space="0" w:color="auto"/>
                            <w:left w:val="none" w:sz="0" w:space="0" w:color="auto"/>
                            <w:bottom w:val="none" w:sz="0" w:space="0" w:color="auto"/>
                            <w:right w:val="none" w:sz="0" w:space="0" w:color="auto"/>
                          </w:divBdr>
                          <w:divsChild>
                            <w:div w:id="1467816765">
                              <w:marLeft w:val="0"/>
                              <w:marRight w:val="0"/>
                              <w:marTop w:val="0"/>
                              <w:marBottom w:val="0"/>
                              <w:divBdr>
                                <w:top w:val="none" w:sz="0" w:space="0" w:color="auto"/>
                                <w:left w:val="none" w:sz="0" w:space="0" w:color="auto"/>
                                <w:bottom w:val="none" w:sz="0" w:space="0" w:color="auto"/>
                                <w:right w:val="none" w:sz="0" w:space="0" w:color="auto"/>
                              </w:divBdr>
                              <w:divsChild>
                                <w:div w:id="702022645">
                                  <w:marLeft w:val="0"/>
                                  <w:marRight w:val="0"/>
                                  <w:marTop w:val="0"/>
                                  <w:marBottom w:val="0"/>
                                  <w:divBdr>
                                    <w:top w:val="none" w:sz="0" w:space="0" w:color="auto"/>
                                    <w:left w:val="none" w:sz="0" w:space="0" w:color="auto"/>
                                    <w:bottom w:val="none" w:sz="0" w:space="0" w:color="auto"/>
                                    <w:right w:val="none" w:sz="0" w:space="0" w:color="auto"/>
                                  </w:divBdr>
                                  <w:divsChild>
                                    <w:div w:id="206914442">
                                      <w:marLeft w:val="0"/>
                                      <w:marRight w:val="0"/>
                                      <w:marTop w:val="0"/>
                                      <w:marBottom w:val="0"/>
                                      <w:divBdr>
                                        <w:top w:val="none" w:sz="0" w:space="0" w:color="auto"/>
                                        <w:left w:val="none" w:sz="0" w:space="0" w:color="auto"/>
                                        <w:bottom w:val="none" w:sz="0" w:space="0" w:color="auto"/>
                                        <w:right w:val="none" w:sz="0" w:space="0" w:color="auto"/>
                                      </w:divBdr>
                                      <w:divsChild>
                                        <w:div w:id="632055669">
                                          <w:marLeft w:val="0"/>
                                          <w:marRight w:val="0"/>
                                          <w:marTop w:val="0"/>
                                          <w:marBottom w:val="0"/>
                                          <w:divBdr>
                                            <w:top w:val="none" w:sz="0" w:space="0" w:color="auto"/>
                                            <w:left w:val="none" w:sz="0" w:space="0" w:color="auto"/>
                                            <w:bottom w:val="none" w:sz="0" w:space="0" w:color="auto"/>
                                            <w:right w:val="none" w:sz="0" w:space="0" w:color="auto"/>
                                          </w:divBdr>
                                          <w:divsChild>
                                            <w:div w:id="1815751687">
                                              <w:marLeft w:val="0"/>
                                              <w:marRight w:val="0"/>
                                              <w:marTop w:val="0"/>
                                              <w:marBottom w:val="0"/>
                                              <w:divBdr>
                                                <w:top w:val="none" w:sz="0" w:space="0" w:color="auto"/>
                                                <w:left w:val="none" w:sz="0" w:space="0" w:color="auto"/>
                                                <w:bottom w:val="none" w:sz="0" w:space="0" w:color="auto"/>
                                                <w:right w:val="none" w:sz="0" w:space="0" w:color="auto"/>
                                              </w:divBdr>
                                              <w:divsChild>
                                                <w:div w:id="1656300472">
                                                  <w:marLeft w:val="0"/>
                                                  <w:marRight w:val="0"/>
                                                  <w:marTop w:val="0"/>
                                                  <w:marBottom w:val="0"/>
                                                  <w:divBdr>
                                                    <w:top w:val="none" w:sz="0" w:space="0" w:color="auto"/>
                                                    <w:left w:val="none" w:sz="0" w:space="0" w:color="auto"/>
                                                    <w:bottom w:val="none" w:sz="0" w:space="0" w:color="auto"/>
                                                    <w:right w:val="none" w:sz="0" w:space="0" w:color="auto"/>
                                                  </w:divBdr>
                                                  <w:divsChild>
                                                    <w:div w:id="1395196884">
                                                      <w:marLeft w:val="0"/>
                                                      <w:marRight w:val="0"/>
                                                      <w:marTop w:val="0"/>
                                                      <w:marBottom w:val="0"/>
                                                      <w:divBdr>
                                                        <w:top w:val="none" w:sz="0" w:space="0" w:color="auto"/>
                                                        <w:left w:val="none" w:sz="0" w:space="0" w:color="auto"/>
                                                        <w:bottom w:val="none" w:sz="0" w:space="0" w:color="auto"/>
                                                        <w:right w:val="none" w:sz="0" w:space="0" w:color="auto"/>
                                                      </w:divBdr>
                                                      <w:divsChild>
                                                        <w:div w:id="1504122597">
                                                          <w:marLeft w:val="0"/>
                                                          <w:marRight w:val="0"/>
                                                          <w:marTop w:val="0"/>
                                                          <w:marBottom w:val="0"/>
                                                          <w:divBdr>
                                                            <w:top w:val="none" w:sz="0" w:space="0" w:color="auto"/>
                                                            <w:left w:val="none" w:sz="0" w:space="0" w:color="auto"/>
                                                            <w:bottom w:val="none" w:sz="0" w:space="0" w:color="auto"/>
                                                            <w:right w:val="none" w:sz="0" w:space="0" w:color="auto"/>
                                                          </w:divBdr>
                                                          <w:divsChild>
                                                            <w:div w:id="777605935">
                                                              <w:marLeft w:val="0"/>
                                                              <w:marRight w:val="0"/>
                                                              <w:marTop w:val="0"/>
                                                              <w:marBottom w:val="0"/>
                                                              <w:divBdr>
                                                                <w:top w:val="none" w:sz="0" w:space="0" w:color="auto"/>
                                                                <w:left w:val="none" w:sz="0" w:space="0" w:color="auto"/>
                                                                <w:bottom w:val="none" w:sz="0" w:space="0" w:color="auto"/>
                                                                <w:right w:val="none" w:sz="0" w:space="0" w:color="auto"/>
                                                              </w:divBdr>
                                                              <w:divsChild>
                                                                <w:div w:id="1530988209">
                                                                  <w:marLeft w:val="0"/>
                                                                  <w:marRight w:val="0"/>
                                                                  <w:marTop w:val="0"/>
                                                                  <w:marBottom w:val="0"/>
                                                                  <w:divBdr>
                                                                    <w:top w:val="none" w:sz="0" w:space="0" w:color="auto"/>
                                                                    <w:left w:val="none" w:sz="0" w:space="0" w:color="auto"/>
                                                                    <w:bottom w:val="none" w:sz="0" w:space="0" w:color="auto"/>
                                                                    <w:right w:val="none" w:sz="0" w:space="0" w:color="auto"/>
                                                                  </w:divBdr>
                                                                  <w:divsChild>
                                                                    <w:div w:id="1424640554">
                                                                      <w:marLeft w:val="0"/>
                                                                      <w:marRight w:val="0"/>
                                                                      <w:marTop w:val="0"/>
                                                                      <w:marBottom w:val="0"/>
                                                                      <w:divBdr>
                                                                        <w:top w:val="none" w:sz="0" w:space="0" w:color="auto"/>
                                                                        <w:left w:val="none" w:sz="0" w:space="0" w:color="auto"/>
                                                                        <w:bottom w:val="none" w:sz="0" w:space="0" w:color="auto"/>
                                                                        <w:right w:val="none" w:sz="0" w:space="0" w:color="auto"/>
                                                                      </w:divBdr>
                                                                      <w:divsChild>
                                                                        <w:div w:id="19940385">
                                                                          <w:marLeft w:val="0"/>
                                                                          <w:marRight w:val="0"/>
                                                                          <w:marTop w:val="0"/>
                                                                          <w:marBottom w:val="0"/>
                                                                          <w:divBdr>
                                                                            <w:top w:val="none" w:sz="0" w:space="0" w:color="auto"/>
                                                                            <w:left w:val="none" w:sz="0" w:space="0" w:color="auto"/>
                                                                            <w:bottom w:val="none" w:sz="0" w:space="0" w:color="auto"/>
                                                                            <w:right w:val="none" w:sz="0" w:space="0" w:color="auto"/>
                                                                          </w:divBdr>
                                                                          <w:divsChild>
                                                                            <w:div w:id="1768228754">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79375681">
                                                                                      <w:marLeft w:val="0"/>
                                                                                      <w:marRight w:val="0"/>
                                                                                      <w:marTop w:val="0"/>
                                                                                      <w:marBottom w:val="0"/>
                                                                                      <w:divBdr>
                                                                                        <w:top w:val="none" w:sz="0" w:space="0" w:color="auto"/>
                                                                                        <w:left w:val="none" w:sz="0" w:space="0" w:color="auto"/>
                                                                                        <w:bottom w:val="none" w:sz="0" w:space="0" w:color="auto"/>
                                                                                        <w:right w:val="none" w:sz="0" w:space="0" w:color="auto"/>
                                                                                      </w:divBdr>
                                                                                      <w:divsChild>
                                                                                        <w:div w:id="625114668">
                                                                                          <w:marLeft w:val="0"/>
                                                                                          <w:marRight w:val="0"/>
                                                                                          <w:marTop w:val="0"/>
                                                                                          <w:marBottom w:val="0"/>
                                                                                          <w:divBdr>
                                                                                            <w:top w:val="none" w:sz="0" w:space="0" w:color="auto"/>
                                                                                            <w:left w:val="none" w:sz="0" w:space="0" w:color="auto"/>
                                                                                            <w:bottom w:val="none" w:sz="0" w:space="0" w:color="auto"/>
                                                                                            <w:right w:val="none" w:sz="0" w:space="0" w:color="auto"/>
                                                                                          </w:divBdr>
                                                                                          <w:divsChild>
                                                                                            <w:div w:id="281496192">
                                                                                              <w:marLeft w:val="0"/>
                                                                                              <w:marRight w:val="0"/>
                                                                                              <w:marTop w:val="0"/>
                                                                                              <w:marBottom w:val="0"/>
                                                                                              <w:divBdr>
                                                                                                <w:top w:val="none" w:sz="0" w:space="0" w:color="auto"/>
                                                                                                <w:left w:val="none" w:sz="0" w:space="0" w:color="auto"/>
                                                                                                <w:bottom w:val="none" w:sz="0" w:space="0" w:color="auto"/>
                                                                                                <w:right w:val="none" w:sz="0" w:space="0" w:color="auto"/>
                                                                                              </w:divBdr>
                                                                                              <w:divsChild>
                                                                                                <w:div w:id="1310790764">
                                                                                                  <w:marLeft w:val="0"/>
                                                                                                  <w:marRight w:val="0"/>
                                                                                                  <w:marTop w:val="0"/>
                                                                                                  <w:marBottom w:val="0"/>
                                                                                                  <w:divBdr>
                                                                                                    <w:top w:val="none" w:sz="0" w:space="0" w:color="auto"/>
                                                                                                    <w:left w:val="none" w:sz="0" w:space="0" w:color="auto"/>
                                                                                                    <w:bottom w:val="none" w:sz="0" w:space="0" w:color="auto"/>
                                                                                                    <w:right w:val="none" w:sz="0" w:space="0" w:color="auto"/>
                                                                                                  </w:divBdr>
                                                                                                  <w:divsChild>
                                                                                                    <w:div w:id="1162038823">
                                                                                                      <w:marLeft w:val="0"/>
                                                                                                      <w:marRight w:val="0"/>
                                                                                                      <w:marTop w:val="0"/>
                                                                                                      <w:marBottom w:val="0"/>
                                                                                                      <w:divBdr>
                                                                                                        <w:top w:val="none" w:sz="0" w:space="0" w:color="auto"/>
                                                                                                        <w:left w:val="none" w:sz="0" w:space="0" w:color="auto"/>
                                                                                                        <w:bottom w:val="none" w:sz="0" w:space="0" w:color="auto"/>
                                                                                                        <w:right w:val="none" w:sz="0" w:space="0" w:color="auto"/>
                                                                                                      </w:divBdr>
                                                                                                      <w:divsChild>
                                                                                                        <w:div w:id="1707412813">
                                                                                                          <w:marLeft w:val="0"/>
                                                                                                          <w:marRight w:val="0"/>
                                                                                                          <w:marTop w:val="0"/>
                                                                                                          <w:marBottom w:val="0"/>
                                                                                                          <w:divBdr>
                                                                                                            <w:top w:val="none" w:sz="0" w:space="0" w:color="auto"/>
                                                                                                            <w:left w:val="none" w:sz="0" w:space="0" w:color="auto"/>
                                                                                                            <w:bottom w:val="none" w:sz="0" w:space="0" w:color="auto"/>
                                                                                                            <w:right w:val="none" w:sz="0" w:space="0" w:color="auto"/>
                                                                                                          </w:divBdr>
                                                                                                          <w:divsChild>
                                                                                                            <w:div w:id="1910724253">
                                                                                                              <w:marLeft w:val="0"/>
                                                                                                              <w:marRight w:val="0"/>
                                                                                                              <w:marTop w:val="0"/>
                                                                                                              <w:marBottom w:val="0"/>
                                                                                                              <w:divBdr>
                                                                                                                <w:top w:val="none" w:sz="0" w:space="0" w:color="auto"/>
                                                                                                                <w:left w:val="none" w:sz="0" w:space="0" w:color="auto"/>
                                                                                                                <w:bottom w:val="none" w:sz="0" w:space="0" w:color="auto"/>
                                                                                                                <w:right w:val="none" w:sz="0" w:space="0" w:color="auto"/>
                                                                                                              </w:divBdr>
                                                                                                              <w:divsChild>
                                                                                                                <w:div w:id="340090806">
                                                                                                                  <w:marLeft w:val="0"/>
                                                                                                                  <w:marRight w:val="0"/>
                                                                                                                  <w:marTop w:val="0"/>
                                                                                                                  <w:marBottom w:val="0"/>
                                                                                                                  <w:divBdr>
                                                                                                                    <w:top w:val="none" w:sz="0" w:space="0" w:color="auto"/>
                                                                                                                    <w:left w:val="none" w:sz="0" w:space="0" w:color="auto"/>
                                                                                                                    <w:bottom w:val="none" w:sz="0" w:space="0" w:color="auto"/>
                                                                                                                    <w:right w:val="none" w:sz="0" w:space="0" w:color="auto"/>
                                                                                                                  </w:divBdr>
                                                                                                                  <w:divsChild>
                                                                                                                    <w:div w:id="10050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0429634">
      <w:bodyDiv w:val="1"/>
      <w:marLeft w:val="0"/>
      <w:marRight w:val="0"/>
      <w:marTop w:val="0"/>
      <w:marBottom w:val="0"/>
      <w:divBdr>
        <w:top w:val="none" w:sz="0" w:space="0" w:color="auto"/>
        <w:left w:val="none" w:sz="0" w:space="0" w:color="auto"/>
        <w:bottom w:val="none" w:sz="0" w:space="0" w:color="auto"/>
        <w:right w:val="none" w:sz="0" w:space="0" w:color="auto"/>
      </w:divBdr>
    </w:div>
    <w:div w:id="17209770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24413637">
      <w:bodyDiv w:val="1"/>
      <w:marLeft w:val="0"/>
      <w:marRight w:val="0"/>
      <w:marTop w:val="0"/>
      <w:marBottom w:val="0"/>
      <w:divBdr>
        <w:top w:val="none" w:sz="0" w:space="0" w:color="auto"/>
        <w:left w:val="none" w:sz="0" w:space="0" w:color="auto"/>
        <w:bottom w:val="none" w:sz="0" w:space="0" w:color="auto"/>
        <w:right w:val="none" w:sz="0" w:space="0" w:color="auto"/>
      </w:divBdr>
      <w:divsChild>
        <w:div w:id="981881848">
          <w:marLeft w:val="0"/>
          <w:marRight w:val="0"/>
          <w:marTop w:val="0"/>
          <w:marBottom w:val="0"/>
          <w:divBdr>
            <w:top w:val="none" w:sz="0" w:space="0" w:color="auto"/>
            <w:left w:val="none" w:sz="0" w:space="0" w:color="auto"/>
            <w:bottom w:val="none" w:sz="0" w:space="0" w:color="auto"/>
            <w:right w:val="none" w:sz="0" w:space="0" w:color="auto"/>
          </w:divBdr>
          <w:divsChild>
            <w:div w:id="1493912636">
              <w:marLeft w:val="0"/>
              <w:marRight w:val="0"/>
              <w:marTop w:val="0"/>
              <w:marBottom w:val="0"/>
              <w:divBdr>
                <w:top w:val="none" w:sz="0" w:space="0" w:color="auto"/>
                <w:left w:val="none" w:sz="0" w:space="0" w:color="auto"/>
                <w:bottom w:val="none" w:sz="0" w:space="0" w:color="auto"/>
                <w:right w:val="none" w:sz="0" w:space="0" w:color="auto"/>
              </w:divBdr>
              <w:divsChild>
                <w:div w:id="355927990">
                  <w:marLeft w:val="0"/>
                  <w:marRight w:val="0"/>
                  <w:marTop w:val="0"/>
                  <w:marBottom w:val="0"/>
                  <w:divBdr>
                    <w:top w:val="none" w:sz="0" w:space="0" w:color="auto"/>
                    <w:left w:val="none" w:sz="0" w:space="0" w:color="auto"/>
                    <w:bottom w:val="none" w:sz="0" w:space="0" w:color="auto"/>
                    <w:right w:val="none" w:sz="0" w:space="0" w:color="auto"/>
                  </w:divBdr>
                  <w:divsChild>
                    <w:div w:id="1347634435">
                      <w:marLeft w:val="0"/>
                      <w:marRight w:val="0"/>
                      <w:marTop w:val="0"/>
                      <w:marBottom w:val="0"/>
                      <w:divBdr>
                        <w:top w:val="none" w:sz="0" w:space="0" w:color="auto"/>
                        <w:left w:val="none" w:sz="0" w:space="0" w:color="auto"/>
                        <w:bottom w:val="none" w:sz="0" w:space="0" w:color="auto"/>
                        <w:right w:val="none" w:sz="0" w:space="0" w:color="auto"/>
                      </w:divBdr>
                      <w:divsChild>
                        <w:div w:id="2095201930">
                          <w:marLeft w:val="0"/>
                          <w:marRight w:val="0"/>
                          <w:marTop w:val="0"/>
                          <w:marBottom w:val="0"/>
                          <w:divBdr>
                            <w:top w:val="none" w:sz="0" w:space="0" w:color="auto"/>
                            <w:left w:val="none" w:sz="0" w:space="0" w:color="auto"/>
                            <w:bottom w:val="none" w:sz="0" w:space="0" w:color="auto"/>
                            <w:right w:val="none" w:sz="0" w:space="0" w:color="auto"/>
                          </w:divBdr>
                          <w:divsChild>
                            <w:div w:id="1900286213">
                              <w:marLeft w:val="0"/>
                              <w:marRight w:val="0"/>
                              <w:marTop w:val="0"/>
                              <w:marBottom w:val="0"/>
                              <w:divBdr>
                                <w:top w:val="none" w:sz="0" w:space="0" w:color="auto"/>
                                <w:left w:val="none" w:sz="0" w:space="0" w:color="auto"/>
                                <w:bottom w:val="none" w:sz="0" w:space="0" w:color="auto"/>
                                <w:right w:val="none" w:sz="0" w:space="0" w:color="auto"/>
                              </w:divBdr>
                              <w:divsChild>
                                <w:div w:id="1188835204">
                                  <w:marLeft w:val="0"/>
                                  <w:marRight w:val="0"/>
                                  <w:marTop w:val="0"/>
                                  <w:marBottom w:val="0"/>
                                  <w:divBdr>
                                    <w:top w:val="none" w:sz="0" w:space="0" w:color="auto"/>
                                    <w:left w:val="none" w:sz="0" w:space="0" w:color="auto"/>
                                    <w:bottom w:val="none" w:sz="0" w:space="0" w:color="auto"/>
                                    <w:right w:val="none" w:sz="0" w:space="0" w:color="auto"/>
                                  </w:divBdr>
                                  <w:divsChild>
                                    <w:div w:id="526214156">
                                      <w:marLeft w:val="0"/>
                                      <w:marRight w:val="0"/>
                                      <w:marTop w:val="0"/>
                                      <w:marBottom w:val="0"/>
                                      <w:divBdr>
                                        <w:top w:val="none" w:sz="0" w:space="0" w:color="auto"/>
                                        <w:left w:val="none" w:sz="0" w:space="0" w:color="auto"/>
                                        <w:bottom w:val="none" w:sz="0" w:space="0" w:color="auto"/>
                                        <w:right w:val="none" w:sz="0" w:space="0" w:color="auto"/>
                                      </w:divBdr>
                                      <w:divsChild>
                                        <w:div w:id="1763716257">
                                          <w:marLeft w:val="0"/>
                                          <w:marRight w:val="0"/>
                                          <w:marTop w:val="0"/>
                                          <w:marBottom w:val="0"/>
                                          <w:divBdr>
                                            <w:top w:val="none" w:sz="0" w:space="0" w:color="auto"/>
                                            <w:left w:val="none" w:sz="0" w:space="0" w:color="auto"/>
                                            <w:bottom w:val="none" w:sz="0" w:space="0" w:color="auto"/>
                                            <w:right w:val="none" w:sz="0" w:space="0" w:color="auto"/>
                                          </w:divBdr>
                                          <w:divsChild>
                                            <w:div w:id="61300575">
                                              <w:marLeft w:val="0"/>
                                              <w:marRight w:val="0"/>
                                              <w:marTop w:val="0"/>
                                              <w:marBottom w:val="0"/>
                                              <w:divBdr>
                                                <w:top w:val="none" w:sz="0" w:space="0" w:color="auto"/>
                                                <w:left w:val="none" w:sz="0" w:space="0" w:color="auto"/>
                                                <w:bottom w:val="none" w:sz="0" w:space="0" w:color="auto"/>
                                                <w:right w:val="none" w:sz="0" w:space="0" w:color="auto"/>
                                              </w:divBdr>
                                              <w:divsChild>
                                                <w:div w:id="1113403605">
                                                  <w:marLeft w:val="0"/>
                                                  <w:marRight w:val="0"/>
                                                  <w:marTop w:val="0"/>
                                                  <w:marBottom w:val="0"/>
                                                  <w:divBdr>
                                                    <w:top w:val="none" w:sz="0" w:space="0" w:color="auto"/>
                                                    <w:left w:val="none" w:sz="0" w:space="0" w:color="auto"/>
                                                    <w:bottom w:val="none" w:sz="0" w:space="0" w:color="auto"/>
                                                    <w:right w:val="none" w:sz="0" w:space="0" w:color="auto"/>
                                                  </w:divBdr>
                                                  <w:divsChild>
                                                    <w:div w:id="958997555">
                                                      <w:marLeft w:val="0"/>
                                                      <w:marRight w:val="0"/>
                                                      <w:marTop w:val="0"/>
                                                      <w:marBottom w:val="0"/>
                                                      <w:divBdr>
                                                        <w:top w:val="none" w:sz="0" w:space="0" w:color="auto"/>
                                                        <w:left w:val="none" w:sz="0" w:space="0" w:color="auto"/>
                                                        <w:bottom w:val="none" w:sz="0" w:space="0" w:color="auto"/>
                                                        <w:right w:val="none" w:sz="0" w:space="0" w:color="auto"/>
                                                      </w:divBdr>
                                                      <w:divsChild>
                                                        <w:div w:id="365375302">
                                                          <w:marLeft w:val="0"/>
                                                          <w:marRight w:val="0"/>
                                                          <w:marTop w:val="0"/>
                                                          <w:marBottom w:val="0"/>
                                                          <w:divBdr>
                                                            <w:top w:val="none" w:sz="0" w:space="0" w:color="auto"/>
                                                            <w:left w:val="none" w:sz="0" w:space="0" w:color="auto"/>
                                                            <w:bottom w:val="none" w:sz="0" w:space="0" w:color="auto"/>
                                                            <w:right w:val="none" w:sz="0" w:space="0" w:color="auto"/>
                                                          </w:divBdr>
                                                          <w:divsChild>
                                                            <w:div w:id="1306859539">
                                                              <w:marLeft w:val="0"/>
                                                              <w:marRight w:val="0"/>
                                                              <w:marTop w:val="0"/>
                                                              <w:marBottom w:val="0"/>
                                                              <w:divBdr>
                                                                <w:top w:val="none" w:sz="0" w:space="0" w:color="auto"/>
                                                                <w:left w:val="none" w:sz="0" w:space="0" w:color="auto"/>
                                                                <w:bottom w:val="none" w:sz="0" w:space="0" w:color="auto"/>
                                                                <w:right w:val="none" w:sz="0" w:space="0" w:color="auto"/>
                                                              </w:divBdr>
                                                              <w:divsChild>
                                                                <w:div w:id="48963808">
                                                                  <w:marLeft w:val="0"/>
                                                                  <w:marRight w:val="0"/>
                                                                  <w:marTop w:val="0"/>
                                                                  <w:marBottom w:val="0"/>
                                                                  <w:divBdr>
                                                                    <w:top w:val="none" w:sz="0" w:space="0" w:color="auto"/>
                                                                    <w:left w:val="none" w:sz="0" w:space="0" w:color="auto"/>
                                                                    <w:bottom w:val="none" w:sz="0" w:space="0" w:color="auto"/>
                                                                    <w:right w:val="none" w:sz="0" w:space="0" w:color="auto"/>
                                                                  </w:divBdr>
                                                                  <w:divsChild>
                                                                    <w:div w:id="1583219499">
                                                                      <w:marLeft w:val="0"/>
                                                                      <w:marRight w:val="0"/>
                                                                      <w:marTop w:val="0"/>
                                                                      <w:marBottom w:val="0"/>
                                                                      <w:divBdr>
                                                                        <w:top w:val="none" w:sz="0" w:space="0" w:color="auto"/>
                                                                        <w:left w:val="none" w:sz="0" w:space="0" w:color="auto"/>
                                                                        <w:bottom w:val="none" w:sz="0" w:space="0" w:color="auto"/>
                                                                        <w:right w:val="none" w:sz="0" w:space="0" w:color="auto"/>
                                                                      </w:divBdr>
                                                                      <w:divsChild>
                                                                        <w:div w:id="1288388618">
                                                                          <w:marLeft w:val="0"/>
                                                                          <w:marRight w:val="0"/>
                                                                          <w:marTop w:val="0"/>
                                                                          <w:marBottom w:val="0"/>
                                                                          <w:divBdr>
                                                                            <w:top w:val="none" w:sz="0" w:space="0" w:color="auto"/>
                                                                            <w:left w:val="none" w:sz="0" w:space="0" w:color="auto"/>
                                                                            <w:bottom w:val="none" w:sz="0" w:space="0" w:color="auto"/>
                                                                            <w:right w:val="none" w:sz="0" w:space="0" w:color="auto"/>
                                                                          </w:divBdr>
                                                                          <w:divsChild>
                                                                            <w:div w:id="839735691">
                                                                              <w:marLeft w:val="0"/>
                                                                              <w:marRight w:val="0"/>
                                                                              <w:marTop w:val="0"/>
                                                                              <w:marBottom w:val="0"/>
                                                                              <w:divBdr>
                                                                                <w:top w:val="none" w:sz="0" w:space="0" w:color="auto"/>
                                                                                <w:left w:val="none" w:sz="0" w:space="0" w:color="auto"/>
                                                                                <w:bottom w:val="none" w:sz="0" w:space="0" w:color="auto"/>
                                                                                <w:right w:val="none" w:sz="0" w:space="0" w:color="auto"/>
                                                                              </w:divBdr>
                                                                              <w:divsChild>
                                                                                <w:div w:id="1207373599">
                                                                                  <w:marLeft w:val="0"/>
                                                                                  <w:marRight w:val="0"/>
                                                                                  <w:marTop w:val="0"/>
                                                                                  <w:marBottom w:val="0"/>
                                                                                  <w:divBdr>
                                                                                    <w:top w:val="none" w:sz="0" w:space="0" w:color="auto"/>
                                                                                    <w:left w:val="none" w:sz="0" w:space="0" w:color="auto"/>
                                                                                    <w:bottom w:val="none" w:sz="0" w:space="0" w:color="auto"/>
                                                                                    <w:right w:val="none" w:sz="0" w:space="0" w:color="auto"/>
                                                                                  </w:divBdr>
                                                                                  <w:divsChild>
                                                                                    <w:div w:id="1236159829">
                                                                                      <w:marLeft w:val="0"/>
                                                                                      <w:marRight w:val="0"/>
                                                                                      <w:marTop w:val="0"/>
                                                                                      <w:marBottom w:val="0"/>
                                                                                      <w:divBdr>
                                                                                        <w:top w:val="none" w:sz="0" w:space="0" w:color="auto"/>
                                                                                        <w:left w:val="none" w:sz="0" w:space="0" w:color="auto"/>
                                                                                        <w:bottom w:val="none" w:sz="0" w:space="0" w:color="auto"/>
                                                                                        <w:right w:val="none" w:sz="0" w:space="0" w:color="auto"/>
                                                                                      </w:divBdr>
                                                                                      <w:divsChild>
                                                                                        <w:div w:id="412777122">
                                                                                          <w:marLeft w:val="0"/>
                                                                                          <w:marRight w:val="0"/>
                                                                                          <w:marTop w:val="0"/>
                                                                                          <w:marBottom w:val="0"/>
                                                                                          <w:divBdr>
                                                                                            <w:top w:val="none" w:sz="0" w:space="0" w:color="auto"/>
                                                                                            <w:left w:val="none" w:sz="0" w:space="0" w:color="auto"/>
                                                                                            <w:bottom w:val="none" w:sz="0" w:space="0" w:color="auto"/>
                                                                                            <w:right w:val="none" w:sz="0" w:space="0" w:color="auto"/>
                                                                                          </w:divBdr>
                                                                                          <w:divsChild>
                                                                                            <w:div w:id="66458643">
                                                                                              <w:marLeft w:val="0"/>
                                                                                              <w:marRight w:val="0"/>
                                                                                              <w:marTop w:val="0"/>
                                                                                              <w:marBottom w:val="0"/>
                                                                                              <w:divBdr>
                                                                                                <w:top w:val="none" w:sz="0" w:space="0" w:color="auto"/>
                                                                                                <w:left w:val="none" w:sz="0" w:space="0" w:color="auto"/>
                                                                                                <w:bottom w:val="none" w:sz="0" w:space="0" w:color="auto"/>
                                                                                                <w:right w:val="none" w:sz="0" w:space="0" w:color="auto"/>
                                                                                              </w:divBdr>
                                                                                              <w:divsChild>
                                                                                                <w:div w:id="312565410">
                                                                                                  <w:marLeft w:val="0"/>
                                                                                                  <w:marRight w:val="0"/>
                                                                                                  <w:marTop w:val="0"/>
                                                                                                  <w:marBottom w:val="0"/>
                                                                                                  <w:divBdr>
                                                                                                    <w:top w:val="none" w:sz="0" w:space="0" w:color="auto"/>
                                                                                                    <w:left w:val="none" w:sz="0" w:space="0" w:color="auto"/>
                                                                                                    <w:bottom w:val="none" w:sz="0" w:space="0" w:color="auto"/>
                                                                                                    <w:right w:val="none" w:sz="0" w:space="0" w:color="auto"/>
                                                                                                  </w:divBdr>
                                                                                                  <w:divsChild>
                                                                                                    <w:div w:id="908273657">
                                                                                                      <w:marLeft w:val="0"/>
                                                                                                      <w:marRight w:val="0"/>
                                                                                                      <w:marTop w:val="0"/>
                                                                                                      <w:marBottom w:val="0"/>
                                                                                                      <w:divBdr>
                                                                                                        <w:top w:val="none" w:sz="0" w:space="0" w:color="auto"/>
                                                                                                        <w:left w:val="none" w:sz="0" w:space="0" w:color="auto"/>
                                                                                                        <w:bottom w:val="none" w:sz="0" w:space="0" w:color="auto"/>
                                                                                                        <w:right w:val="none" w:sz="0" w:space="0" w:color="auto"/>
                                                                                                      </w:divBdr>
                                                                                                      <w:divsChild>
                                                                                                        <w:div w:id="1501193271">
                                                                                                          <w:marLeft w:val="0"/>
                                                                                                          <w:marRight w:val="0"/>
                                                                                                          <w:marTop w:val="0"/>
                                                                                                          <w:marBottom w:val="0"/>
                                                                                                          <w:divBdr>
                                                                                                            <w:top w:val="none" w:sz="0" w:space="0" w:color="auto"/>
                                                                                                            <w:left w:val="none" w:sz="0" w:space="0" w:color="auto"/>
                                                                                                            <w:bottom w:val="none" w:sz="0" w:space="0" w:color="auto"/>
                                                                                                            <w:right w:val="none" w:sz="0" w:space="0" w:color="auto"/>
                                                                                                          </w:divBdr>
                                                                                                          <w:divsChild>
                                                                                                            <w:div w:id="833254818">
                                                                                                              <w:marLeft w:val="0"/>
                                                                                                              <w:marRight w:val="0"/>
                                                                                                              <w:marTop w:val="0"/>
                                                                                                              <w:marBottom w:val="0"/>
                                                                                                              <w:divBdr>
                                                                                                                <w:top w:val="none" w:sz="0" w:space="0" w:color="auto"/>
                                                                                                                <w:left w:val="none" w:sz="0" w:space="0" w:color="auto"/>
                                                                                                                <w:bottom w:val="none" w:sz="0" w:space="0" w:color="auto"/>
                                                                                                                <w:right w:val="none" w:sz="0" w:space="0" w:color="auto"/>
                                                                                                              </w:divBdr>
                                                                                                            </w:div>
                                                                                                            <w:div w:id="2000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vadc_data@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lcohol-and-drugs/funding-and-reporting-aod-services/reporting-for-aod-services/data-collection/vadc-documentatio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646E-05CA-4574-BDED-82184A3C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2021-05-20T05:54:00Z</dcterms:created>
  <dcterms:modified xsi:type="dcterms:W3CDTF">2021-05-26T06:24:00Z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2021-05-26T06:24:26Z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5edef2d7-ed71-4091-a73f-82dd94d0bebb</vt:lpwstr>
  </property>
  <property fmtid="{D5CDD505-2E9C-101B-9397-08002B2CF9AE}" pid="8" name="MSIP_Label_43e64453-338c-4f93-8a4d-0039a0a41f2a_ContentBits">
    <vt:lpwstr>2</vt:lpwstr>
  </property>
</Properties>
</file>