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E7F2"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028CD811" wp14:editId="7049A2BE">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F49DD85"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FB63E7E" w14:textId="77777777" w:rsidTr="003B5733">
        <w:tc>
          <w:tcPr>
            <w:tcW w:w="0" w:type="auto"/>
            <w:tcMar>
              <w:top w:w="1701" w:type="dxa"/>
              <w:left w:w="0" w:type="dxa"/>
              <w:right w:w="0" w:type="dxa"/>
            </w:tcMar>
          </w:tcPr>
          <w:p w14:paraId="10E00798" w14:textId="77777777" w:rsidR="003B5733" w:rsidRPr="00967E4E" w:rsidRDefault="00A40857" w:rsidP="003B5733">
            <w:pPr>
              <w:pStyle w:val="Documenttitle"/>
              <w:rPr>
                <w:sz w:val="44"/>
                <w:szCs w:val="44"/>
              </w:rPr>
            </w:pPr>
            <w:r w:rsidRPr="00967E4E">
              <w:rPr>
                <w:sz w:val="44"/>
                <w:szCs w:val="44"/>
              </w:rPr>
              <w:t>Victorian Alcohol and Drug Collection</w:t>
            </w:r>
          </w:p>
          <w:p w14:paraId="0FC41069" w14:textId="4FBF5CD2" w:rsidR="007E2E2F" w:rsidRPr="00967E4E" w:rsidRDefault="007E2E2F" w:rsidP="003B5733">
            <w:pPr>
              <w:pStyle w:val="Documenttitle"/>
              <w:rPr>
                <w:sz w:val="44"/>
                <w:szCs w:val="44"/>
              </w:rPr>
            </w:pPr>
            <w:r w:rsidRPr="00967E4E">
              <w:rPr>
                <w:sz w:val="44"/>
                <w:szCs w:val="44"/>
              </w:rPr>
              <w:t>VADC Bulletin 202</w:t>
            </w:r>
            <w:r w:rsidR="00826A62" w:rsidRPr="00967E4E">
              <w:rPr>
                <w:sz w:val="44"/>
                <w:szCs w:val="44"/>
              </w:rPr>
              <w:t>1-22</w:t>
            </w:r>
          </w:p>
        </w:tc>
      </w:tr>
      <w:tr w:rsidR="003B5733" w14:paraId="3565AF6E" w14:textId="77777777" w:rsidTr="005F44C0">
        <w:tc>
          <w:tcPr>
            <w:tcW w:w="0" w:type="auto"/>
          </w:tcPr>
          <w:p w14:paraId="3D886A60" w14:textId="42E4D59F" w:rsidR="003B5733" w:rsidRPr="00967E4E" w:rsidRDefault="007E2E2F" w:rsidP="005F44C0">
            <w:pPr>
              <w:pStyle w:val="Documentsubtitle"/>
            </w:pPr>
            <w:r w:rsidRPr="00967E4E">
              <w:t>Edition 1</w:t>
            </w:r>
            <w:r w:rsidR="00075C76">
              <w:t>6</w:t>
            </w:r>
            <w:r w:rsidRPr="00967E4E">
              <w:t>:</w:t>
            </w:r>
            <w:r w:rsidR="00967E4E" w:rsidRPr="00967E4E">
              <w:t xml:space="preserve">     </w:t>
            </w:r>
            <w:r w:rsidR="003E005C">
              <w:t>30</w:t>
            </w:r>
            <w:r w:rsidR="00967E4E" w:rsidRPr="00967E4E">
              <w:t xml:space="preserve"> August 2021</w:t>
            </w:r>
          </w:p>
        </w:tc>
      </w:tr>
      <w:tr w:rsidR="003B5733" w14:paraId="5DF103DC" w14:textId="77777777" w:rsidTr="005F44C0">
        <w:tc>
          <w:tcPr>
            <w:tcW w:w="0" w:type="auto"/>
          </w:tcPr>
          <w:p w14:paraId="1907DE8A" w14:textId="1FDE4888" w:rsidR="003B5733" w:rsidRDefault="003B5733" w:rsidP="005F44C0">
            <w:pPr>
              <w:pStyle w:val="Bannermarking"/>
            </w:pPr>
          </w:p>
        </w:tc>
      </w:tr>
    </w:tbl>
    <w:p w14:paraId="1CC2CB5F" w14:textId="77777777" w:rsidR="00487E06" w:rsidRDefault="007E2E2F" w:rsidP="007E2E2F">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0E3C6BF4" w14:textId="317C874D" w:rsidR="007E2E2F" w:rsidRPr="00487E06" w:rsidRDefault="00BB3E11" w:rsidP="007E2E2F">
      <w:pPr>
        <w:pStyle w:val="DHHSbody"/>
        <w:rPr>
          <w:rFonts w:cs="Arial"/>
          <w:bCs/>
          <w:i/>
          <w:iCs/>
          <w:sz w:val="21"/>
          <w:szCs w:val="21"/>
        </w:rPr>
      </w:pPr>
      <w:hyperlink r:id="rId14" w:history="1">
        <w:r w:rsidR="00487E06" w:rsidRPr="00487E06">
          <w:rPr>
            <w:rStyle w:val="Hyperlink"/>
            <w:rFonts w:cs="Arial"/>
            <w:bCs/>
            <w:i/>
            <w:iCs/>
            <w:sz w:val="21"/>
            <w:szCs w:val="21"/>
          </w:rPr>
          <w:t>VADC documentation – health vic</w:t>
        </w:r>
      </w:hyperlink>
    </w:p>
    <w:sdt>
      <w:sdtPr>
        <w:rPr>
          <w:rFonts w:ascii="Arial" w:eastAsia="Times New Roman" w:hAnsi="Arial" w:cs="Times New Roman"/>
          <w:color w:val="auto"/>
          <w:sz w:val="21"/>
          <w:szCs w:val="20"/>
          <w:lang w:val="en-AU"/>
        </w:rPr>
        <w:id w:val="-964881849"/>
        <w:docPartObj>
          <w:docPartGallery w:val="Table of Contents"/>
          <w:docPartUnique/>
        </w:docPartObj>
      </w:sdtPr>
      <w:sdtEndPr>
        <w:rPr>
          <w:b/>
          <w:bCs/>
          <w:noProof/>
        </w:rPr>
      </w:sdtEndPr>
      <w:sdtContent>
        <w:p w14:paraId="387A7924" w14:textId="7FCC7F5E" w:rsidR="003E6213" w:rsidRPr="003E6213" w:rsidRDefault="003E6213">
          <w:pPr>
            <w:pStyle w:val="TOCHeading"/>
            <w:rPr>
              <w:rFonts w:ascii="Arial" w:hAnsi="Arial" w:cs="Arial"/>
              <w:color w:val="auto"/>
              <w:sz w:val="28"/>
              <w:szCs w:val="28"/>
            </w:rPr>
          </w:pPr>
          <w:r w:rsidRPr="003E6213">
            <w:rPr>
              <w:rFonts w:ascii="Arial" w:hAnsi="Arial" w:cs="Arial"/>
              <w:color w:val="auto"/>
              <w:sz w:val="28"/>
              <w:szCs w:val="28"/>
            </w:rPr>
            <w:t>Contents</w:t>
          </w:r>
        </w:p>
        <w:p w14:paraId="311C59E9" w14:textId="3762173F" w:rsidR="00395354" w:rsidRDefault="003E6213">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1210534" w:history="1">
            <w:r w:rsidR="00395354" w:rsidRPr="00141573">
              <w:rPr>
                <w:rStyle w:val="Hyperlink"/>
              </w:rPr>
              <w:t>1.</w:t>
            </w:r>
            <w:r w:rsidR="00395354">
              <w:rPr>
                <w:rFonts w:asciiTheme="minorHAnsi" w:eastAsiaTheme="minorEastAsia" w:hAnsiTheme="minorHAnsi" w:cstheme="minorBidi"/>
                <w:b w:val="0"/>
                <w:sz w:val="22"/>
                <w:szCs w:val="22"/>
                <w:lang w:eastAsia="en-AU"/>
              </w:rPr>
              <w:tab/>
            </w:r>
            <w:r w:rsidR="00395354" w:rsidRPr="00141573">
              <w:rPr>
                <w:rStyle w:val="Hyperlink"/>
              </w:rPr>
              <w:t>TEST July 2021 submissions open</w:t>
            </w:r>
            <w:r w:rsidR="00395354">
              <w:rPr>
                <w:webHidden/>
              </w:rPr>
              <w:tab/>
            </w:r>
            <w:r w:rsidR="00395354">
              <w:rPr>
                <w:webHidden/>
              </w:rPr>
              <w:fldChar w:fldCharType="begin"/>
            </w:r>
            <w:r w:rsidR="00395354">
              <w:rPr>
                <w:webHidden/>
              </w:rPr>
              <w:instrText xml:space="preserve"> PAGEREF _Toc81210534 \h </w:instrText>
            </w:r>
            <w:r w:rsidR="00395354">
              <w:rPr>
                <w:webHidden/>
              </w:rPr>
            </w:r>
            <w:r w:rsidR="00395354">
              <w:rPr>
                <w:webHidden/>
              </w:rPr>
              <w:fldChar w:fldCharType="separate"/>
            </w:r>
            <w:r w:rsidR="00395354">
              <w:rPr>
                <w:webHidden/>
              </w:rPr>
              <w:t>2</w:t>
            </w:r>
            <w:r w:rsidR="00395354">
              <w:rPr>
                <w:webHidden/>
              </w:rPr>
              <w:fldChar w:fldCharType="end"/>
            </w:r>
          </w:hyperlink>
        </w:p>
        <w:p w14:paraId="27B2160A" w14:textId="4F1C44EE" w:rsidR="00395354" w:rsidRDefault="00395354">
          <w:pPr>
            <w:pStyle w:val="TOC1"/>
            <w:tabs>
              <w:tab w:val="left" w:pos="567"/>
            </w:tabs>
            <w:rPr>
              <w:rFonts w:asciiTheme="minorHAnsi" w:eastAsiaTheme="minorEastAsia" w:hAnsiTheme="minorHAnsi" w:cstheme="minorBidi"/>
              <w:b w:val="0"/>
              <w:sz w:val="22"/>
              <w:szCs w:val="22"/>
              <w:lang w:eastAsia="en-AU"/>
            </w:rPr>
          </w:pPr>
          <w:hyperlink w:anchor="_Toc81210535" w:history="1">
            <w:r w:rsidRPr="00141573">
              <w:rPr>
                <w:rStyle w:val="Hyperlink"/>
                <w:lang w:eastAsia="en-AU"/>
              </w:rPr>
              <w:t>2.</w:t>
            </w:r>
            <w:r>
              <w:rPr>
                <w:rFonts w:asciiTheme="minorHAnsi" w:eastAsiaTheme="minorEastAsia" w:hAnsiTheme="minorHAnsi" w:cstheme="minorBidi"/>
                <w:b w:val="0"/>
                <w:sz w:val="22"/>
                <w:szCs w:val="22"/>
                <w:lang w:eastAsia="en-AU"/>
              </w:rPr>
              <w:tab/>
            </w:r>
            <w:r w:rsidRPr="00141573">
              <w:rPr>
                <w:rStyle w:val="Hyperlink"/>
                <w:lang w:eastAsia="en-AU"/>
              </w:rPr>
              <w:t>LIVE July 2021 submissions open</w:t>
            </w:r>
            <w:r>
              <w:rPr>
                <w:webHidden/>
              </w:rPr>
              <w:tab/>
            </w:r>
            <w:r>
              <w:rPr>
                <w:webHidden/>
              </w:rPr>
              <w:fldChar w:fldCharType="begin"/>
            </w:r>
            <w:r>
              <w:rPr>
                <w:webHidden/>
              </w:rPr>
              <w:instrText xml:space="preserve"> PAGEREF _Toc81210535 \h </w:instrText>
            </w:r>
            <w:r>
              <w:rPr>
                <w:webHidden/>
              </w:rPr>
            </w:r>
            <w:r>
              <w:rPr>
                <w:webHidden/>
              </w:rPr>
              <w:fldChar w:fldCharType="separate"/>
            </w:r>
            <w:r>
              <w:rPr>
                <w:webHidden/>
              </w:rPr>
              <w:t>2</w:t>
            </w:r>
            <w:r>
              <w:rPr>
                <w:webHidden/>
              </w:rPr>
              <w:fldChar w:fldCharType="end"/>
            </w:r>
          </w:hyperlink>
        </w:p>
        <w:p w14:paraId="760441AA" w14:textId="1819AA02" w:rsidR="00395354" w:rsidRDefault="00395354">
          <w:pPr>
            <w:pStyle w:val="TOC1"/>
            <w:tabs>
              <w:tab w:val="left" w:pos="567"/>
            </w:tabs>
            <w:rPr>
              <w:rFonts w:asciiTheme="minorHAnsi" w:eastAsiaTheme="minorEastAsia" w:hAnsiTheme="minorHAnsi" w:cstheme="minorBidi"/>
              <w:b w:val="0"/>
              <w:sz w:val="22"/>
              <w:szCs w:val="22"/>
              <w:lang w:eastAsia="en-AU"/>
            </w:rPr>
          </w:pPr>
          <w:hyperlink w:anchor="_Toc81210536" w:history="1">
            <w:r w:rsidRPr="00141573">
              <w:rPr>
                <w:rStyle w:val="Hyperlink"/>
                <w:lang w:eastAsia="en-AU"/>
              </w:rPr>
              <w:t>3.</w:t>
            </w:r>
            <w:r>
              <w:rPr>
                <w:rFonts w:asciiTheme="minorHAnsi" w:eastAsiaTheme="minorEastAsia" w:hAnsiTheme="minorHAnsi" w:cstheme="minorBidi"/>
                <w:b w:val="0"/>
                <w:sz w:val="22"/>
                <w:szCs w:val="22"/>
                <w:lang w:eastAsia="en-AU"/>
              </w:rPr>
              <w:tab/>
            </w:r>
            <w:r w:rsidRPr="00141573">
              <w:rPr>
                <w:rStyle w:val="Hyperlink"/>
              </w:rPr>
              <w:t>Submission deadline extension</w:t>
            </w:r>
            <w:r>
              <w:rPr>
                <w:webHidden/>
              </w:rPr>
              <w:tab/>
            </w:r>
            <w:r>
              <w:rPr>
                <w:webHidden/>
              </w:rPr>
              <w:fldChar w:fldCharType="begin"/>
            </w:r>
            <w:r>
              <w:rPr>
                <w:webHidden/>
              </w:rPr>
              <w:instrText xml:space="preserve"> PAGEREF _Toc81210536 \h </w:instrText>
            </w:r>
            <w:r>
              <w:rPr>
                <w:webHidden/>
              </w:rPr>
            </w:r>
            <w:r>
              <w:rPr>
                <w:webHidden/>
              </w:rPr>
              <w:fldChar w:fldCharType="separate"/>
            </w:r>
            <w:r>
              <w:rPr>
                <w:webHidden/>
              </w:rPr>
              <w:t>2</w:t>
            </w:r>
            <w:r>
              <w:rPr>
                <w:webHidden/>
              </w:rPr>
              <w:fldChar w:fldCharType="end"/>
            </w:r>
          </w:hyperlink>
        </w:p>
        <w:p w14:paraId="1C581444" w14:textId="0C0E3515" w:rsidR="00395354" w:rsidRDefault="00395354">
          <w:pPr>
            <w:pStyle w:val="TOC1"/>
            <w:tabs>
              <w:tab w:val="left" w:pos="567"/>
            </w:tabs>
            <w:rPr>
              <w:rFonts w:asciiTheme="minorHAnsi" w:eastAsiaTheme="minorEastAsia" w:hAnsiTheme="minorHAnsi" w:cstheme="minorBidi"/>
              <w:b w:val="0"/>
              <w:sz w:val="22"/>
              <w:szCs w:val="22"/>
              <w:lang w:eastAsia="en-AU"/>
            </w:rPr>
          </w:pPr>
          <w:hyperlink w:anchor="_Toc81210537" w:history="1">
            <w:r w:rsidRPr="00141573">
              <w:rPr>
                <w:rStyle w:val="Hyperlink"/>
                <w:lang w:eastAsia="en-AU"/>
              </w:rPr>
              <w:t>4.</w:t>
            </w:r>
            <w:r>
              <w:rPr>
                <w:rFonts w:asciiTheme="minorHAnsi" w:eastAsiaTheme="minorEastAsia" w:hAnsiTheme="minorHAnsi" w:cstheme="minorBidi"/>
                <w:b w:val="0"/>
                <w:sz w:val="22"/>
                <w:szCs w:val="22"/>
                <w:lang w:eastAsia="en-AU"/>
              </w:rPr>
              <w:tab/>
            </w:r>
            <w:r w:rsidRPr="00141573">
              <w:rPr>
                <w:rStyle w:val="Hyperlink"/>
              </w:rPr>
              <w:t>CHOICES reporting commences 1/7/2021</w:t>
            </w:r>
            <w:r>
              <w:rPr>
                <w:webHidden/>
              </w:rPr>
              <w:tab/>
            </w:r>
            <w:r>
              <w:rPr>
                <w:webHidden/>
              </w:rPr>
              <w:fldChar w:fldCharType="begin"/>
            </w:r>
            <w:r>
              <w:rPr>
                <w:webHidden/>
              </w:rPr>
              <w:instrText xml:space="preserve"> PAGEREF _Toc81210537 \h </w:instrText>
            </w:r>
            <w:r>
              <w:rPr>
                <w:webHidden/>
              </w:rPr>
            </w:r>
            <w:r>
              <w:rPr>
                <w:webHidden/>
              </w:rPr>
              <w:fldChar w:fldCharType="separate"/>
            </w:r>
            <w:r>
              <w:rPr>
                <w:webHidden/>
              </w:rPr>
              <w:t>2</w:t>
            </w:r>
            <w:r>
              <w:rPr>
                <w:webHidden/>
              </w:rPr>
              <w:fldChar w:fldCharType="end"/>
            </w:r>
          </w:hyperlink>
        </w:p>
        <w:p w14:paraId="7A0E31C4" w14:textId="181429BE" w:rsidR="00395354" w:rsidRDefault="00395354">
          <w:pPr>
            <w:pStyle w:val="TOC1"/>
            <w:tabs>
              <w:tab w:val="left" w:pos="567"/>
            </w:tabs>
            <w:rPr>
              <w:rFonts w:asciiTheme="minorHAnsi" w:eastAsiaTheme="minorEastAsia" w:hAnsiTheme="minorHAnsi" w:cstheme="minorBidi"/>
              <w:b w:val="0"/>
              <w:sz w:val="22"/>
              <w:szCs w:val="22"/>
              <w:lang w:eastAsia="en-AU"/>
            </w:rPr>
          </w:pPr>
          <w:hyperlink w:anchor="_Toc81210538" w:history="1">
            <w:r w:rsidRPr="00141573">
              <w:rPr>
                <w:rStyle w:val="Hyperlink"/>
                <w:lang w:eastAsia="en-AU"/>
              </w:rPr>
              <w:t>5.</w:t>
            </w:r>
            <w:r>
              <w:rPr>
                <w:rFonts w:asciiTheme="minorHAnsi" w:eastAsiaTheme="minorEastAsia" w:hAnsiTheme="minorHAnsi" w:cstheme="minorBidi"/>
                <w:b w:val="0"/>
                <w:sz w:val="22"/>
                <w:szCs w:val="22"/>
                <w:lang w:eastAsia="en-AU"/>
              </w:rPr>
              <w:tab/>
            </w:r>
            <w:r w:rsidRPr="00141573">
              <w:rPr>
                <w:rStyle w:val="Hyperlink"/>
              </w:rPr>
              <w:t>Clarification to TIER VADC Data Specification 2021-22 V1.0</w:t>
            </w:r>
            <w:r>
              <w:rPr>
                <w:webHidden/>
              </w:rPr>
              <w:tab/>
            </w:r>
            <w:r>
              <w:rPr>
                <w:webHidden/>
              </w:rPr>
              <w:fldChar w:fldCharType="begin"/>
            </w:r>
            <w:r>
              <w:rPr>
                <w:webHidden/>
              </w:rPr>
              <w:instrText xml:space="preserve"> PAGEREF _Toc81210538 \h </w:instrText>
            </w:r>
            <w:r>
              <w:rPr>
                <w:webHidden/>
              </w:rPr>
            </w:r>
            <w:r>
              <w:rPr>
                <w:webHidden/>
              </w:rPr>
              <w:fldChar w:fldCharType="separate"/>
            </w:r>
            <w:r>
              <w:rPr>
                <w:webHidden/>
              </w:rPr>
              <w:t>3</w:t>
            </w:r>
            <w:r>
              <w:rPr>
                <w:webHidden/>
              </w:rPr>
              <w:fldChar w:fldCharType="end"/>
            </w:r>
          </w:hyperlink>
        </w:p>
        <w:p w14:paraId="1E0F02FF" w14:textId="0D982DD5" w:rsidR="003861BB" w:rsidRDefault="003E6213">
          <w:pPr>
            <w:rPr>
              <w:b/>
              <w:bCs/>
              <w:noProof/>
            </w:rPr>
          </w:pPr>
          <w:r>
            <w:rPr>
              <w:b/>
              <w:bCs/>
              <w:noProof/>
            </w:rPr>
            <w:fldChar w:fldCharType="end"/>
          </w:r>
        </w:p>
        <w:p w14:paraId="3C82652D" w14:textId="77777777" w:rsidR="003861BB" w:rsidRDefault="003861BB">
          <w:pPr>
            <w:rPr>
              <w:b/>
              <w:bCs/>
              <w:noProof/>
            </w:rPr>
          </w:pPr>
        </w:p>
        <w:p w14:paraId="797E4195" w14:textId="77777777" w:rsidR="003861BB" w:rsidRDefault="003861BB">
          <w:pPr>
            <w:rPr>
              <w:b/>
              <w:bCs/>
              <w:noProof/>
            </w:rPr>
          </w:pPr>
        </w:p>
        <w:p w14:paraId="4F65518A" w14:textId="77777777" w:rsidR="003861BB" w:rsidRDefault="003861BB">
          <w:pPr>
            <w:rPr>
              <w:b/>
              <w:bCs/>
              <w:noProof/>
            </w:rPr>
          </w:pPr>
        </w:p>
        <w:p w14:paraId="019313D7" w14:textId="77777777" w:rsidR="003861BB" w:rsidRDefault="003861BB">
          <w:pPr>
            <w:rPr>
              <w:b/>
              <w:bCs/>
              <w:noProof/>
            </w:rPr>
          </w:pPr>
        </w:p>
        <w:p w14:paraId="25FF56F9" w14:textId="77777777" w:rsidR="003861BB" w:rsidRDefault="003861BB">
          <w:pPr>
            <w:rPr>
              <w:b/>
              <w:bCs/>
              <w:noProof/>
            </w:rPr>
          </w:pPr>
        </w:p>
        <w:p w14:paraId="6E960C96" w14:textId="77777777" w:rsidR="003861BB" w:rsidRDefault="003861BB">
          <w:pPr>
            <w:rPr>
              <w:b/>
              <w:bCs/>
              <w:noProof/>
            </w:rPr>
          </w:pPr>
        </w:p>
        <w:p w14:paraId="458B0DC2" w14:textId="77777777" w:rsidR="003861BB" w:rsidRDefault="003861BB">
          <w:pPr>
            <w:rPr>
              <w:b/>
              <w:bCs/>
              <w:noProof/>
            </w:rPr>
          </w:pPr>
        </w:p>
        <w:p w14:paraId="29BCF39B" w14:textId="77777777" w:rsidR="003861BB" w:rsidRDefault="003861BB">
          <w:pPr>
            <w:rPr>
              <w:b/>
              <w:bCs/>
              <w:noProof/>
            </w:rPr>
          </w:pPr>
        </w:p>
        <w:p w14:paraId="61C2A22E" w14:textId="77777777" w:rsidR="003861BB" w:rsidRDefault="003861BB">
          <w:pPr>
            <w:rPr>
              <w:b/>
              <w:bCs/>
              <w:noProof/>
            </w:rPr>
          </w:pPr>
        </w:p>
        <w:p w14:paraId="3279D90C" w14:textId="77777777" w:rsidR="003861BB" w:rsidRDefault="003861BB">
          <w:pPr>
            <w:rPr>
              <w:b/>
              <w:bCs/>
              <w:noProof/>
            </w:rPr>
          </w:pPr>
        </w:p>
        <w:p w14:paraId="1ADCB157" w14:textId="77777777" w:rsidR="003861BB" w:rsidRDefault="003861BB">
          <w:pPr>
            <w:rPr>
              <w:b/>
              <w:bCs/>
              <w:noProof/>
            </w:rPr>
          </w:pPr>
        </w:p>
        <w:p w14:paraId="5E9BC910" w14:textId="77777777" w:rsidR="003861BB" w:rsidRDefault="003861BB">
          <w:pPr>
            <w:rPr>
              <w:b/>
              <w:bCs/>
              <w:noProof/>
            </w:rPr>
          </w:pPr>
        </w:p>
        <w:p w14:paraId="7549B1A4" w14:textId="77777777" w:rsidR="003861BB" w:rsidRDefault="003861BB">
          <w:pPr>
            <w:rPr>
              <w:b/>
              <w:bCs/>
              <w:noProof/>
            </w:rPr>
          </w:pPr>
        </w:p>
        <w:p w14:paraId="15AE328D" w14:textId="77777777" w:rsidR="003861BB" w:rsidRDefault="003861BB">
          <w:pPr>
            <w:rPr>
              <w:b/>
              <w:bCs/>
              <w:noProof/>
            </w:rPr>
          </w:pPr>
        </w:p>
        <w:p w14:paraId="6CE07072" w14:textId="77777777" w:rsidR="003861BB" w:rsidRDefault="003861BB">
          <w:pPr>
            <w:rPr>
              <w:b/>
              <w:bCs/>
              <w:noProof/>
            </w:rPr>
          </w:pPr>
        </w:p>
        <w:p w14:paraId="4D863C29" w14:textId="56D60DE8" w:rsidR="003E6213" w:rsidRDefault="00BB3E11"/>
      </w:sdtContent>
    </w:sdt>
    <w:p w14:paraId="11DE149A" w14:textId="525A28FE" w:rsidR="00967E4E" w:rsidRPr="00456BF6" w:rsidRDefault="00967E4E" w:rsidP="003E6213">
      <w:pPr>
        <w:pStyle w:val="Heading1"/>
        <w:numPr>
          <w:ilvl w:val="0"/>
          <w:numId w:val="18"/>
        </w:numPr>
        <w:ind w:left="284"/>
        <w:rPr>
          <w:sz w:val="36"/>
          <w:szCs w:val="36"/>
        </w:rPr>
      </w:pPr>
      <w:bookmarkStart w:id="0" w:name="_Toc78357997"/>
      <w:bookmarkStart w:id="1" w:name="_Toc80023175"/>
      <w:bookmarkStart w:id="2" w:name="_Toc80023181"/>
      <w:bookmarkStart w:id="3" w:name="_Toc80089239"/>
      <w:bookmarkStart w:id="4" w:name="_Toc81210534"/>
      <w:r w:rsidRPr="00456BF6">
        <w:rPr>
          <w:sz w:val="36"/>
          <w:szCs w:val="36"/>
        </w:rPr>
        <w:t>TEST July 2021</w:t>
      </w:r>
      <w:bookmarkEnd w:id="0"/>
      <w:r w:rsidRPr="00456BF6">
        <w:rPr>
          <w:sz w:val="36"/>
          <w:szCs w:val="36"/>
        </w:rPr>
        <w:t xml:space="preserve"> submissions open</w:t>
      </w:r>
      <w:bookmarkEnd w:id="1"/>
      <w:bookmarkEnd w:id="2"/>
      <w:bookmarkEnd w:id="3"/>
      <w:bookmarkEnd w:id="4"/>
    </w:p>
    <w:p w14:paraId="6C2E4E5E" w14:textId="4DD1C2BC" w:rsidR="00D6530C" w:rsidRDefault="00967E4E" w:rsidP="00967E4E">
      <w:pPr>
        <w:pStyle w:val="Body"/>
      </w:pPr>
      <w:r>
        <w:t xml:space="preserve">Services can submit July 2021 files to TEST for automatic processing. To send a test file please name your file in your usual format and include _test at the end of the file name before uploading to your MFT folder. </w:t>
      </w:r>
    </w:p>
    <w:p w14:paraId="0FC8FFA9" w14:textId="4525E06C" w:rsidR="00967E4E" w:rsidRDefault="00967E4E" w:rsidP="00967E4E">
      <w:pPr>
        <w:pStyle w:val="Body"/>
        <w:rPr>
          <w:rFonts w:eastAsiaTheme="minorHAnsi"/>
          <w:lang w:eastAsia="en-AU"/>
        </w:rPr>
      </w:pPr>
      <w:r>
        <w:t>NOTE: Previous financial years</w:t>
      </w:r>
      <w:r w:rsidR="004D32E7">
        <w:t>’</w:t>
      </w:r>
      <w:r>
        <w:t xml:space="preserve"> data can be submitted to TEST.</w:t>
      </w:r>
      <w:r w:rsidR="00F7659B">
        <w:t xml:space="preserve"> </w:t>
      </w:r>
    </w:p>
    <w:p w14:paraId="759F31F6" w14:textId="77777777" w:rsidR="003E6213" w:rsidRDefault="003E6213" w:rsidP="003E6213">
      <w:pPr>
        <w:pStyle w:val="Body"/>
        <w:spacing w:after="0"/>
        <w:rPr>
          <w:lang w:eastAsia="en-AU"/>
        </w:rPr>
      </w:pPr>
      <w:bookmarkStart w:id="5" w:name="_Toc80023176"/>
      <w:bookmarkStart w:id="6" w:name="_Toc80023182"/>
    </w:p>
    <w:p w14:paraId="2D04B436" w14:textId="03FED295" w:rsidR="00967E4E" w:rsidRPr="00456BF6" w:rsidRDefault="00967E4E" w:rsidP="003E6213">
      <w:pPr>
        <w:pStyle w:val="Heading1"/>
        <w:numPr>
          <w:ilvl w:val="0"/>
          <w:numId w:val="18"/>
        </w:numPr>
        <w:spacing w:before="0"/>
        <w:ind w:left="284"/>
        <w:rPr>
          <w:sz w:val="36"/>
          <w:szCs w:val="36"/>
          <w:lang w:eastAsia="en-AU"/>
        </w:rPr>
      </w:pPr>
      <w:bookmarkStart w:id="7" w:name="_Toc80089240"/>
      <w:bookmarkStart w:id="8" w:name="_Toc81210535"/>
      <w:r w:rsidRPr="00456BF6">
        <w:rPr>
          <w:sz w:val="36"/>
          <w:szCs w:val="36"/>
          <w:lang w:eastAsia="en-AU"/>
        </w:rPr>
        <w:lastRenderedPageBreak/>
        <w:t>L</w:t>
      </w:r>
      <w:r w:rsidR="004F78D7">
        <w:rPr>
          <w:sz w:val="36"/>
          <w:szCs w:val="36"/>
          <w:lang w:eastAsia="en-AU"/>
        </w:rPr>
        <w:t>IVE</w:t>
      </w:r>
      <w:r w:rsidRPr="00456BF6">
        <w:rPr>
          <w:sz w:val="36"/>
          <w:szCs w:val="36"/>
          <w:lang w:eastAsia="en-AU"/>
        </w:rPr>
        <w:t xml:space="preserve"> July 2021 submissions</w:t>
      </w:r>
      <w:bookmarkStart w:id="9" w:name="_Hlk37240926"/>
      <w:bookmarkEnd w:id="5"/>
      <w:bookmarkEnd w:id="6"/>
      <w:bookmarkEnd w:id="7"/>
      <w:r w:rsidR="00075C76" w:rsidRPr="00456BF6">
        <w:rPr>
          <w:sz w:val="36"/>
          <w:szCs w:val="36"/>
          <w:lang w:eastAsia="en-AU"/>
        </w:rPr>
        <w:t xml:space="preserve"> open</w:t>
      </w:r>
      <w:bookmarkEnd w:id="8"/>
    </w:p>
    <w:p w14:paraId="715164F0" w14:textId="61E14FA8" w:rsidR="00D6530C" w:rsidRDefault="00967E4E" w:rsidP="00D6530C">
      <w:pPr>
        <w:pStyle w:val="Body"/>
      </w:pPr>
      <w:r>
        <w:t xml:space="preserve">The </w:t>
      </w:r>
      <w:r w:rsidR="00AF797A">
        <w:t>2021-22 VADC data</w:t>
      </w:r>
      <w:r>
        <w:t xml:space="preserve"> specification has been deployed into the live/production system</w:t>
      </w:r>
      <w:r w:rsidR="007D7C28">
        <w:t xml:space="preserve"> as of 30/08/2021</w:t>
      </w:r>
      <w:r>
        <w:t xml:space="preserve">.  </w:t>
      </w:r>
      <w:r w:rsidR="00FE51DC">
        <w:t xml:space="preserve">Services can now </w:t>
      </w:r>
      <w:r>
        <w:t>submit July’21 files into LIVE/PRODUCTION.</w:t>
      </w:r>
      <w:r w:rsidR="00FE51DC">
        <w:t xml:space="preserve">  To send a file in LIVE/PRODUCTION please name the file in the usual format.</w:t>
      </w:r>
    </w:p>
    <w:p w14:paraId="696CB921" w14:textId="73E494E3" w:rsidR="00D6530C" w:rsidRDefault="00D6530C" w:rsidP="00D6530C">
      <w:pPr>
        <w:pStyle w:val="Body"/>
      </w:pPr>
      <w:r>
        <w:t>NOTE: Previous financial years</w:t>
      </w:r>
      <w:r w:rsidR="004D32E7">
        <w:t>’</w:t>
      </w:r>
      <w:r>
        <w:t xml:space="preserve"> data can be submitted to LIVE/PRODUCTION. </w:t>
      </w:r>
    </w:p>
    <w:p w14:paraId="3C1BFCDA" w14:textId="0C50E039" w:rsidR="008D3261" w:rsidRPr="00D6530C" w:rsidRDefault="008D3261" w:rsidP="00D6530C">
      <w:pPr>
        <w:pStyle w:val="Body"/>
      </w:pPr>
      <w:r>
        <w:t>If you submitted a July 21 file to the production system before 30/08/2021</w:t>
      </w:r>
      <w:r w:rsidR="00321886">
        <w:t>,</w:t>
      </w:r>
      <w:r>
        <w:t xml:space="preserve"> you must resubmit July now that the new updates have been loaded into the</w:t>
      </w:r>
      <w:r w:rsidR="00A642B5">
        <w:t xml:space="preserve"> LIVE/PRODUCTION</w:t>
      </w:r>
      <w:r>
        <w:t xml:space="preserve"> system.  </w:t>
      </w:r>
    </w:p>
    <w:p w14:paraId="50D71034" w14:textId="488A6E00" w:rsidR="003E6213" w:rsidRDefault="00FE51DC" w:rsidP="00D6530C">
      <w:pPr>
        <w:pStyle w:val="Body"/>
      </w:pPr>
      <w:r>
        <w:t xml:space="preserve">  </w:t>
      </w:r>
      <w:bookmarkStart w:id="10" w:name="_Toc80023177"/>
      <w:bookmarkStart w:id="11" w:name="_Toc80023183"/>
    </w:p>
    <w:p w14:paraId="19EB00F1" w14:textId="7297DFDA" w:rsidR="00967E4E" w:rsidRPr="00535D02" w:rsidRDefault="00967E4E" w:rsidP="003E6213">
      <w:pPr>
        <w:pStyle w:val="Heading1"/>
        <w:numPr>
          <w:ilvl w:val="0"/>
          <w:numId w:val="18"/>
        </w:numPr>
        <w:spacing w:before="0"/>
        <w:ind w:left="284"/>
        <w:rPr>
          <w:rFonts w:eastAsia="Times New Roman"/>
          <w:lang w:eastAsia="en-AU"/>
        </w:rPr>
      </w:pPr>
      <w:bookmarkStart w:id="12" w:name="_Toc80089241"/>
      <w:bookmarkStart w:id="13" w:name="_Toc81210536"/>
      <w:r w:rsidRPr="00535D02">
        <w:t>Submission deadline extension</w:t>
      </w:r>
      <w:bookmarkEnd w:id="10"/>
      <w:bookmarkEnd w:id="11"/>
      <w:bookmarkEnd w:id="12"/>
      <w:bookmarkEnd w:id="13"/>
      <w:r w:rsidRPr="00535D02">
        <w:t xml:space="preserve"> </w:t>
      </w:r>
    </w:p>
    <w:p w14:paraId="26868E29" w14:textId="7E2CE283" w:rsidR="003861BB" w:rsidRDefault="00967E4E" w:rsidP="003E6213">
      <w:pPr>
        <w:spacing w:after="0"/>
        <w:rPr>
          <w:rFonts w:cs="Arial"/>
          <w:szCs w:val="21"/>
          <w:lang w:eastAsia="en-AU"/>
        </w:rPr>
      </w:pPr>
      <w:r>
        <w:rPr>
          <w:rFonts w:cs="Arial"/>
          <w:szCs w:val="21"/>
          <w:lang w:eastAsia="en-AU"/>
        </w:rPr>
        <w:t xml:space="preserve">A reminder that as advised in earlier Bulletins, the July 2021 submission deadline (ordinarily 15 August 2021) has been relaxed, and services can submit July 2021 data no later than 15 Sept 2021.  August 2021 data will also be due on Sept 15, 2021. </w:t>
      </w:r>
    </w:p>
    <w:p w14:paraId="2A256EE2" w14:textId="0D89207C" w:rsidR="003861BB" w:rsidRDefault="003861BB" w:rsidP="003E6213">
      <w:pPr>
        <w:spacing w:after="0"/>
        <w:rPr>
          <w:rFonts w:cs="Arial"/>
          <w:szCs w:val="21"/>
          <w:lang w:eastAsia="en-AU"/>
        </w:rPr>
      </w:pPr>
    </w:p>
    <w:p w14:paraId="60AFF482" w14:textId="594419A8" w:rsidR="00456BF6" w:rsidRDefault="00456BF6" w:rsidP="003E6213">
      <w:pPr>
        <w:spacing w:after="0"/>
        <w:rPr>
          <w:rFonts w:cs="Arial"/>
          <w:szCs w:val="21"/>
          <w:lang w:eastAsia="en-AU"/>
        </w:rPr>
      </w:pPr>
    </w:p>
    <w:p w14:paraId="3CF4FE71" w14:textId="08683EC6" w:rsidR="00456BF6" w:rsidRPr="00456BF6" w:rsidRDefault="00456BF6" w:rsidP="00456BF6">
      <w:pPr>
        <w:pStyle w:val="Heading1"/>
        <w:numPr>
          <w:ilvl w:val="0"/>
          <w:numId w:val="18"/>
        </w:numPr>
        <w:spacing w:before="0"/>
        <w:ind w:left="284"/>
        <w:rPr>
          <w:rFonts w:eastAsia="Times New Roman"/>
          <w:sz w:val="36"/>
          <w:szCs w:val="36"/>
          <w:lang w:eastAsia="en-AU"/>
        </w:rPr>
      </w:pPr>
      <w:bookmarkStart w:id="14" w:name="_Toc81210537"/>
      <w:r w:rsidRPr="00456BF6">
        <w:rPr>
          <w:sz w:val="36"/>
          <w:szCs w:val="36"/>
        </w:rPr>
        <w:t>CHOICES reporting commence</w:t>
      </w:r>
      <w:r>
        <w:rPr>
          <w:sz w:val="36"/>
          <w:szCs w:val="36"/>
        </w:rPr>
        <w:t>s</w:t>
      </w:r>
      <w:r w:rsidRPr="00456BF6">
        <w:rPr>
          <w:sz w:val="36"/>
          <w:szCs w:val="36"/>
        </w:rPr>
        <w:t xml:space="preserve"> 1/7/2021</w:t>
      </w:r>
      <w:bookmarkEnd w:id="14"/>
    </w:p>
    <w:p w14:paraId="12EF9B64" w14:textId="3F7B4D6B" w:rsidR="000D7943" w:rsidRDefault="00456BF6" w:rsidP="00456BF6">
      <w:pPr>
        <w:rPr>
          <w:rFonts w:cs="Arial"/>
          <w:szCs w:val="21"/>
          <w:lang w:eastAsia="en-AU"/>
        </w:rPr>
      </w:pPr>
      <w:r>
        <w:rPr>
          <w:rFonts w:cs="Arial"/>
          <w:szCs w:val="21"/>
          <w:lang w:eastAsia="en-AU"/>
        </w:rPr>
        <w:t xml:space="preserve">A reminder </w:t>
      </w:r>
      <w:r w:rsidR="00C250C9">
        <w:rPr>
          <w:rFonts w:cs="Arial"/>
          <w:szCs w:val="21"/>
          <w:lang w:eastAsia="en-AU"/>
        </w:rPr>
        <w:t>to AODTS service providers funded to deliver CHOICES:</w:t>
      </w:r>
      <w:r>
        <w:rPr>
          <w:rFonts w:cs="Arial"/>
          <w:szCs w:val="21"/>
          <w:lang w:eastAsia="en-AU"/>
        </w:rPr>
        <w:t xml:space="preserve"> CHOICES is required for FY 2021-22 VADC reporting, starting from 1/7/2021.  Please record CHOICES </w:t>
      </w:r>
      <w:r w:rsidR="004D32E7">
        <w:rPr>
          <w:rFonts w:cs="Arial"/>
          <w:szCs w:val="21"/>
          <w:lang w:eastAsia="en-AU"/>
        </w:rPr>
        <w:t xml:space="preserve">activity </w:t>
      </w:r>
      <w:r>
        <w:rPr>
          <w:rFonts w:cs="Arial"/>
          <w:szCs w:val="21"/>
          <w:lang w:eastAsia="en-AU"/>
        </w:rPr>
        <w:t>with</w:t>
      </w:r>
      <w:r w:rsidR="000D7943">
        <w:rPr>
          <w:rFonts w:cs="Arial"/>
          <w:szCs w:val="21"/>
          <w:lang w:eastAsia="en-AU"/>
        </w:rPr>
        <w:t>:</w:t>
      </w:r>
      <w:r>
        <w:rPr>
          <w:rFonts w:cs="Arial"/>
          <w:szCs w:val="21"/>
          <w:lang w:eastAsia="en-AU"/>
        </w:rPr>
        <w:t xml:space="preserve"> </w:t>
      </w:r>
    </w:p>
    <w:p w14:paraId="79CCDF07" w14:textId="38310F40" w:rsidR="000D7943" w:rsidRPr="001048B9" w:rsidRDefault="00456BF6" w:rsidP="000D7943">
      <w:pPr>
        <w:pStyle w:val="ListParagraph"/>
        <w:numPr>
          <w:ilvl w:val="0"/>
          <w:numId w:val="19"/>
        </w:numPr>
        <w:rPr>
          <w:rFonts w:ascii="Arial" w:hAnsi="Arial" w:cs="Arial"/>
          <w:sz w:val="21"/>
          <w:szCs w:val="21"/>
          <w:lang w:eastAsia="en-AU"/>
        </w:rPr>
      </w:pPr>
      <w:r w:rsidRPr="001048B9">
        <w:rPr>
          <w:rFonts w:ascii="Arial" w:hAnsi="Arial" w:cs="Arial"/>
          <w:sz w:val="21"/>
          <w:szCs w:val="21"/>
          <w:lang w:eastAsia="en-AU"/>
        </w:rPr>
        <w:t xml:space="preserve">Funding source code = 109 (Vic State Gov – Low Risk Offender Program) </w:t>
      </w:r>
      <w:r w:rsidR="00040358" w:rsidRPr="00040358">
        <w:rPr>
          <w:rFonts w:ascii="Arial" w:hAnsi="Arial" w:cs="Arial"/>
          <w:b/>
          <w:bCs/>
          <w:sz w:val="21"/>
          <w:szCs w:val="21"/>
          <w:lang w:eastAsia="en-AU"/>
        </w:rPr>
        <w:t>AND</w:t>
      </w:r>
    </w:p>
    <w:p w14:paraId="28CEB0E8" w14:textId="23547302" w:rsidR="00456BF6" w:rsidRPr="001048B9" w:rsidRDefault="00456BF6" w:rsidP="00304DC1">
      <w:pPr>
        <w:pStyle w:val="ListParagraph"/>
        <w:numPr>
          <w:ilvl w:val="0"/>
          <w:numId w:val="19"/>
        </w:numPr>
        <w:rPr>
          <w:rFonts w:ascii="Arial" w:hAnsi="Arial" w:cs="Arial"/>
          <w:sz w:val="21"/>
          <w:szCs w:val="21"/>
          <w:lang w:eastAsia="en-AU"/>
        </w:rPr>
      </w:pPr>
      <w:r w:rsidRPr="001048B9">
        <w:rPr>
          <w:rFonts w:ascii="Arial" w:hAnsi="Arial" w:cs="Arial"/>
          <w:sz w:val="21"/>
          <w:szCs w:val="21"/>
          <w:lang w:eastAsia="en-AU"/>
        </w:rPr>
        <w:t>Service stream code = 21 (Brief intervention).</w:t>
      </w:r>
    </w:p>
    <w:p w14:paraId="24993A98" w14:textId="223CDD51" w:rsidR="00456BF6" w:rsidRDefault="00456BF6" w:rsidP="003E6213">
      <w:pPr>
        <w:spacing w:after="0"/>
        <w:rPr>
          <w:rFonts w:cs="Arial"/>
          <w:szCs w:val="21"/>
          <w:lang w:eastAsia="en-AU"/>
        </w:rPr>
      </w:pPr>
    </w:p>
    <w:p w14:paraId="1403266C" w14:textId="57E5C756" w:rsidR="00456BF6" w:rsidRDefault="00456BF6" w:rsidP="003E6213">
      <w:pPr>
        <w:spacing w:after="0"/>
        <w:rPr>
          <w:rFonts w:cs="Arial"/>
          <w:szCs w:val="21"/>
          <w:lang w:eastAsia="en-AU"/>
        </w:rPr>
      </w:pPr>
    </w:p>
    <w:p w14:paraId="251D20BC" w14:textId="2070DEB9" w:rsidR="00456BF6" w:rsidRDefault="00456BF6" w:rsidP="003E6213">
      <w:pPr>
        <w:spacing w:after="0"/>
        <w:rPr>
          <w:rFonts w:cs="Arial"/>
          <w:szCs w:val="21"/>
          <w:lang w:eastAsia="en-AU"/>
        </w:rPr>
      </w:pPr>
    </w:p>
    <w:p w14:paraId="251D233E" w14:textId="39758DD5" w:rsidR="00456BF6" w:rsidRDefault="00456BF6" w:rsidP="003E6213">
      <w:pPr>
        <w:spacing w:after="0"/>
        <w:rPr>
          <w:rFonts w:cs="Arial"/>
          <w:szCs w:val="21"/>
          <w:lang w:eastAsia="en-AU"/>
        </w:rPr>
      </w:pPr>
    </w:p>
    <w:p w14:paraId="6DCEE530" w14:textId="0C6B4EF9" w:rsidR="00456BF6" w:rsidRDefault="00456BF6" w:rsidP="003E6213">
      <w:pPr>
        <w:spacing w:after="0"/>
        <w:rPr>
          <w:rFonts w:cs="Arial"/>
          <w:szCs w:val="21"/>
          <w:lang w:eastAsia="en-AU"/>
        </w:rPr>
      </w:pPr>
    </w:p>
    <w:p w14:paraId="0BC1652D" w14:textId="61EAB3AE" w:rsidR="00456BF6" w:rsidRDefault="00456BF6" w:rsidP="003E6213">
      <w:pPr>
        <w:spacing w:after="0"/>
        <w:rPr>
          <w:rFonts w:cs="Arial"/>
          <w:szCs w:val="21"/>
          <w:lang w:eastAsia="en-AU"/>
        </w:rPr>
      </w:pPr>
    </w:p>
    <w:p w14:paraId="03FC152C" w14:textId="353CA18D" w:rsidR="00456BF6" w:rsidRDefault="00456BF6" w:rsidP="003E6213">
      <w:pPr>
        <w:spacing w:after="0"/>
        <w:rPr>
          <w:rFonts w:cs="Arial"/>
          <w:szCs w:val="21"/>
          <w:lang w:eastAsia="en-AU"/>
        </w:rPr>
      </w:pPr>
    </w:p>
    <w:p w14:paraId="720E8146" w14:textId="291F7CBA" w:rsidR="00456BF6" w:rsidRDefault="00456BF6" w:rsidP="003E6213">
      <w:pPr>
        <w:spacing w:after="0"/>
        <w:rPr>
          <w:rFonts w:cs="Arial"/>
          <w:szCs w:val="21"/>
          <w:lang w:eastAsia="en-AU"/>
        </w:rPr>
      </w:pPr>
    </w:p>
    <w:p w14:paraId="3800A80A" w14:textId="1D1B4F2B" w:rsidR="00456BF6" w:rsidRDefault="00456BF6" w:rsidP="003E6213">
      <w:pPr>
        <w:spacing w:after="0"/>
        <w:rPr>
          <w:rFonts w:cs="Arial"/>
          <w:szCs w:val="21"/>
          <w:lang w:eastAsia="en-AU"/>
        </w:rPr>
      </w:pPr>
    </w:p>
    <w:p w14:paraId="3BB8EFC6" w14:textId="446AFC2A" w:rsidR="00456BF6" w:rsidRDefault="00456BF6" w:rsidP="003E6213">
      <w:pPr>
        <w:spacing w:after="0"/>
        <w:rPr>
          <w:rFonts w:cs="Arial"/>
          <w:szCs w:val="21"/>
          <w:lang w:eastAsia="en-AU"/>
        </w:rPr>
      </w:pPr>
    </w:p>
    <w:p w14:paraId="5758A2B6" w14:textId="7FA3123B" w:rsidR="00456BF6" w:rsidRDefault="00456BF6" w:rsidP="003E6213">
      <w:pPr>
        <w:spacing w:after="0"/>
        <w:rPr>
          <w:rFonts w:cs="Arial"/>
          <w:szCs w:val="21"/>
          <w:lang w:eastAsia="en-AU"/>
        </w:rPr>
      </w:pPr>
    </w:p>
    <w:p w14:paraId="2DFF4C22" w14:textId="2B3C9197" w:rsidR="00456BF6" w:rsidRDefault="00456BF6" w:rsidP="003E6213">
      <w:pPr>
        <w:spacing w:after="0"/>
        <w:rPr>
          <w:rFonts w:cs="Arial"/>
          <w:szCs w:val="21"/>
          <w:lang w:eastAsia="en-AU"/>
        </w:rPr>
      </w:pPr>
    </w:p>
    <w:p w14:paraId="4DAA26DF" w14:textId="34F19FD9" w:rsidR="00456BF6" w:rsidRDefault="00456BF6" w:rsidP="003E6213">
      <w:pPr>
        <w:spacing w:after="0"/>
        <w:rPr>
          <w:rFonts w:cs="Arial"/>
          <w:szCs w:val="21"/>
          <w:lang w:eastAsia="en-AU"/>
        </w:rPr>
      </w:pPr>
    </w:p>
    <w:p w14:paraId="348E13F6" w14:textId="5C78EEDA" w:rsidR="00456BF6" w:rsidRDefault="00456BF6" w:rsidP="003E6213">
      <w:pPr>
        <w:spacing w:after="0"/>
        <w:rPr>
          <w:rFonts w:cs="Arial"/>
          <w:szCs w:val="21"/>
          <w:lang w:eastAsia="en-AU"/>
        </w:rPr>
      </w:pPr>
    </w:p>
    <w:p w14:paraId="26700B98" w14:textId="3FC86796" w:rsidR="00456BF6" w:rsidRDefault="00456BF6" w:rsidP="003E6213">
      <w:pPr>
        <w:spacing w:after="0"/>
        <w:rPr>
          <w:rFonts w:cs="Arial"/>
          <w:szCs w:val="21"/>
          <w:lang w:eastAsia="en-AU"/>
        </w:rPr>
      </w:pPr>
    </w:p>
    <w:p w14:paraId="063ACC99" w14:textId="519FD426" w:rsidR="00456BF6" w:rsidRDefault="00456BF6" w:rsidP="003E6213">
      <w:pPr>
        <w:spacing w:after="0"/>
        <w:rPr>
          <w:rFonts w:cs="Arial"/>
          <w:szCs w:val="21"/>
          <w:lang w:eastAsia="en-AU"/>
        </w:rPr>
      </w:pPr>
    </w:p>
    <w:p w14:paraId="7B9A9E67" w14:textId="2B2689B7" w:rsidR="00456BF6" w:rsidRDefault="00456BF6" w:rsidP="003E6213">
      <w:pPr>
        <w:spacing w:after="0"/>
        <w:rPr>
          <w:rFonts w:cs="Arial"/>
          <w:szCs w:val="21"/>
          <w:lang w:eastAsia="en-AU"/>
        </w:rPr>
      </w:pPr>
    </w:p>
    <w:p w14:paraId="007DFCDD" w14:textId="0189189C" w:rsidR="00456BF6" w:rsidRDefault="00456BF6" w:rsidP="003E6213">
      <w:pPr>
        <w:spacing w:after="0"/>
        <w:rPr>
          <w:rFonts w:cs="Arial"/>
          <w:szCs w:val="21"/>
          <w:lang w:eastAsia="en-AU"/>
        </w:rPr>
      </w:pPr>
    </w:p>
    <w:p w14:paraId="0381D884" w14:textId="4AEBAB3A" w:rsidR="00456BF6" w:rsidRDefault="00456BF6" w:rsidP="003E6213">
      <w:pPr>
        <w:spacing w:after="0"/>
        <w:rPr>
          <w:rFonts w:cs="Arial"/>
          <w:szCs w:val="21"/>
          <w:lang w:eastAsia="en-AU"/>
        </w:rPr>
      </w:pPr>
    </w:p>
    <w:p w14:paraId="4E14BD51" w14:textId="77777777" w:rsidR="00E249AF" w:rsidRDefault="00E249AF" w:rsidP="003E6213">
      <w:pPr>
        <w:spacing w:after="0"/>
        <w:rPr>
          <w:rFonts w:cs="Arial"/>
          <w:szCs w:val="21"/>
          <w:lang w:eastAsia="en-AU"/>
        </w:rPr>
      </w:pPr>
    </w:p>
    <w:p w14:paraId="7BB1CF92" w14:textId="1484DA10" w:rsidR="003861BB" w:rsidRPr="00456BF6" w:rsidRDefault="003861BB" w:rsidP="003861BB">
      <w:pPr>
        <w:pStyle w:val="Heading1"/>
        <w:numPr>
          <w:ilvl w:val="0"/>
          <w:numId w:val="18"/>
        </w:numPr>
        <w:spacing w:before="0"/>
        <w:ind w:left="284"/>
        <w:rPr>
          <w:rFonts w:eastAsia="Times New Roman"/>
          <w:sz w:val="36"/>
          <w:szCs w:val="36"/>
          <w:lang w:eastAsia="en-AU"/>
        </w:rPr>
      </w:pPr>
      <w:bookmarkStart w:id="15" w:name="_Toc81210538"/>
      <w:r w:rsidRPr="00456BF6">
        <w:rPr>
          <w:sz w:val="36"/>
          <w:szCs w:val="36"/>
        </w:rPr>
        <w:t>Clarification to TIER VADC Data Specification 2021</w:t>
      </w:r>
      <w:r w:rsidR="00F002AA" w:rsidRPr="00456BF6">
        <w:rPr>
          <w:sz w:val="36"/>
          <w:szCs w:val="36"/>
        </w:rPr>
        <w:t>-22 V1.0</w:t>
      </w:r>
      <w:bookmarkEnd w:id="15"/>
    </w:p>
    <w:p w14:paraId="4D2B4F25" w14:textId="77777777" w:rsidR="00B5582F" w:rsidRDefault="0054672C" w:rsidP="003861BB">
      <w:pPr>
        <w:spacing w:after="0"/>
        <w:rPr>
          <w:rFonts w:cs="Arial"/>
          <w:b/>
          <w:bCs/>
          <w:szCs w:val="21"/>
          <w:lang w:eastAsia="en-AU"/>
        </w:rPr>
      </w:pPr>
      <w:r>
        <w:rPr>
          <w:rFonts w:cs="Arial"/>
          <w:szCs w:val="21"/>
          <w:lang w:eastAsia="en-AU"/>
        </w:rPr>
        <w:t xml:space="preserve">In response to </w:t>
      </w:r>
      <w:r w:rsidR="00E249AF">
        <w:rPr>
          <w:rFonts w:cs="Arial"/>
          <w:szCs w:val="21"/>
          <w:lang w:eastAsia="en-AU"/>
        </w:rPr>
        <w:t>a query</w:t>
      </w:r>
      <w:r>
        <w:rPr>
          <w:rFonts w:cs="Arial"/>
          <w:szCs w:val="21"/>
          <w:lang w:eastAsia="en-AU"/>
        </w:rPr>
        <w:t xml:space="preserve"> </w:t>
      </w:r>
      <w:r w:rsidR="00E249AF">
        <w:rPr>
          <w:rFonts w:cs="Arial"/>
          <w:szCs w:val="21"/>
          <w:lang w:eastAsia="en-AU"/>
        </w:rPr>
        <w:t>on</w:t>
      </w:r>
      <w:r>
        <w:rPr>
          <w:rFonts w:cs="Arial"/>
          <w:szCs w:val="21"/>
          <w:lang w:eastAsia="en-AU"/>
        </w:rPr>
        <w:t xml:space="preserve"> the reporting requirement for </w:t>
      </w:r>
      <w:r w:rsidRPr="0054672C">
        <w:rPr>
          <w:rFonts w:cs="Arial"/>
          <w:b/>
          <w:bCs/>
          <w:szCs w:val="21"/>
          <w:lang w:eastAsia="en-AU"/>
        </w:rPr>
        <w:t>Event-TIER</w:t>
      </w:r>
      <w:r w:rsidR="00B5582F">
        <w:rPr>
          <w:rFonts w:cs="Arial"/>
          <w:b/>
          <w:bCs/>
          <w:szCs w:val="21"/>
          <w:lang w:eastAsia="en-AU"/>
        </w:rPr>
        <w:t xml:space="preserve"> the following clarification is provided:</w:t>
      </w:r>
    </w:p>
    <w:p w14:paraId="46895A4B" w14:textId="7855C65A" w:rsidR="00B5582F" w:rsidRDefault="00B5582F" w:rsidP="003861BB">
      <w:pPr>
        <w:spacing w:after="0"/>
        <w:rPr>
          <w:rFonts w:cs="Arial"/>
          <w:szCs w:val="21"/>
          <w:lang w:eastAsia="en-AU"/>
        </w:rPr>
      </w:pPr>
    </w:p>
    <w:p w14:paraId="6F751D61" w14:textId="38A5AA77" w:rsidR="003861BB" w:rsidRDefault="00F002AA" w:rsidP="003861BB">
      <w:pPr>
        <w:spacing w:after="0"/>
        <w:rPr>
          <w:rFonts w:cs="Arial"/>
          <w:szCs w:val="21"/>
          <w:lang w:eastAsia="en-AU"/>
        </w:rPr>
      </w:pPr>
      <w:r w:rsidRPr="0054672C">
        <w:rPr>
          <w:rFonts w:cs="Arial"/>
          <w:b/>
          <w:bCs/>
          <w:szCs w:val="21"/>
          <w:lang w:eastAsia="en-AU"/>
        </w:rPr>
        <w:t>Use null</w:t>
      </w:r>
      <w:r w:rsidRPr="00F002AA">
        <w:rPr>
          <w:rFonts w:cs="Arial"/>
          <w:szCs w:val="21"/>
          <w:lang w:eastAsia="en-AU"/>
        </w:rPr>
        <w:t xml:space="preserve"> for </w:t>
      </w:r>
      <w:r w:rsidR="0054672C">
        <w:rPr>
          <w:rFonts w:cs="Arial"/>
          <w:szCs w:val="21"/>
          <w:lang w:eastAsia="en-AU"/>
        </w:rPr>
        <w:t xml:space="preserve">the following Service Event Types: </w:t>
      </w:r>
      <w:r w:rsidRPr="00F002AA">
        <w:rPr>
          <w:rFonts w:cs="Arial"/>
          <w:szCs w:val="21"/>
          <w:lang w:eastAsia="en-AU"/>
        </w:rPr>
        <w:t xml:space="preserve">Presentation, Support and Review </w:t>
      </w:r>
      <w:r w:rsidR="0054672C">
        <w:rPr>
          <w:rFonts w:cs="Arial"/>
          <w:szCs w:val="21"/>
          <w:u w:val="single"/>
          <w:lang w:eastAsia="en-AU"/>
        </w:rPr>
        <w:t>OR</w:t>
      </w:r>
      <w:r w:rsidRPr="00F002AA">
        <w:rPr>
          <w:rFonts w:cs="Arial"/>
          <w:szCs w:val="21"/>
          <w:lang w:eastAsia="en-AU"/>
        </w:rPr>
        <w:t xml:space="preserve"> when </w:t>
      </w:r>
      <w:r w:rsidR="0054672C">
        <w:rPr>
          <w:rFonts w:cs="Arial"/>
          <w:szCs w:val="21"/>
          <w:lang w:eastAsia="en-AU"/>
        </w:rPr>
        <w:t xml:space="preserve">service event has not ended for </w:t>
      </w:r>
      <w:r w:rsidRPr="00F002AA">
        <w:rPr>
          <w:rFonts w:cs="Arial"/>
          <w:szCs w:val="21"/>
          <w:lang w:eastAsia="en-AU"/>
        </w:rPr>
        <w:t>Service Event Type</w:t>
      </w:r>
      <w:r w:rsidR="0054672C">
        <w:rPr>
          <w:rFonts w:cs="Arial"/>
          <w:szCs w:val="21"/>
          <w:lang w:eastAsia="en-AU"/>
        </w:rPr>
        <w:t>s:</w:t>
      </w:r>
      <w:r w:rsidRPr="00F002AA">
        <w:rPr>
          <w:rFonts w:cs="Arial"/>
          <w:szCs w:val="21"/>
          <w:lang w:eastAsia="en-AU"/>
        </w:rPr>
        <w:t xml:space="preserve"> Assessment or Treatment. </w:t>
      </w:r>
      <w:r w:rsidRPr="00A642B5">
        <w:rPr>
          <w:rFonts w:cs="Arial"/>
          <w:b/>
          <w:bCs/>
          <w:szCs w:val="21"/>
          <w:highlight w:val="green"/>
          <w:lang w:eastAsia="en-AU"/>
        </w:rPr>
        <w:t>It is optional to report</w:t>
      </w:r>
      <w:r w:rsidRPr="00A642B5">
        <w:rPr>
          <w:rFonts w:cs="Arial"/>
          <w:szCs w:val="21"/>
          <w:highlight w:val="green"/>
          <w:lang w:eastAsia="en-AU"/>
        </w:rPr>
        <w:t xml:space="preserve"> TIER for </w:t>
      </w:r>
      <w:r w:rsidR="003A4765" w:rsidRPr="00A642B5">
        <w:rPr>
          <w:rFonts w:cs="Arial"/>
          <w:szCs w:val="21"/>
          <w:highlight w:val="green"/>
          <w:lang w:eastAsia="en-AU"/>
        </w:rPr>
        <w:t xml:space="preserve">ended </w:t>
      </w:r>
      <w:r w:rsidR="0054672C" w:rsidRPr="00A642B5">
        <w:rPr>
          <w:rFonts w:cs="Arial"/>
          <w:szCs w:val="21"/>
          <w:highlight w:val="green"/>
          <w:lang w:eastAsia="en-AU"/>
        </w:rPr>
        <w:t>T</w:t>
      </w:r>
      <w:r w:rsidRPr="00A642B5">
        <w:rPr>
          <w:rFonts w:cs="Arial"/>
          <w:szCs w:val="21"/>
          <w:highlight w:val="green"/>
          <w:lang w:eastAsia="en-AU"/>
        </w:rPr>
        <w:t xml:space="preserve">reatment but </w:t>
      </w:r>
      <w:r w:rsidRPr="00A642B5">
        <w:rPr>
          <w:rFonts w:cs="Arial"/>
          <w:b/>
          <w:bCs/>
          <w:szCs w:val="21"/>
          <w:highlight w:val="green"/>
          <w:lang w:eastAsia="en-AU"/>
        </w:rPr>
        <w:t>mandatory to report</w:t>
      </w:r>
      <w:r w:rsidRPr="00A642B5">
        <w:rPr>
          <w:rFonts w:cs="Arial"/>
          <w:szCs w:val="21"/>
          <w:highlight w:val="green"/>
          <w:lang w:eastAsia="en-AU"/>
        </w:rPr>
        <w:t xml:space="preserve"> TIER for</w:t>
      </w:r>
      <w:r w:rsidR="003A4765" w:rsidRPr="00A642B5">
        <w:rPr>
          <w:rFonts w:cs="Arial"/>
          <w:szCs w:val="21"/>
          <w:highlight w:val="green"/>
          <w:lang w:eastAsia="en-AU"/>
        </w:rPr>
        <w:t xml:space="preserve"> ended</w:t>
      </w:r>
      <w:r w:rsidRPr="00A642B5">
        <w:rPr>
          <w:rFonts w:cs="Arial"/>
          <w:szCs w:val="21"/>
          <w:highlight w:val="green"/>
          <w:lang w:eastAsia="en-AU"/>
        </w:rPr>
        <w:t xml:space="preserve"> </w:t>
      </w:r>
      <w:r w:rsidR="0054672C" w:rsidRPr="00A642B5">
        <w:rPr>
          <w:rFonts w:cs="Arial"/>
          <w:szCs w:val="21"/>
          <w:highlight w:val="green"/>
          <w:lang w:eastAsia="en-AU"/>
        </w:rPr>
        <w:t>A</w:t>
      </w:r>
      <w:r w:rsidRPr="00A642B5">
        <w:rPr>
          <w:rFonts w:cs="Arial"/>
          <w:szCs w:val="21"/>
          <w:highlight w:val="green"/>
          <w:lang w:eastAsia="en-AU"/>
        </w:rPr>
        <w:t>ssessment</w:t>
      </w:r>
      <w:r w:rsidR="003A4765" w:rsidRPr="00A642B5">
        <w:rPr>
          <w:rFonts w:cs="Arial"/>
          <w:szCs w:val="21"/>
          <w:highlight w:val="green"/>
          <w:lang w:eastAsia="en-AU"/>
        </w:rPr>
        <w:t>.</w:t>
      </w:r>
    </w:p>
    <w:p w14:paraId="624B7073" w14:textId="0325D581" w:rsidR="003A4765" w:rsidRDefault="003A4765" w:rsidP="003861BB">
      <w:pPr>
        <w:spacing w:after="0"/>
        <w:rPr>
          <w:rFonts w:cs="Arial"/>
          <w:szCs w:val="21"/>
          <w:lang w:eastAsia="en-AU"/>
        </w:rPr>
      </w:pPr>
    </w:p>
    <w:p w14:paraId="15A89378" w14:textId="21FEDD2F" w:rsidR="0054672C" w:rsidRPr="00AF022B" w:rsidRDefault="0054672C" w:rsidP="00304DC1">
      <w:pPr>
        <w:pStyle w:val="Body"/>
      </w:pPr>
      <w:bookmarkStart w:id="16" w:name="_Toc525122755"/>
      <w:bookmarkStart w:id="17" w:name="_Toc69734973"/>
      <w:r>
        <w:t>5.4.21</w:t>
      </w:r>
      <w:r>
        <w:tab/>
      </w:r>
      <w:r w:rsidRPr="00AF022B">
        <w:t>Event—TIER—N</w:t>
      </w:r>
      <w:bookmarkEnd w:id="16"/>
      <w:bookmarkEnd w:id="1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4672C" w:rsidRPr="00AF022B" w14:paraId="2944BD5B" w14:textId="77777777" w:rsidTr="00E71B1B">
        <w:trPr>
          <w:trHeight w:val="295"/>
        </w:trPr>
        <w:tc>
          <w:tcPr>
            <w:tcW w:w="9720" w:type="dxa"/>
            <w:gridSpan w:val="4"/>
            <w:tcBorders>
              <w:top w:val="single" w:sz="4" w:space="0" w:color="auto"/>
              <w:bottom w:val="nil"/>
            </w:tcBorders>
            <w:shd w:val="clear" w:color="auto" w:fill="auto"/>
          </w:tcPr>
          <w:p w14:paraId="7F2E2B6C" w14:textId="77777777" w:rsidR="0054672C" w:rsidRPr="00AF022B" w:rsidRDefault="0054672C" w:rsidP="00E71B1B">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54672C" w:rsidRPr="00AF022B" w14:paraId="4A6BBF72" w14:textId="77777777" w:rsidTr="00E71B1B">
        <w:trPr>
          <w:trHeight w:val="294"/>
        </w:trPr>
        <w:tc>
          <w:tcPr>
            <w:tcW w:w="2520" w:type="dxa"/>
            <w:tcBorders>
              <w:top w:val="nil"/>
              <w:bottom w:val="single" w:sz="4" w:space="0" w:color="auto"/>
            </w:tcBorders>
            <w:shd w:val="clear" w:color="auto" w:fill="auto"/>
          </w:tcPr>
          <w:p w14:paraId="4D210DEC" w14:textId="77777777" w:rsidR="0054672C" w:rsidRPr="00AF022B" w:rsidRDefault="0054672C" w:rsidP="00E71B1B">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81FE39D" w14:textId="77777777" w:rsidR="0054672C" w:rsidRPr="00AF022B" w:rsidRDefault="0054672C" w:rsidP="00E71B1B">
            <w:pPr>
              <w:pStyle w:val="DHHSbody"/>
            </w:pPr>
            <w:r w:rsidRPr="00AF022B">
              <w:t>Record the client’s TIER as assessed by a clinician</w:t>
            </w:r>
          </w:p>
        </w:tc>
      </w:tr>
      <w:tr w:rsidR="0054672C" w:rsidRPr="00433C91" w14:paraId="65569364" w14:textId="77777777" w:rsidTr="00E71B1B">
        <w:trPr>
          <w:trHeight w:val="295"/>
        </w:trPr>
        <w:tc>
          <w:tcPr>
            <w:tcW w:w="9720" w:type="dxa"/>
            <w:gridSpan w:val="4"/>
            <w:tcBorders>
              <w:top w:val="single" w:sz="4" w:space="0" w:color="auto"/>
            </w:tcBorders>
            <w:shd w:val="clear" w:color="auto" w:fill="auto"/>
          </w:tcPr>
          <w:p w14:paraId="229C6836" w14:textId="77777777" w:rsidR="0054672C" w:rsidRPr="00433C91" w:rsidRDefault="0054672C" w:rsidP="00E71B1B">
            <w:pPr>
              <w:keepNext/>
              <w:keepLines/>
              <w:spacing w:before="120"/>
              <w:rPr>
                <w:rFonts w:ascii="Verdana" w:hAnsi="Verdana"/>
                <w:b/>
                <w:bCs/>
                <w:sz w:val="24"/>
              </w:rPr>
            </w:pPr>
            <w:r w:rsidRPr="00433C91">
              <w:rPr>
                <w:rFonts w:ascii="Verdana" w:hAnsi="Verdana"/>
                <w:b/>
                <w:bCs/>
                <w:sz w:val="24"/>
              </w:rPr>
              <w:t>Value domain attributes</w:t>
            </w:r>
          </w:p>
        </w:tc>
      </w:tr>
      <w:tr w:rsidR="0054672C" w:rsidRPr="00AF022B" w14:paraId="41686A48" w14:textId="77777777" w:rsidTr="00E71B1B">
        <w:trPr>
          <w:cantSplit/>
          <w:trHeight w:val="295"/>
        </w:trPr>
        <w:tc>
          <w:tcPr>
            <w:tcW w:w="9720" w:type="dxa"/>
            <w:gridSpan w:val="4"/>
            <w:shd w:val="clear" w:color="auto" w:fill="auto"/>
          </w:tcPr>
          <w:p w14:paraId="456150E0" w14:textId="77777777" w:rsidR="0054672C" w:rsidRPr="00AF022B" w:rsidRDefault="0054672C" w:rsidP="00E71B1B">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54672C" w:rsidRPr="00AF022B" w14:paraId="71B319E1" w14:textId="77777777" w:rsidTr="00E71B1B">
        <w:trPr>
          <w:trHeight w:val="295"/>
        </w:trPr>
        <w:tc>
          <w:tcPr>
            <w:tcW w:w="2520" w:type="dxa"/>
            <w:shd w:val="clear" w:color="auto" w:fill="auto"/>
          </w:tcPr>
          <w:p w14:paraId="5DC21BE1" w14:textId="77777777" w:rsidR="0054672C" w:rsidRPr="00AF022B" w:rsidRDefault="0054672C" w:rsidP="00E71B1B">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7AB46AC4" w14:textId="77777777" w:rsidR="0054672C" w:rsidRPr="00AF022B" w:rsidRDefault="0054672C" w:rsidP="00E71B1B">
            <w:pPr>
              <w:pStyle w:val="DHHSbody"/>
            </w:pPr>
            <w:r w:rsidRPr="00AF022B">
              <w:t>Code</w:t>
            </w:r>
          </w:p>
        </w:tc>
        <w:tc>
          <w:tcPr>
            <w:tcW w:w="2880" w:type="dxa"/>
            <w:shd w:val="clear" w:color="auto" w:fill="auto"/>
          </w:tcPr>
          <w:p w14:paraId="7670CDD9" w14:textId="77777777" w:rsidR="0054672C" w:rsidRPr="00AF022B" w:rsidRDefault="0054672C" w:rsidP="00E71B1B">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095E65B" w14:textId="77777777" w:rsidR="0054672C" w:rsidRPr="00AF022B" w:rsidRDefault="0054672C" w:rsidP="00E71B1B">
            <w:pPr>
              <w:pStyle w:val="DHHSbody"/>
            </w:pPr>
            <w:r w:rsidRPr="00AF022B">
              <w:t>Number</w:t>
            </w:r>
          </w:p>
        </w:tc>
      </w:tr>
      <w:tr w:rsidR="0054672C" w:rsidRPr="00AF022B" w14:paraId="6F354384" w14:textId="77777777" w:rsidTr="00E71B1B">
        <w:trPr>
          <w:trHeight w:val="295"/>
        </w:trPr>
        <w:tc>
          <w:tcPr>
            <w:tcW w:w="2520" w:type="dxa"/>
            <w:shd w:val="clear" w:color="auto" w:fill="auto"/>
          </w:tcPr>
          <w:p w14:paraId="7EF4D15C" w14:textId="77777777" w:rsidR="0054672C" w:rsidRPr="00AF022B" w:rsidRDefault="0054672C" w:rsidP="00E71B1B">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110A3BF" w14:textId="77777777" w:rsidR="0054672C" w:rsidRPr="00AF022B" w:rsidRDefault="0054672C" w:rsidP="00E71B1B">
            <w:pPr>
              <w:pStyle w:val="DHHSbody"/>
            </w:pPr>
            <w:r w:rsidRPr="00AF022B">
              <w:t>N</w:t>
            </w:r>
          </w:p>
        </w:tc>
        <w:tc>
          <w:tcPr>
            <w:tcW w:w="2880" w:type="dxa"/>
            <w:shd w:val="clear" w:color="auto" w:fill="auto"/>
          </w:tcPr>
          <w:p w14:paraId="46668A76" w14:textId="77777777" w:rsidR="0054672C" w:rsidRPr="00AF022B" w:rsidRDefault="0054672C" w:rsidP="00E71B1B">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6DAB3EC" w14:textId="77777777" w:rsidR="0054672C" w:rsidRPr="00AF022B" w:rsidRDefault="0054672C" w:rsidP="00E71B1B">
            <w:pPr>
              <w:pStyle w:val="DHHSbody"/>
            </w:pPr>
            <w:r w:rsidRPr="00AF022B">
              <w:t>1</w:t>
            </w:r>
          </w:p>
        </w:tc>
      </w:tr>
      <w:tr w:rsidR="0054672C" w:rsidRPr="00AF022B" w14:paraId="70511036" w14:textId="77777777" w:rsidTr="00E71B1B">
        <w:trPr>
          <w:trHeight w:val="294"/>
        </w:trPr>
        <w:tc>
          <w:tcPr>
            <w:tcW w:w="2520" w:type="dxa"/>
            <w:shd w:val="clear" w:color="auto" w:fill="auto"/>
          </w:tcPr>
          <w:p w14:paraId="696C1689" w14:textId="77777777" w:rsidR="0054672C" w:rsidRPr="00AF022B" w:rsidRDefault="0054672C" w:rsidP="00E71B1B">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72A98213" w14:textId="77777777" w:rsidR="0054672C" w:rsidRPr="00AF022B" w:rsidRDefault="0054672C" w:rsidP="00E71B1B">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6BEFF9DA" w14:textId="77777777" w:rsidR="0054672C" w:rsidRPr="00AF022B" w:rsidRDefault="0054672C" w:rsidP="00E71B1B">
            <w:pPr>
              <w:spacing w:before="40" w:after="40"/>
              <w:rPr>
                <w:rFonts w:ascii="Verdana" w:hAnsi="Verdana"/>
                <w:b/>
                <w:i/>
                <w:w w:val="90"/>
                <w:sz w:val="18"/>
                <w:szCs w:val="18"/>
              </w:rPr>
            </w:pPr>
            <w:r w:rsidRPr="00AF022B">
              <w:rPr>
                <w:rFonts w:ascii="Verdana" w:hAnsi="Verdana"/>
                <w:b/>
                <w:i/>
                <w:w w:val="90"/>
                <w:sz w:val="18"/>
                <w:szCs w:val="18"/>
              </w:rPr>
              <w:t>Meaning</w:t>
            </w:r>
          </w:p>
        </w:tc>
      </w:tr>
      <w:tr w:rsidR="0054672C" w:rsidRPr="00AF022B" w14:paraId="2038AE3C" w14:textId="77777777" w:rsidTr="00E71B1B">
        <w:trPr>
          <w:trHeight w:val="294"/>
        </w:trPr>
        <w:tc>
          <w:tcPr>
            <w:tcW w:w="2520" w:type="dxa"/>
            <w:shd w:val="clear" w:color="auto" w:fill="auto"/>
          </w:tcPr>
          <w:p w14:paraId="70E7D6BC" w14:textId="77777777" w:rsidR="0054672C" w:rsidRPr="00AF022B" w:rsidRDefault="0054672C" w:rsidP="00E71B1B">
            <w:pPr>
              <w:spacing w:before="40" w:after="40"/>
              <w:rPr>
                <w:b/>
                <w:w w:val="90"/>
                <w:sz w:val="18"/>
                <w:szCs w:val="18"/>
              </w:rPr>
            </w:pPr>
          </w:p>
        </w:tc>
        <w:tc>
          <w:tcPr>
            <w:tcW w:w="1800" w:type="dxa"/>
            <w:shd w:val="clear" w:color="auto" w:fill="auto"/>
          </w:tcPr>
          <w:p w14:paraId="0925D287" w14:textId="77777777" w:rsidR="0054672C" w:rsidRPr="00AF022B" w:rsidRDefault="0054672C" w:rsidP="00E71B1B">
            <w:pPr>
              <w:pStyle w:val="DHHSbody"/>
            </w:pPr>
            <w:r w:rsidRPr="00AF022B">
              <w:t xml:space="preserve">1 </w:t>
            </w:r>
          </w:p>
        </w:tc>
        <w:tc>
          <w:tcPr>
            <w:tcW w:w="5400" w:type="dxa"/>
            <w:gridSpan w:val="2"/>
            <w:shd w:val="clear" w:color="auto" w:fill="auto"/>
          </w:tcPr>
          <w:p w14:paraId="0B0A2BA2" w14:textId="77777777" w:rsidR="0054672C" w:rsidRPr="00AF022B" w:rsidRDefault="0054672C" w:rsidP="00E71B1B">
            <w:pPr>
              <w:pStyle w:val="DHHSbody"/>
            </w:pPr>
            <w:r w:rsidRPr="00AF022B">
              <w:t>Clinician rated client as TIER 1</w:t>
            </w:r>
          </w:p>
        </w:tc>
      </w:tr>
      <w:tr w:rsidR="0054672C" w:rsidRPr="00AF022B" w14:paraId="2205003A" w14:textId="77777777" w:rsidTr="00E71B1B">
        <w:trPr>
          <w:trHeight w:val="294"/>
        </w:trPr>
        <w:tc>
          <w:tcPr>
            <w:tcW w:w="2520" w:type="dxa"/>
            <w:shd w:val="clear" w:color="auto" w:fill="auto"/>
          </w:tcPr>
          <w:p w14:paraId="3980F91B" w14:textId="77777777" w:rsidR="0054672C" w:rsidRPr="00AF022B" w:rsidRDefault="0054672C" w:rsidP="00E71B1B">
            <w:pPr>
              <w:spacing w:before="40" w:after="40"/>
              <w:rPr>
                <w:b/>
                <w:w w:val="90"/>
                <w:sz w:val="18"/>
                <w:szCs w:val="18"/>
              </w:rPr>
            </w:pPr>
          </w:p>
        </w:tc>
        <w:tc>
          <w:tcPr>
            <w:tcW w:w="1800" w:type="dxa"/>
            <w:shd w:val="clear" w:color="auto" w:fill="auto"/>
          </w:tcPr>
          <w:p w14:paraId="23E15B53" w14:textId="77777777" w:rsidR="0054672C" w:rsidRPr="00AF022B" w:rsidRDefault="0054672C" w:rsidP="00E71B1B">
            <w:pPr>
              <w:pStyle w:val="DHHSbody"/>
            </w:pPr>
            <w:r w:rsidRPr="00AF022B">
              <w:t>2</w:t>
            </w:r>
          </w:p>
        </w:tc>
        <w:tc>
          <w:tcPr>
            <w:tcW w:w="5400" w:type="dxa"/>
            <w:gridSpan w:val="2"/>
            <w:shd w:val="clear" w:color="auto" w:fill="auto"/>
          </w:tcPr>
          <w:p w14:paraId="177942D1" w14:textId="77777777" w:rsidR="0054672C" w:rsidRPr="00AF022B" w:rsidRDefault="0054672C" w:rsidP="00E71B1B">
            <w:pPr>
              <w:pStyle w:val="DHHSbody"/>
            </w:pPr>
            <w:r w:rsidRPr="00AF022B">
              <w:t>Clinician rated client as TIER 2</w:t>
            </w:r>
          </w:p>
        </w:tc>
      </w:tr>
      <w:tr w:rsidR="0054672C" w:rsidRPr="00AF022B" w14:paraId="7A7483D8" w14:textId="77777777" w:rsidTr="00E71B1B">
        <w:trPr>
          <w:trHeight w:val="294"/>
        </w:trPr>
        <w:tc>
          <w:tcPr>
            <w:tcW w:w="2520" w:type="dxa"/>
            <w:shd w:val="clear" w:color="auto" w:fill="auto"/>
          </w:tcPr>
          <w:p w14:paraId="34E682AB" w14:textId="77777777" w:rsidR="0054672C" w:rsidRPr="00AF022B" w:rsidRDefault="0054672C" w:rsidP="00E71B1B">
            <w:pPr>
              <w:spacing w:before="40" w:after="40"/>
              <w:rPr>
                <w:b/>
                <w:w w:val="90"/>
                <w:sz w:val="18"/>
                <w:szCs w:val="18"/>
              </w:rPr>
            </w:pPr>
          </w:p>
        </w:tc>
        <w:tc>
          <w:tcPr>
            <w:tcW w:w="1800" w:type="dxa"/>
            <w:shd w:val="clear" w:color="auto" w:fill="auto"/>
          </w:tcPr>
          <w:p w14:paraId="0A2FAC8C" w14:textId="77777777" w:rsidR="0054672C" w:rsidRPr="00AF022B" w:rsidRDefault="0054672C" w:rsidP="00E71B1B">
            <w:pPr>
              <w:pStyle w:val="DHHSbody"/>
            </w:pPr>
            <w:r w:rsidRPr="00AF022B">
              <w:t>3</w:t>
            </w:r>
          </w:p>
        </w:tc>
        <w:tc>
          <w:tcPr>
            <w:tcW w:w="5400" w:type="dxa"/>
            <w:gridSpan w:val="2"/>
            <w:shd w:val="clear" w:color="auto" w:fill="auto"/>
          </w:tcPr>
          <w:p w14:paraId="61FB22D7" w14:textId="77777777" w:rsidR="0054672C" w:rsidRPr="00AF022B" w:rsidRDefault="0054672C" w:rsidP="00E71B1B">
            <w:pPr>
              <w:pStyle w:val="DHHSbody"/>
            </w:pPr>
            <w:r w:rsidRPr="00AF022B">
              <w:t>Clinician rated client as TIER 3</w:t>
            </w:r>
          </w:p>
        </w:tc>
      </w:tr>
      <w:tr w:rsidR="0054672C" w:rsidRPr="00AF022B" w14:paraId="48C195DE" w14:textId="77777777" w:rsidTr="00E71B1B">
        <w:trPr>
          <w:trHeight w:val="294"/>
        </w:trPr>
        <w:tc>
          <w:tcPr>
            <w:tcW w:w="2520" w:type="dxa"/>
            <w:shd w:val="clear" w:color="auto" w:fill="auto"/>
          </w:tcPr>
          <w:p w14:paraId="62F2EB54" w14:textId="77777777" w:rsidR="0054672C" w:rsidRPr="00AF022B" w:rsidRDefault="0054672C" w:rsidP="00E71B1B">
            <w:pPr>
              <w:spacing w:before="40" w:after="40"/>
              <w:rPr>
                <w:b/>
                <w:w w:val="90"/>
                <w:sz w:val="18"/>
                <w:szCs w:val="18"/>
              </w:rPr>
            </w:pPr>
          </w:p>
        </w:tc>
        <w:tc>
          <w:tcPr>
            <w:tcW w:w="1800" w:type="dxa"/>
            <w:shd w:val="clear" w:color="auto" w:fill="auto"/>
          </w:tcPr>
          <w:p w14:paraId="1C3AEB15" w14:textId="77777777" w:rsidR="0054672C" w:rsidRPr="00AF022B" w:rsidRDefault="0054672C" w:rsidP="00E71B1B">
            <w:pPr>
              <w:pStyle w:val="DHHSbody"/>
            </w:pPr>
            <w:r w:rsidRPr="00AF022B">
              <w:t>4</w:t>
            </w:r>
          </w:p>
        </w:tc>
        <w:tc>
          <w:tcPr>
            <w:tcW w:w="5400" w:type="dxa"/>
            <w:gridSpan w:val="2"/>
            <w:shd w:val="clear" w:color="auto" w:fill="auto"/>
          </w:tcPr>
          <w:p w14:paraId="1B5937E2" w14:textId="77777777" w:rsidR="0054672C" w:rsidRPr="00AF022B" w:rsidRDefault="0054672C" w:rsidP="00E71B1B">
            <w:pPr>
              <w:pStyle w:val="DHHSbody"/>
            </w:pPr>
            <w:r w:rsidRPr="00AF022B">
              <w:t>Clinician rated client as TIER 4</w:t>
            </w:r>
          </w:p>
        </w:tc>
      </w:tr>
      <w:tr w:rsidR="0054672C" w:rsidRPr="00AF022B" w14:paraId="584FF148" w14:textId="77777777" w:rsidTr="00E71B1B">
        <w:trPr>
          <w:trHeight w:val="294"/>
        </w:trPr>
        <w:tc>
          <w:tcPr>
            <w:tcW w:w="2520" w:type="dxa"/>
            <w:shd w:val="clear" w:color="auto" w:fill="auto"/>
          </w:tcPr>
          <w:p w14:paraId="459F4B67" w14:textId="77777777" w:rsidR="0054672C" w:rsidRPr="00AF022B" w:rsidRDefault="0054672C" w:rsidP="00E71B1B">
            <w:pPr>
              <w:spacing w:before="40" w:after="40"/>
              <w:rPr>
                <w:b/>
                <w:w w:val="90"/>
                <w:sz w:val="18"/>
                <w:szCs w:val="18"/>
              </w:rPr>
            </w:pPr>
          </w:p>
        </w:tc>
        <w:tc>
          <w:tcPr>
            <w:tcW w:w="1800" w:type="dxa"/>
            <w:shd w:val="clear" w:color="auto" w:fill="auto"/>
          </w:tcPr>
          <w:p w14:paraId="0B1C7B86" w14:textId="77777777" w:rsidR="0054672C" w:rsidRPr="00AF022B" w:rsidRDefault="0054672C" w:rsidP="00E71B1B">
            <w:pPr>
              <w:pStyle w:val="DHHSbody"/>
            </w:pPr>
            <w:r w:rsidRPr="00AF022B">
              <w:t>5</w:t>
            </w:r>
          </w:p>
        </w:tc>
        <w:tc>
          <w:tcPr>
            <w:tcW w:w="5400" w:type="dxa"/>
            <w:gridSpan w:val="2"/>
            <w:shd w:val="clear" w:color="auto" w:fill="auto"/>
          </w:tcPr>
          <w:p w14:paraId="5EBB73A2" w14:textId="77777777" w:rsidR="0054672C" w:rsidRPr="00AF022B" w:rsidRDefault="0054672C" w:rsidP="00E71B1B">
            <w:pPr>
              <w:pStyle w:val="DHHSbody"/>
            </w:pPr>
            <w:r w:rsidRPr="00AF022B">
              <w:t>Clinician rated client as TIER 5</w:t>
            </w:r>
          </w:p>
        </w:tc>
      </w:tr>
      <w:tr w:rsidR="0054672C" w:rsidRPr="00AF022B" w14:paraId="16D45C70" w14:textId="77777777" w:rsidTr="00E71B1B">
        <w:trPr>
          <w:trHeight w:val="295"/>
        </w:trPr>
        <w:tc>
          <w:tcPr>
            <w:tcW w:w="2520" w:type="dxa"/>
            <w:tcBorders>
              <w:bottom w:val="nil"/>
            </w:tcBorders>
            <w:shd w:val="clear" w:color="auto" w:fill="auto"/>
          </w:tcPr>
          <w:p w14:paraId="0DE8326C" w14:textId="77777777" w:rsidR="0054672C" w:rsidRPr="00AF022B" w:rsidRDefault="0054672C" w:rsidP="00E71B1B">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FE315DB" w14:textId="77777777" w:rsidR="0054672C" w:rsidRPr="00AF022B" w:rsidRDefault="0054672C" w:rsidP="00E71B1B">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65CA2402" w14:textId="77777777" w:rsidR="0054672C" w:rsidRPr="00AF022B" w:rsidRDefault="0054672C" w:rsidP="00E71B1B">
            <w:pPr>
              <w:spacing w:before="40" w:after="40"/>
              <w:rPr>
                <w:rFonts w:ascii="Verdana" w:hAnsi="Verdana"/>
                <w:b/>
                <w:i/>
                <w:w w:val="90"/>
                <w:sz w:val="18"/>
                <w:szCs w:val="18"/>
              </w:rPr>
            </w:pPr>
            <w:r w:rsidRPr="00AF022B">
              <w:rPr>
                <w:rFonts w:ascii="Verdana" w:hAnsi="Verdana"/>
                <w:b/>
                <w:i/>
                <w:w w:val="90"/>
                <w:sz w:val="18"/>
                <w:szCs w:val="18"/>
              </w:rPr>
              <w:t>Meaning</w:t>
            </w:r>
          </w:p>
        </w:tc>
      </w:tr>
      <w:tr w:rsidR="0054672C" w:rsidRPr="00AF022B" w14:paraId="0DC798BD" w14:textId="77777777" w:rsidTr="00E71B1B">
        <w:trPr>
          <w:trHeight w:val="294"/>
        </w:trPr>
        <w:tc>
          <w:tcPr>
            <w:tcW w:w="2520" w:type="dxa"/>
            <w:tcBorders>
              <w:top w:val="nil"/>
              <w:bottom w:val="nil"/>
            </w:tcBorders>
            <w:shd w:val="clear" w:color="auto" w:fill="auto"/>
          </w:tcPr>
          <w:p w14:paraId="6BEAE3E4" w14:textId="77777777" w:rsidR="0054672C" w:rsidRPr="00AF022B" w:rsidRDefault="0054672C" w:rsidP="00E71B1B">
            <w:pPr>
              <w:spacing w:before="40" w:after="40"/>
              <w:rPr>
                <w:b/>
                <w:w w:val="90"/>
                <w:sz w:val="18"/>
                <w:szCs w:val="18"/>
              </w:rPr>
            </w:pPr>
          </w:p>
        </w:tc>
        <w:tc>
          <w:tcPr>
            <w:tcW w:w="1800" w:type="dxa"/>
            <w:tcBorders>
              <w:top w:val="nil"/>
              <w:bottom w:val="nil"/>
            </w:tcBorders>
            <w:shd w:val="clear" w:color="auto" w:fill="auto"/>
          </w:tcPr>
          <w:p w14:paraId="2D358C4D" w14:textId="77777777" w:rsidR="0054672C" w:rsidRPr="00AF022B" w:rsidRDefault="0054672C" w:rsidP="00E71B1B">
            <w:pPr>
              <w:pStyle w:val="DHHSbody"/>
            </w:pPr>
            <w:r w:rsidRPr="00AF022B">
              <w:t>8</w:t>
            </w:r>
          </w:p>
        </w:tc>
        <w:tc>
          <w:tcPr>
            <w:tcW w:w="5400" w:type="dxa"/>
            <w:gridSpan w:val="2"/>
            <w:tcBorders>
              <w:top w:val="nil"/>
              <w:bottom w:val="nil"/>
            </w:tcBorders>
            <w:shd w:val="clear" w:color="auto" w:fill="auto"/>
          </w:tcPr>
          <w:p w14:paraId="7A544427" w14:textId="77777777" w:rsidR="0054672C" w:rsidRPr="00AF022B" w:rsidRDefault="0054672C" w:rsidP="00E71B1B">
            <w:pPr>
              <w:pStyle w:val="DHHSbody"/>
            </w:pPr>
            <w:r w:rsidRPr="00AF022B">
              <w:t>Not applicable</w:t>
            </w:r>
          </w:p>
        </w:tc>
      </w:tr>
      <w:tr w:rsidR="0054672C" w:rsidRPr="00AF022B" w14:paraId="12C2F125" w14:textId="77777777" w:rsidTr="00E71B1B">
        <w:trPr>
          <w:trHeight w:val="294"/>
        </w:trPr>
        <w:tc>
          <w:tcPr>
            <w:tcW w:w="2520" w:type="dxa"/>
            <w:tcBorders>
              <w:top w:val="nil"/>
              <w:bottom w:val="single" w:sz="4" w:space="0" w:color="auto"/>
            </w:tcBorders>
            <w:shd w:val="clear" w:color="auto" w:fill="auto"/>
          </w:tcPr>
          <w:p w14:paraId="3D3B34D8" w14:textId="77777777" w:rsidR="0054672C" w:rsidRPr="00AF022B" w:rsidRDefault="0054672C" w:rsidP="00E71B1B">
            <w:pPr>
              <w:spacing w:before="40" w:after="40"/>
              <w:rPr>
                <w:b/>
                <w:w w:val="90"/>
                <w:sz w:val="18"/>
                <w:szCs w:val="18"/>
              </w:rPr>
            </w:pPr>
          </w:p>
        </w:tc>
        <w:tc>
          <w:tcPr>
            <w:tcW w:w="1800" w:type="dxa"/>
            <w:tcBorders>
              <w:top w:val="nil"/>
              <w:bottom w:val="single" w:sz="4" w:space="0" w:color="auto"/>
            </w:tcBorders>
            <w:shd w:val="clear" w:color="auto" w:fill="auto"/>
          </w:tcPr>
          <w:p w14:paraId="2367266D" w14:textId="77777777" w:rsidR="0054672C" w:rsidRPr="00AF022B" w:rsidRDefault="0054672C" w:rsidP="00E71B1B">
            <w:pPr>
              <w:pStyle w:val="DHHSbody"/>
            </w:pPr>
            <w:r w:rsidRPr="00AF022B">
              <w:t>9</w:t>
            </w:r>
          </w:p>
        </w:tc>
        <w:tc>
          <w:tcPr>
            <w:tcW w:w="5400" w:type="dxa"/>
            <w:gridSpan w:val="2"/>
            <w:tcBorders>
              <w:top w:val="nil"/>
              <w:bottom w:val="single" w:sz="4" w:space="0" w:color="auto"/>
            </w:tcBorders>
            <w:shd w:val="clear" w:color="auto" w:fill="auto"/>
          </w:tcPr>
          <w:p w14:paraId="4739E2E9" w14:textId="77777777" w:rsidR="0054672C" w:rsidRPr="00AF022B" w:rsidRDefault="0054672C" w:rsidP="00E71B1B">
            <w:pPr>
              <w:pStyle w:val="DHHSbody"/>
            </w:pPr>
            <w:r w:rsidRPr="00AF022B">
              <w:t>not stated/inadequately described</w:t>
            </w:r>
          </w:p>
        </w:tc>
      </w:tr>
      <w:tr w:rsidR="0054672C" w:rsidRPr="00433C91" w14:paraId="1C17C703" w14:textId="77777777" w:rsidTr="00E71B1B">
        <w:trPr>
          <w:trHeight w:val="295"/>
        </w:trPr>
        <w:tc>
          <w:tcPr>
            <w:tcW w:w="9720" w:type="dxa"/>
            <w:gridSpan w:val="4"/>
            <w:tcBorders>
              <w:top w:val="single" w:sz="4" w:space="0" w:color="auto"/>
              <w:bottom w:val="nil"/>
            </w:tcBorders>
            <w:shd w:val="clear" w:color="auto" w:fill="auto"/>
          </w:tcPr>
          <w:p w14:paraId="5BA9CC84" w14:textId="77777777" w:rsidR="0054672C" w:rsidRPr="00433C91" w:rsidRDefault="0054672C" w:rsidP="00E71B1B">
            <w:pPr>
              <w:keepNext/>
              <w:keepLines/>
              <w:spacing w:before="120"/>
              <w:rPr>
                <w:rFonts w:ascii="Verdana" w:hAnsi="Verdana"/>
                <w:b/>
                <w:bCs/>
                <w:sz w:val="24"/>
              </w:rPr>
            </w:pPr>
            <w:r w:rsidRPr="00433C91">
              <w:rPr>
                <w:rFonts w:ascii="Verdana" w:hAnsi="Verdana"/>
                <w:b/>
                <w:bCs/>
                <w:sz w:val="24"/>
              </w:rPr>
              <w:t>Data element attributes</w:t>
            </w:r>
          </w:p>
        </w:tc>
      </w:tr>
      <w:tr w:rsidR="0054672C" w:rsidRPr="00AF022B" w14:paraId="58D77248" w14:textId="77777777" w:rsidTr="00E71B1B">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4672C" w:rsidRPr="00AF022B" w14:paraId="5E8563B0" w14:textId="77777777" w:rsidTr="00E71B1B">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4672C" w:rsidRPr="00AF022B" w14:paraId="78E150CF" w14:textId="77777777" w:rsidTr="00E71B1B">
                    <w:trPr>
                      <w:trHeight w:val="295"/>
                    </w:trPr>
                    <w:tc>
                      <w:tcPr>
                        <w:tcW w:w="9720" w:type="dxa"/>
                        <w:gridSpan w:val="2"/>
                        <w:tcBorders>
                          <w:top w:val="nil"/>
                          <w:bottom w:val="nil"/>
                        </w:tcBorders>
                        <w:shd w:val="clear" w:color="auto" w:fill="auto"/>
                      </w:tcPr>
                      <w:p w14:paraId="573A7682" w14:textId="77777777" w:rsidR="0054672C" w:rsidRPr="00AF022B" w:rsidRDefault="0054672C" w:rsidP="00E71B1B">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4672C" w:rsidRPr="00AF022B" w14:paraId="24121DE8" w14:textId="77777777" w:rsidTr="00E71B1B">
                    <w:trPr>
                      <w:trHeight w:val="294"/>
                    </w:trPr>
                    <w:tc>
                      <w:tcPr>
                        <w:tcW w:w="2520" w:type="dxa"/>
                        <w:tcBorders>
                          <w:top w:val="nil"/>
                        </w:tcBorders>
                        <w:shd w:val="clear" w:color="auto" w:fill="auto"/>
                      </w:tcPr>
                      <w:p w14:paraId="76E61181" w14:textId="77777777" w:rsidR="0054672C" w:rsidRPr="00A642B5" w:rsidRDefault="0054672C" w:rsidP="00E71B1B">
                        <w:pPr>
                          <w:spacing w:before="40" w:after="40"/>
                          <w:rPr>
                            <w:b/>
                            <w:w w:val="90"/>
                            <w:sz w:val="18"/>
                            <w:szCs w:val="18"/>
                          </w:rPr>
                        </w:pPr>
                        <w:r w:rsidRPr="00A642B5">
                          <w:rPr>
                            <w:rFonts w:ascii="Verdana" w:hAnsi="Verdana"/>
                            <w:b/>
                            <w:w w:val="90"/>
                            <w:sz w:val="18"/>
                            <w:szCs w:val="18"/>
                          </w:rPr>
                          <w:t>Reporting requirements</w:t>
                        </w:r>
                      </w:p>
                    </w:tc>
                    <w:tc>
                      <w:tcPr>
                        <w:tcW w:w="7200" w:type="dxa"/>
                        <w:tcBorders>
                          <w:top w:val="nil"/>
                        </w:tcBorders>
                        <w:shd w:val="clear" w:color="auto" w:fill="auto"/>
                      </w:tcPr>
                      <w:p w14:paraId="733A68E3" w14:textId="77777777" w:rsidR="0054672C" w:rsidRPr="00A642B5" w:rsidRDefault="0054672C" w:rsidP="00E71B1B">
                        <w:pPr>
                          <w:pStyle w:val="DHHSbody"/>
                        </w:pPr>
                        <w:r w:rsidRPr="00A642B5">
                          <w:t xml:space="preserve">Conditional – </w:t>
                        </w:r>
                      </w:p>
                      <w:p w14:paraId="22D6C361" w14:textId="77777777" w:rsidR="0054672C" w:rsidRPr="00A642B5" w:rsidRDefault="0054672C" w:rsidP="00E71B1B">
                        <w:pPr>
                          <w:pStyle w:val="DHHSbody"/>
                          <w:rPr>
                            <w:sz w:val="18"/>
                          </w:rPr>
                        </w:pPr>
                        <w:r w:rsidRPr="00A642B5">
                          <w:t xml:space="preserve">Mandatory for Assessment service events on end </w:t>
                        </w:r>
                      </w:p>
                    </w:tc>
                  </w:tr>
                </w:tbl>
                <w:p w14:paraId="66121390" w14:textId="77777777" w:rsidR="0054672C" w:rsidRPr="00AF022B" w:rsidRDefault="0054672C" w:rsidP="00E71B1B">
                  <w:pPr>
                    <w:keepNext/>
                    <w:keepLines/>
                    <w:spacing w:before="120" w:after="60"/>
                    <w:rPr>
                      <w:bCs/>
                      <w:i/>
                      <w:color w:val="008080"/>
                      <w:spacing w:val="-4"/>
                      <w:w w:val="90"/>
                    </w:rPr>
                  </w:pPr>
                </w:p>
              </w:tc>
            </w:tr>
          </w:tbl>
          <w:p w14:paraId="3E4E31C0" w14:textId="77777777" w:rsidR="0054672C" w:rsidRPr="00AF022B" w:rsidRDefault="0054672C" w:rsidP="00E71B1B">
            <w:pPr>
              <w:keepNext/>
              <w:keepLines/>
              <w:spacing w:before="120" w:after="60"/>
              <w:rPr>
                <w:bCs/>
                <w:i/>
                <w:color w:val="008080"/>
                <w:spacing w:val="-4"/>
                <w:w w:val="90"/>
              </w:rPr>
            </w:pPr>
          </w:p>
        </w:tc>
      </w:tr>
      <w:tr w:rsidR="007D7C28" w:rsidRPr="00AF022B" w14:paraId="3B1732C7" w14:textId="77777777" w:rsidTr="00302252">
        <w:trPr>
          <w:trHeight w:val="295"/>
        </w:trPr>
        <w:tc>
          <w:tcPr>
            <w:tcW w:w="2520" w:type="dxa"/>
            <w:tcBorders>
              <w:top w:val="nil"/>
              <w:bottom w:val="nil"/>
            </w:tcBorders>
            <w:shd w:val="clear" w:color="auto" w:fill="auto"/>
          </w:tcPr>
          <w:p w14:paraId="637C10AC" w14:textId="77777777" w:rsidR="007D7C28" w:rsidRPr="00AF022B" w:rsidRDefault="007D7C28" w:rsidP="00302252">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nil"/>
            </w:tcBorders>
            <w:shd w:val="clear" w:color="auto" w:fill="auto"/>
          </w:tcPr>
          <w:p w14:paraId="29988A40" w14:textId="77777777" w:rsidR="007D7C28" w:rsidRPr="00AF022B" w:rsidRDefault="007D7C28" w:rsidP="00302252">
            <w:pPr>
              <w:pStyle w:val="DHHSbody"/>
            </w:pPr>
            <w:r w:rsidRPr="00AF022B">
              <w:t xml:space="preserve">The TIER reported should be that of a clinician which may or may not be the same as that which is derived from the </w:t>
            </w:r>
            <w:r>
              <w:t>DH</w:t>
            </w:r>
            <w:r w:rsidRPr="00AF022B">
              <w:t xml:space="preserve"> Screening tool.</w:t>
            </w:r>
          </w:p>
          <w:p w14:paraId="5BFC8513" w14:textId="77777777" w:rsidR="007D7C28" w:rsidRDefault="007D7C28" w:rsidP="00302252">
            <w:pPr>
              <w:pStyle w:val="DHHSbody"/>
            </w:pPr>
            <w:r>
              <w:t>Note:</w:t>
            </w:r>
            <w:r w:rsidRPr="00AF022B">
              <w:t xml:space="preserve"> individuals who commit violent offences whilst intoxicated or substance affected may not meet the criteria for substance dependence (and therefore be rated a </w:t>
            </w:r>
            <w:r>
              <w:t>TIER</w:t>
            </w:r>
            <w:r w:rsidRPr="00AF022B">
              <w:t xml:space="preserve"> 1 or 2) but, due to the severity of their offending, require a treatment response.</w:t>
            </w:r>
            <w:r>
              <w:t xml:space="preserve">  </w:t>
            </w:r>
          </w:p>
          <w:p w14:paraId="018A2337" w14:textId="77777777" w:rsidR="007D7C28" w:rsidRPr="00AF022B" w:rsidRDefault="007D7C28" w:rsidP="00302252">
            <w:pPr>
              <w:pStyle w:val="DHHSbody"/>
            </w:pPr>
            <w:r w:rsidRPr="00AF022B">
              <w:t>This requires clinical override of the TIER by the clinician.</w:t>
            </w:r>
            <w:r>
              <w:t xml:space="preserve"> Note; do not report</w:t>
            </w:r>
            <w:r w:rsidRPr="00AF022B">
              <w:t xml:space="preserve"> the TIER as determined by a client’s score on screening tools such as the AUDIT, DUDIT and K10 scales and questions on housing issues and employment. </w:t>
            </w:r>
          </w:p>
          <w:p w14:paraId="3E459EC3" w14:textId="77777777" w:rsidR="007D7C28" w:rsidRPr="007D7C28" w:rsidRDefault="007D7C28" w:rsidP="007D7C28">
            <w:pPr>
              <w:pStyle w:val="DHHSbody"/>
              <w:rPr>
                <w:strike/>
              </w:rPr>
            </w:pPr>
            <w:r w:rsidRPr="007D7C28">
              <w:rPr>
                <w:strike/>
                <w:highlight w:val="yellow"/>
              </w:rPr>
              <w:t>Use null for Presentation, Assessment, Support and Review Service Event Types or when Service Event Type is Treatment and service event has not ended.</w:t>
            </w:r>
          </w:p>
          <w:p w14:paraId="2B75AB61" w14:textId="4D8BE88B" w:rsidR="007D7C28" w:rsidRDefault="007D7C28" w:rsidP="00302252">
            <w:pPr>
              <w:pStyle w:val="DHHSbody"/>
            </w:pPr>
          </w:p>
          <w:p w14:paraId="0B64FAD6" w14:textId="7D17BAC3" w:rsidR="007D7C28" w:rsidRPr="007D7C28" w:rsidRDefault="007D7C28" w:rsidP="00302252">
            <w:pPr>
              <w:pStyle w:val="DHHSbody"/>
            </w:pPr>
            <w:r w:rsidRPr="00023AFC">
              <w:rPr>
                <w:rFonts w:eastAsia="Times New Roman"/>
                <w:highlight w:val="green"/>
              </w:rPr>
              <w:t xml:space="preserve">Use null for </w:t>
            </w:r>
            <w:r w:rsidR="00023AFC" w:rsidRPr="00023AFC">
              <w:rPr>
                <w:rFonts w:cs="Arial"/>
                <w:szCs w:val="21"/>
                <w:highlight w:val="green"/>
                <w:lang w:eastAsia="en-AU"/>
              </w:rPr>
              <w:t xml:space="preserve">the following Service Event Types: Presentation, Support and Review </w:t>
            </w:r>
            <w:r w:rsidR="00023AFC" w:rsidRPr="00023AFC">
              <w:rPr>
                <w:rFonts w:cs="Arial"/>
                <w:szCs w:val="21"/>
                <w:highlight w:val="green"/>
                <w:u w:val="single"/>
                <w:lang w:eastAsia="en-AU"/>
              </w:rPr>
              <w:t>OR</w:t>
            </w:r>
            <w:r w:rsidR="00023AFC" w:rsidRPr="00023AFC">
              <w:rPr>
                <w:rFonts w:cs="Arial"/>
                <w:szCs w:val="21"/>
                <w:highlight w:val="green"/>
                <w:lang w:eastAsia="en-AU"/>
              </w:rPr>
              <w:t xml:space="preserve"> when service event has not ended for Service Event Types: Assessment or Treatment</w:t>
            </w:r>
            <w:r w:rsidRPr="00023AFC">
              <w:rPr>
                <w:rFonts w:eastAsia="Times New Roman"/>
                <w:highlight w:val="green"/>
              </w:rPr>
              <w:t xml:space="preserve">. It is optional to report TIER for </w:t>
            </w:r>
            <w:r w:rsidR="0057197E" w:rsidRPr="00023AFC">
              <w:rPr>
                <w:rFonts w:eastAsia="Times New Roman"/>
                <w:highlight w:val="green"/>
              </w:rPr>
              <w:t>e</w:t>
            </w:r>
            <w:r w:rsidR="00023AFC" w:rsidRPr="00023AFC">
              <w:rPr>
                <w:rFonts w:eastAsia="Times New Roman"/>
                <w:highlight w:val="green"/>
              </w:rPr>
              <w:t xml:space="preserve">nded </w:t>
            </w:r>
            <w:r w:rsidRPr="00023AFC">
              <w:rPr>
                <w:rFonts w:eastAsia="Times New Roman"/>
                <w:highlight w:val="green"/>
              </w:rPr>
              <w:t xml:space="preserve">treatment but mandatory to report TIER for </w:t>
            </w:r>
            <w:r w:rsidR="00023AFC" w:rsidRPr="00023AFC">
              <w:rPr>
                <w:rFonts w:eastAsia="Times New Roman"/>
                <w:highlight w:val="green"/>
              </w:rPr>
              <w:t xml:space="preserve">ended </w:t>
            </w:r>
            <w:r w:rsidRPr="00023AFC">
              <w:rPr>
                <w:rFonts w:eastAsia="Times New Roman"/>
                <w:highlight w:val="green"/>
              </w:rPr>
              <w:t>assessment</w:t>
            </w:r>
            <w:r w:rsidR="007E2127">
              <w:rPr>
                <w:rFonts w:eastAsia="Times New Roman"/>
              </w:rPr>
              <w:t>.</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119"/>
              <w:gridCol w:w="7601"/>
            </w:tblGrid>
            <w:tr w:rsidR="007D7C28" w:rsidRPr="00A41444" w14:paraId="71DD61E7" w14:textId="77777777" w:rsidTr="00302252">
              <w:trPr>
                <w:trHeight w:val="295"/>
              </w:trPr>
              <w:tc>
                <w:tcPr>
                  <w:tcW w:w="1570" w:type="dxa"/>
                  <w:tcBorders>
                    <w:top w:val="nil"/>
                    <w:bottom w:val="nil"/>
                  </w:tcBorders>
                  <w:shd w:val="clear" w:color="auto" w:fill="auto"/>
                </w:tcPr>
                <w:p w14:paraId="5C3C7D22" w14:textId="77777777" w:rsidR="007D7C28" w:rsidRPr="00647EB0" w:rsidRDefault="007D7C28" w:rsidP="00302252">
                  <w:pPr>
                    <w:pStyle w:val="DHHSbody"/>
                  </w:pPr>
                  <w:r w:rsidRPr="00647EB0">
                    <w:t>Code 1</w:t>
                  </w:r>
                </w:p>
              </w:tc>
              <w:tc>
                <w:tcPr>
                  <w:tcW w:w="5630" w:type="dxa"/>
                  <w:tcBorders>
                    <w:top w:val="nil"/>
                    <w:bottom w:val="nil"/>
                  </w:tcBorders>
                  <w:shd w:val="clear" w:color="auto" w:fill="auto"/>
                </w:tcPr>
                <w:p w14:paraId="17995EFA" w14:textId="77777777" w:rsidR="007D7C28" w:rsidRPr="00A41444" w:rsidRDefault="007D7C28" w:rsidP="00302252">
                  <w:pPr>
                    <w:pStyle w:val="DHHSbody"/>
                  </w:pPr>
                  <w:r w:rsidRPr="00A41444">
                    <w:t>Not dependent and no complexity factors</w:t>
                  </w:r>
                </w:p>
              </w:tc>
            </w:tr>
            <w:tr w:rsidR="007D7C28" w:rsidRPr="00A41444" w14:paraId="3BEFAC9B" w14:textId="77777777" w:rsidTr="00302252">
              <w:trPr>
                <w:trHeight w:val="295"/>
              </w:trPr>
              <w:tc>
                <w:tcPr>
                  <w:tcW w:w="1570" w:type="dxa"/>
                  <w:tcBorders>
                    <w:top w:val="nil"/>
                    <w:bottom w:val="nil"/>
                  </w:tcBorders>
                  <w:shd w:val="clear" w:color="auto" w:fill="auto"/>
                </w:tcPr>
                <w:p w14:paraId="5501C6E4" w14:textId="77777777" w:rsidR="007D7C28" w:rsidRPr="00647EB0" w:rsidRDefault="007D7C28" w:rsidP="00302252">
                  <w:pPr>
                    <w:pStyle w:val="DHHSbody"/>
                  </w:pPr>
                  <w:r w:rsidRPr="00647EB0">
                    <w:t>Code 2</w:t>
                  </w:r>
                </w:p>
              </w:tc>
              <w:tc>
                <w:tcPr>
                  <w:tcW w:w="5630" w:type="dxa"/>
                  <w:tcBorders>
                    <w:top w:val="nil"/>
                    <w:bottom w:val="nil"/>
                  </w:tcBorders>
                  <w:shd w:val="clear" w:color="auto" w:fill="auto"/>
                </w:tcPr>
                <w:p w14:paraId="4037E8ED" w14:textId="77777777" w:rsidR="007D7C28" w:rsidRPr="00A41444" w:rsidRDefault="007D7C28" w:rsidP="00302252">
                  <w:pPr>
                    <w:pStyle w:val="DHHSbody"/>
                  </w:pPr>
                  <w:r w:rsidRPr="00A41444">
                    <w:t>Not dependent and complexity factors</w:t>
                  </w:r>
                </w:p>
              </w:tc>
            </w:tr>
            <w:tr w:rsidR="007D7C28" w:rsidRPr="00A41444" w14:paraId="65D6DB7B" w14:textId="77777777" w:rsidTr="00302252">
              <w:trPr>
                <w:trHeight w:val="295"/>
              </w:trPr>
              <w:tc>
                <w:tcPr>
                  <w:tcW w:w="1570" w:type="dxa"/>
                  <w:tcBorders>
                    <w:top w:val="nil"/>
                    <w:bottom w:val="nil"/>
                  </w:tcBorders>
                  <w:shd w:val="clear" w:color="auto" w:fill="auto"/>
                </w:tcPr>
                <w:p w14:paraId="74BD8E59" w14:textId="77777777" w:rsidR="007D7C28" w:rsidRPr="00647EB0" w:rsidRDefault="007D7C28" w:rsidP="00302252">
                  <w:pPr>
                    <w:pStyle w:val="DHHSbody"/>
                  </w:pPr>
                  <w:r w:rsidRPr="00647EB0">
                    <w:t>Code 3</w:t>
                  </w:r>
                </w:p>
              </w:tc>
              <w:tc>
                <w:tcPr>
                  <w:tcW w:w="5630" w:type="dxa"/>
                  <w:tcBorders>
                    <w:top w:val="nil"/>
                    <w:bottom w:val="nil"/>
                  </w:tcBorders>
                  <w:shd w:val="clear" w:color="auto" w:fill="auto"/>
                </w:tcPr>
                <w:p w14:paraId="270AD695" w14:textId="77777777" w:rsidR="007D7C28" w:rsidRPr="00A41444" w:rsidRDefault="007D7C28" w:rsidP="00302252">
                  <w:pPr>
                    <w:pStyle w:val="DHHSbody"/>
                  </w:pPr>
                  <w:r w:rsidRPr="00A41444">
                    <w:t>Dependent and 0-1 complexity factors</w:t>
                  </w:r>
                </w:p>
              </w:tc>
            </w:tr>
            <w:tr w:rsidR="007D7C28" w:rsidRPr="00A41444" w14:paraId="038CAAEA" w14:textId="77777777" w:rsidTr="00302252">
              <w:trPr>
                <w:trHeight w:val="295"/>
              </w:trPr>
              <w:tc>
                <w:tcPr>
                  <w:tcW w:w="1570" w:type="dxa"/>
                  <w:tcBorders>
                    <w:top w:val="nil"/>
                    <w:bottom w:val="nil"/>
                  </w:tcBorders>
                  <w:shd w:val="clear" w:color="auto" w:fill="auto"/>
                </w:tcPr>
                <w:p w14:paraId="7EAEF737" w14:textId="77777777" w:rsidR="007D7C28" w:rsidRPr="00647EB0" w:rsidRDefault="007D7C28" w:rsidP="00302252">
                  <w:pPr>
                    <w:pStyle w:val="DHHSbody"/>
                  </w:pPr>
                  <w:r w:rsidRPr="00647EB0">
                    <w:t>Code 4</w:t>
                  </w:r>
                </w:p>
              </w:tc>
              <w:tc>
                <w:tcPr>
                  <w:tcW w:w="5630" w:type="dxa"/>
                  <w:tcBorders>
                    <w:top w:val="nil"/>
                    <w:bottom w:val="nil"/>
                  </w:tcBorders>
                  <w:shd w:val="clear" w:color="auto" w:fill="auto"/>
                </w:tcPr>
                <w:p w14:paraId="194EEAA6" w14:textId="77777777" w:rsidR="007D7C28" w:rsidRPr="00A41444" w:rsidRDefault="007D7C28" w:rsidP="00302252">
                  <w:pPr>
                    <w:pStyle w:val="DHHSbody"/>
                  </w:pPr>
                  <w:r w:rsidRPr="00A41444">
                    <w:t>Dependent and 2-3 complexity factors</w:t>
                  </w:r>
                </w:p>
              </w:tc>
            </w:tr>
            <w:tr w:rsidR="007D7C28" w:rsidRPr="00A41444" w14:paraId="32D8C1B0" w14:textId="77777777" w:rsidTr="00302252">
              <w:trPr>
                <w:trHeight w:val="295"/>
              </w:trPr>
              <w:tc>
                <w:tcPr>
                  <w:tcW w:w="1570" w:type="dxa"/>
                  <w:tcBorders>
                    <w:top w:val="nil"/>
                    <w:bottom w:val="nil"/>
                  </w:tcBorders>
                  <w:shd w:val="clear" w:color="auto" w:fill="auto"/>
                </w:tcPr>
                <w:p w14:paraId="468586DC" w14:textId="77777777" w:rsidR="007D7C28" w:rsidRPr="00647EB0" w:rsidRDefault="007D7C28" w:rsidP="00302252">
                  <w:pPr>
                    <w:pStyle w:val="DHHSbody"/>
                  </w:pPr>
                  <w:r w:rsidRPr="00647EB0">
                    <w:t>Code 5</w:t>
                  </w:r>
                </w:p>
              </w:tc>
              <w:tc>
                <w:tcPr>
                  <w:tcW w:w="5630" w:type="dxa"/>
                  <w:tcBorders>
                    <w:top w:val="nil"/>
                    <w:bottom w:val="nil"/>
                  </w:tcBorders>
                  <w:shd w:val="clear" w:color="auto" w:fill="auto"/>
                </w:tcPr>
                <w:p w14:paraId="0B937413" w14:textId="77777777" w:rsidR="007D7C28" w:rsidRPr="00A41444" w:rsidRDefault="007D7C28" w:rsidP="00302252">
                  <w:pPr>
                    <w:pStyle w:val="DHHSbody"/>
                  </w:pPr>
                  <w:r w:rsidRPr="00A41444">
                    <w:t>Dependent and 4+ complexity factors</w:t>
                  </w:r>
                </w:p>
              </w:tc>
            </w:tr>
          </w:tbl>
          <w:p w14:paraId="408B4D09" w14:textId="77777777" w:rsidR="007D7C28" w:rsidRPr="00AF022B" w:rsidRDefault="007D7C28" w:rsidP="00302252">
            <w:pPr>
              <w:pStyle w:val="DHHSbody"/>
              <w:rPr>
                <w:sz w:val="18"/>
              </w:rPr>
            </w:pPr>
          </w:p>
        </w:tc>
      </w:tr>
    </w:tbl>
    <w:p w14:paraId="5D7C74A7" w14:textId="77777777" w:rsidR="003A4765" w:rsidRDefault="003A4765" w:rsidP="003861BB">
      <w:pPr>
        <w:spacing w:after="0"/>
        <w:rPr>
          <w:rFonts w:cs="Arial"/>
          <w:szCs w:val="21"/>
          <w:lang w:eastAsia="en-AU"/>
        </w:rPr>
      </w:pPr>
    </w:p>
    <w:p w14:paraId="37089FA9" w14:textId="60E1E298" w:rsidR="00F002AA" w:rsidRDefault="00F002AA" w:rsidP="000D733F">
      <w:pPr>
        <w:spacing w:after="0" w:line="120" w:lineRule="atLeast"/>
        <w:rPr>
          <w:rFonts w:cs="Arial"/>
          <w:szCs w:val="21"/>
          <w:lang w:eastAsia="en-AU"/>
        </w:rPr>
      </w:pPr>
    </w:p>
    <w:p w14:paraId="54BED701" w14:textId="77777777" w:rsidR="00F002AA" w:rsidRPr="000D733F" w:rsidRDefault="00F002AA" w:rsidP="000D733F">
      <w:pPr>
        <w:spacing w:after="0" w:line="120" w:lineRule="atLeast"/>
        <w:rPr>
          <w:rFonts w:cs="Arial"/>
          <w:szCs w:val="21"/>
          <w:lang w:eastAsia="en-AU"/>
        </w:rPr>
      </w:pPr>
    </w:p>
    <w:tbl>
      <w:tblPr>
        <w:tblStyle w:val="TableGrid"/>
        <w:tblW w:w="0" w:type="auto"/>
        <w:tblCellMar>
          <w:bottom w:w="108" w:type="dxa"/>
        </w:tblCellMar>
        <w:tblLook w:val="0600" w:firstRow="0" w:lastRow="0" w:firstColumn="0" w:lastColumn="0" w:noHBand="1" w:noVBand="1"/>
      </w:tblPr>
      <w:tblGrid>
        <w:gridCol w:w="10194"/>
      </w:tblGrid>
      <w:tr w:rsidR="0055119B" w14:paraId="2B13446B" w14:textId="77777777" w:rsidTr="00EC40D5">
        <w:tc>
          <w:tcPr>
            <w:tcW w:w="10194" w:type="dxa"/>
          </w:tcPr>
          <w:p w14:paraId="5F18E3B1" w14:textId="7A155F2B" w:rsidR="0055119B" w:rsidRPr="0055119B" w:rsidRDefault="0055119B" w:rsidP="0055119B">
            <w:pPr>
              <w:pStyle w:val="Accessibilitypara"/>
            </w:pPr>
            <w:r w:rsidRPr="0055119B">
              <w:t xml:space="preserve">To receive this document in another format email </w:t>
            </w:r>
            <w:hyperlink r:id="rId15" w:history="1">
              <w:r w:rsidR="00722FF5" w:rsidRPr="00D3319F">
                <w:rPr>
                  <w:rStyle w:val="Hyperlink"/>
                </w:rPr>
                <w:t>vadc_data@health.vic.gov.au</w:t>
              </w:r>
            </w:hyperlink>
            <w:r w:rsidR="00722FF5">
              <w:t xml:space="preserve"> </w:t>
            </w:r>
          </w:p>
          <w:p w14:paraId="58E3EDEB" w14:textId="77777777" w:rsidR="0055119B" w:rsidRPr="0055119B" w:rsidRDefault="0055119B" w:rsidP="00E33237">
            <w:pPr>
              <w:pStyle w:val="Imprint"/>
            </w:pPr>
            <w:r w:rsidRPr="0055119B">
              <w:t>Authorised and published by the Victorian Government, 1 Treasury Place, Melbourne.</w:t>
            </w:r>
          </w:p>
          <w:p w14:paraId="1AAAF204" w14:textId="6DEBD0F4" w:rsidR="0055119B" w:rsidRDefault="0055119B" w:rsidP="00E33237">
            <w:pPr>
              <w:pStyle w:val="Imprint"/>
            </w:pPr>
            <w:r w:rsidRPr="0055119B">
              <w:t xml:space="preserve">© State of Victoria, Australia, </w:t>
            </w:r>
            <w:r w:rsidR="001E2A36" w:rsidRPr="001E2A36">
              <w:t>Department of Health</w:t>
            </w:r>
            <w:r w:rsidRPr="0055119B">
              <w:t xml:space="preserve">, </w:t>
            </w:r>
            <w:r w:rsidR="00E53B2A">
              <w:t>August</w:t>
            </w:r>
            <w:r w:rsidR="00924CC7">
              <w:t xml:space="preserve"> 2021</w:t>
            </w:r>
            <w:r w:rsidRPr="0055119B">
              <w:t>.</w:t>
            </w:r>
          </w:p>
        </w:tc>
      </w:tr>
      <w:bookmarkEnd w:id="9"/>
    </w:tbl>
    <w:p w14:paraId="1D3482DB" w14:textId="77777777" w:rsidR="00162CA9" w:rsidRDefault="00162CA9" w:rsidP="000D733F">
      <w:pPr>
        <w:pStyle w:val="Body"/>
      </w:pPr>
    </w:p>
    <w:sectPr w:rsidR="00162CA9" w:rsidSect="00E62622">
      <w:head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FE0F" w14:textId="77777777" w:rsidR="005616AE" w:rsidRDefault="005616AE">
      <w:r>
        <w:separator/>
      </w:r>
    </w:p>
  </w:endnote>
  <w:endnote w:type="continuationSeparator" w:id="0">
    <w:p w14:paraId="5C0E654A" w14:textId="77777777" w:rsidR="005616AE" w:rsidRDefault="005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CBB3" w14:textId="77777777" w:rsidR="00BB3E11" w:rsidRDefault="00BB3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B912" w14:textId="7CA10BBB" w:rsidR="00E261B3" w:rsidRPr="00F65AA9" w:rsidRDefault="006D6121" w:rsidP="003A7F15">
    <w:pPr>
      <w:pStyle w:val="Footer"/>
      <w:jc w:val="right"/>
    </w:pPr>
    <w:r>
      <w:rPr>
        <w:noProof/>
      </w:rPr>
      <mc:AlternateContent>
        <mc:Choice Requires="wps">
          <w:drawing>
            <wp:anchor distT="0" distB="0" distL="114300" distR="114300" simplePos="0" relativeHeight="251658240" behindDoc="0" locked="0" layoutInCell="0" allowOverlap="1" wp14:anchorId="494C11F3" wp14:editId="14595857">
              <wp:simplePos x="0" y="0"/>
              <wp:positionH relativeFrom="page">
                <wp:posOffset>0</wp:posOffset>
              </wp:positionH>
              <wp:positionV relativeFrom="page">
                <wp:posOffset>10189210</wp:posOffset>
              </wp:positionV>
              <wp:extent cx="7560310" cy="311785"/>
              <wp:effectExtent l="0" t="0" r="0" b="12065"/>
              <wp:wrapNone/>
              <wp:docPr id="3" name="MSIPCMb94f4c32894232680625ceb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AE766" w14:textId="57B53A3D" w:rsidR="006D6121" w:rsidRPr="006D6121" w:rsidRDefault="00C1142A" w:rsidP="006D6121">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C11F3" id="_x0000_t202" coordsize="21600,21600" o:spt="202" path="m,l,21600r21600,l21600,xe">
              <v:stroke joinstyle="miter"/>
              <v:path gradientshapeok="t" o:connecttype="rect"/>
            </v:shapetype>
            <v:shape id="MSIPCMb94f4c32894232680625ceb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e1rgIAAEUFAAAOAAAAZHJzL2Uyb0RvYy54bWysVEtv2zAMvg/YfxB02Gmr7dhOk6xOkaXI&#10;WiBtA6RDz4osxwZsUZWU2tmw/z7Kj7Trdhp2kSmS5uPjR11cNlVJnoU2BciEBmc+JUJySAu5T+i3&#10;h9WnCSXGMpmyEqRI6FEYejl//+6iVjMxghzKVGiCQaSZ1SqhubVq5nmG56Ji5gyUkGjMQFfM4lXv&#10;vVSzGqNXpTfy/bFXg06VBi6MQe1VZ6TzNn6WCW7vs8wIS8qEYm22PXV77tzpzS/YbK+Zygvel8H+&#10;oYqKFRKTnkJdMcvIQRd/hKoKrsFAZs84VB5kWcFF2wN2E/hvutnmTIm2FwTHqBNM5v+F5XfPG02K&#10;NKEhJZJVOKLb7c1mebubRlnEw9FkGo3C0Xjij0cxF7uAklQYjgj++PB0APv5mpl8CanobrOpH53H&#10;k3AcfOzNotjntjdOIiRIb3gsUpv3+ngan/SbknFRCTn807msAKzQndwHuJGpaPoA3Weji4rp429e&#10;W2QAUrP3G6p6ANVr/FPitciGnKj86ZhRKzNDgLYKIbLNF2iQ4YPeoNINvMl05b44SoJ25NjxxCvR&#10;WMJReR6P/TBAE0dbGATnk9iF8V7+VtrYrwIq4oSEaqy6pRN7XhvbuQ4uLpmEVVGWLXdLSeqEjsPY&#10;b384WTB4KTGH66Gr1Um22TV9YztIj9iXhm4njOKrApOvmbEbpnEJsF5cbHuPR1YCJoFeoiQH/f1v&#10;eueP3EQrJTUuVULN04FpQUl5I5G10yCK3Ba2FxT0a+1u0MpDtQTcV+QaVtWKzteWg5hpqB5x7xcu&#10;G5qY5JgzobtBXFq8oQHfDS4Wi1bGfVPMruVWcRfaweggfWgemVY97hYndgfD2rHZG/g7324Ai4OF&#10;rGhn44Dt0Ozxxl1tp9u/K+4xeH1vvV5ev/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pyre1rgIAAEUFAAAOAAAA&#10;AAAAAAAAAAAAAC4CAABkcnMvZTJvRG9jLnhtbFBLAQItABQABgAIAAAAIQBIDV6a3wAAAAsBAAAP&#10;AAAAAAAAAAAAAAAAAAgFAABkcnMvZG93bnJldi54bWxQSwUGAAAAAAQABADzAAAAFAYAAAAA&#10;" o:allowincell="f" filled="f" stroked="f" strokeweight=".5pt">
              <v:textbox inset=",0,,0">
                <w:txbxContent>
                  <w:p w14:paraId="2F7AE766" w14:textId="57B53A3D" w:rsidR="006D6121" w:rsidRPr="006D6121" w:rsidRDefault="00C1142A" w:rsidP="006D6121">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0941" w14:textId="77777777" w:rsidR="00BB3E11" w:rsidRDefault="00BB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B385" w14:textId="77777777" w:rsidR="005616AE" w:rsidRDefault="005616AE" w:rsidP="002862F1">
      <w:pPr>
        <w:spacing w:before="120"/>
      </w:pPr>
      <w:r>
        <w:separator/>
      </w:r>
    </w:p>
  </w:footnote>
  <w:footnote w:type="continuationSeparator" w:id="0">
    <w:p w14:paraId="554582E4" w14:textId="77777777" w:rsidR="005616AE" w:rsidRDefault="0056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90F0" w14:textId="77777777" w:rsidR="00BB3E11" w:rsidRDefault="00BB3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822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F111" w14:textId="77777777" w:rsidR="00BB3E11" w:rsidRDefault="00BB3E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771B" w14:textId="64159D4D" w:rsidR="00E261B3" w:rsidRPr="006D6121" w:rsidRDefault="00E261B3" w:rsidP="006D6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3038DA"/>
    <w:multiLevelType w:val="hybridMultilevel"/>
    <w:tmpl w:val="45764F66"/>
    <w:lvl w:ilvl="0" w:tplc="83EC58F0">
      <w:start w:val="1"/>
      <w:numFmt w:val="decimal"/>
      <w:lvlText w:val="%1."/>
      <w:lvlJc w:val="left"/>
      <w:pPr>
        <w:ind w:left="720" w:hanging="49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23589"/>
    <w:multiLevelType w:val="hybridMultilevel"/>
    <w:tmpl w:val="09CE69D6"/>
    <w:lvl w:ilvl="0" w:tplc="BD74A2F8">
      <w:start w:val="1"/>
      <w:numFmt w:val="bullet"/>
      <w:lvlText w:val=""/>
      <w:lvlJc w:val="left"/>
      <w:pPr>
        <w:ind w:left="720" w:hanging="360"/>
      </w:pPr>
      <w:rPr>
        <w:rFonts w:ascii="Symbol" w:hAnsi="Symbol" w:hint="default"/>
      </w:rPr>
    </w:lvl>
    <w:lvl w:ilvl="1" w:tplc="B4884904">
      <w:start w:val="1"/>
      <w:numFmt w:val="bullet"/>
      <w:lvlText w:val="o"/>
      <w:lvlJc w:val="left"/>
      <w:pPr>
        <w:ind w:left="1440" w:hanging="360"/>
      </w:pPr>
      <w:rPr>
        <w:rFonts w:ascii="Courier New" w:hAnsi="Courier New" w:hint="default"/>
      </w:rPr>
    </w:lvl>
    <w:lvl w:ilvl="2" w:tplc="B51A39DC">
      <w:start w:val="1"/>
      <w:numFmt w:val="bullet"/>
      <w:lvlText w:val=""/>
      <w:lvlJc w:val="left"/>
      <w:pPr>
        <w:ind w:left="2160" w:hanging="360"/>
      </w:pPr>
      <w:rPr>
        <w:rFonts w:ascii="Wingdings" w:hAnsi="Wingdings" w:hint="default"/>
      </w:rPr>
    </w:lvl>
    <w:lvl w:ilvl="3" w:tplc="3C4A3ADE">
      <w:start w:val="1"/>
      <w:numFmt w:val="bullet"/>
      <w:lvlText w:val=""/>
      <w:lvlJc w:val="left"/>
      <w:pPr>
        <w:ind w:left="2880" w:hanging="360"/>
      </w:pPr>
      <w:rPr>
        <w:rFonts w:ascii="Symbol" w:hAnsi="Symbol" w:hint="default"/>
      </w:rPr>
    </w:lvl>
    <w:lvl w:ilvl="4" w:tplc="D01C5E5E">
      <w:start w:val="1"/>
      <w:numFmt w:val="bullet"/>
      <w:lvlText w:val="o"/>
      <w:lvlJc w:val="left"/>
      <w:pPr>
        <w:ind w:left="3600" w:hanging="360"/>
      </w:pPr>
      <w:rPr>
        <w:rFonts w:ascii="Courier New" w:hAnsi="Courier New" w:hint="default"/>
      </w:rPr>
    </w:lvl>
    <w:lvl w:ilvl="5" w:tplc="AE6E610E">
      <w:start w:val="1"/>
      <w:numFmt w:val="bullet"/>
      <w:lvlText w:val=""/>
      <w:lvlJc w:val="left"/>
      <w:pPr>
        <w:ind w:left="4320" w:hanging="360"/>
      </w:pPr>
      <w:rPr>
        <w:rFonts w:ascii="Wingdings" w:hAnsi="Wingdings" w:hint="default"/>
      </w:rPr>
    </w:lvl>
    <w:lvl w:ilvl="6" w:tplc="EFD8C7F6">
      <w:start w:val="1"/>
      <w:numFmt w:val="bullet"/>
      <w:lvlText w:val=""/>
      <w:lvlJc w:val="left"/>
      <w:pPr>
        <w:ind w:left="5040" w:hanging="360"/>
      </w:pPr>
      <w:rPr>
        <w:rFonts w:ascii="Symbol" w:hAnsi="Symbol" w:hint="default"/>
      </w:rPr>
    </w:lvl>
    <w:lvl w:ilvl="7" w:tplc="B68CBC6A">
      <w:start w:val="1"/>
      <w:numFmt w:val="bullet"/>
      <w:lvlText w:val="o"/>
      <w:lvlJc w:val="left"/>
      <w:pPr>
        <w:ind w:left="5760" w:hanging="360"/>
      </w:pPr>
      <w:rPr>
        <w:rFonts w:ascii="Courier New" w:hAnsi="Courier New" w:hint="default"/>
      </w:rPr>
    </w:lvl>
    <w:lvl w:ilvl="8" w:tplc="C6C276AC">
      <w:start w:val="1"/>
      <w:numFmt w:val="bullet"/>
      <w:lvlText w:val=""/>
      <w:lvlJc w:val="left"/>
      <w:pPr>
        <w:ind w:left="6480" w:hanging="360"/>
      </w:pPr>
      <w:rPr>
        <w:rFonts w:ascii="Wingdings" w:hAnsi="Wingdings" w:hint="default"/>
      </w:rPr>
    </w:lvl>
  </w:abstractNum>
  <w:abstractNum w:abstractNumId="3" w15:restartNumberingAfterBreak="0">
    <w:nsid w:val="1FEF4768"/>
    <w:multiLevelType w:val="hybridMultilevel"/>
    <w:tmpl w:val="4A40DE08"/>
    <w:lvl w:ilvl="0" w:tplc="E89436D0">
      <w:start w:val="1"/>
      <w:numFmt w:val="decimal"/>
      <w:lvlText w:val="%1."/>
      <w:lvlJc w:val="left"/>
      <w:pPr>
        <w:ind w:left="720" w:hanging="360"/>
      </w:pPr>
      <w:rPr>
        <w:rFont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37210"/>
    <w:multiLevelType w:val="hybridMultilevel"/>
    <w:tmpl w:val="23A0F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4E7AA7"/>
    <w:multiLevelType w:val="hybridMultilevel"/>
    <w:tmpl w:val="D7C8D6D8"/>
    <w:lvl w:ilvl="0" w:tplc="0C09000F">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95197C"/>
    <w:multiLevelType w:val="hybridMultilevel"/>
    <w:tmpl w:val="DE60C08C"/>
    <w:lvl w:ilvl="0" w:tplc="9FCE1152">
      <w:start w:val="3"/>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D0155A5"/>
    <w:multiLevelType w:val="hybridMultilevel"/>
    <w:tmpl w:val="38D2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AB10CB7"/>
    <w:multiLevelType w:val="hybridMultilevel"/>
    <w:tmpl w:val="98AC9A7E"/>
    <w:lvl w:ilvl="0" w:tplc="178CCC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7E219F1"/>
    <w:multiLevelType w:val="hybridMultilevel"/>
    <w:tmpl w:val="44E0B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A33277"/>
    <w:multiLevelType w:val="hybridMultilevel"/>
    <w:tmpl w:val="E9CCC6DE"/>
    <w:lvl w:ilvl="0" w:tplc="ACBADB84">
      <w:start w:val="1"/>
      <w:numFmt w:val="decimal"/>
      <w:lvlText w:val="%1."/>
      <w:lvlJc w:val="left"/>
      <w:pPr>
        <w:ind w:left="720" w:hanging="360"/>
      </w:pPr>
      <w:rPr>
        <w:rFont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EE7389"/>
    <w:multiLevelType w:val="hybridMultilevel"/>
    <w:tmpl w:val="CF8EFA72"/>
    <w:lvl w:ilvl="0" w:tplc="9FCE1152">
      <w:start w:val="1"/>
      <w:numFmt w:val="decimal"/>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40E72"/>
    <w:multiLevelType w:val="hybridMultilevel"/>
    <w:tmpl w:val="A38A5C4A"/>
    <w:lvl w:ilvl="0" w:tplc="0C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6"/>
  </w:num>
  <w:num w:numId="2">
    <w:abstractNumId w:val="11"/>
  </w:num>
  <w:num w:numId="3">
    <w:abstractNumId w:val="10"/>
  </w:num>
  <w:num w:numId="4">
    <w:abstractNumId w:val="13"/>
  </w:num>
  <w:num w:numId="5">
    <w:abstractNumId w:val="7"/>
  </w:num>
  <w:num w:numId="6">
    <w:abstractNumId w:val="0"/>
  </w:num>
  <w:num w:numId="7">
    <w:abstractNumId w:val="2"/>
  </w:num>
  <w:num w:numId="8">
    <w:abstractNumId w:val="17"/>
  </w:num>
  <w:num w:numId="9">
    <w:abstractNumId w:val="4"/>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15"/>
  </w:num>
  <w:num w:numId="18">
    <w:abstractNumId w:val="1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E"/>
    <w:rsid w:val="00000719"/>
    <w:rsid w:val="00003403"/>
    <w:rsid w:val="00005347"/>
    <w:rsid w:val="00006558"/>
    <w:rsid w:val="000072B6"/>
    <w:rsid w:val="0001021B"/>
    <w:rsid w:val="00011D89"/>
    <w:rsid w:val="000154FD"/>
    <w:rsid w:val="00022271"/>
    <w:rsid w:val="000235E8"/>
    <w:rsid w:val="00023AFC"/>
    <w:rsid w:val="00024D89"/>
    <w:rsid w:val="000250B6"/>
    <w:rsid w:val="00033D81"/>
    <w:rsid w:val="00037366"/>
    <w:rsid w:val="00040358"/>
    <w:rsid w:val="00040B1C"/>
    <w:rsid w:val="00041BF0"/>
    <w:rsid w:val="00042C8A"/>
    <w:rsid w:val="0004536B"/>
    <w:rsid w:val="00046B68"/>
    <w:rsid w:val="00047F8E"/>
    <w:rsid w:val="000527DD"/>
    <w:rsid w:val="000546CA"/>
    <w:rsid w:val="00054DD6"/>
    <w:rsid w:val="000578B2"/>
    <w:rsid w:val="00060959"/>
    <w:rsid w:val="00060C8F"/>
    <w:rsid w:val="0006298A"/>
    <w:rsid w:val="000663CD"/>
    <w:rsid w:val="000733FE"/>
    <w:rsid w:val="00074219"/>
    <w:rsid w:val="00074ED5"/>
    <w:rsid w:val="00075C76"/>
    <w:rsid w:val="0008508E"/>
    <w:rsid w:val="00087951"/>
    <w:rsid w:val="0009113B"/>
    <w:rsid w:val="00093402"/>
    <w:rsid w:val="00094DA3"/>
    <w:rsid w:val="00096CD1"/>
    <w:rsid w:val="000A012C"/>
    <w:rsid w:val="000A0C92"/>
    <w:rsid w:val="000A0EB9"/>
    <w:rsid w:val="000A186C"/>
    <w:rsid w:val="000A1EA4"/>
    <w:rsid w:val="000A2476"/>
    <w:rsid w:val="000A641A"/>
    <w:rsid w:val="000A7D39"/>
    <w:rsid w:val="000B1216"/>
    <w:rsid w:val="000B3EDB"/>
    <w:rsid w:val="000B543D"/>
    <w:rsid w:val="000B55F9"/>
    <w:rsid w:val="000B5BF7"/>
    <w:rsid w:val="000B6BC8"/>
    <w:rsid w:val="000C0303"/>
    <w:rsid w:val="000C42EA"/>
    <w:rsid w:val="000C4546"/>
    <w:rsid w:val="000D1242"/>
    <w:rsid w:val="000D7181"/>
    <w:rsid w:val="000D733F"/>
    <w:rsid w:val="000D7943"/>
    <w:rsid w:val="000E0970"/>
    <w:rsid w:val="000E1910"/>
    <w:rsid w:val="000E3CC7"/>
    <w:rsid w:val="000E6BD4"/>
    <w:rsid w:val="000E6D6D"/>
    <w:rsid w:val="000F1F1E"/>
    <w:rsid w:val="000F2259"/>
    <w:rsid w:val="000F2DDA"/>
    <w:rsid w:val="000F5213"/>
    <w:rsid w:val="00101001"/>
    <w:rsid w:val="00103276"/>
    <w:rsid w:val="0010392D"/>
    <w:rsid w:val="0010447F"/>
    <w:rsid w:val="001048B9"/>
    <w:rsid w:val="00104FE3"/>
    <w:rsid w:val="0010714F"/>
    <w:rsid w:val="001120C5"/>
    <w:rsid w:val="0011701A"/>
    <w:rsid w:val="00120BD3"/>
    <w:rsid w:val="00121AAC"/>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6B56"/>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6E1D"/>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863"/>
    <w:rsid w:val="002A0A9C"/>
    <w:rsid w:val="002A483C"/>
    <w:rsid w:val="002B0C7C"/>
    <w:rsid w:val="002B1729"/>
    <w:rsid w:val="002B36C7"/>
    <w:rsid w:val="002B41CD"/>
    <w:rsid w:val="002B4DD4"/>
    <w:rsid w:val="002B5277"/>
    <w:rsid w:val="002B5375"/>
    <w:rsid w:val="002B77C1"/>
    <w:rsid w:val="002C0ED7"/>
    <w:rsid w:val="002C2728"/>
    <w:rsid w:val="002C478E"/>
    <w:rsid w:val="002D1D8C"/>
    <w:rsid w:val="002D1E0D"/>
    <w:rsid w:val="002D5006"/>
    <w:rsid w:val="002E01D0"/>
    <w:rsid w:val="002E161D"/>
    <w:rsid w:val="002E1C86"/>
    <w:rsid w:val="002E3100"/>
    <w:rsid w:val="002E6C95"/>
    <w:rsid w:val="002E7C36"/>
    <w:rsid w:val="002F0107"/>
    <w:rsid w:val="002F3A76"/>
    <w:rsid w:val="002F3D32"/>
    <w:rsid w:val="002F489D"/>
    <w:rsid w:val="002F5F31"/>
    <w:rsid w:val="002F5F46"/>
    <w:rsid w:val="00302216"/>
    <w:rsid w:val="00303E53"/>
    <w:rsid w:val="00304DC1"/>
    <w:rsid w:val="00305CC1"/>
    <w:rsid w:val="00306E5F"/>
    <w:rsid w:val="00307E14"/>
    <w:rsid w:val="00314054"/>
    <w:rsid w:val="00315BD8"/>
    <w:rsid w:val="00316F27"/>
    <w:rsid w:val="003214F1"/>
    <w:rsid w:val="00321886"/>
    <w:rsid w:val="00322E4B"/>
    <w:rsid w:val="00327870"/>
    <w:rsid w:val="0033259D"/>
    <w:rsid w:val="003333D2"/>
    <w:rsid w:val="00334744"/>
    <w:rsid w:val="003406C6"/>
    <w:rsid w:val="003418CC"/>
    <w:rsid w:val="003459BD"/>
    <w:rsid w:val="00350D38"/>
    <w:rsid w:val="00350E15"/>
    <w:rsid w:val="00351B36"/>
    <w:rsid w:val="00357B4E"/>
    <w:rsid w:val="003716FD"/>
    <w:rsid w:val="0037204B"/>
    <w:rsid w:val="003744CF"/>
    <w:rsid w:val="00374717"/>
    <w:rsid w:val="0037676C"/>
    <w:rsid w:val="00381043"/>
    <w:rsid w:val="003829E5"/>
    <w:rsid w:val="00386109"/>
    <w:rsid w:val="003861BB"/>
    <w:rsid w:val="00386944"/>
    <w:rsid w:val="00395354"/>
    <w:rsid w:val="003956CC"/>
    <w:rsid w:val="00395C9A"/>
    <w:rsid w:val="003A0853"/>
    <w:rsid w:val="003A4765"/>
    <w:rsid w:val="003A6B67"/>
    <w:rsid w:val="003A7F15"/>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05C"/>
    <w:rsid w:val="003E375C"/>
    <w:rsid w:val="003E4086"/>
    <w:rsid w:val="003E6213"/>
    <w:rsid w:val="003E639E"/>
    <w:rsid w:val="003E71E5"/>
    <w:rsid w:val="003F0445"/>
    <w:rsid w:val="003F0CF0"/>
    <w:rsid w:val="003F14B1"/>
    <w:rsid w:val="003F2B20"/>
    <w:rsid w:val="003F3289"/>
    <w:rsid w:val="003F5CB9"/>
    <w:rsid w:val="004013C7"/>
    <w:rsid w:val="00401FCF"/>
    <w:rsid w:val="0040248F"/>
    <w:rsid w:val="004059BC"/>
    <w:rsid w:val="00406285"/>
    <w:rsid w:val="004146C6"/>
    <w:rsid w:val="004148F9"/>
    <w:rsid w:val="00414D4A"/>
    <w:rsid w:val="0041530D"/>
    <w:rsid w:val="0042084E"/>
    <w:rsid w:val="00421EEF"/>
    <w:rsid w:val="00422D49"/>
    <w:rsid w:val="00424D65"/>
    <w:rsid w:val="00431493"/>
    <w:rsid w:val="00442C6C"/>
    <w:rsid w:val="00443CBE"/>
    <w:rsid w:val="00443E8A"/>
    <w:rsid w:val="004441BC"/>
    <w:rsid w:val="004468B4"/>
    <w:rsid w:val="00450921"/>
    <w:rsid w:val="0045230A"/>
    <w:rsid w:val="00454AD0"/>
    <w:rsid w:val="00456BF6"/>
    <w:rsid w:val="00457337"/>
    <w:rsid w:val="00462E3D"/>
    <w:rsid w:val="00466E79"/>
    <w:rsid w:val="00470D7D"/>
    <w:rsid w:val="0047372D"/>
    <w:rsid w:val="00473BA3"/>
    <w:rsid w:val="004743DD"/>
    <w:rsid w:val="00474CEA"/>
    <w:rsid w:val="00483968"/>
    <w:rsid w:val="00484F86"/>
    <w:rsid w:val="00487E06"/>
    <w:rsid w:val="00490746"/>
    <w:rsid w:val="00490852"/>
    <w:rsid w:val="00491C9C"/>
    <w:rsid w:val="00492F30"/>
    <w:rsid w:val="004946F4"/>
    <w:rsid w:val="0049487E"/>
    <w:rsid w:val="004A160D"/>
    <w:rsid w:val="004A2EBB"/>
    <w:rsid w:val="004A3E81"/>
    <w:rsid w:val="004A4195"/>
    <w:rsid w:val="004A5C62"/>
    <w:rsid w:val="004A5CE5"/>
    <w:rsid w:val="004A707D"/>
    <w:rsid w:val="004C5541"/>
    <w:rsid w:val="004C6EEE"/>
    <w:rsid w:val="004C702B"/>
    <w:rsid w:val="004D0033"/>
    <w:rsid w:val="004D016B"/>
    <w:rsid w:val="004D1B22"/>
    <w:rsid w:val="004D23CC"/>
    <w:rsid w:val="004D32E7"/>
    <w:rsid w:val="004D36F2"/>
    <w:rsid w:val="004E1106"/>
    <w:rsid w:val="004E138F"/>
    <w:rsid w:val="004E4649"/>
    <w:rsid w:val="004E4BCA"/>
    <w:rsid w:val="004E5C2B"/>
    <w:rsid w:val="004E7BE7"/>
    <w:rsid w:val="004F00DD"/>
    <w:rsid w:val="004F0941"/>
    <w:rsid w:val="004F2133"/>
    <w:rsid w:val="004F5398"/>
    <w:rsid w:val="004F55F1"/>
    <w:rsid w:val="004F6936"/>
    <w:rsid w:val="004F78D7"/>
    <w:rsid w:val="00503DC6"/>
    <w:rsid w:val="00506F5D"/>
    <w:rsid w:val="00510C37"/>
    <w:rsid w:val="005126D0"/>
    <w:rsid w:val="0051568D"/>
    <w:rsid w:val="00526AC7"/>
    <w:rsid w:val="00526C15"/>
    <w:rsid w:val="00535D02"/>
    <w:rsid w:val="00536499"/>
    <w:rsid w:val="00543903"/>
    <w:rsid w:val="00543F11"/>
    <w:rsid w:val="00546305"/>
    <w:rsid w:val="0054672C"/>
    <w:rsid w:val="00547A95"/>
    <w:rsid w:val="0055119B"/>
    <w:rsid w:val="005548B5"/>
    <w:rsid w:val="005616AE"/>
    <w:rsid w:val="0057197E"/>
    <w:rsid w:val="00572031"/>
    <w:rsid w:val="00572282"/>
    <w:rsid w:val="00573CE3"/>
    <w:rsid w:val="00576E84"/>
    <w:rsid w:val="00580394"/>
    <w:rsid w:val="005809CD"/>
    <w:rsid w:val="00582B8C"/>
    <w:rsid w:val="0058757E"/>
    <w:rsid w:val="005948E0"/>
    <w:rsid w:val="00594C44"/>
    <w:rsid w:val="00596A4B"/>
    <w:rsid w:val="00597507"/>
    <w:rsid w:val="005A479D"/>
    <w:rsid w:val="005B1C6D"/>
    <w:rsid w:val="005B21B6"/>
    <w:rsid w:val="005B3A08"/>
    <w:rsid w:val="005B7A63"/>
    <w:rsid w:val="005C0955"/>
    <w:rsid w:val="005C43F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E4A"/>
    <w:rsid w:val="00605908"/>
    <w:rsid w:val="00610D7C"/>
    <w:rsid w:val="00613414"/>
    <w:rsid w:val="00620154"/>
    <w:rsid w:val="0062408D"/>
    <w:rsid w:val="006240CC"/>
    <w:rsid w:val="00624940"/>
    <w:rsid w:val="006254F8"/>
    <w:rsid w:val="00627DA7"/>
    <w:rsid w:val="00630DA4"/>
    <w:rsid w:val="00632597"/>
    <w:rsid w:val="006358B4"/>
    <w:rsid w:val="006419AA"/>
    <w:rsid w:val="006448D8"/>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09A"/>
    <w:rsid w:val="006B077C"/>
    <w:rsid w:val="006B6803"/>
    <w:rsid w:val="006D0F16"/>
    <w:rsid w:val="006D1100"/>
    <w:rsid w:val="006D2A3F"/>
    <w:rsid w:val="006D2FBC"/>
    <w:rsid w:val="006D6121"/>
    <w:rsid w:val="006D7093"/>
    <w:rsid w:val="006E0541"/>
    <w:rsid w:val="006E138B"/>
    <w:rsid w:val="006E40B3"/>
    <w:rsid w:val="006F0330"/>
    <w:rsid w:val="006F1FDC"/>
    <w:rsid w:val="006F6B8C"/>
    <w:rsid w:val="006F7948"/>
    <w:rsid w:val="007013EF"/>
    <w:rsid w:val="007055BD"/>
    <w:rsid w:val="007173CA"/>
    <w:rsid w:val="007216AA"/>
    <w:rsid w:val="00721AB5"/>
    <w:rsid w:val="00721CFB"/>
    <w:rsid w:val="00721DEF"/>
    <w:rsid w:val="00722FF5"/>
    <w:rsid w:val="00724A43"/>
    <w:rsid w:val="007273AC"/>
    <w:rsid w:val="00731AD4"/>
    <w:rsid w:val="007346E4"/>
    <w:rsid w:val="00740F22"/>
    <w:rsid w:val="00741CF0"/>
    <w:rsid w:val="00741F1A"/>
    <w:rsid w:val="007447DA"/>
    <w:rsid w:val="007450F8"/>
    <w:rsid w:val="0074696E"/>
    <w:rsid w:val="00747789"/>
    <w:rsid w:val="00750135"/>
    <w:rsid w:val="00750EC2"/>
    <w:rsid w:val="00752B28"/>
    <w:rsid w:val="007541A9"/>
    <w:rsid w:val="00754E36"/>
    <w:rsid w:val="00763139"/>
    <w:rsid w:val="00770F37"/>
    <w:rsid w:val="007711A0"/>
    <w:rsid w:val="00772D5E"/>
    <w:rsid w:val="0077448A"/>
    <w:rsid w:val="0077463E"/>
    <w:rsid w:val="00776928"/>
    <w:rsid w:val="00776E0F"/>
    <w:rsid w:val="007774B1"/>
    <w:rsid w:val="00777BE1"/>
    <w:rsid w:val="007833D8"/>
    <w:rsid w:val="00785677"/>
    <w:rsid w:val="00786F16"/>
    <w:rsid w:val="00791BD7"/>
    <w:rsid w:val="007933F7"/>
    <w:rsid w:val="0079658E"/>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A90"/>
    <w:rsid w:val="007D7C28"/>
    <w:rsid w:val="007E0DE2"/>
    <w:rsid w:val="007E1227"/>
    <w:rsid w:val="007E2127"/>
    <w:rsid w:val="007E2E2F"/>
    <w:rsid w:val="007E3B98"/>
    <w:rsid w:val="007E417A"/>
    <w:rsid w:val="007F1E66"/>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6A62"/>
    <w:rsid w:val="008338A2"/>
    <w:rsid w:val="00835FAF"/>
    <w:rsid w:val="00841AA9"/>
    <w:rsid w:val="008474FE"/>
    <w:rsid w:val="00853EE4"/>
    <w:rsid w:val="00855535"/>
    <w:rsid w:val="00856973"/>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261"/>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4CC7"/>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E4E"/>
    <w:rsid w:val="009718C7"/>
    <w:rsid w:val="0097559F"/>
    <w:rsid w:val="0097570D"/>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0857"/>
    <w:rsid w:val="00A44882"/>
    <w:rsid w:val="00A45125"/>
    <w:rsid w:val="00A54715"/>
    <w:rsid w:val="00A6061C"/>
    <w:rsid w:val="00A62D44"/>
    <w:rsid w:val="00A642B5"/>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3EBE"/>
    <w:rsid w:val="00AC4764"/>
    <w:rsid w:val="00AC6D36"/>
    <w:rsid w:val="00AD0CBA"/>
    <w:rsid w:val="00AD0E40"/>
    <w:rsid w:val="00AD177A"/>
    <w:rsid w:val="00AD26E2"/>
    <w:rsid w:val="00AD784C"/>
    <w:rsid w:val="00AE126A"/>
    <w:rsid w:val="00AE1BAE"/>
    <w:rsid w:val="00AE3005"/>
    <w:rsid w:val="00AE3BD5"/>
    <w:rsid w:val="00AE59A0"/>
    <w:rsid w:val="00AF0C57"/>
    <w:rsid w:val="00AF26F3"/>
    <w:rsid w:val="00AF5F04"/>
    <w:rsid w:val="00AF797A"/>
    <w:rsid w:val="00B0002B"/>
    <w:rsid w:val="00B00672"/>
    <w:rsid w:val="00B01B4D"/>
    <w:rsid w:val="00B06571"/>
    <w:rsid w:val="00B068BA"/>
    <w:rsid w:val="00B13851"/>
    <w:rsid w:val="00B13B1C"/>
    <w:rsid w:val="00B14780"/>
    <w:rsid w:val="00B20136"/>
    <w:rsid w:val="00B21F90"/>
    <w:rsid w:val="00B22291"/>
    <w:rsid w:val="00B23F9A"/>
    <w:rsid w:val="00B2417B"/>
    <w:rsid w:val="00B24E6F"/>
    <w:rsid w:val="00B26CB5"/>
    <w:rsid w:val="00B2752E"/>
    <w:rsid w:val="00B307CC"/>
    <w:rsid w:val="00B326B7"/>
    <w:rsid w:val="00B34877"/>
    <w:rsid w:val="00B3588E"/>
    <w:rsid w:val="00B41F3D"/>
    <w:rsid w:val="00B431E8"/>
    <w:rsid w:val="00B45141"/>
    <w:rsid w:val="00B46DE7"/>
    <w:rsid w:val="00B519CD"/>
    <w:rsid w:val="00B5273A"/>
    <w:rsid w:val="00B5582F"/>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3E11"/>
    <w:rsid w:val="00BB7A10"/>
    <w:rsid w:val="00BC3E8F"/>
    <w:rsid w:val="00BC60BE"/>
    <w:rsid w:val="00BC7468"/>
    <w:rsid w:val="00BC7D4F"/>
    <w:rsid w:val="00BC7ED7"/>
    <w:rsid w:val="00BD2850"/>
    <w:rsid w:val="00BE28D2"/>
    <w:rsid w:val="00BE4A64"/>
    <w:rsid w:val="00BE5432"/>
    <w:rsid w:val="00BE5E43"/>
    <w:rsid w:val="00BF557D"/>
    <w:rsid w:val="00BF7F58"/>
    <w:rsid w:val="00C01381"/>
    <w:rsid w:val="00C01AB1"/>
    <w:rsid w:val="00C026A0"/>
    <w:rsid w:val="00C06137"/>
    <w:rsid w:val="00C079B8"/>
    <w:rsid w:val="00C10037"/>
    <w:rsid w:val="00C1142A"/>
    <w:rsid w:val="00C123EA"/>
    <w:rsid w:val="00C12A49"/>
    <w:rsid w:val="00C133EE"/>
    <w:rsid w:val="00C149D0"/>
    <w:rsid w:val="00C250C9"/>
    <w:rsid w:val="00C26588"/>
    <w:rsid w:val="00C27DE9"/>
    <w:rsid w:val="00C32989"/>
    <w:rsid w:val="00C33388"/>
    <w:rsid w:val="00C35484"/>
    <w:rsid w:val="00C37D3A"/>
    <w:rsid w:val="00C40DDA"/>
    <w:rsid w:val="00C4173A"/>
    <w:rsid w:val="00C50DED"/>
    <w:rsid w:val="00C5496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5B29"/>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4CD0"/>
    <w:rsid w:val="00CF6198"/>
    <w:rsid w:val="00D02919"/>
    <w:rsid w:val="00D03A3A"/>
    <w:rsid w:val="00D04C61"/>
    <w:rsid w:val="00D05B8D"/>
    <w:rsid w:val="00D065A2"/>
    <w:rsid w:val="00D079AA"/>
    <w:rsid w:val="00D07F00"/>
    <w:rsid w:val="00D1130F"/>
    <w:rsid w:val="00D15416"/>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6530C"/>
    <w:rsid w:val="00D714CC"/>
    <w:rsid w:val="00D75EA7"/>
    <w:rsid w:val="00D81ADF"/>
    <w:rsid w:val="00D81F21"/>
    <w:rsid w:val="00D864F2"/>
    <w:rsid w:val="00D934F7"/>
    <w:rsid w:val="00D943F8"/>
    <w:rsid w:val="00D95470"/>
    <w:rsid w:val="00D96B55"/>
    <w:rsid w:val="00DA2619"/>
    <w:rsid w:val="00DA4239"/>
    <w:rsid w:val="00DA57BC"/>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248D"/>
    <w:rsid w:val="00DF50FC"/>
    <w:rsid w:val="00DF68C7"/>
    <w:rsid w:val="00DF731A"/>
    <w:rsid w:val="00E008EF"/>
    <w:rsid w:val="00E06B75"/>
    <w:rsid w:val="00E11332"/>
    <w:rsid w:val="00E11352"/>
    <w:rsid w:val="00E170DC"/>
    <w:rsid w:val="00E17546"/>
    <w:rsid w:val="00E210B5"/>
    <w:rsid w:val="00E249AF"/>
    <w:rsid w:val="00E261B3"/>
    <w:rsid w:val="00E26818"/>
    <w:rsid w:val="00E27FFC"/>
    <w:rsid w:val="00E30B15"/>
    <w:rsid w:val="00E33237"/>
    <w:rsid w:val="00E40181"/>
    <w:rsid w:val="00E53B2A"/>
    <w:rsid w:val="00E54950"/>
    <w:rsid w:val="00E56A01"/>
    <w:rsid w:val="00E62622"/>
    <w:rsid w:val="00E629A1"/>
    <w:rsid w:val="00E62FD2"/>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751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2AA"/>
    <w:rsid w:val="00F00F9C"/>
    <w:rsid w:val="00F01E5F"/>
    <w:rsid w:val="00F024F3"/>
    <w:rsid w:val="00F02ABA"/>
    <w:rsid w:val="00F0437A"/>
    <w:rsid w:val="00F101B8"/>
    <w:rsid w:val="00F11037"/>
    <w:rsid w:val="00F11FE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E86"/>
    <w:rsid w:val="00F5462D"/>
    <w:rsid w:val="00F55B21"/>
    <w:rsid w:val="00F56EF6"/>
    <w:rsid w:val="00F60082"/>
    <w:rsid w:val="00F61A9F"/>
    <w:rsid w:val="00F61B5F"/>
    <w:rsid w:val="00F64696"/>
    <w:rsid w:val="00F65AA9"/>
    <w:rsid w:val="00F6768F"/>
    <w:rsid w:val="00F72C2C"/>
    <w:rsid w:val="00F7659B"/>
    <w:rsid w:val="00F76CAB"/>
    <w:rsid w:val="00F772C6"/>
    <w:rsid w:val="00F815B5"/>
    <w:rsid w:val="00F84FA0"/>
    <w:rsid w:val="00F85195"/>
    <w:rsid w:val="00F868E3"/>
    <w:rsid w:val="00F938BA"/>
    <w:rsid w:val="00F97919"/>
    <w:rsid w:val="00FA2C46"/>
    <w:rsid w:val="00FA3525"/>
    <w:rsid w:val="00FA5A53"/>
    <w:rsid w:val="00FB1B46"/>
    <w:rsid w:val="00FB4769"/>
    <w:rsid w:val="00FB4CDA"/>
    <w:rsid w:val="00FB6481"/>
    <w:rsid w:val="00FB6D36"/>
    <w:rsid w:val="00FC0965"/>
    <w:rsid w:val="00FC0F81"/>
    <w:rsid w:val="00FC252F"/>
    <w:rsid w:val="00FC395C"/>
    <w:rsid w:val="00FC5E8E"/>
    <w:rsid w:val="00FC7FB6"/>
    <w:rsid w:val="00FD3766"/>
    <w:rsid w:val="00FD47C4"/>
    <w:rsid w:val="00FD722A"/>
    <w:rsid w:val="00FE2DCF"/>
    <w:rsid w:val="00FE3FA7"/>
    <w:rsid w:val="00FE51DC"/>
    <w:rsid w:val="00FF2A4E"/>
    <w:rsid w:val="00FF2FCE"/>
    <w:rsid w:val="00FF4F7D"/>
    <w:rsid w:val="00FF54DF"/>
    <w:rsid w:val="00FF5604"/>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47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22FF5"/>
    <w:pPr>
      <w:spacing w:after="120" w:line="270" w:lineRule="atLeast"/>
    </w:pPr>
    <w:rPr>
      <w:rFonts w:ascii="Arial" w:eastAsia="Times" w:hAnsi="Arial"/>
      <w:lang w:eastAsia="en-US"/>
    </w:rPr>
  </w:style>
  <w:style w:type="paragraph" w:customStyle="1" w:styleId="DHHStabletext">
    <w:name w:val="DHHS table text"/>
    <w:uiPriority w:val="3"/>
    <w:qFormat/>
    <w:rsid w:val="00722FF5"/>
    <w:pPr>
      <w:spacing w:before="80" w:after="60"/>
    </w:pPr>
    <w:rPr>
      <w:rFonts w:ascii="Arial" w:hAnsi="Arial"/>
      <w:lang w:eastAsia="en-US"/>
    </w:rPr>
  </w:style>
  <w:style w:type="paragraph" w:styleId="ListParagraph">
    <w:name w:val="List Paragraph"/>
    <w:basedOn w:val="Normal"/>
    <w:uiPriority w:val="34"/>
    <w:qFormat/>
    <w:rsid w:val="00722FF5"/>
    <w:pPr>
      <w:spacing w:after="0" w:line="240" w:lineRule="auto"/>
      <w:ind w:left="720"/>
      <w:contextualSpacing/>
    </w:pPr>
    <w:rPr>
      <w:rFonts w:ascii="Calibri" w:eastAsiaTheme="minorHAnsi" w:hAnsi="Calibri" w:cs="Calibri"/>
      <w:sz w:val="22"/>
      <w:szCs w:val="22"/>
    </w:rPr>
  </w:style>
  <w:style w:type="character" w:customStyle="1" w:styleId="DHHSbodyChar">
    <w:name w:val="DHHS body Char"/>
    <w:link w:val="DHHSbody"/>
    <w:locked/>
    <w:rsid w:val="00722FF5"/>
    <w:rPr>
      <w:rFonts w:ascii="Arial" w:eastAsia="Times" w:hAnsi="Arial"/>
      <w:lang w:eastAsia="en-US"/>
    </w:rPr>
  </w:style>
  <w:style w:type="character" w:customStyle="1" w:styleId="FooterChar">
    <w:name w:val="Footer Char"/>
    <w:basedOn w:val="DefaultParagraphFont"/>
    <w:link w:val="Footer"/>
    <w:uiPriority w:val="99"/>
    <w:rsid w:val="00722FF5"/>
    <w:rPr>
      <w:rFonts w:ascii="Arial" w:hAnsi="Arial" w:cs="Arial"/>
      <w:szCs w:val="18"/>
      <w:lang w:eastAsia="en-US"/>
    </w:rPr>
  </w:style>
  <w:style w:type="paragraph" w:styleId="TOCHeading">
    <w:name w:val="TOC Heading"/>
    <w:basedOn w:val="Heading1"/>
    <w:next w:val="Normal"/>
    <w:uiPriority w:val="39"/>
    <w:unhideWhenUsed/>
    <w:qFormat/>
    <w:rsid w:val="0085697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8921269">
      <w:bodyDiv w:val="1"/>
      <w:marLeft w:val="0"/>
      <w:marRight w:val="0"/>
      <w:marTop w:val="0"/>
      <w:marBottom w:val="0"/>
      <w:divBdr>
        <w:top w:val="none" w:sz="0" w:space="0" w:color="auto"/>
        <w:left w:val="none" w:sz="0" w:space="0" w:color="auto"/>
        <w:bottom w:val="none" w:sz="0" w:space="0" w:color="auto"/>
        <w:right w:val="none" w:sz="0" w:space="0" w:color="auto"/>
      </w:divBdr>
    </w:div>
    <w:div w:id="4210732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0463800">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2059873">
      <w:bodyDiv w:val="1"/>
      <w:marLeft w:val="0"/>
      <w:marRight w:val="0"/>
      <w:marTop w:val="0"/>
      <w:marBottom w:val="0"/>
      <w:divBdr>
        <w:top w:val="none" w:sz="0" w:space="0" w:color="auto"/>
        <w:left w:val="none" w:sz="0" w:space="0" w:color="auto"/>
        <w:bottom w:val="none" w:sz="0" w:space="0" w:color="auto"/>
        <w:right w:val="none" w:sz="0" w:space="0" w:color="auto"/>
      </w:divBdr>
    </w:div>
    <w:div w:id="1578784622">
      <w:bodyDiv w:val="1"/>
      <w:marLeft w:val="0"/>
      <w:marRight w:val="0"/>
      <w:marTop w:val="0"/>
      <w:marBottom w:val="0"/>
      <w:divBdr>
        <w:top w:val="none" w:sz="0" w:space="0" w:color="auto"/>
        <w:left w:val="none" w:sz="0" w:space="0" w:color="auto"/>
        <w:bottom w:val="none" w:sz="0" w:space="0" w:color="auto"/>
        <w:right w:val="none" w:sz="0" w:space="0" w:color="auto"/>
      </w:divBdr>
    </w:div>
    <w:div w:id="160708334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523331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483192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adc_data@health.vic.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2.health.vic.gov.au/alcohol-and-drugs/funding-and-reporting-aod-services/reporting-for-aod-services/data-collection/vadc-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2021-08-30T00:10:00Z</dcterms:created>
  <dcterms:modified xsi:type="dcterms:W3CDTF">2021-08-30T00:10:00Z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2021-08-30T00:10:06Z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6c8dabd1-f706-4130-8e22-f36ceb27725b</vt:lpwstr>
  </property>
  <property fmtid="{D5CDD505-2E9C-101B-9397-08002B2CF9AE}" pid="8" name="MSIP_Label_43e64453-338c-4f93-8a4d-0039a0a41f2a_ContentBits">
    <vt:lpwstr>2</vt:lpwstr>
  </property>
</Properties>
</file>