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1590C" w:rsidP="00AD784C">
      <w:pPr>
        <w:pStyle w:val="Spacerparatopoffirstpage"/>
      </w:pPr>
      <w:r>
        <w:rPr>
          <w:lang w:eastAsia="en-AU"/>
        </w:rPr>
        <w:drawing>
          <wp:anchor distT="0" distB="0" distL="114300" distR="114300" simplePos="0" relativeHeight="251657728" behindDoc="1" locked="1" layoutInCell="0" allowOverlap="1" wp14:anchorId="7C02721C" wp14:editId="04E090C4">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D630D6">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8A1EDA" w:rsidP="00A91406">
            <w:pPr>
              <w:pStyle w:val="DHHSmainheading"/>
            </w:pPr>
            <w:r>
              <w:lastRenderedPageBreak/>
              <w:t>Guide for violence and aggression training in Victorian health services</w:t>
            </w:r>
          </w:p>
        </w:tc>
      </w:tr>
      <w:tr w:rsidR="00AD784C" w:rsidTr="00357B4E">
        <w:trPr>
          <w:trHeight w:hRule="exact" w:val="1162"/>
        </w:trPr>
        <w:tc>
          <w:tcPr>
            <w:tcW w:w="8046" w:type="dxa"/>
            <w:shd w:val="clear" w:color="auto" w:fill="auto"/>
            <w:tcMar>
              <w:top w:w="170" w:type="dxa"/>
              <w:bottom w:w="510" w:type="dxa"/>
            </w:tcMar>
          </w:tcPr>
          <w:p w:rsidR="00357B4E" w:rsidRPr="00AD784C" w:rsidRDefault="008A1EDA" w:rsidP="00357B4E">
            <w:pPr>
              <w:pStyle w:val="DHHSmainsubheading"/>
              <w:rPr>
                <w:szCs w:val="28"/>
              </w:rPr>
            </w:pPr>
            <w:r>
              <w:rPr>
                <w:szCs w:val="28"/>
              </w:rPr>
              <w:t>Guiding principles</w:t>
            </w:r>
          </w:p>
        </w:tc>
      </w:tr>
    </w:tbl>
    <w:p w:rsidR="007173CA" w:rsidRDefault="007173CA" w:rsidP="007173CA">
      <w:pPr>
        <w:pStyle w:val="DHHSbody"/>
        <w:sectPr w:rsidR="007173CA" w:rsidSect="00D630D6">
          <w:headerReference w:type="default" r:id="rId16"/>
          <w:footerReference w:type="default" r:id="rId17"/>
          <w:type w:val="continuous"/>
          <w:pgSz w:w="11906" w:h="16838" w:code="9"/>
          <w:pgMar w:top="1418" w:right="851" w:bottom="1134" w:left="851" w:header="567" w:footer="510" w:gutter="0"/>
          <w:cols w:space="340"/>
          <w:titlePg/>
          <w:docGrid w:linePitch="360"/>
        </w:sectPr>
      </w:pPr>
      <w:bookmarkStart w:id="0" w:name="_Toc440566508"/>
    </w:p>
    <w:bookmarkEnd w:id="0"/>
    <w:p w:rsidR="00893AF6" w:rsidRPr="00B57329" w:rsidRDefault="008A1EDA" w:rsidP="00134114">
      <w:pPr>
        <w:pStyle w:val="Heading1"/>
        <w:spacing w:before="0"/>
      </w:pPr>
      <w:r>
        <w:lastRenderedPageBreak/>
        <w:t>The purpose</w:t>
      </w:r>
    </w:p>
    <w:p w:rsidR="008A1EDA" w:rsidRPr="009F5926" w:rsidRDefault="008A1EDA" w:rsidP="008A1EDA">
      <w:pPr>
        <w:pStyle w:val="DHHSbody"/>
      </w:pPr>
      <w:bookmarkStart w:id="1" w:name="_Toc440566509"/>
      <w:r w:rsidRPr="009F5926">
        <w:t>The Department of Health and Human Services’</w:t>
      </w:r>
      <w:r>
        <w:t xml:space="preserve"> (department)</w:t>
      </w:r>
      <w:r w:rsidRPr="009F5926">
        <w:t> </w:t>
      </w:r>
      <w:hyperlink r:id="rId18" w:history="1">
        <w:r w:rsidRPr="009F5926">
          <w:rPr>
            <w:i/>
            <w:iCs/>
          </w:rPr>
          <w:t>Guide for violence and aggression training in Victorian health services</w:t>
        </w:r>
      </w:hyperlink>
      <w:r w:rsidRPr="009F5926">
        <w:t> provides</w:t>
      </w:r>
      <w:r>
        <w:t xml:space="preserve"> a suite of</w:t>
      </w:r>
      <w:r w:rsidRPr="009F5926">
        <w:t xml:space="preserve"> training principles based on a tiered approach for different staff groups. These best-practice training principles will support consistency in a minimum standard of violence and aggression training across Victoria.</w:t>
      </w:r>
    </w:p>
    <w:p w:rsidR="008A1EDA" w:rsidRDefault="008A1EDA" w:rsidP="008A1EDA">
      <w:pPr>
        <w:pStyle w:val="DHHSbody"/>
      </w:pPr>
      <w:r w:rsidRPr="009F5926">
        <w:t>The guide has been developed using evidence based literature on standards of occupational violence and aggression training, particularly in emergency and mental health, as well as consultation with sector representatives.</w:t>
      </w:r>
    </w:p>
    <w:p w:rsidR="008A1EDA" w:rsidRDefault="008A1EDA" w:rsidP="008A1EDA">
      <w:pPr>
        <w:pStyle w:val="Heading1"/>
        <w:spacing w:before="0"/>
      </w:pPr>
      <w:r>
        <w:t>Background</w:t>
      </w:r>
    </w:p>
    <w:p w:rsidR="008A1EDA" w:rsidRDefault="008A1EDA" w:rsidP="008A1EDA">
      <w:pPr>
        <w:pStyle w:val="DHHSbody"/>
        <w:rPr>
          <w:rFonts w:cs="Arial"/>
        </w:rPr>
      </w:pPr>
      <w:r>
        <w:t xml:space="preserve">In </w:t>
      </w:r>
      <w:proofErr w:type="gramStart"/>
      <w:r>
        <w:t>2015</w:t>
      </w:r>
      <w:proofErr w:type="gramEnd"/>
      <w:r>
        <w:t xml:space="preserve"> the Victorian Auditor-General released an audit report titled </w:t>
      </w:r>
      <w:r>
        <w:rPr>
          <w:i/>
        </w:rPr>
        <w:t xml:space="preserve">Occupational Violence Against Healthcare Workers. </w:t>
      </w:r>
      <w:r w:rsidRPr="00163392">
        <w:t>The report identified that training content, duration, mode of delivery, assessment and program evaluation varied greatly a</w:t>
      </w:r>
      <w:r>
        <w:t>cross Victorian health services.</w:t>
      </w:r>
      <w:r>
        <w:rPr>
          <w:rFonts w:cs="Arial"/>
        </w:rPr>
        <w:t xml:space="preserve"> It </w:t>
      </w:r>
      <w:proofErr w:type="gramStart"/>
      <w:r>
        <w:rPr>
          <w:rFonts w:cs="Arial"/>
        </w:rPr>
        <w:t>was recommended</w:t>
      </w:r>
      <w:proofErr w:type="gramEnd"/>
      <w:r>
        <w:rPr>
          <w:rFonts w:cs="Arial"/>
        </w:rPr>
        <w:t xml:space="preserve"> that the department, in collaboration with health services, develop a set of core occupational violence training tools that can be adapted by health services to their local context as required. </w:t>
      </w:r>
    </w:p>
    <w:p w:rsidR="008A1EDA" w:rsidRPr="008A1EDA" w:rsidRDefault="008A1EDA" w:rsidP="008A1EDA">
      <w:pPr>
        <w:pStyle w:val="DHHSbody"/>
      </w:pPr>
      <w:r>
        <w:t xml:space="preserve">To support Victorian public health services, a suite of guiding principles </w:t>
      </w:r>
      <w:proofErr w:type="gramStart"/>
      <w:r>
        <w:t>have been developed</w:t>
      </w:r>
      <w:proofErr w:type="gramEnd"/>
      <w:r>
        <w:t xml:space="preserve"> to build the minimum level of knowledge and competency required of the workforce to prevent and manage occupational violence. These guiding principles will ensure training </w:t>
      </w:r>
      <w:proofErr w:type="gramStart"/>
      <w:r>
        <w:t>is delivered consistently across key work groups and based on best practice principles</w:t>
      </w:r>
      <w:proofErr w:type="gramEnd"/>
      <w:r>
        <w:t>.</w:t>
      </w:r>
    </w:p>
    <w:bookmarkEnd w:id="1"/>
    <w:p w:rsidR="00BC7ED7" w:rsidRDefault="008A1EDA" w:rsidP="00D630D6">
      <w:pPr>
        <w:pStyle w:val="Heading1"/>
      </w:pPr>
      <w:r>
        <w:t>Applying the guiding principles</w:t>
      </w:r>
    </w:p>
    <w:p w:rsidR="008A1EDA" w:rsidRDefault="008A1EDA" w:rsidP="008A1EDA">
      <w:pPr>
        <w:pStyle w:val="DHHSbody"/>
      </w:pPr>
      <w:r>
        <w:t xml:space="preserve">Each health service is responsible for reviewing their training programs against the guiding principles to identify gaps and areas for improvement. </w:t>
      </w:r>
    </w:p>
    <w:p w:rsidR="008A1EDA" w:rsidRDefault="008A1EDA" w:rsidP="008A1EDA">
      <w:pPr>
        <w:pStyle w:val="DHHSbody"/>
      </w:pPr>
      <w:r>
        <w:t xml:space="preserve">The department will be monitoring health services’ progress in aligning their training programs with the guiding </w:t>
      </w:r>
      <w:r w:rsidRPr="008102CF">
        <w:t>principles</w:t>
      </w:r>
      <w:r>
        <w:t>.</w:t>
      </w:r>
      <w:r w:rsidRPr="008102CF">
        <w:t xml:space="preserve"> </w:t>
      </w:r>
      <w:r>
        <w:t xml:space="preserve">To support this, resources and tools </w:t>
      </w:r>
      <w:proofErr w:type="gramStart"/>
      <w:r>
        <w:t>will be made</w:t>
      </w:r>
      <w:proofErr w:type="gramEnd"/>
      <w:r>
        <w:t xml:space="preserve"> available to health services in 2017, including an evaluation framework to ensure training programs meet their stated objectives and online scenarios that can be used with existing health service training programs. </w:t>
      </w:r>
    </w:p>
    <w:p w:rsidR="008A1EDA" w:rsidRDefault="008A1EDA" w:rsidP="008A1EDA">
      <w:pPr>
        <w:pStyle w:val="DHHSbody"/>
      </w:pPr>
      <w:r>
        <w:t xml:space="preserve">It </w:t>
      </w:r>
      <w:proofErr w:type="gramStart"/>
      <w:r>
        <w:t xml:space="preserve">is </w:t>
      </w:r>
      <w:r w:rsidR="007E378A">
        <w:t>anticipated</w:t>
      </w:r>
      <w:proofErr w:type="gramEnd"/>
      <w:r w:rsidR="007E378A">
        <w:t xml:space="preserve"> that health services will work towards implementing these principles in 2017-18.</w:t>
      </w:r>
    </w:p>
    <w:p w:rsidR="009959F7" w:rsidRDefault="009959F7">
      <w:pPr>
        <w:rPr>
          <w:rFonts w:ascii="Arial" w:eastAsia="MS Gothic" w:hAnsi="Arial" w:cs="Arial"/>
          <w:bCs/>
          <w:color w:val="007B4B"/>
          <w:kern w:val="32"/>
          <w:sz w:val="36"/>
          <w:szCs w:val="40"/>
        </w:rPr>
      </w:pPr>
      <w:r>
        <w:br w:type="page"/>
      </w:r>
    </w:p>
    <w:p w:rsidR="008A1EDA" w:rsidRPr="00CC53A7" w:rsidRDefault="008A1EDA" w:rsidP="00D630D6">
      <w:pPr>
        <w:pStyle w:val="Heading2"/>
      </w:pPr>
      <w:r w:rsidRPr="00762F15">
        <w:lastRenderedPageBreak/>
        <w:t xml:space="preserve">Principle 1: Training programs are tailored to the requirements of different staff groups </w:t>
      </w:r>
    </w:p>
    <w:p w:rsidR="008A1EDA" w:rsidRDefault="008A1EDA" w:rsidP="008A1EDA">
      <w:pPr>
        <w:pStyle w:val="DHHSbody"/>
      </w:pPr>
      <w:proofErr w:type="gramStart"/>
      <w:r>
        <w:t>Staff</w:t>
      </w:r>
      <w:proofErr w:type="gramEnd"/>
      <w:r>
        <w:t xml:space="preserve"> who have contact with patients and visitors have a set of knowledge and skills, relevant to their role, to prevent and manage violence and aggression.</w:t>
      </w:r>
    </w:p>
    <w:p w:rsidR="009959F7" w:rsidRPr="00615AAB" w:rsidRDefault="009959F7" w:rsidP="00D630D6">
      <w:pPr>
        <w:pStyle w:val="Heading3"/>
      </w:pPr>
      <w:r w:rsidRPr="00CC53A7">
        <w:t>Elements of core training</w:t>
      </w:r>
    </w:p>
    <w:tbl>
      <w:tblPr>
        <w:tblStyle w:val="TableGrid"/>
        <w:tblW w:w="10490" w:type="dxa"/>
        <w:shd w:val="clear" w:color="auto" w:fill="201547"/>
        <w:tblLook w:val="04A0" w:firstRow="1" w:lastRow="0" w:firstColumn="1" w:lastColumn="0" w:noHBand="0" w:noVBand="1"/>
      </w:tblPr>
      <w:tblGrid>
        <w:gridCol w:w="10490"/>
      </w:tblGrid>
      <w:tr w:rsidR="008A1EDA" w:rsidTr="00D630D6">
        <w:tc>
          <w:tcPr>
            <w:tcW w:w="10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5DB"/>
          </w:tcPr>
          <w:p w:rsidR="008A1EDA" w:rsidRPr="00483D46" w:rsidRDefault="008A1EDA" w:rsidP="000720FC">
            <w:pPr>
              <w:pStyle w:val="DHHStabletext"/>
              <w:numPr>
                <w:ilvl w:val="1"/>
                <w:numId w:val="9"/>
              </w:numPr>
              <w:ind w:left="459" w:hanging="426"/>
              <w:rPr>
                <w:b/>
              </w:rPr>
            </w:pPr>
            <w:r w:rsidRPr="00483D46">
              <w:rPr>
                <w:b/>
              </w:rPr>
              <w:t xml:space="preserve">Staff whose role involves contact with patients and visitors are trained in: </w:t>
            </w:r>
          </w:p>
          <w:p w:rsidR="008A1EDA" w:rsidRPr="00483D46" w:rsidRDefault="008A1EDA" w:rsidP="000720FC">
            <w:pPr>
              <w:pStyle w:val="DHHStabletext"/>
              <w:rPr>
                <w:b/>
                <w:bCs/>
              </w:rPr>
            </w:pPr>
            <w:r w:rsidRPr="00483D46">
              <w:rPr>
                <w:b/>
                <w:bCs/>
              </w:rPr>
              <w:t xml:space="preserve">Knowledge </w:t>
            </w:r>
          </w:p>
          <w:p w:rsidR="008A1EDA" w:rsidRPr="00483D46" w:rsidRDefault="008A1EDA" w:rsidP="000720FC">
            <w:pPr>
              <w:pStyle w:val="DHHStablebullet"/>
              <w:numPr>
                <w:ilvl w:val="6"/>
                <w:numId w:val="1"/>
              </w:numPr>
            </w:pPr>
            <w:r>
              <w:t>R</w:t>
            </w:r>
            <w:r w:rsidRPr="00483D46">
              <w:t>elevant elements of medico</w:t>
            </w:r>
            <w:r>
              <w:t>-</w:t>
            </w:r>
            <w:r w:rsidRPr="00483D46">
              <w:t>legal principles: duty of care, common law, Mental Health Act</w:t>
            </w:r>
            <w:r>
              <w:t xml:space="preserve"> 2014</w:t>
            </w:r>
            <w:r w:rsidRPr="00483D46">
              <w:t xml:space="preserve"> (</w:t>
            </w:r>
            <w:r>
              <w:t>Vic</w:t>
            </w:r>
            <w:r w:rsidRPr="00483D46">
              <w:t>), Crimes Act 1958</w:t>
            </w:r>
            <w:r>
              <w:t xml:space="preserve"> (Vic),</w:t>
            </w:r>
            <w:r w:rsidRPr="00483D46">
              <w:t xml:space="preserve"> Occupational Health and Safety Act 2004</w:t>
            </w:r>
            <w:r>
              <w:t xml:space="preserve"> (Vic)</w:t>
            </w:r>
            <w:r w:rsidRPr="00483D46">
              <w:t xml:space="preserve"> and regulations and staff rights</w:t>
            </w:r>
          </w:p>
          <w:p w:rsidR="008A1EDA" w:rsidRPr="00483D46" w:rsidRDefault="008A1EDA" w:rsidP="000720FC">
            <w:pPr>
              <w:pStyle w:val="DHHStablebullet"/>
              <w:numPr>
                <w:ilvl w:val="6"/>
                <w:numId w:val="1"/>
              </w:numPr>
            </w:pPr>
            <w:r>
              <w:t>O</w:t>
            </w:r>
            <w:r w:rsidRPr="00483D46">
              <w:t>rientation to relevant safety and security policies and procedures at induction to the organisation and following transfer to a different or high risk environment</w:t>
            </w:r>
          </w:p>
          <w:p w:rsidR="008A1EDA" w:rsidRPr="00483D46" w:rsidRDefault="008A1EDA" w:rsidP="000720FC">
            <w:pPr>
              <w:pStyle w:val="DHHStablebullet"/>
              <w:numPr>
                <w:ilvl w:val="6"/>
                <w:numId w:val="1"/>
              </w:numPr>
            </w:pPr>
            <w:r>
              <w:t>S</w:t>
            </w:r>
            <w:r w:rsidRPr="00483D46">
              <w:t>taffing roles and responsibilities in Code Grey and Code Black responses</w:t>
            </w:r>
          </w:p>
          <w:p w:rsidR="008A1EDA" w:rsidRPr="00483D46" w:rsidRDefault="008A1EDA" w:rsidP="000720FC">
            <w:pPr>
              <w:pStyle w:val="DHHStablebullet"/>
              <w:numPr>
                <w:ilvl w:val="6"/>
                <w:numId w:val="1"/>
              </w:numPr>
            </w:pPr>
            <w:r>
              <w:t>M</w:t>
            </w:r>
            <w:r w:rsidRPr="00483D46">
              <w:t>ental health literacy</w:t>
            </w:r>
          </w:p>
          <w:p w:rsidR="008A1EDA" w:rsidRPr="00483D46" w:rsidRDefault="008A1EDA" w:rsidP="000720FC">
            <w:pPr>
              <w:pStyle w:val="DHHStablebullet"/>
              <w:numPr>
                <w:ilvl w:val="6"/>
                <w:numId w:val="1"/>
              </w:numPr>
            </w:pPr>
            <w:r>
              <w:t>P</w:t>
            </w:r>
            <w:r w:rsidRPr="00483D46">
              <w:t>redisposing factors and triggers for aggression and violence</w:t>
            </w:r>
          </w:p>
          <w:p w:rsidR="008A1EDA" w:rsidRPr="00483D46" w:rsidRDefault="008A1EDA" w:rsidP="000720FC">
            <w:pPr>
              <w:pStyle w:val="DHHStablebullet"/>
              <w:numPr>
                <w:ilvl w:val="6"/>
                <w:numId w:val="1"/>
              </w:numPr>
            </w:pPr>
            <w:r>
              <w:t>O</w:t>
            </w:r>
            <w:r w:rsidRPr="00483D46">
              <w:t xml:space="preserve">rientation to incident reporting on Victorian Health Incident Management System, including the purpose of reporting </w:t>
            </w:r>
          </w:p>
          <w:p w:rsidR="008A1EDA" w:rsidRPr="00483D46" w:rsidRDefault="008A1EDA" w:rsidP="000720FC">
            <w:pPr>
              <w:pStyle w:val="DHHStablebullet"/>
              <w:numPr>
                <w:ilvl w:val="6"/>
                <w:numId w:val="1"/>
              </w:numPr>
            </w:pPr>
            <w:r>
              <w:t>S</w:t>
            </w:r>
            <w:r w:rsidRPr="00483D46">
              <w:t xml:space="preserve">ocial factors such as age, gender, religion, culture, language, sexual orientation and other special needs </w:t>
            </w:r>
            <w:r>
              <w:t xml:space="preserve">that </w:t>
            </w:r>
            <w:r w:rsidRPr="00483D46">
              <w:t>influence the experience of healthcare and the healthcare environment</w:t>
            </w:r>
          </w:p>
          <w:p w:rsidR="008A1EDA" w:rsidRPr="00483D46" w:rsidRDefault="008A1EDA" w:rsidP="000720FC">
            <w:pPr>
              <w:pStyle w:val="DHHStablebullet"/>
              <w:numPr>
                <w:ilvl w:val="6"/>
                <w:numId w:val="1"/>
              </w:numPr>
            </w:pPr>
            <w:r>
              <w:t>I</w:t>
            </w:r>
            <w:r w:rsidRPr="00483D46">
              <w:t>nterpersonal factors between staff and consumers or visitors that may contribute to violence and aggression, such as communication style and techniques to overcome barriers</w:t>
            </w:r>
          </w:p>
          <w:p w:rsidR="008A1EDA" w:rsidRPr="00483D46" w:rsidRDefault="008A1EDA" w:rsidP="000720FC">
            <w:pPr>
              <w:pStyle w:val="DHHStablebullet"/>
              <w:numPr>
                <w:ilvl w:val="6"/>
                <w:numId w:val="1"/>
              </w:numPr>
            </w:pPr>
            <w:r>
              <w:t>S</w:t>
            </w:r>
            <w:r w:rsidRPr="00483D46">
              <w:t>elf-awareness of personal signs of increasing anxiety, to support: early recognition and preventive approaches; and management approaches</w:t>
            </w:r>
          </w:p>
          <w:p w:rsidR="008A1EDA" w:rsidRPr="00483D46" w:rsidRDefault="008A1EDA" w:rsidP="000720FC">
            <w:pPr>
              <w:pStyle w:val="DHHStabletext"/>
              <w:rPr>
                <w:b/>
              </w:rPr>
            </w:pPr>
            <w:r w:rsidRPr="00483D46">
              <w:rPr>
                <w:b/>
                <w:bCs/>
              </w:rPr>
              <w:t xml:space="preserve">Skills </w:t>
            </w:r>
          </w:p>
          <w:p w:rsidR="008A1EDA" w:rsidRDefault="008A1EDA" w:rsidP="000720FC">
            <w:pPr>
              <w:pStyle w:val="DHHStablebullet"/>
              <w:numPr>
                <w:ilvl w:val="6"/>
                <w:numId w:val="1"/>
              </w:numPr>
            </w:pPr>
            <w:r>
              <w:t>R</w:t>
            </w:r>
            <w:r w:rsidRPr="00483D46">
              <w:t>ecognition of early signs of agitation</w:t>
            </w:r>
            <w:r>
              <w:t xml:space="preserve"> </w:t>
            </w:r>
          </w:p>
          <w:p w:rsidR="008A1EDA" w:rsidRPr="00483D46" w:rsidRDefault="008A1EDA" w:rsidP="000720FC">
            <w:pPr>
              <w:pStyle w:val="DHHStablebullet"/>
              <w:numPr>
                <w:ilvl w:val="6"/>
                <w:numId w:val="1"/>
              </w:numPr>
            </w:pPr>
            <w:r>
              <w:t>C</w:t>
            </w:r>
            <w:r w:rsidRPr="00483D46">
              <w:t xml:space="preserve">ommunication skills, including customer service considerations </w:t>
            </w:r>
          </w:p>
          <w:p w:rsidR="008A1EDA" w:rsidRPr="00483D46" w:rsidRDefault="008A1EDA" w:rsidP="000720FC">
            <w:pPr>
              <w:pStyle w:val="DHHStablebullet"/>
              <w:numPr>
                <w:ilvl w:val="6"/>
                <w:numId w:val="1"/>
              </w:numPr>
            </w:pPr>
            <w:r>
              <w:t>A</w:t>
            </w:r>
            <w:r w:rsidRPr="00483D46">
              <w:t xml:space="preserve">n introduction to verbal and non-verbal de-escalation techniques </w:t>
            </w:r>
          </w:p>
          <w:p w:rsidR="008A1EDA" w:rsidRPr="00483D46" w:rsidRDefault="008A1EDA" w:rsidP="000720FC">
            <w:pPr>
              <w:pStyle w:val="DHHStablebullet"/>
              <w:numPr>
                <w:ilvl w:val="6"/>
                <w:numId w:val="1"/>
              </w:numPr>
              <w:spacing w:after="120"/>
            </w:pPr>
            <w:r>
              <w:t>U</w:t>
            </w:r>
            <w:r w:rsidRPr="00483D46">
              <w:t xml:space="preserve">se of equipment and controls such as duress alarms </w:t>
            </w:r>
          </w:p>
          <w:p w:rsidR="008A1EDA" w:rsidRPr="00B05F04" w:rsidRDefault="008A1EDA" w:rsidP="000720FC">
            <w:pPr>
              <w:pStyle w:val="DHHStabletext"/>
              <w:numPr>
                <w:ilvl w:val="1"/>
                <w:numId w:val="9"/>
              </w:numPr>
              <w:spacing w:after="120"/>
              <w:ind w:left="459" w:hanging="426"/>
            </w:pPr>
            <w:r w:rsidRPr="00483D46">
              <w:rPr>
                <w:b/>
              </w:rPr>
              <w:t xml:space="preserve">Specialised areas such as obstetrics, adolescents and </w:t>
            </w:r>
            <w:proofErr w:type="gramStart"/>
            <w:r w:rsidRPr="00483D46">
              <w:rPr>
                <w:b/>
              </w:rPr>
              <w:t>community based</w:t>
            </w:r>
            <w:proofErr w:type="gramEnd"/>
            <w:r w:rsidRPr="00483D46">
              <w:rPr>
                <w:b/>
              </w:rPr>
              <w:t xml:space="preserve"> workers </w:t>
            </w:r>
            <w:r w:rsidR="0060428F">
              <w:rPr>
                <w:b/>
              </w:rPr>
              <w:t xml:space="preserve">may </w:t>
            </w:r>
            <w:r w:rsidRPr="00483D46">
              <w:rPr>
                <w:b/>
              </w:rPr>
              <w:t>require additional knowledge and skills in preventing and managing violence and aggression in these settings.</w:t>
            </w:r>
          </w:p>
        </w:tc>
      </w:tr>
    </w:tbl>
    <w:p w:rsidR="008A1EDA" w:rsidRDefault="009959F7" w:rsidP="00D630D6">
      <w:pPr>
        <w:pStyle w:val="Heading3"/>
        <w:rPr>
          <w:color w:val="201547"/>
          <w:sz w:val="28"/>
          <w:szCs w:val="28"/>
        </w:rPr>
      </w:pPr>
      <w:r w:rsidRPr="00CC53A7">
        <w:t>Elements of clinical staff training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5DB"/>
        <w:tblLook w:val="04A0" w:firstRow="1" w:lastRow="0" w:firstColumn="1" w:lastColumn="0" w:noHBand="0" w:noVBand="1"/>
      </w:tblPr>
      <w:tblGrid>
        <w:gridCol w:w="10490"/>
      </w:tblGrid>
      <w:tr w:rsidR="008A1EDA" w:rsidTr="00D630D6">
        <w:tc>
          <w:tcPr>
            <w:tcW w:w="10490" w:type="dxa"/>
            <w:shd w:val="clear" w:color="auto" w:fill="CCE5DB"/>
          </w:tcPr>
          <w:p w:rsidR="008A1EDA" w:rsidRPr="00483D46" w:rsidRDefault="008A1EDA" w:rsidP="000720FC">
            <w:pPr>
              <w:pStyle w:val="DHHStabletext"/>
              <w:numPr>
                <w:ilvl w:val="1"/>
                <w:numId w:val="9"/>
              </w:numPr>
              <w:ind w:left="459" w:hanging="426"/>
              <w:rPr>
                <w:b/>
              </w:rPr>
            </w:pPr>
            <w:r w:rsidRPr="00483D46">
              <w:rPr>
                <w:b/>
              </w:rPr>
              <w:t xml:space="preserve">Clinical </w:t>
            </w:r>
            <w:proofErr w:type="gramStart"/>
            <w:r w:rsidRPr="00483D46">
              <w:rPr>
                <w:b/>
              </w:rPr>
              <w:t>staff are</w:t>
            </w:r>
            <w:proofErr w:type="gramEnd"/>
            <w:r w:rsidRPr="00483D46">
              <w:rPr>
                <w:b/>
              </w:rPr>
              <w:t xml:space="preserve"> trained in the following additional areas.</w:t>
            </w:r>
          </w:p>
          <w:p w:rsidR="008A1EDA" w:rsidRPr="00483D46" w:rsidRDefault="008A1EDA" w:rsidP="000720FC">
            <w:pPr>
              <w:pStyle w:val="DHHStabletext"/>
              <w:rPr>
                <w:b/>
              </w:rPr>
            </w:pPr>
            <w:r w:rsidRPr="00483D46">
              <w:rPr>
                <w:b/>
              </w:rPr>
              <w:t xml:space="preserve">Knowledge </w:t>
            </w:r>
          </w:p>
          <w:p w:rsidR="008A1EDA" w:rsidRPr="00483D46" w:rsidRDefault="008A1EDA" w:rsidP="000720FC">
            <w:pPr>
              <w:pStyle w:val="DHHStablebullet"/>
              <w:numPr>
                <w:ilvl w:val="6"/>
                <w:numId w:val="1"/>
              </w:numPr>
            </w:pPr>
            <w:r>
              <w:t>C</w:t>
            </w:r>
            <w:r w:rsidRPr="00483D46">
              <w:t>hallenging behaviours, including those due to medical causes such as pain, substance abuse, medications, mental health, fear and organic illness</w:t>
            </w:r>
          </w:p>
          <w:p w:rsidR="008A1EDA" w:rsidRPr="00483D46" w:rsidRDefault="008A1EDA" w:rsidP="000720FC">
            <w:pPr>
              <w:pStyle w:val="DHHStabletext"/>
            </w:pPr>
            <w:r w:rsidRPr="00483D46">
              <w:rPr>
                <w:b/>
              </w:rPr>
              <w:t>Skills</w:t>
            </w:r>
            <w:r w:rsidRPr="00483D46">
              <w:rPr>
                <w:b/>
                <w:bCs/>
              </w:rPr>
              <w:t xml:space="preserve"> </w:t>
            </w:r>
          </w:p>
          <w:p w:rsidR="008A1EDA" w:rsidRPr="00483D46" w:rsidRDefault="008A1EDA" w:rsidP="000720FC">
            <w:pPr>
              <w:pStyle w:val="DHHStablebullet"/>
              <w:numPr>
                <w:ilvl w:val="6"/>
                <w:numId w:val="1"/>
              </w:numPr>
            </w:pPr>
            <w:r w:rsidRPr="00483D46">
              <w:t xml:space="preserve">Environmental and consumer risk assessment. Environmental risk assessment may be supported by tools developed by </w:t>
            </w:r>
            <w:proofErr w:type="spellStart"/>
            <w:r w:rsidRPr="00483D46">
              <w:t>WorkSafe</w:t>
            </w:r>
            <w:proofErr w:type="spellEnd"/>
            <w:r w:rsidRPr="00483D46">
              <w:rPr>
                <w:rStyle w:val="EndnoteReference"/>
              </w:rPr>
              <w:endnoteReference w:id="1"/>
            </w:r>
          </w:p>
          <w:p w:rsidR="008A1EDA" w:rsidRDefault="008A1EDA" w:rsidP="00D630D6">
            <w:pPr>
              <w:pStyle w:val="DHHStablebullet"/>
              <w:numPr>
                <w:ilvl w:val="6"/>
                <w:numId w:val="1"/>
              </w:numPr>
            </w:pPr>
            <w:r>
              <w:t>S</w:t>
            </w:r>
            <w:r w:rsidRPr="00483D46">
              <w:t>afe restraint procedures and clinical monitoring requirements, recognising that all restraint measures carry some risk (for example</w:t>
            </w:r>
            <w:r>
              <w:t>,</w:t>
            </w:r>
            <w:r w:rsidRPr="00483D46">
              <w:t xml:space="preserve"> applicable in facilities authorised to use restrai</w:t>
            </w:r>
            <w:r>
              <w:t>nt under the Mental Health</w:t>
            </w:r>
            <w:r w:rsidR="009B2FCD">
              <w:t xml:space="preserve"> 2014</w:t>
            </w:r>
            <w:r>
              <w:t xml:space="preserve"> Act</w:t>
            </w:r>
            <w:r w:rsidR="009B2FCD">
              <w:t xml:space="preserve"> (Vic)</w:t>
            </w:r>
            <w:r>
              <w:t>)</w:t>
            </w:r>
          </w:p>
        </w:tc>
      </w:tr>
    </w:tbl>
    <w:p w:rsidR="009959F7" w:rsidRDefault="009959F7">
      <w:r>
        <w:rPr>
          <w:b/>
        </w:rPr>
        <w:br w:type="page"/>
      </w:r>
    </w:p>
    <w:p w:rsidR="009959F7" w:rsidRDefault="009959F7" w:rsidP="00D630D6">
      <w:pPr>
        <w:pStyle w:val="Heading3"/>
      </w:pPr>
      <w:r w:rsidRPr="009959F7">
        <w:lastRenderedPageBreak/>
        <w:t>Elements of supervisor training</w:t>
      </w:r>
    </w:p>
    <w:tbl>
      <w:tblPr>
        <w:tblStyle w:val="TableGrid"/>
        <w:tblW w:w="10490" w:type="dxa"/>
        <w:tblLook w:val="04A0" w:firstRow="1" w:lastRow="0" w:firstColumn="1" w:lastColumn="0" w:noHBand="0" w:noVBand="1"/>
      </w:tblPr>
      <w:tblGrid>
        <w:gridCol w:w="10490"/>
      </w:tblGrid>
      <w:tr w:rsidR="008A1EDA" w:rsidTr="00D630D6">
        <w:tc>
          <w:tcPr>
            <w:tcW w:w="10490" w:type="dxa"/>
            <w:tcBorders>
              <w:top w:val="nil"/>
              <w:left w:val="nil"/>
              <w:bottom w:val="nil"/>
              <w:right w:val="nil"/>
            </w:tcBorders>
            <w:shd w:val="clear" w:color="auto" w:fill="CCE5DB"/>
          </w:tcPr>
          <w:p w:rsidR="008A1EDA" w:rsidRPr="00483D46" w:rsidRDefault="008A1EDA" w:rsidP="000720FC">
            <w:pPr>
              <w:pStyle w:val="DHHStabletext"/>
              <w:numPr>
                <w:ilvl w:val="1"/>
                <w:numId w:val="9"/>
              </w:numPr>
              <w:ind w:left="459" w:hanging="426"/>
              <w:rPr>
                <w:b/>
              </w:rPr>
            </w:pPr>
            <w:r w:rsidRPr="00483D46">
              <w:rPr>
                <w:b/>
              </w:rPr>
              <w:t xml:space="preserve">Supervisors are trained in these additional areas: </w:t>
            </w:r>
          </w:p>
          <w:p w:rsidR="008A1EDA" w:rsidRPr="00483D46" w:rsidRDefault="008A1EDA" w:rsidP="000720FC">
            <w:pPr>
              <w:pStyle w:val="DHHStabletext"/>
              <w:rPr>
                <w:b/>
                <w:color w:val="201547"/>
              </w:rPr>
            </w:pPr>
            <w:r w:rsidRPr="00483D46">
              <w:rPr>
                <w:b/>
                <w:color w:val="201547"/>
              </w:rPr>
              <w:t>Skills</w:t>
            </w:r>
            <w:r w:rsidRPr="00483D46">
              <w:rPr>
                <w:b/>
                <w:bCs/>
                <w:color w:val="201547"/>
              </w:rPr>
              <w:t xml:space="preserve"> </w:t>
            </w:r>
          </w:p>
          <w:p w:rsidR="008A1EDA" w:rsidRPr="00483D46" w:rsidRDefault="008A1EDA" w:rsidP="000720FC">
            <w:pPr>
              <w:pStyle w:val="DHHStablebullet"/>
              <w:numPr>
                <w:ilvl w:val="6"/>
                <w:numId w:val="1"/>
              </w:numPr>
            </w:pPr>
            <w:r>
              <w:t>E</w:t>
            </w:r>
            <w:r w:rsidRPr="00483D46">
              <w:t>arly intervention, conflict resolution</w:t>
            </w:r>
            <w:r>
              <w:t xml:space="preserve"> and</w:t>
            </w:r>
            <w:r w:rsidRPr="00483D46">
              <w:t xml:space="preserve"> supervisory coaching </w:t>
            </w:r>
          </w:p>
          <w:p w:rsidR="008A1EDA" w:rsidRPr="00483D46" w:rsidRDefault="008A1EDA" w:rsidP="000720FC">
            <w:pPr>
              <w:pStyle w:val="DHHStablebullet"/>
              <w:numPr>
                <w:ilvl w:val="6"/>
                <w:numId w:val="1"/>
              </w:numPr>
            </w:pPr>
            <w:r>
              <w:t>P</w:t>
            </w:r>
            <w:r w:rsidRPr="00483D46">
              <w:t xml:space="preserve">ost-incident de-briefing and support for affected staff </w:t>
            </w:r>
          </w:p>
          <w:p w:rsidR="008A1EDA" w:rsidRPr="00483D46" w:rsidRDefault="008A1EDA" w:rsidP="000720FC">
            <w:pPr>
              <w:pStyle w:val="DHHStablebullet"/>
              <w:numPr>
                <w:ilvl w:val="6"/>
                <w:numId w:val="1"/>
              </w:numPr>
            </w:pPr>
            <w:r>
              <w:t>P</w:t>
            </w:r>
            <w:r w:rsidRPr="00483D46">
              <w:t xml:space="preserve">roviding support for affected patients, carers and visitors </w:t>
            </w:r>
          </w:p>
          <w:p w:rsidR="008A1EDA" w:rsidRPr="00483D46" w:rsidRDefault="008A1EDA" w:rsidP="000720FC">
            <w:pPr>
              <w:pStyle w:val="DHHStablebullet"/>
              <w:numPr>
                <w:ilvl w:val="6"/>
                <w:numId w:val="1"/>
              </w:numPr>
            </w:pPr>
            <w:r>
              <w:t>I</w:t>
            </w:r>
            <w:r w:rsidRPr="00483D46">
              <w:t>njury management support for injured workers</w:t>
            </w:r>
          </w:p>
          <w:p w:rsidR="008A1EDA" w:rsidRPr="00483D46" w:rsidRDefault="008A1EDA" w:rsidP="000720FC">
            <w:pPr>
              <w:pStyle w:val="DHHStablebullet"/>
              <w:numPr>
                <w:ilvl w:val="6"/>
                <w:numId w:val="1"/>
              </w:numPr>
            </w:pPr>
            <w:r>
              <w:t>H</w:t>
            </w:r>
            <w:r w:rsidRPr="00483D46">
              <w:t>azard identification and management within the local environment including identification of systematic contributing factors to violence and aggression</w:t>
            </w:r>
            <w:r>
              <w:t xml:space="preserve"> (</w:t>
            </w:r>
            <w:r w:rsidRPr="00483D46">
              <w:t>for example, exploring the interplay between environmental factors and individual factors, such as personality and mental health, that influence aggression</w:t>
            </w:r>
            <w:r>
              <w:t>)</w:t>
            </w:r>
            <w:r w:rsidRPr="00483D46">
              <w:t xml:space="preserve"> </w:t>
            </w:r>
          </w:p>
          <w:p w:rsidR="008A1EDA" w:rsidRPr="00483D46" w:rsidRDefault="008A1EDA" w:rsidP="000720FC">
            <w:pPr>
              <w:pStyle w:val="DHHStablebullet"/>
              <w:numPr>
                <w:ilvl w:val="6"/>
                <w:numId w:val="1"/>
              </w:numPr>
            </w:pPr>
            <w:r w:rsidRPr="00483D46">
              <w:t>Incident investigation and implementation of appropriate controls</w:t>
            </w:r>
          </w:p>
          <w:p w:rsidR="008A1EDA" w:rsidRDefault="008A1EDA" w:rsidP="000720FC">
            <w:pPr>
              <w:pStyle w:val="DHHStablebullet"/>
              <w:numPr>
                <w:ilvl w:val="6"/>
                <w:numId w:val="1"/>
              </w:numPr>
            </w:pPr>
            <w:r>
              <w:t>D</w:t>
            </w:r>
            <w:r w:rsidRPr="00483D46">
              <w:t>ata collection for incident review</w:t>
            </w:r>
            <w:r>
              <w:t>s</w:t>
            </w:r>
          </w:p>
        </w:tc>
      </w:tr>
    </w:tbl>
    <w:p w:rsidR="008A1EDA" w:rsidRPr="00CE6BA6" w:rsidRDefault="009959F7" w:rsidP="00D630D6">
      <w:pPr>
        <w:pStyle w:val="Heading3"/>
        <w:rPr>
          <w:color w:val="201547"/>
          <w:sz w:val="28"/>
          <w:szCs w:val="28"/>
        </w:rPr>
      </w:pPr>
      <w:r w:rsidRPr="00CC53A7">
        <w:t>Training elements for security staff and non-clinical staff who support an incident response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5DB"/>
        <w:tblLook w:val="04A0" w:firstRow="1" w:lastRow="0" w:firstColumn="1" w:lastColumn="0" w:noHBand="0" w:noVBand="1"/>
      </w:tblPr>
      <w:tblGrid>
        <w:gridCol w:w="10490"/>
      </w:tblGrid>
      <w:tr w:rsidR="008A1EDA" w:rsidTr="00D630D6">
        <w:tc>
          <w:tcPr>
            <w:tcW w:w="10490" w:type="dxa"/>
            <w:shd w:val="clear" w:color="auto" w:fill="CCE5DB"/>
          </w:tcPr>
          <w:p w:rsidR="008A1EDA" w:rsidRPr="00483D46" w:rsidRDefault="008A1EDA" w:rsidP="000720FC">
            <w:pPr>
              <w:pStyle w:val="DHHStabletext"/>
              <w:numPr>
                <w:ilvl w:val="1"/>
                <w:numId w:val="9"/>
              </w:numPr>
              <w:ind w:left="459" w:hanging="426"/>
              <w:rPr>
                <w:b/>
              </w:rPr>
            </w:pPr>
            <w:r w:rsidRPr="00483D46">
              <w:rPr>
                <w:b/>
              </w:rPr>
              <w:t xml:space="preserve">It is recognised that a range of non-clinical staff may be called upon to respond to incidents of violence and aggression such as security officers or other hospital staff. Training for these staff members includes: </w:t>
            </w:r>
          </w:p>
          <w:p w:rsidR="008A1EDA" w:rsidRPr="00483D46" w:rsidRDefault="008A1EDA" w:rsidP="000720FC">
            <w:pPr>
              <w:pStyle w:val="DHHStabletext"/>
            </w:pPr>
            <w:r w:rsidRPr="00483D46">
              <w:rPr>
                <w:b/>
              </w:rPr>
              <w:t>Knowledge</w:t>
            </w:r>
            <w:r w:rsidRPr="00483D46">
              <w:rPr>
                <w:b/>
                <w:bCs/>
              </w:rPr>
              <w:t xml:space="preserve"> </w:t>
            </w:r>
          </w:p>
          <w:p w:rsidR="008A1EDA" w:rsidRPr="00483D46" w:rsidRDefault="008A1EDA" w:rsidP="000720FC">
            <w:pPr>
              <w:pStyle w:val="DHHStablebullet"/>
              <w:numPr>
                <w:ilvl w:val="6"/>
                <w:numId w:val="1"/>
              </w:numPr>
            </w:pPr>
            <w:r>
              <w:t>O</w:t>
            </w:r>
            <w:r w:rsidRPr="00483D46">
              <w:t xml:space="preserve">rientation to current policies and procedures (including Code Grey and Code Black) at induction to the organisation and following transfer to a different or high risk environment </w:t>
            </w:r>
          </w:p>
          <w:p w:rsidR="008A1EDA" w:rsidRPr="00483D46" w:rsidRDefault="008A1EDA" w:rsidP="000720FC">
            <w:pPr>
              <w:pStyle w:val="DHHStablebullet"/>
              <w:numPr>
                <w:ilvl w:val="6"/>
                <w:numId w:val="1"/>
              </w:numPr>
            </w:pPr>
            <w:r>
              <w:t>S</w:t>
            </w:r>
            <w:r w:rsidRPr="00483D46">
              <w:t xml:space="preserve">taffing roles and responsibilities in Code Grey and Code Black responses, in particular, the security role being part of the clinically led response team </w:t>
            </w:r>
          </w:p>
          <w:p w:rsidR="008A1EDA" w:rsidRPr="00483D46" w:rsidRDefault="008A1EDA" w:rsidP="000720FC">
            <w:pPr>
              <w:pStyle w:val="DHHStablebullet"/>
              <w:numPr>
                <w:ilvl w:val="6"/>
                <w:numId w:val="1"/>
              </w:numPr>
            </w:pPr>
            <w:r>
              <w:t>R</w:t>
            </w:r>
            <w:r w:rsidRPr="00483D46">
              <w:t>elevant elements of medico-legal principles: Mental Health Act</w:t>
            </w:r>
            <w:r>
              <w:t xml:space="preserve"> 2014 (Vic)</w:t>
            </w:r>
            <w:r w:rsidRPr="00483D46">
              <w:t>, common law, Crimes Act</w:t>
            </w:r>
            <w:r>
              <w:t xml:space="preserve"> 1958 (Vic)</w:t>
            </w:r>
            <w:r w:rsidRPr="00483D46">
              <w:t>, duty of care towards patients and visitors</w:t>
            </w:r>
          </w:p>
          <w:p w:rsidR="008A1EDA" w:rsidRPr="00483D46" w:rsidRDefault="008A1EDA" w:rsidP="000720FC">
            <w:pPr>
              <w:pStyle w:val="DHHStablebullet"/>
              <w:numPr>
                <w:ilvl w:val="6"/>
                <w:numId w:val="1"/>
              </w:numPr>
            </w:pPr>
            <w:r>
              <w:t>H</w:t>
            </w:r>
            <w:r w:rsidRPr="00483D46">
              <w:t xml:space="preserve">ealth literacy (especially around common mental health disorders) </w:t>
            </w:r>
          </w:p>
          <w:p w:rsidR="008A1EDA" w:rsidRPr="00483D46" w:rsidRDefault="008A1EDA" w:rsidP="000720FC">
            <w:pPr>
              <w:pStyle w:val="DHHStablebullet"/>
              <w:numPr>
                <w:ilvl w:val="6"/>
                <w:numId w:val="1"/>
              </w:numPr>
            </w:pPr>
            <w:r>
              <w:t>R</w:t>
            </w:r>
            <w:r w:rsidRPr="00483D46">
              <w:t xml:space="preserve">ecognition of early signs of agitation </w:t>
            </w:r>
          </w:p>
          <w:p w:rsidR="008A1EDA" w:rsidRPr="00483D46" w:rsidRDefault="008A1EDA" w:rsidP="000720FC">
            <w:pPr>
              <w:pStyle w:val="DHHStablebullet"/>
              <w:numPr>
                <w:ilvl w:val="6"/>
                <w:numId w:val="1"/>
              </w:numPr>
            </w:pPr>
            <w:r>
              <w:t>O</w:t>
            </w:r>
            <w:r w:rsidRPr="00483D46">
              <w:t>rientation to incident reporting on Victorian Health Incident Management System, including the purpose of reporting</w:t>
            </w:r>
          </w:p>
          <w:p w:rsidR="008A1EDA" w:rsidRPr="00483D46" w:rsidRDefault="008A1EDA" w:rsidP="000720FC">
            <w:pPr>
              <w:pStyle w:val="DHHStabletext"/>
            </w:pPr>
            <w:r w:rsidRPr="00483D46">
              <w:rPr>
                <w:b/>
              </w:rPr>
              <w:t>Skills</w:t>
            </w:r>
            <w:r w:rsidRPr="00483D46">
              <w:rPr>
                <w:b/>
                <w:bCs/>
              </w:rPr>
              <w:t xml:space="preserve"> </w:t>
            </w:r>
          </w:p>
          <w:p w:rsidR="008A1EDA" w:rsidRPr="00483D46" w:rsidRDefault="008A1EDA" w:rsidP="000720FC">
            <w:pPr>
              <w:pStyle w:val="DHHStablebullet"/>
              <w:numPr>
                <w:ilvl w:val="6"/>
                <w:numId w:val="1"/>
              </w:numPr>
            </w:pPr>
            <w:r>
              <w:t>I</w:t>
            </w:r>
            <w:r w:rsidRPr="00483D46">
              <w:t xml:space="preserve">ntroduction to verbal and non-verbal de-escalation techniques </w:t>
            </w:r>
          </w:p>
          <w:p w:rsidR="008A1EDA" w:rsidRPr="00483D46" w:rsidRDefault="008A1EDA" w:rsidP="000720FC">
            <w:pPr>
              <w:pStyle w:val="DHHStablebullet"/>
              <w:numPr>
                <w:ilvl w:val="6"/>
                <w:numId w:val="1"/>
              </w:numPr>
            </w:pPr>
            <w:r>
              <w:t>C</w:t>
            </w:r>
            <w:r w:rsidRPr="00483D46">
              <w:t>ommunication skills, including customer service considerations</w:t>
            </w:r>
          </w:p>
          <w:p w:rsidR="008A1EDA" w:rsidRDefault="008A1EDA" w:rsidP="000720FC">
            <w:pPr>
              <w:pStyle w:val="DHHStablebullet"/>
              <w:numPr>
                <w:ilvl w:val="6"/>
                <w:numId w:val="1"/>
              </w:numPr>
            </w:pPr>
            <w:r>
              <w:t>S</w:t>
            </w:r>
            <w:r w:rsidRPr="00483D46">
              <w:t>afe restraint techniques</w:t>
            </w:r>
          </w:p>
        </w:tc>
      </w:tr>
    </w:tbl>
    <w:p w:rsidR="009959F7" w:rsidRPr="00D630D6" w:rsidRDefault="009959F7" w:rsidP="00D630D6">
      <w:pPr>
        <w:rPr>
          <w:rFonts w:ascii="Arial" w:hAnsi="Arial"/>
          <w:b/>
          <w:color w:val="007B4B"/>
          <w:sz w:val="28"/>
          <w:szCs w:val="28"/>
        </w:rPr>
      </w:pPr>
    </w:p>
    <w:p w:rsidR="009959F7" w:rsidRDefault="009959F7" w:rsidP="00D630D6">
      <w:pPr>
        <w:pStyle w:val="DHHSbody"/>
        <w:rPr>
          <w:color w:val="007B4B"/>
          <w:sz w:val="28"/>
          <w:szCs w:val="28"/>
        </w:rPr>
      </w:pPr>
      <w:r>
        <w:br w:type="page"/>
      </w:r>
    </w:p>
    <w:p w:rsidR="008A1EDA" w:rsidRDefault="008A1EDA" w:rsidP="00D630D6">
      <w:pPr>
        <w:pStyle w:val="Heading2"/>
      </w:pPr>
      <w:r>
        <w:lastRenderedPageBreak/>
        <w:t>Principle 2</w:t>
      </w:r>
      <w:r w:rsidRPr="00F36529">
        <w:t>:</w:t>
      </w:r>
      <w:r w:rsidRPr="00453673">
        <w:t xml:space="preserve"> </w:t>
      </w:r>
      <w:r w:rsidRPr="00F36529">
        <w:t>Training</w:t>
      </w:r>
      <w:r w:rsidRPr="00453673">
        <w:t xml:space="preserve"> </w:t>
      </w:r>
      <w:r>
        <w:t>is delivered as part of a model of care</w:t>
      </w:r>
    </w:p>
    <w:p w:rsidR="008A1EDA" w:rsidRDefault="008A1EDA" w:rsidP="008A1EDA">
      <w:pPr>
        <w:pStyle w:val="DHHSbody"/>
        <w:spacing w:line="240" w:lineRule="auto"/>
      </w:pPr>
      <w:r w:rsidRPr="00742AB3">
        <w:t>Training for the prevention and management of clinical aggression should be located within a recovery-oriented, person-centred, family/carer inclusive, trauma-informed model of care.</w:t>
      </w:r>
    </w:p>
    <w:p w:rsidR="00C46A15" w:rsidRPr="00106D08" w:rsidRDefault="00C46A15" w:rsidP="00D630D6">
      <w:pPr>
        <w:pStyle w:val="Heading3"/>
      </w:pPr>
      <w:r>
        <w:t>Training elements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tblBorders>
        <w:shd w:val="clear" w:color="auto" w:fill="99CAB7"/>
        <w:tblLook w:val="04A0" w:firstRow="1" w:lastRow="0" w:firstColumn="1" w:lastColumn="0" w:noHBand="0" w:noVBand="1"/>
      </w:tblPr>
      <w:tblGrid>
        <w:gridCol w:w="10348"/>
      </w:tblGrid>
      <w:tr w:rsidR="008A1EDA" w:rsidTr="00D630D6">
        <w:tc>
          <w:tcPr>
            <w:tcW w:w="10348" w:type="dxa"/>
            <w:shd w:val="clear" w:color="auto" w:fill="CCE5DB"/>
          </w:tcPr>
          <w:p w:rsidR="008A1EDA" w:rsidRPr="00483D46" w:rsidRDefault="008A1EDA" w:rsidP="008A1EDA">
            <w:pPr>
              <w:pStyle w:val="DHHStabletext"/>
              <w:numPr>
                <w:ilvl w:val="0"/>
                <w:numId w:val="10"/>
              </w:numPr>
              <w:ind w:left="459" w:hanging="426"/>
              <w:rPr>
                <w:b/>
              </w:rPr>
            </w:pPr>
            <w:r w:rsidRPr="00483D46">
              <w:rPr>
                <w:b/>
              </w:rPr>
              <w:t>The focus is on the least restrictive strategies, yet cognisant of the need to maintain th</w:t>
            </w:r>
            <w:r w:rsidR="009B2FCD">
              <w:rPr>
                <w:b/>
              </w:rPr>
              <w:t>e safety of consumers and staff</w:t>
            </w:r>
            <w:r w:rsidRPr="00483D46">
              <w:rPr>
                <w:b/>
              </w:rPr>
              <w:t xml:space="preserve"> </w:t>
            </w:r>
          </w:p>
          <w:p w:rsidR="008A1EDA" w:rsidRPr="00483D46" w:rsidRDefault="008A1EDA" w:rsidP="008A1EDA">
            <w:pPr>
              <w:pStyle w:val="DHHStabletext"/>
              <w:numPr>
                <w:ilvl w:val="0"/>
                <w:numId w:val="30"/>
              </w:numPr>
              <w:ind w:left="459" w:hanging="426"/>
              <w:rPr>
                <w:b/>
              </w:rPr>
            </w:pPr>
            <w:r w:rsidRPr="00483D46">
              <w:rPr>
                <w:b/>
              </w:rPr>
              <w:t>The model of care should be included in the training. Such models of care may include, but are not limited to, the following:</w:t>
            </w:r>
          </w:p>
          <w:p w:rsidR="008A1EDA" w:rsidRPr="00483D46" w:rsidRDefault="008A1EDA" w:rsidP="000720FC">
            <w:pPr>
              <w:pStyle w:val="DHHStablebullet"/>
              <w:numPr>
                <w:ilvl w:val="6"/>
                <w:numId w:val="1"/>
              </w:numPr>
            </w:pPr>
            <w:r w:rsidRPr="00483D46">
              <w:t>Person-centred care is a philosophical approach to service development and service delivery that sees services provided in a way that is respectful of, and responsive to, the preferences, needs and values of people and those who care for them</w:t>
            </w:r>
            <w:r w:rsidRPr="00483D46">
              <w:rPr>
                <w:rStyle w:val="EndnoteReference"/>
              </w:rPr>
              <w:endnoteReference w:id="2"/>
            </w:r>
            <w:r w:rsidRPr="00483D46">
              <w:t>. To succeed, a person-centred approach should also address the staff experience, because the staff’s ability and inclination to care effectively for patients is compromised if they do not feel cared for themselves</w:t>
            </w:r>
            <w:r w:rsidRPr="00483D46">
              <w:rPr>
                <w:rStyle w:val="EndnoteReference"/>
              </w:rPr>
              <w:endnoteReference w:id="3"/>
            </w:r>
          </w:p>
          <w:p w:rsidR="008A1EDA" w:rsidRPr="00483D46" w:rsidRDefault="008A1EDA" w:rsidP="000720FC">
            <w:pPr>
              <w:pStyle w:val="DHHStablebullet"/>
              <w:numPr>
                <w:ilvl w:val="6"/>
                <w:numId w:val="1"/>
              </w:numPr>
            </w:pPr>
            <w:proofErr w:type="spellStart"/>
            <w:r w:rsidRPr="00483D46">
              <w:t>Safewards</w:t>
            </w:r>
            <w:proofErr w:type="spellEnd"/>
            <w:r w:rsidRPr="00483D46">
              <w:t xml:space="preserve"> is a model that has been established to guide</w:t>
            </w:r>
            <w:r w:rsidRPr="00483D46">
              <w:rPr>
                <w:rStyle w:val="EndnoteReference"/>
              </w:rPr>
              <w:endnoteReference w:id="4"/>
            </w:r>
            <w:r w:rsidRPr="00483D46">
              <w:t xml:space="preserve"> the way people understand and respond to conflict and containment on mental health wards</w:t>
            </w:r>
            <w:r w:rsidRPr="00483D46">
              <w:rPr>
                <w:rStyle w:val="EndnoteReference"/>
              </w:rPr>
              <w:endnoteReference w:id="5"/>
            </w:r>
          </w:p>
          <w:p w:rsidR="008A1EDA" w:rsidRPr="00483D46" w:rsidRDefault="008A1EDA" w:rsidP="000720FC">
            <w:pPr>
              <w:pStyle w:val="DHHStablebullet"/>
              <w:numPr>
                <w:ilvl w:val="6"/>
                <w:numId w:val="1"/>
              </w:numPr>
            </w:pPr>
            <w:r w:rsidRPr="00483D46">
              <w:t>Recovery</w:t>
            </w:r>
            <w:r>
              <w:t>-</w:t>
            </w:r>
            <w:r w:rsidRPr="00483D46">
              <w:t>orientated care is a broad empirical and philosophical paradigm that emphasises an individual’s journey to a full and productive life, with or in the absence of episodes of mental illness</w:t>
            </w:r>
            <w:r w:rsidRPr="00483D46">
              <w:rPr>
                <w:rStyle w:val="EndnoteReference"/>
              </w:rPr>
              <w:endnoteReference w:id="6"/>
            </w:r>
            <w:r w:rsidRPr="00483D46">
              <w:t>. The restrictive interventions in designated mental health services</w:t>
            </w:r>
            <w:r>
              <w:t>’</w:t>
            </w:r>
            <w:r w:rsidRPr="00483D46">
              <w:t xml:space="preserve"> guidelines also advocate for the reduction of restrictive interventions such as restraint and seclusion</w:t>
            </w:r>
            <w:r w:rsidRPr="00483D46">
              <w:rPr>
                <w:rStyle w:val="EndnoteReference"/>
              </w:rPr>
              <w:endnoteReference w:id="7"/>
            </w:r>
          </w:p>
          <w:p w:rsidR="008A1EDA" w:rsidRPr="00483D46" w:rsidRDefault="008A1EDA" w:rsidP="000720FC">
            <w:pPr>
              <w:pStyle w:val="DHHStablebullet"/>
              <w:numPr>
                <w:ilvl w:val="6"/>
                <w:numId w:val="1"/>
              </w:numPr>
            </w:pPr>
            <w:r w:rsidRPr="00483D46">
              <w:t xml:space="preserve">A </w:t>
            </w:r>
            <w:r>
              <w:t>t</w:t>
            </w:r>
            <w:r w:rsidRPr="00483D46">
              <w:t xml:space="preserve">rauma-informed care approach acknowledges the central role that trauma has played in the consumer’s life and recognises the presence of trauma symptoms in the consumer’s display of aggressive behaviours </w:t>
            </w:r>
          </w:p>
          <w:p w:rsidR="008A1EDA" w:rsidRDefault="008A1EDA" w:rsidP="000720FC">
            <w:pPr>
              <w:pStyle w:val="DHHStablebullet"/>
              <w:numPr>
                <w:ilvl w:val="6"/>
                <w:numId w:val="1"/>
              </w:numPr>
            </w:pPr>
            <w:r w:rsidRPr="00483D46">
              <w:t>The ‘six core strategies’ for reducing the use of seclusion and restraint are based on trauma-informed and strength-based care</w:t>
            </w:r>
            <w:r w:rsidRPr="00483D46">
              <w:rPr>
                <w:rStyle w:val="EndnoteReference"/>
              </w:rPr>
              <w:endnoteReference w:id="8"/>
            </w:r>
          </w:p>
        </w:tc>
      </w:tr>
    </w:tbl>
    <w:p w:rsidR="008A1EDA" w:rsidRDefault="008A1EDA" w:rsidP="00D630D6">
      <w:pPr>
        <w:pStyle w:val="Heading2"/>
      </w:pPr>
      <w:r>
        <w:t>Principle 3: Training strategies are tiered to deliver least restrictive interventions</w:t>
      </w:r>
    </w:p>
    <w:p w:rsidR="008A1EDA" w:rsidRDefault="008A1EDA" w:rsidP="008A1EDA">
      <w:pPr>
        <w:pStyle w:val="DHHSbody"/>
      </w:pPr>
      <w:r w:rsidRPr="00742AB3">
        <w:t xml:space="preserve">Staff training includes a range of strategies, including primary (minimising the risk of violence before violence develops), secondary (used when violence </w:t>
      </w:r>
      <w:proofErr w:type="gramStart"/>
      <w:r w:rsidRPr="00742AB3">
        <w:t>is perceived</w:t>
      </w:r>
      <w:proofErr w:type="gramEnd"/>
      <w:r w:rsidRPr="00742AB3">
        <w:t xml:space="preserve"> to be imminent) and tertiary (controlling or reducing a violent incident that is already underway) strategies appropriate to their role.</w:t>
      </w:r>
    </w:p>
    <w:p w:rsidR="00C46A15" w:rsidRPr="00106D08" w:rsidRDefault="00C46A15" w:rsidP="00D630D6">
      <w:pPr>
        <w:pStyle w:val="Heading3"/>
      </w:pPr>
      <w:r>
        <w:t>Training elements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tblBorders>
        <w:shd w:val="clear" w:color="auto" w:fill="CCE5DB"/>
        <w:tblLook w:val="04A0" w:firstRow="1" w:lastRow="0" w:firstColumn="1" w:lastColumn="0" w:noHBand="0" w:noVBand="1"/>
      </w:tblPr>
      <w:tblGrid>
        <w:gridCol w:w="10348"/>
      </w:tblGrid>
      <w:tr w:rsidR="008A1EDA" w:rsidTr="00D630D6">
        <w:tc>
          <w:tcPr>
            <w:tcW w:w="10348" w:type="dxa"/>
            <w:shd w:val="clear" w:color="auto" w:fill="CCE5DB"/>
          </w:tcPr>
          <w:p w:rsidR="008A1EDA" w:rsidRPr="00483D46" w:rsidRDefault="008A1EDA" w:rsidP="008A1EDA">
            <w:pPr>
              <w:pStyle w:val="DHHStabletext"/>
              <w:numPr>
                <w:ilvl w:val="0"/>
                <w:numId w:val="11"/>
              </w:numPr>
              <w:rPr>
                <w:b/>
              </w:rPr>
            </w:pPr>
            <w:r w:rsidRPr="00483D46">
              <w:rPr>
                <w:b/>
              </w:rPr>
              <w:t>Standards for the training of primary strategies:</w:t>
            </w:r>
          </w:p>
          <w:p w:rsidR="008A1EDA" w:rsidRPr="00483D46" w:rsidRDefault="008A1EDA" w:rsidP="000720FC">
            <w:pPr>
              <w:pStyle w:val="DHHStablebullet"/>
              <w:numPr>
                <w:ilvl w:val="6"/>
                <w:numId w:val="1"/>
              </w:numPr>
            </w:pPr>
            <w:r w:rsidRPr="00483D46">
              <w:t>Legal and policy parameters, as outlined in principles 1.1 and 1.5</w:t>
            </w:r>
          </w:p>
          <w:p w:rsidR="008A1EDA" w:rsidRPr="00483D46" w:rsidRDefault="008A1EDA" w:rsidP="000720FC">
            <w:pPr>
              <w:pStyle w:val="DHHStablebullet"/>
              <w:numPr>
                <w:ilvl w:val="6"/>
                <w:numId w:val="1"/>
              </w:numPr>
            </w:pPr>
            <w:r w:rsidRPr="00483D46">
              <w:t>Maintaining a safe therapeutic environment</w:t>
            </w:r>
          </w:p>
          <w:p w:rsidR="008A1EDA" w:rsidRPr="00483D46" w:rsidRDefault="008A1EDA" w:rsidP="000720FC">
            <w:pPr>
              <w:pStyle w:val="DHHStablebullet"/>
              <w:numPr>
                <w:ilvl w:val="6"/>
                <w:numId w:val="1"/>
              </w:numPr>
            </w:pPr>
            <w:r w:rsidRPr="00483D46">
              <w:t>Recognising and responding to clinical deterioration</w:t>
            </w:r>
          </w:p>
          <w:p w:rsidR="008A1EDA" w:rsidRPr="00483D46" w:rsidRDefault="008A1EDA" w:rsidP="000720FC">
            <w:pPr>
              <w:pStyle w:val="DHHStablebullet"/>
              <w:numPr>
                <w:ilvl w:val="6"/>
                <w:numId w:val="1"/>
              </w:numPr>
            </w:pPr>
            <w:r w:rsidRPr="00483D46">
              <w:t>Observations through engagement</w:t>
            </w:r>
          </w:p>
          <w:p w:rsidR="008A1EDA" w:rsidRPr="00483D46" w:rsidRDefault="008A1EDA" w:rsidP="000720FC">
            <w:pPr>
              <w:pStyle w:val="DHHStablebullet"/>
              <w:numPr>
                <w:ilvl w:val="6"/>
                <w:numId w:val="1"/>
              </w:numPr>
            </w:pPr>
            <w:r w:rsidRPr="00483D46">
              <w:t xml:space="preserve">The use of sensory modulation techniques to assist people in self-regulating aggression </w:t>
            </w:r>
          </w:p>
          <w:p w:rsidR="008A1EDA" w:rsidRPr="00483D46" w:rsidRDefault="008A1EDA" w:rsidP="008A1EDA">
            <w:pPr>
              <w:pStyle w:val="DHHStablebullet"/>
              <w:numPr>
                <w:ilvl w:val="0"/>
                <w:numId w:val="12"/>
              </w:numPr>
            </w:pPr>
            <w:r w:rsidRPr="00483D46">
              <w:rPr>
                <w:b/>
              </w:rPr>
              <w:t>Standards for the training of secondary strategies including training in:</w:t>
            </w:r>
          </w:p>
          <w:p w:rsidR="008A1EDA" w:rsidRPr="00483D46" w:rsidRDefault="008A1EDA" w:rsidP="000720FC">
            <w:pPr>
              <w:pStyle w:val="DHHStablebullet"/>
              <w:numPr>
                <w:ilvl w:val="6"/>
                <w:numId w:val="1"/>
              </w:numPr>
            </w:pPr>
            <w:r w:rsidRPr="00483D46">
              <w:t>De-escalation skills as outlined in principle 1.1</w:t>
            </w:r>
          </w:p>
          <w:p w:rsidR="008A1EDA" w:rsidRPr="00483D46" w:rsidRDefault="008A1EDA" w:rsidP="000720FC">
            <w:pPr>
              <w:pStyle w:val="DHHStablebullet"/>
              <w:numPr>
                <w:ilvl w:val="6"/>
                <w:numId w:val="1"/>
              </w:numPr>
            </w:pPr>
            <w:r w:rsidRPr="00483D46">
              <w:t>The use</w:t>
            </w:r>
            <w:r w:rsidR="0060428F">
              <w:t xml:space="preserve"> of skills to establish</w:t>
            </w:r>
            <w:r w:rsidRPr="00483D46">
              <w:t xml:space="preserve"> appropriate </w:t>
            </w:r>
            <w:r w:rsidR="0060428F">
              <w:t>limits</w:t>
            </w:r>
          </w:p>
          <w:p w:rsidR="008A1EDA" w:rsidRPr="00483D46" w:rsidRDefault="008A1EDA" w:rsidP="008A1EDA">
            <w:pPr>
              <w:pStyle w:val="DHHStablebullet"/>
              <w:numPr>
                <w:ilvl w:val="0"/>
                <w:numId w:val="13"/>
              </w:numPr>
            </w:pPr>
            <w:r w:rsidRPr="00483D46">
              <w:rPr>
                <w:b/>
              </w:rPr>
              <w:t>Standards for the training of tertiary strategies including:</w:t>
            </w:r>
          </w:p>
          <w:p w:rsidR="008A1EDA" w:rsidRPr="00483D46" w:rsidRDefault="008A1EDA" w:rsidP="008A1EDA">
            <w:pPr>
              <w:pStyle w:val="DHHStablebullet"/>
              <w:numPr>
                <w:ilvl w:val="6"/>
                <w:numId w:val="1"/>
              </w:numPr>
            </w:pPr>
            <w:r w:rsidRPr="00483D46">
              <w:t xml:space="preserve">Creating an awareness in staff of the guidelines for the use of pharmacological approaches in managing aggression including the use of Pro </w:t>
            </w:r>
            <w:r>
              <w:t>R</w:t>
            </w:r>
            <w:r w:rsidRPr="00483D46">
              <w:t xml:space="preserve">e </w:t>
            </w:r>
            <w:r>
              <w:t>N</w:t>
            </w:r>
            <w:r w:rsidRPr="00483D46">
              <w:t>ata (PRN) medication</w:t>
            </w:r>
            <w:r>
              <w:rPr>
                <w:rStyle w:val="EndnoteReference"/>
              </w:rPr>
              <w:endnoteReference w:id="9"/>
            </w:r>
          </w:p>
          <w:p w:rsidR="008A1EDA" w:rsidRPr="00483D46" w:rsidRDefault="008A1EDA" w:rsidP="008A1EDA">
            <w:pPr>
              <w:pStyle w:val="DHHStablebullet"/>
              <w:numPr>
                <w:ilvl w:val="6"/>
                <w:numId w:val="1"/>
              </w:numPr>
            </w:pPr>
            <w:r w:rsidRPr="00483D46">
              <w:t>Reinforcing that reducing the use of seclusion and restraint is not associated with an increase in clinical aggression</w:t>
            </w:r>
          </w:p>
          <w:p w:rsidR="008A1EDA" w:rsidRPr="00483D46" w:rsidRDefault="008A1EDA" w:rsidP="008A1EDA">
            <w:pPr>
              <w:pStyle w:val="DHHStablebullet"/>
              <w:numPr>
                <w:ilvl w:val="6"/>
                <w:numId w:val="1"/>
              </w:numPr>
            </w:pPr>
            <w:r w:rsidRPr="00483D46">
              <w:t xml:space="preserve">The use of restrictive intervention as a last resort measure </w:t>
            </w:r>
          </w:p>
          <w:p w:rsidR="008A1EDA" w:rsidRPr="00483D46" w:rsidRDefault="008A1EDA" w:rsidP="008A1EDA">
            <w:pPr>
              <w:pStyle w:val="DHHStablebullet"/>
              <w:numPr>
                <w:ilvl w:val="6"/>
                <w:numId w:val="1"/>
              </w:numPr>
            </w:pPr>
            <w:r>
              <w:t>P</w:t>
            </w:r>
            <w:r w:rsidRPr="00483D46">
              <w:t xml:space="preserve">olicies and procedures regarding the use of seclusion, physical restraint and mechanical restraint (as </w:t>
            </w:r>
            <w:r w:rsidRPr="00483D46">
              <w:lastRenderedPageBreak/>
              <w:t>referenced in principles 1.3 and 1.5)</w:t>
            </w:r>
          </w:p>
          <w:p w:rsidR="008A1EDA" w:rsidRPr="00483D46" w:rsidRDefault="008A1EDA" w:rsidP="008A1EDA">
            <w:pPr>
              <w:pStyle w:val="DHHStablebullet"/>
              <w:numPr>
                <w:ilvl w:val="6"/>
                <w:numId w:val="1"/>
              </w:numPr>
            </w:pPr>
            <w:r>
              <w:t>P</w:t>
            </w:r>
            <w:r w:rsidRPr="00483D46">
              <w:t>olicies and procedures for the use of physical restrain</w:t>
            </w:r>
            <w:r>
              <w:t>t</w:t>
            </w:r>
          </w:p>
          <w:p w:rsidR="008A1EDA" w:rsidRDefault="008A1EDA" w:rsidP="008A1EDA">
            <w:pPr>
              <w:pStyle w:val="DHHStablebullet"/>
              <w:numPr>
                <w:ilvl w:val="6"/>
                <w:numId w:val="1"/>
              </w:numPr>
            </w:pPr>
            <w:r>
              <w:t>P</w:t>
            </w:r>
            <w:r w:rsidRPr="00483D46">
              <w:t xml:space="preserve">olicies and procedures for the use of mechanical restraint  </w:t>
            </w:r>
          </w:p>
        </w:tc>
      </w:tr>
    </w:tbl>
    <w:p w:rsidR="008A1EDA" w:rsidRDefault="008A1EDA" w:rsidP="00D630D6">
      <w:pPr>
        <w:pStyle w:val="Heading2"/>
      </w:pPr>
      <w:r>
        <w:lastRenderedPageBreak/>
        <w:t>Principle 4</w:t>
      </w:r>
      <w:r w:rsidRPr="00F36529">
        <w:t>:</w:t>
      </w:r>
      <w:r w:rsidRPr="00453673">
        <w:t xml:space="preserve"> </w:t>
      </w:r>
      <w:r w:rsidRPr="003A2D3B">
        <w:t>Training</w:t>
      </w:r>
      <w:r w:rsidRPr="007F51ED">
        <w:t xml:space="preserve"> </w:t>
      </w:r>
      <w:r w:rsidRPr="003A2D3B">
        <w:t>programs</w:t>
      </w:r>
      <w:r w:rsidRPr="007F51ED">
        <w:t xml:space="preserve"> </w:t>
      </w:r>
      <w:r w:rsidRPr="003A2D3B">
        <w:t>are</w:t>
      </w:r>
      <w:r w:rsidRPr="007F51ED">
        <w:t xml:space="preserve"> delivered to staff based on an </w:t>
      </w:r>
      <w:r>
        <w:t>assessment of risk in their work area</w:t>
      </w:r>
    </w:p>
    <w:p w:rsidR="008A1EDA" w:rsidRDefault="008A1EDA" w:rsidP="008A1EDA">
      <w:pPr>
        <w:pStyle w:val="DHHSbody"/>
      </w:pPr>
      <w:r w:rsidRPr="00742AB3">
        <w:t>Staff training addresses the differing knowledge and skill requirements for the assessed level of risk of violence and aggression in their local work area.</w:t>
      </w:r>
    </w:p>
    <w:p w:rsidR="00C46A15" w:rsidRPr="00106D08" w:rsidRDefault="00C46A15" w:rsidP="00D630D6">
      <w:pPr>
        <w:pStyle w:val="Heading3"/>
      </w:pPr>
      <w:r>
        <w:t>Training elements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tblBorders>
        <w:shd w:val="clear" w:color="auto" w:fill="CCE5DB"/>
        <w:tblLook w:val="04A0" w:firstRow="1" w:lastRow="0" w:firstColumn="1" w:lastColumn="0" w:noHBand="0" w:noVBand="1"/>
      </w:tblPr>
      <w:tblGrid>
        <w:gridCol w:w="10348"/>
      </w:tblGrid>
      <w:tr w:rsidR="008A1EDA" w:rsidTr="00D630D6">
        <w:tc>
          <w:tcPr>
            <w:tcW w:w="10348" w:type="dxa"/>
            <w:shd w:val="clear" w:color="auto" w:fill="CCE5DB"/>
          </w:tcPr>
          <w:p w:rsidR="008A1EDA" w:rsidRPr="00B05F04" w:rsidRDefault="008A1EDA" w:rsidP="008A1EDA">
            <w:pPr>
              <w:pStyle w:val="DHHStabletext"/>
              <w:numPr>
                <w:ilvl w:val="0"/>
                <w:numId w:val="14"/>
              </w:numPr>
              <w:rPr>
                <w:b/>
              </w:rPr>
            </w:pPr>
            <w:r w:rsidRPr="00B05F04">
              <w:rPr>
                <w:b/>
              </w:rPr>
              <w:t>Organisations assess work areas according to the risk of aggression and violence to staff and provide training accordingly</w:t>
            </w:r>
            <w:r>
              <w:rPr>
                <w:rStyle w:val="EndnoteReference"/>
                <w:b/>
              </w:rPr>
              <w:endnoteReference w:id="10"/>
            </w:r>
            <w:r w:rsidRPr="00B05F04">
              <w:rPr>
                <w:b/>
              </w:rPr>
              <w:t xml:space="preserve">  </w:t>
            </w:r>
          </w:p>
          <w:p w:rsidR="008A1EDA" w:rsidRPr="00B05F04" w:rsidRDefault="008A1EDA" w:rsidP="008A1EDA">
            <w:pPr>
              <w:pStyle w:val="DHHStabletext"/>
              <w:numPr>
                <w:ilvl w:val="0"/>
                <w:numId w:val="15"/>
              </w:numPr>
              <w:rPr>
                <w:b/>
              </w:rPr>
            </w:pPr>
            <w:r w:rsidRPr="00B05F04">
              <w:rPr>
                <w:b/>
              </w:rPr>
              <w:t xml:space="preserve">Low risk areas complete a core training program, as outlined under Principle 1 </w:t>
            </w:r>
          </w:p>
          <w:p w:rsidR="008A1EDA" w:rsidRPr="00B05F04" w:rsidRDefault="008A1EDA" w:rsidP="008A1EDA">
            <w:pPr>
              <w:pStyle w:val="DHHStabletext"/>
              <w:numPr>
                <w:ilvl w:val="0"/>
                <w:numId w:val="16"/>
              </w:numPr>
              <w:rPr>
                <w:b/>
              </w:rPr>
            </w:pPr>
            <w:r w:rsidRPr="00B05F04">
              <w:rPr>
                <w:b/>
              </w:rPr>
              <w:t xml:space="preserve">Medium risk areas complete the core training program and additional modules that advance core training concepts, including advanced communication and verbal and non-verbal de-escalation </w:t>
            </w:r>
          </w:p>
          <w:p w:rsidR="008A1EDA" w:rsidRPr="00B05F04" w:rsidRDefault="008A1EDA" w:rsidP="008A1EDA">
            <w:pPr>
              <w:pStyle w:val="DHHStabletext"/>
              <w:numPr>
                <w:ilvl w:val="0"/>
                <w:numId w:val="17"/>
              </w:numPr>
              <w:rPr>
                <w:b/>
              </w:rPr>
            </w:pPr>
            <w:proofErr w:type="gramStart"/>
            <w:r w:rsidRPr="00B05F04">
              <w:rPr>
                <w:b/>
              </w:rPr>
              <w:t>High risk</w:t>
            </w:r>
            <w:proofErr w:type="gramEnd"/>
            <w:r w:rsidRPr="00B05F04">
              <w:rPr>
                <w:b/>
              </w:rPr>
              <w:t xml:space="preserve"> areas complete training for medium risk areas and additional training to develop skills in breakaway techniques and de-escalating a broad spectrum of patient presentations in a variety of settings. They should also understand the array of interventions available to them including, but not limited to, medications, restrictive interventions</w:t>
            </w:r>
            <w:r>
              <w:rPr>
                <w:rStyle w:val="EndnoteReference"/>
                <w:b/>
              </w:rPr>
              <w:endnoteReference w:id="11"/>
            </w:r>
            <w:r w:rsidRPr="00B05F04">
              <w:rPr>
                <w:b/>
              </w:rPr>
              <w:t xml:space="preserve">, and how to readily form a functional team for Code Grey responses </w:t>
            </w:r>
          </w:p>
          <w:p w:rsidR="008A1EDA" w:rsidRPr="00B05F04" w:rsidRDefault="008A1EDA" w:rsidP="008A1EDA">
            <w:pPr>
              <w:pStyle w:val="DHHStabletext"/>
              <w:numPr>
                <w:ilvl w:val="0"/>
                <w:numId w:val="18"/>
              </w:numPr>
              <w:rPr>
                <w:b/>
              </w:rPr>
            </w:pPr>
            <w:r w:rsidRPr="00B05F04">
              <w:rPr>
                <w:b/>
              </w:rPr>
              <w:t xml:space="preserve">Supervisors in high risk areas should receive training </w:t>
            </w:r>
            <w:r>
              <w:rPr>
                <w:b/>
              </w:rPr>
              <w:t xml:space="preserve">in </w:t>
            </w:r>
            <w:r w:rsidRPr="00B05F04">
              <w:rPr>
                <w:b/>
              </w:rPr>
              <w:t xml:space="preserve">the management of complex situations and how to assess and modify environmental influences on clinical aggression </w:t>
            </w:r>
          </w:p>
          <w:p w:rsidR="008A1EDA" w:rsidRPr="00B17E02" w:rsidRDefault="008A1EDA" w:rsidP="008A1EDA">
            <w:pPr>
              <w:pStyle w:val="DHHStabletext"/>
              <w:numPr>
                <w:ilvl w:val="0"/>
                <w:numId w:val="19"/>
              </w:numPr>
              <w:rPr>
                <w:b/>
                <w:sz w:val="18"/>
                <w:szCs w:val="18"/>
              </w:rPr>
            </w:pPr>
            <w:r w:rsidRPr="00B05F04">
              <w:rPr>
                <w:b/>
              </w:rPr>
              <w:t>Supervisors and staff in high risk areas should consider the specific needs of those areas with particular reference to mental health, drug and alcohol intoxication, forensics, acquired brain injury and children or the elderly</w:t>
            </w:r>
          </w:p>
        </w:tc>
      </w:tr>
    </w:tbl>
    <w:p w:rsidR="008A1EDA" w:rsidRPr="004E526B" w:rsidRDefault="008A1EDA" w:rsidP="00D630D6">
      <w:pPr>
        <w:pStyle w:val="Heading2"/>
        <w:rPr>
          <w:sz w:val="22"/>
          <w:szCs w:val="22"/>
        </w:rPr>
      </w:pPr>
      <w:r>
        <w:t>Principle 5</w:t>
      </w:r>
      <w:r w:rsidRPr="00F36529">
        <w:t>:</w:t>
      </w:r>
      <w:r w:rsidRPr="00453673">
        <w:t xml:space="preserve"> </w:t>
      </w:r>
      <w:r w:rsidRPr="00DF43D8">
        <w:t>Training</w:t>
      </w:r>
      <w:r>
        <w:rPr>
          <w:sz w:val="22"/>
          <w:szCs w:val="22"/>
        </w:rPr>
        <w:t xml:space="preserve"> </w:t>
      </w:r>
      <w:r w:rsidRPr="00DF43D8">
        <w:t>methods</w:t>
      </w:r>
      <w:r>
        <w:rPr>
          <w:sz w:val="22"/>
          <w:szCs w:val="22"/>
        </w:rPr>
        <w:t xml:space="preserve"> </w:t>
      </w:r>
      <w:r w:rsidRPr="00DF43D8">
        <w:t>are</w:t>
      </w:r>
      <w:r>
        <w:rPr>
          <w:sz w:val="22"/>
          <w:szCs w:val="22"/>
        </w:rPr>
        <w:t xml:space="preserve">, </w:t>
      </w:r>
      <w:r w:rsidRPr="00DF43D8">
        <w:t>where</w:t>
      </w:r>
      <w:r>
        <w:rPr>
          <w:sz w:val="22"/>
          <w:szCs w:val="22"/>
        </w:rPr>
        <w:t xml:space="preserve"> </w:t>
      </w:r>
      <w:r>
        <w:t>reasonably practicable</w:t>
      </w:r>
      <w:r>
        <w:rPr>
          <w:sz w:val="22"/>
          <w:szCs w:val="22"/>
        </w:rPr>
        <w:t xml:space="preserve">, </w:t>
      </w:r>
      <w:r w:rsidRPr="00DF43D8">
        <w:t>evidence</w:t>
      </w:r>
      <w:r>
        <w:rPr>
          <w:sz w:val="22"/>
          <w:szCs w:val="22"/>
        </w:rPr>
        <w:t>-</w:t>
      </w:r>
      <w:r w:rsidRPr="00DF43D8">
        <w:t>based</w:t>
      </w:r>
      <w:r>
        <w:rPr>
          <w:sz w:val="22"/>
          <w:szCs w:val="22"/>
        </w:rPr>
        <w:t xml:space="preserve">, </w:t>
      </w:r>
      <w:r w:rsidRPr="00DF43D8">
        <w:t>cost</w:t>
      </w:r>
      <w:r>
        <w:rPr>
          <w:sz w:val="22"/>
          <w:szCs w:val="22"/>
        </w:rPr>
        <w:t>-</w:t>
      </w:r>
      <w:r w:rsidRPr="00DF43D8">
        <w:t>effective</w:t>
      </w:r>
      <w:r>
        <w:rPr>
          <w:sz w:val="22"/>
          <w:szCs w:val="22"/>
        </w:rPr>
        <w:t xml:space="preserve"> </w:t>
      </w:r>
      <w:r w:rsidRPr="00DF43D8">
        <w:t>and</w:t>
      </w:r>
      <w:r>
        <w:rPr>
          <w:sz w:val="22"/>
          <w:szCs w:val="22"/>
        </w:rPr>
        <w:t xml:space="preserve"> </w:t>
      </w:r>
      <w:r w:rsidRPr="00DF43D8">
        <w:t>reflective</w:t>
      </w:r>
      <w:r>
        <w:rPr>
          <w:sz w:val="22"/>
          <w:szCs w:val="22"/>
        </w:rPr>
        <w:t xml:space="preserve"> </w:t>
      </w:r>
      <w:r w:rsidRPr="00DF43D8">
        <w:t>of</w:t>
      </w:r>
      <w:r>
        <w:rPr>
          <w:sz w:val="22"/>
          <w:szCs w:val="22"/>
        </w:rPr>
        <w:t xml:space="preserve"> </w:t>
      </w:r>
      <w:r w:rsidRPr="00DF43D8">
        <w:t>local</w:t>
      </w:r>
      <w:r>
        <w:rPr>
          <w:sz w:val="22"/>
          <w:szCs w:val="22"/>
        </w:rPr>
        <w:t xml:space="preserve"> </w:t>
      </w:r>
      <w:r w:rsidRPr="00DF43D8">
        <w:t>need</w:t>
      </w:r>
    </w:p>
    <w:p w:rsidR="008A1EDA" w:rsidRDefault="008A1EDA" w:rsidP="008A1EDA">
      <w:pPr>
        <w:pStyle w:val="DHHSbody"/>
      </w:pPr>
      <w:r w:rsidRPr="00742AB3">
        <w:t xml:space="preserve">The mode of delivery for training may vary between health </w:t>
      </w:r>
      <w:proofErr w:type="gramStart"/>
      <w:r w:rsidRPr="00742AB3">
        <w:t>services,</w:t>
      </w:r>
      <w:proofErr w:type="gramEnd"/>
      <w:r w:rsidRPr="00742AB3">
        <w:t xml:space="preserve"> however approaches are evidence-based and cost effective for the local environment.</w:t>
      </w:r>
    </w:p>
    <w:p w:rsidR="00C46A15" w:rsidRPr="00106D08" w:rsidRDefault="00C46A15" w:rsidP="00D630D6">
      <w:pPr>
        <w:pStyle w:val="Heading3"/>
      </w:pPr>
      <w:r>
        <w:t>Training elements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tblBorders>
        <w:shd w:val="clear" w:color="auto" w:fill="CCE5DB"/>
        <w:tblLook w:val="04A0" w:firstRow="1" w:lastRow="0" w:firstColumn="1" w:lastColumn="0" w:noHBand="0" w:noVBand="1"/>
      </w:tblPr>
      <w:tblGrid>
        <w:gridCol w:w="10348"/>
      </w:tblGrid>
      <w:tr w:rsidR="008A1EDA" w:rsidTr="00D630D6">
        <w:tc>
          <w:tcPr>
            <w:tcW w:w="10348" w:type="dxa"/>
            <w:shd w:val="clear" w:color="auto" w:fill="CCE5DB"/>
          </w:tcPr>
          <w:p w:rsidR="008A1EDA" w:rsidRPr="00483D46" w:rsidRDefault="008A1EDA" w:rsidP="008A1EDA">
            <w:pPr>
              <w:pStyle w:val="DHHStabletext"/>
              <w:numPr>
                <w:ilvl w:val="0"/>
                <w:numId w:val="20"/>
              </w:numPr>
              <w:rPr>
                <w:b/>
              </w:rPr>
            </w:pPr>
            <w:r w:rsidRPr="00483D46">
              <w:rPr>
                <w:b/>
              </w:rPr>
              <w:t xml:space="preserve">Health services can explore the following evidence-based approaches to deliver training: </w:t>
            </w:r>
          </w:p>
          <w:p w:rsidR="008A1EDA" w:rsidRPr="00483D46" w:rsidRDefault="008A1EDA" w:rsidP="008A1EDA">
            <w:pPr>
              <w:pStyle w:val="DHHStablebullet"/>
              <w:numPr>
                <w:ilvl w:val="6"/>
                <w:numId w:val="1"/>
              </w:numPr>
            </w:pPr>
            <w:r w:rsidRPr="00483D46">
              <w:t>Face-to-face programs that include combinations of instructional learning, role play</w:t>
            </w:r>
            <w:r>
              <w:t>,</w:t>
            </w:r>
            <w:r w:rsidRPr="00483D46">
              <w:t xml:space="preserve"> reflection and simulation </w:t>
            </w:r>
          </w:p>
          <w:p w:rsidR="008A1EDA" w:rsidRPr="00483D46" w:rsidRDefault="008A1EDA" w:rsidP="008A1EDA">
            <w:pPr>
              <w:pStyle w:val="DHHStablebullet"/>
              <w:numPr>
                <w:ilvl w:val="6"/>
                <w:numId w:val="1"/>
              </w:numPr>
            </w:pPr>
            <w:r w:rsidRPr="00483D46">
              <w:t>E-learning modules may support and reinforce face-to-face training programs</w:t>
            </w:r>
          </w:p>
          <w:p w:rsidR="008A1EDA" w:rsidRPr="00483D46" w:rsidRDefault="008A1EDA" w:rsidP="008A1EDA">
            <w:pPr>
              <w:pStyle w:val="DHHStablebullet"/>
              <w:numPr>
                <w:ilvl w:val="6"/>
                <w:numId w:val="1"/>
              </w:numPr>
            </w:pPr>
            <w:r w:rsidRPr="00483D46">
              <w:t xml:space="preserve">A blended training model for the efficient delivery of training, including a mixture of face-to-face and </w:t>
            </w:r>
            <w:proofErr w:type="gramStart"/>
            <w:r w:rsidRPr="00483D46">
              <w:t>e-learning</w:t>
            </w:r>
            <w:proofErr w:type="gramEnd"/>
            <w:r w:rsidRPr="00483D46">
              <w:t>. Health services need</w:t>
            </w:r>
            <w:r>
              <w:t>s</w:t>
            </w:r>
            <w:r w:rsidRPr="00483D46">
              <w:t xml:space="preserve"> to consider the most appropriate content for each mode of delivery </w:t>
            </w:r>
          </w:p>
          <w:p w:rsidR="008A1EDA" w:rsidRPr="00483D46" w:rsidRDefault="008A1EDA" w:rsidP="008A1EDA">
            <w:pPr>
              <w:pStyle w:val="DHHStablebullet"/>
              <w:numPr>
                <w:ilvl w:val="6"/>
                <w:numId w:val="1"/>
              </w:numPr>
            </w:pPr>
            <w:r w:rsidRPr="00483D46">
              <w:t>Joint training sessions, between managers, clinical and security staff, which support</w:t>
            </w:r>
            <w:r w:rsidR="009B2FCD">
              <w:t>s</w:t>
            </w:r>
            <w:r w:rsidRPr="00483D46">
              <w:t xml:space="preserve"> an understanding of individual roles and responsibilities and promotes collaboration. This arrangement should be considered, especially for high risk areas </w:t>
            </w:r>
          </w:p>
          <w:p w:rsidR="008A1EDA" w:rsidRPr="00483D46" w:rsidRDefault="008A1EDA" w:rsidP="008A1EDA">
            <w:pPr>
              <w:pStyle w:val="DHHStablebullet"/>
              <w:numPr>
                <w:ilvl w:val="0"/>
                <w:numId w:val="21"/>
              </w:numPr>
            </w:pPr>
            <w:proofErr w:type="gramStart"/>
            <w:r w:rsidRPr="00483D46">
              <w:rPr>
                <w:b/>
              </w:rPr>
              <w:t>Training may be delivered by internal or external providers</w:t>
            </w:r>
            <w:proofErr w:type="gramEnd"/>
            <w:r w:rsidRPr="00483D46">
              <w:rPr>
                <w:b/>
              </w:rPr>
              <w:t xml:space="preserve">. Health services must consider: </w:t>
            </w:r>
          </w:p>
          <w:p w:rsidR="008A1EDA" w:rsidRPr="00483D46" w:rsidRDefault="008A1EDA" w:rsidP="008A1EDA">
            <w:pPr>
              <w:pStyle w:val="DHHStablebullet"/>
              <w:numPr>
                <w:ilvl w:val="6"/>
                <w:numId w:val="1"/>
              </w:numPr>
            </w:pPr>
            <w:r w:rsidRPr="00483D46">
              <w:t xml:space="preserve">Trainer experience, which may include related qualifications </w:t>
            </w:r>
          </w:p>
          <w:p w:rsidR="008A1EDA" w:rsidRPr="00483D46" w:rsidRDefault="008A1EDA" w:rsidP="008A1EDA">
            <w:pPr>
              <w:pStyle w:val="DHHStablebullet"/>
              <w:numPr>
                <w:ilvl w:val="6"/>
                <w:numId w:val="1"/>
              </w:numPr>
            </w:pPr>
            <w:r w:rsidRPr="00483D46">
              <w:t xml:space="preserve">Training program design alignment with this training guide </w:t>
            </w:r>
          </w:p>
          <w:p w:rsidR="008A1EDA" w:rsidRPr="00483D46" w:rsidRDefault="008A1EDA" w:rsidP="008A1EDA">
            <w:pPr>
              <w:pStyle w:val="DHHStabletext"/>
              <w:numPr>
                <w:ilvl w:val="0"/>
                <w:numId w:val="22"/>
              </w:numPr>
              <w:rPr>
                <w:b/>
              </w:rPr>
            </w:pPr>
            <w:r w:rsidRPr="00483D46">
              <w:rPr>
                <w:b/>
              </w:rPr>
              <w:t>Annual refresher courses are r</w:t>
            </w:r>
            <w:r w:rsidR="0060428F">
              <w:rPr>
                <w:b/>
              </w:rPr>
              <w:t>ecommended for high risk areas</w:t>
            </w:r>
          </w:p>
          <w:p w:rsidR="008A1EDA" w:rsidRPr="007C7CB0" w:rsidRDefault="008A1EDA" w:rsidP="008A1EDA">
            <w:pPr>
              <w:pStyle w:val="DHHStabletext"/>
              <w:numPr>
                <w:ilvl w:val="0"/>
                <w:numId w:val="23"/>
              </w:numPr>
              <w:rPr>
                <w:b/>
                <w:sz w:val="18"/>
                <w:szCs w:val="18"/>
              </w:rPr>
            </w:pPr>
            <w:r w:rsidRPr="00483D46">
              <w:rPr>
                <w:b/>
              </w:rPr>
              <w:t>Training programs composed of discrete modules support the efficient delivery o</w:t>
            </w:r>
            <w:r>
              <w:rPr>
                <w:b/>
              </w:rPr>
              <w:t xml:space="preserve">f relevant </w:t>
            </w:r>
            <w:r w:rsidR="0060428F">
              <w:rPr>
                <w:b/>
              </w:rPr>
              <w:t>information to staff</w:t>
            </w:r>
          </w:p>
        </w:tc>
      </w:tr>
    </w:tbl>
    <w:p w:rsidR="008A1EDA" w:rsidRDefault="008A1EDA" w:rsidP="00D630D6">
      <w:pPr>
        <w:pStyle w:val="Heading2"/>
      </w:pPr>
      <w:r>
        <w:lastRenderedPageBreak/>
        <w:t>Principle 6</w:t>
      </w:r>
      <w:r w:rsidRPr="00F36529">
        <w:t>:</w:t>
      </w:r>
      <w:r w:rsidRPr="002638B2">
        <w:t xml:space="preserve"> Training programs have clearly defined goals and measurable outcomes</w:t>
      </w:r>
    </w:p>
    <w:p w:rsidR="008A1EDA" w:rsidRDefault="008A1EDA" w:rsidP="008A1EDA">
      <w:pPr>
        <w:pStyle w:val="DHHSbody"/>
        <w:ind w:right="-144"/>
      </w:pPr>
      <w:r w:rsidRPr="00742AB3">
        <w:t>Defined goals and measurable outcomes enable on-going development of training programs and support responsive programs that meet local knowledge and skill requirements</w:t>
      </w:r>
      <w:r>
        <w:rPr>
          <w:rStyle w:val="EndnoteReference"/>
        </w:rPr>
        <w:endnoteReference w:id="12"/>
      </w:r>
      <w:r w:rsidRPr="00742AB3">
        <w:t>.</w:t>
      </w:r>
    </w:p>
    <w:p w:rsidR="00BC58BE" w:rsidRPr="00106D08" w:rsidRDefault="00BC58BE" w:rsidP="00D630D6">
      <w:pPr>
        <w:pStyle w:val="Heading3"/>
      </w:pPr>
      <w:r>
        <w:t>Training elements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tblBorders>
        <w:shd w:val="clear" w:color="auto" w:fill="CCE5DB"/>
        <w:tblLook w:val="04A0" w:firstRow="1" w:lastRow="0" w:firstColumn="1" w:lastColumn="0" w:noHBand="0" w:noVBand="1"/>
      </w:tblPr>
      <w:tblGrid>
        <w:gridCol w:w="10348"/>
      </w:tblGrid>
      <w:tr w:rsidR="008A1EDA" w:rsidTr="00D630D6">
        <w:tc>
          <w:tcPr>
            <w:tcW w:w="10348" w:type="dxa"/>
            <w:shd w:val="clear" w:color="auto" w:fill="CCE5DB"/>
          </w:tcPr>
          <w:p w:rsidR="008A1EDA" w:rsidRPr="00483D46" w:rsidRDefault="008A1EDA" w:rsidP="000720FC">
            <w:pPr>
              <w:pStyle w:val="DHHStabletext"/>
              <w:rPr>
                <w:b/>
              </w:rPr>
            </w:pPr>
            <w:r w:rsidRPr="00483D46">
              <w:rPr>
                <w:b/>
              </w:rPr>
              <w:t xml:space="preserve">Organisational outcomes </w:t>
            </w:r>
          </w:p>
          <w:p w:rsidR="008A1EDA" w:rsidRPr="00483D46" w:rsidRDefault="008A1EDA" w:rsidP="008A1EDA">
            <w:pPr>
              <w:pStyle w:val="DHHStabletext"/>
              <w:numPr>
                <w:ilvl w:val="0"/>
                <w:numId w:val="24"/>
              </w:numPr>
            </w:pPr>
            <w:r w:rsidRPr="00483D46">
              <w:rPr>
                <w:b/>
              </w:rPr>
              <w:t xml:space="preserve">Organisations have key performance indicators for training, this must  include: </w:t>
            </w:r>
          </w:p>
          <w:p w:rsidR="008A1EDA" w:rsidRPr="00483D46" w:rsidRDefault="008A1EDA" w:rsidP="008A1EDA">
            <w:pPr>
              <w:pStyle w:val="DHHStablebullet"/>
              <w:numPr>
                <w:ilvl w:val="6"/>
                <w:numId w:val="1"/>
              </w:numPr>
            </w:pPr>
            <w:r>
              <w:t>T</w:t>
            </w:r>
            <w:r w:rsidRPr="00483D46">
              <w:t>he proportion of staff trained</w:t>
            </w:r>
          </w:p>
          <w:p w:rsidR="008A1EDA" w:rsidRPr="00483D46" w:rsidRDefault="008A1EDA" w:rsidP="008A1EDA">
            <w:pPr>
              <w:pStyle w:val="DHHStablebullet"/>
              <w:numPr>
                <w:ilvl w:val="6"/>
                <w:numId w:val="1"/>
              </w:numPr>
            </w:pPr>
            <w:r>
              <w:t>T</w:t>
            </w:r>
            <w:r w:rsidRPr="00483D46">
              <w:t>he proportion of staff who met the goals stated in the training program</w:t>
            </w:r>
          </w:p>
          <w:p w:rsidR="008A1EDA" w:rsidRPr="00483D46" w:rsidRDefault="008A1EDA" w:rsidP="008A1EDA">
            <w:pPr>
              <w:pStyle w:val="DHHStablebullet"/>
              <w:numPr>
                <w:ilvl w:val="6"/>
                <w:numId w:val="1"/>
              </w:numPr>
            </w:pPr>
            <w:r>
              <w:t>I</w:t>
            </w:r>
            <w:r w:rsidRPr="00483D46">
              <w:t>ncident reviews and subsequent organisational or training developments</w:t>
            </w:r>
          </w:p>
          <w:p w:rsidR="008A1EDA" w:rsidRPr="00483D46" w:rsidRDefault="008A1EDA" w:rsidP="008A1EDA">
            <w:pPr>
              <w:pStyle w:val="DHHStablebullet"/>
              <w:numPr>
                <w:ilvl w:val="6"/>
                <w:numId w:val="1"/>
              </w:numPr>
            </w:pPr>
            <w:r>
              <w:t>R</w:t>
            </w:r>
            <w:r w:rsidRPr="00483D46">
              <w:t>ates of restrictive interventions including restraint and seclusion</w:t>
            </w:r>
          </w:p>
          <w:p w:rsidR="008A1EDA" w:rsidRPr="00483D46" w:rsidRDefault="008A1EDA" w:rsidP="000720FC">
            <w:pPr>
              <w:pStyle w:val="DHHStabletext"/>
              <w:rPr>
                <w:b/>
              </w:rPr>
            </w:pPr>
            <w:r w:rsidRPr="00483D46">
              <w:rPr>
                <w:b/>
              </w:rPr>
              <w:t xml:space="preserve">Learning outcomes </w:t>
            </w:r>
          </w:p>
          <w:p w:rsidR="008A1EDA" w:rsidRPr="00483D46" w:rsidRDefault="008A1EDA" w:rsidP="008A1EDA">
            <w:pPr>
              <w:pStyle w:val="DHHStabletext"/>
              <w:numPr>
                <w:ilvl w:val="0"/>
                <w:numId w:val="25"/>
              </w:numPr>
            </w:pPr>
            <w:r w:rsidRPr="00483D46">
              <w:rPr>
                <w:b/>
              </w:rPr>
              <w:t>Goals are discipline specific and appropriate for t</w:t>
            </w:r>
            <w:r w:rsidR="0071590C">
              <w:rPr>
                <w:b/>
              </w:rPr>
              <w:t>he level of pre-existing skills</w:t>
            </w:r>
            <w:r w:rsidRPr="00483D46">
              <w:rPr>
                <w:b/>
              </w:rPr>
              <w:t xml:space="preserve"> </w:t>
            </w:r>
          </w:p>
          <w:p w:rsidR="008A1EDA" w:rsidRPr="00483D46" w:rsidRDefault="008A1EDA" w:rsidP="008A1EDA">
            <w:pPr>
              <w:pStyle w:val="DHHStabletext"/>
              <w:numPr>
                <w:ilvl w:val="0"/>
                <w:numId w:val="26"/>
              </w:numPr>
              <w:rPr>
                <w:b/>
              </w:rPr>
            </w:pPr>
            <w:r w:rsidRPr="00483D46">
              <w:rPr>
                <w:b/>
              </w:rPr>
              <w:t xml:space="preserve">A comprehensive review of training effectiveness includes evaluations conducted before, during and after-training: </w:t>
            </w:r>
          </w:p>
          <w:p w:rsidR="008A1EDA" w:rsidRPr="00483D46" w:rsidRDefault="008A1EDA" w:rsidP="008A1EDA">
            <w:pPr>
              <w:pStyle w:val="DHHStablebullet"/>
              <w:numPr>
                <w:ilvl w:val="6"/>
                <w:numId w:val="1"/>
              </w:numPr>
            </w:pPr>
            <w:r>
              <w:t>P</w:t>
            </w:r>
            <w:r w:rsidRPr="00483D46">
              <w:t xml:space="preserve">re-training evaluation sets a baseline for comparison </w:t>
            </w:r>
          </w:p>
          <w:p w:rsidR="008A1EDA" w:rsidRPr="00483D46" w:rsidRDefault="008A1EDA" w:rsidP="008A1EDA">
            <w:pPr>
              <w:pStyle w:val="DHHStablebullet"/>
              <w:numPr>
                <w:ilvl w:val="6"/>
                <w:numId w:val="1"/>
              </w:numPr>
            </w:pPr>
            <w:r>
              <w:t>D</w:t>
            </w:r>
            <w:r w:rsidRPr="00483D46">
              <w:t xml:space="preserve">uring training evaluation highlights the specific needs for members of the group </w:t>
            </w:r>
          </w:p>
          <w:p w:rsidR="008A1EDA" w:rsidRPr="00483D46" w:rsidRDefault="008A1EDA" w:rsidP="008A1EDA">
            <w:pPr>
              <w:pStyle w:val="DHHStablebullet"/>
              <w:numPr>
                <w:ilvl w:val="6"/>
                <w:numId w:val="1"/>
              </w:numPr>
            </w:pPr>
            <w:r>
              <w:t>P</w:t>
            </w:r>
            <w:r w:rsidRPr="00483D46">
              <w:t>ost-training evaluation informs the design and delivery of the training and identifies the achievement of key learning objectives</w:t>
            </w:r>
          </w:p>
          <w:p w:rsidR="008A1EDA" w:rsidRDefault="008A1EDA" w:rsidP="008A1EDA">
            <w:pPr>
              <w:pStyle w:val="DHHStablebullet"/>
              <w:numPr>
                <w:ilvl w:val="6"/>
                <w:numId w:val="1"/>
              </w:numPr>
            </w:pPr>
            <w:r>
              <w:t>L</w:t>
            </w:r>
            <w:r w:rsidRPr="00483D46">
              <w:t>onger term carry-over of the training may be best monitored through supervisor performance monitoring</w:t>
            </w:r>
            <w:r w:rsidRPr="00483D46">
              <w:rPr>
                <w:rStyle w:val="EndnoteReference"/>
              </w:rPr>
              <w:endnoteReference w:id="13"/>
            </w:r>
          </w:p>
        </w:tc>
      </w:tr>
    </w:tbl>
    <w:p w:rsidR="008A1EDA" w:rsidRDefault="008A1EDA" w:rsidP="00D630D6">
      <w:pPr>
        <w:pStyle w:val="Heading2"/>
      </w:pPr>
      <w:r>
        <w:t>Principle 7</w:t>
      </w:r>
      <w:r w:rsidRPr="00AA589A">
        <w:t>: A culture of continuous quality improvement underlies prevention of aggression training and responses</w:t>
      </w:r>
    </w:p>
    <w:p w:rsidR="008A1EDA" w:rsidRDefault="008A1EDA" w:rsidP="008A1EDA">
      <w:pPr>
        <w:pStyle w:val="DHHSbody"/>
      </w:pPr>
      <w:r w:rsidRPr="00742AB3">
        <w:t>A system of review is in place to ensure the best care for patients in the safest possible environment for staff.</w:t>
      </w:r>
    </w:p>
    <w:p w:rsidR="00BC58BE" w:rsidRPr="0004719D" w:rsidRDefault="00BC58BE" w:rsidP="00D630D6">
      <w:pPr>
        <w:pStyle w:val="Heading3"/>
      </w:pPr>
      <w:r>
        <w:t>Training elements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5DB"/>
        <w:tblLook w:val="04A0" w:firstRow="1" w:lastRow="0" w:firstColumn="1" w:lastColumn="0" w:noHBand="0" w:noVBand="1"/>
      </w:tblPr>
      <w:tblGrid>
        <w:gridCol w:w="10348"/>
      </w:tblGrid>
      <w:tr w:rsidR="008A1EDA" w:rsidTr="00D630D6">
        <w:tc>
          <w:tcPr>
            <w:tcW w:w="10348" w:type="dxa"/>
            <w:shd w:val="clear" w:color="auto" w:fill="CCE5DB"/>
          </w:tcPr>
          <w:p w:rsidR="008A1EDA" w:rsidRPr="00483D46" w:rsidRDefault="008A1EDA" w:rsidP="008A1EDA">
            <w:pPr>
              <w:pStyle w:val="DHHStabletext"/>
              <w:numPr>
                <w:ilvl w:val="0"/>
                <w:numId w:val="27"/>
              </w:numPr>
              <w:rPr>
                <w:b/>
              </w:rPr>
            </w:pPr>
            <w:r w:rsidRPr="00483D46">
              <w:rPr>
                <w:b/>
              </w:rPr>
              <w:t>Issues related to training should be reviewed by the re</w:t>
            </w:r>
            <w:r w:rsidR="009B2FCD">
              <w:rPr>
                <w:b/>
              </w:rPr>
              <w:t>levant health service committee</w:t>
            </w:r>
            <w:r w:rsidRPr="00483D46">
              <w:rPr>
                <w:b/>
              </w:rPr>
              <w:t xml:space="preserve"> </w:t>
            </w:r>
          </w:p>
          <w:p w:rsidR="008A1EDA" w:rsidRPr="00483D46" w:rsidRDefault="008A1EDA" w:rsidP="008A1EDA">
            <w:pPr>
              <w:pStyle w:val="DHHStabletext"/>
              <w:numPr>
                <w:ilvl w:val="0"/>
                <w:numId w:val="28"/>
              </w:numPr>
              <w:rPr>
                <w:b/>
              </w:rPr>
            </w:pPr>
            <w:r w:rsidRPr="00483D46">
              <w:rPr>
                <w:b/>
              </w:rPr>
              <w:t xml:space="preserve">Incidents are reported to health service quality and safety committees that have a broad membership including clinical disciplines, security, Occupational Health and Safety, and where appropriate may include representatives of the health service executive, police, </w:t>
            </w:r>
            <w:r w:rsidR="009B2FCD">
              <w:rPr>
                <w:b/>
              </w:rPr>
              <w:t>ambulance, carers and consumers</w:t>
            </w:r>
          </w:p>
          <w:p w:rsidR="008A1EDA" w:rsidRPr="00AE4163" w:rsidRDefault="008A1EDA" w:rsidP="008A1EDA">
            <w:pPr>
              <w:pStyle w:val="DHHStabletext"/>
              <w:numPr>
                <w:ilvl w:val="0"/>
                <w:numId w:val="29"/>
              </w:numPr>
              <w:rPr>
                <w:b/>
                <w:sz w:val="18"/>
                <w:szCs w:val="18"/>
              </w:rPr>
            </w:pPr>
            <w:r w:rsidRPr="00483D46">
              <w:rPr>
                <w:b/>
              </w:rPr>
              <w:t xml:space="preserve">Data on clinical aggression </w:t>
            </w:r>
            <w:proofErr w:type="gramStart"/>
            <w:r w:rsidRPr="00483D46">
              <w:rPr>
                <w:b/>
              </w:rPr>
              <w:t>should be recorded and reviewed at established multi-disciplinary meetings</w:t>
            </w:r>
            <w:proofErr w:type="gramEnd"/>
            <w:r w:rsidRPr="00483D46">
              <w:rPr>
                <w:b/>
              </w:rPr>
              <w:t>. Serious incid</w:t>
            </w:r>
            <w:r w:rsidR="009B2FCD">
              <w:rPr>
                <w:b/>
              </w:rPr>
              <w:t>ents require an in-depth review</w:t>
            </w:r>
          </w:p>
        </w:tc>
      </w:tr>
    </w:tbl>
    <w:p w:rsidR="00BC58BE" w:rsidRDefault="00BC58BE" w:rsidP="008A1EDA">
      <w:pPr>
        <w:pStyle w:val="DHHSbody"/>
      </w:pPr>
    </w:p>
    <w:p w:rsidR="00BC58BE" w:rsidRDefault="00BC58BE">
      <w:pPr>
        <w:rPr>
          <w:rFonts w:ascii="Arial" w:eastAsia="Times" w:hAnsi="Arial"/>
        </w:rPr>
      </w:pPr>
      <w:r>
        <w:br w:type="page"/>
      </w:r>
    </w:p>
    <w:p w:rsidR="00D01490" w:rsidRDefault="00D01490" w:rsidP="00D630D6">
      <w:pPr>
        <w:rPr>
          <w:sz w:val="28"/>
          <w:szCs w:val="28"/>
        </w:rPr>
      </w:pPr>
    </w:p>
    <w:p w:rsidR="00B2752E" w:rsidRPr="008A1EDA" w:rsidRDefault="008A1EDA" w:rsidP="00D630D6">
      <w:pPr>
        <w:pStyle w:val="Heading1"/>
      </w:pPr>
      <w:r w:rsidRPr="0014327B">
        <w:t>Endnote</w:t>
      </w:r>
    </w:p>
    <w:sectPr w:rsidR="00B2752E" w:rsidRPr="008A1EDA" w:rsidSect="00D630D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DA" w:rsidRDefault="008A1EDA">
      <w:r>
        <w:separator/>
      </w:r>
    </w:p>
  </w:endnote>
  <w:endnote w:type="continuationSeparator" w:id="0">
    <w:p w:rsidR="008A1EDA" w:rsidRDefault="008A1EDA">
      <w:r>
        <w:continuationSeparator/>
      </w:r>
    </w:p>
  </w:endnote>
  <w:endnote w:id="1">
    <w:p w:rsidR="008A1EDA" w:rsidRPr="0014327B" w:rsidRDefault="008A1EDA" w:rsidP="008A1EDA">
      <w:pPr>
        <w:pStyle w:val="EndnoteText"/>
        <w:spacing w:after="120"/>
        <w:rPr>
          <w:rFonts w:ascii="Arial" w:hAnsi="Arial" w:cs="Arial"/>
          <w:sz w:val="18"/>
          <w:szCs w:val="18"/>
        </w:rPr>
      </w:pPr>
      <w:r>
        <w:rPr>
          <w:rStyle w:val="EndnoteReference"/>
        </w:rPr>
        <w:endnoteRef/>
      </w:r>
      <w:r>
        <w:t xml:space="preserve"> </w:t>
      </w:r>
      <w:r w:rsidRPr="0014327B">
        <w:rPr>
          <w:rFonts w:ascii="Arial" w:hAnsi="Arial" w:cs="Arial"/>
          <w:sz w:val="18"/>
          <w:szCs w:val="18"/>
        </w:rPr>
        <w:t xml:space="preserve">Health services can find guidance on the exposure to aggression risk calculation in the </w:t>
      </w:r>
      <w:proofErr w:type="spellStart"/>
      <w:r w:rsidRPr="0014327B">
        <w:rPr>
          <w:rFonts w:ascii="Arial" w:hAnsi="Arial" w:cs="Arial"/>
          <w:sz w:val="18"/>
          <w:szCs w:val="18"/>
        </w:rPr>
        <w:t>WorkSafe</w:t>
      </w:r>
      <w:proofErr w:type="spellEnd"/>
      <w:r w:rsidRPr="0014327B">
        <w:rPr>
          <w:rFonts w:ascii="Arial" w:hAnsi="Arial" w:cs="Arial"/>
          <w:sz w:val="18"/>
          <w:szCs w:val="18"/>
        </w:rPr>
        <w:t xml:space="preserve"> Victoria (2008) </w:t>
      </w:r>
      <w:hyperlink r:id="rId1" w:history="1">
        <w:r w:rsidRPr="0014327B">
          <w:rPr>
            <w:rStyle w:val="Hyperlink"/>
            <w:rFonts w:ascii="Arial" w:hAnsi="Arial" w:cs="Arial"/>
            <w:sz w:val="18"/>
            <w:szCs w:val="18"/>
          </w:rPr>
          <w:t>Prevention and management of aggression in health services – a handbook for workplaces</w:t>
        </w:r>
      </w:hyperlink>
      <w:r w:rsidRPr="0014327B">
        <w:rPr>
          <w:rStyle w:val="Hyperlink"/>
          <w:rFonts w:ascii="Arial" w:hAnsi="Arial" w:cs="Arial"/>
          <w:sz w:val="18"/>
          <w:szCs w:val="18"/>
        </w:rPr>
        <w:t xml:space="preserve">. </w:t>
      </w:r>
      <w:r w:rsidRPr="0014327B">
        <w:rPr>
          <w:rFonts w:ascii="Arial" w:hAnsi="Arial" w:cs="Arial"/>
          <w:sz w:val="18"/>
          <w:szCs w:val="18"/>
        </w:rPr>
        <w:t xml:space="preserve"> &lt;http://www.worksafe.vic.gov.au/pages/forms-and-publications/forms-and-publications/prevention-and-management-of-aggression-in-health-services-a-handbook-for-workplaces&gt;.</w:t>
      </w:r>
    </w:p>
  </w:endnote>
  <w:endnote w:id="2">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proofErr w:type="gramStart"/>
      <w:r w:rsidRPr="0014327B">
        <w:rPr>
          <w:rFonts w:ascii="Arial" w:hAnsi="Arial" w:cs="Arial"/>
          <w:sz w:val="18"/>
          <w:szCs w:val="18"/>
        </w:rPr>
        <w:t xml:space="preserve">Australian Commission on Safety and Quality in Health Care (2011), </w:t>
      </w:r>
      <w:hyperlink r:id="rId2" w:history="1">
        <w:r w:rsidRPr="0014327B">
          <w:rPr>
            <w:rStyle w:val="Hyperlink"/>
            <w:rFonts w:ascii="Arial" w:hAnsi="Arial" w:cs="Arial"/>
            <w:sz w:val="18"/>
            <w:szCs w:val="18"/>
          </w:rPr>
          <w:t>Patient centred care: Improving quality and safety through partnerships with patients and consumers</w:t>
        </w:r>
      </w:hyperlink>
      <w:r w:rsidRPr="0014327B">
        <w:rPr>
          <w:rFonts w:ascii="Arial" w:hAnsi="Arial" w:cs="Arial"/>
          <w:sz w:val="18"/>
          <w:szCs w:val="18"/>
        </w:rPr>
        <w:t>.</w:t>
      </w:r>
      <w:proofErr w:type="gramEnd"/>
      <w:r w:rsidRPr="0014327B">
        <w:rPr>
          <w:rFonts w:ascii="Arial" w:hAnsi="Arial" w:cs="Arial"/>
          <w:sz w:val="18"/>
          <w:szCs w:val="18"/>
        </w:rPr>
        <w:t xml:space="preserve"> &lt;https://www.safetyandquality.gov.au/our-work/patient-and-consumer-centred-care/&gt;</w:t>
      </w:r>
    </w:p>
  </w:endnote>
  <w:endnote w:id="3">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Valuing People ‘</w:t>
      </w:r>
      <w:hyperlink r:id="rId3" w:history="1">
        <w:r w:rsidRPr="0014327B">
          <w:rPr>
            <w:rStyle w:val="Hyperlink"/>
            <w:rFonts w:ascii="Arial" w:hAnsi="Arial" w:cs="Arial"/>
            <w:sz w:val="18"/>
            <w:szCs w:val="18"/>
          </w:rPr>
          <w:t>What is person centred care</w:t>
        </w:r>
      </w:hyperlink>
      <w:r w:rsidRPr="0014327B">
        <w:rPr>
          <w:rStyle w:val="Hyperlink"/>
          <w:rFonts w:ascii="Arial" w:hAnsi="Arial" w:cs="Arial"/>
          <w:sz w:val="18"/>
          <w:szCs w:val="18"/>
        </w:rPr>
        <w:t>?</w:t>
      </w:r>
      <w:proofErr w:type="gramStart"/>
      <w:r w:rsidRPr="0014327B">
        <w:rPr>
          <w:rStyle w:val="Hyperlink"/>
          <w:rFonts w:ascii="Arial" w:hAnsi="Arial" w:cs="Arial"/>
          <w:color w:val="auto"/>
          <w:sz w:val="18"/>
          <w:szCs w:val="18"/>
        </w:rPr>
        <w:t>’.</w:t>
      </w:r>
      <w:proofErr w:type="gramEnd"/>
      <w:r w:rsidRPr="0014327B">
        <w:rPr>
          <w:rFonts w:ascii="Arial" w:hAnsi="Arial" w:cs="Arial"/>
          <w:sz w:val="18"/>
          <w:szCs w:val="18"/>
        </w:rPr>
        <w:t xml:space="preserve"> &lt;http://valuingpeople.org.au/the-resource/what-is-person-centred-care&gt;</w:t>
      </w:r>
    </w:p>
  </w:endnote>
  <w:endnote w:id="4">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proofErr w:type="gramStart"/>
      <w:r w:rsidRPr="0014327B">
        <w:rPr>
          <w:rFonts w:ascii="Arial" w:hAnsi="Arial" w:cs="Arial"/>
          <w:sz w:val="18"/>
          <w:szCs w:val="18"/>
        </w:rPr>
        <w:t xml:space="preserve">Department of Health and Human Services, </w:t>
      </w:r>
      <w:hyperlink r:id="rId4" w:history="1">
        <w:r w:rsidRPr="0014327B">
          <w:rPr>
            <w:rStyle w:val="Hyperlink"/>
            <w:rFonts w:ascii="Arial" w:hAnsi="Arial" w:cs="Arial"/>
            <w:sz w:val="18"/>
            <w:szCs w:val="18"/>
          </w:rPr>
          <w:t>Safewards Victoria</w:t>
        </w:r>
      </w:hyperlink>
      <w:r w:rsidRPr="0014327B">
        <w:rPr>
          <w:rFonts w:ascii="Arial" w:hAnsi="Arial" w:cs="Arial"/>
          <w:sz w:val="18"/>
          <w:szCs w:val="18"/>
        </w:rPr>
        <w:t>.</w:t>
      </w:r>
      <w:proofErr w:type="gramEnd"/>
      <w:r w:rsidRPr="0014327B">
        <w:rPr>
          <w:rFonts w:ascii="Arial" w:hAnsi="Arial" w:cs="Arial"/>
          <w:sz w:val="18"/>
          <w:szCs w:val="18"/>
        </w:rPr>
        <w:t xml:space="preserve"> &lt;https://www2.health.vic.gov.au/mental-health/practice-and-service-quality/safety/safewards&gt;</w:t>
      </w:r>
    </w:p>
  </w:endnote>
  <w:endnote w:id="5">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r w:rsidRPr="008A1EDA">
        <w:rPr>
          <w:rFonts w:ascii="Arial" w:eastAsia="Calibri" w:hAnsi="Arial" w:cs="Arial"/>
          <w:sz w:val="18"/>
          <w:szCs w:val="18"/>
        </w:rPr>
        <w:t>Bowers, L. (2014b). ‘</w:t>
      </w:r>
      <w:proofErr w:type="spellStart"/>
      <w:r w:rsidRPr="008A1EDA">
        <w:rPr>
          <w:rFonts w:ascii="Arial" w:eastAsia="Calibri" w:hAnsi="Arial" w:cs="Arial"/>
          <w:sz w:val="18"/>
          <w:szCs w:val="18"/>
        </w:rPr>
        <w:t>Safewards</w:t>
      </w:r>
      <w:proofErr w:type="spellEnd"/>
      <w:r w:rsidRPr="008A1EDA">
        <w:rPr>
          <w:rFonts w:ascii="Arial" w:eastAsia="Calibri" w:hAnsi="Arial" w:cs="Arial"/>
          <w:sz w:val="18"/>
          <w:szCs w:val="18"/>
        </w:rPr>
        <w:t xml:space="preserve">: a new model of conflict and containment on psychiatric wards’, </w:t>
      </w:r>
      <w:r w:rsidRPr="008A1EDA">
        <w:rPr>
          <w:rFonts w:ascii="Arial" w:eastAsia="Calibri" w:hAnsi="Arial" w:cs="Arial"/>
          <w:i/>
          <w:sz w:val="18"/>
          <w:szCs w:val="18"/>
        </w:rPr>
        <w:t>Journal of Psychiatric and Mental Health Nursing</w:t>
      </w:r>
      <w:r w:rsidRPr="008A1EDA">
        <w:rPr>
          <w:rFonts w:ascii="Arial" w:eastAsia="Calibri" w:hAnsi="Arial" w:cs="Arial"/>
          <w:sz w:val="18"/>
          <w:szCs w:val="18"/>
        </w:rPr>
        <w:t>, 21, 499</w:t>
      </w:r>
      <w:r w:rsidRPr="008A1EDA">
        <w:rPr>
          <w:rFonts w:ascii="Arial" w:eastAsia="Calibri" w:hAnsi="Arial" w:cs="Arial"/>
          <w:sz w:val="18"/>
          <w:szCs w:val="18"/>
        </w:rPr>
        <w:softHyphen/>
        <w:t>508.</w:t>
      </w:r>
    </w:p>
  </w:endnote>
  <w:endnote w:id="6">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proofErr w:type="gramStart"/>
      <w:r w:rsidRPr="0014327B">
        <w:rPr>
          <w:rFonts w:ascii="Arial" w:hAnsi="Arial" w:cs="Arial"/>
          <w:sz w:val="18"/>
          <w:szCs w:val="18"/>
        </w:rPr>
        <w:t xml:space="preserve">Department of Health and Human Services, </w:t>
      </w:r>
      <w:hyperlink r:id="rId5" w:history="1">
        <w:r w:rsidRPr="0014327B">
          <w:rPr>
            <w:rStyle w:val="Hyperlink"/>
            <w:rFonts w:ascii="Arial" w:hAnsi="Arial" w:cs="Arial"/>
            <w:sz w:val="18"/>
            <w:szCs w:val="18"/>
          </w:rPr>
          <w:t>Framework for recovery–oriented practice</w:t>
        </w:r>
      </w:hyperlink>
      <w:r w:rsidRPr="0014327B">
        <w:rPr>
          <w:rFonts w:ascii="Arial" w:hAnsi="Arial" w:cs="Arial"/>
          <w:sz w:val="18"/>
          <w:szCs w:val="18"/>
        </w:rPr>
        <w:t>.</w:t>
      </w:r>
      <w:proofErr w:type="gramEnd"/>
      <w:r w:rsidRPr="0014327B">
        <w:rPr>
          <w:rFonts w:ascii="Arial" w:hAnsi="Arial" w:cs="Arial"/>
          <w:sz w:val="18"/>
          <w:szCs w:val="18"/>
        </w:rPr>
        <w:t xml:space="preserve"> &lt;https://www2.health.vic.gov.au/getfile/?sc_itemid=%7b47D26EAC-5A2C-44FA-A52A-2F387F3C4612%7d&amp;title=Framework%20for%20Recovery-oriented%20Practice</w:t>
      </w:r>
    </w:p>
  </w:endnote>
  <w:endnote w:id="7">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r w:rsidRPr="008A1EDA">
        <w:rPr>
          <w:rFonts w:ascii="Arial" w:eastAsia="Calibri" w:hAnsi="Arial" w:cs="Arial"/>
          <w:sz w:val="18"/>
          <w:szCs w:val="18"/>
        </w:rPr>
        <w:t xml:space="preserve">Department of Health and Human Services, </w:t>
      </w:r>
      <w:hyperlink r:id="rId6" w:history="1">
        <w:r w:rsidRPr="008A1EDA">
          <w:rPr>
            <w:rStyle w:val="Hyperlink"/>
            <w:rFonts w:ascii="Arial" w:eastAsia="Calibri" w:hAnsi="Arial" w:cs="Arial"/>
            <w:sz w:val="18"/>
            <w:szCs w:val="18"/>
          </w:rPr>
          <w:t>Restrictive interventions in designated mental health services (2014).</w:t>
        </w:r>
      </w:hyperlink>
      <w:r w:rsidRPr="008A1EDA">
        <w:rPr>
          <w:rFonts w:ascii="Arial" w:eastAsia="Calibri" w:hAnsi="Arial" w:cs="Arial"/>
          <w:sz w:val="18"/>
          <w:szCs w:val="18"/>
        </w:rPr>
        <w:t xml:space="preserve"> &lt;https://www2.health.vic.gov.au/about/key-staff/chief-psychiatrist/chief-psychiatrist-guidelines/reducing-restrictive-interventions&gt;</w:t>
      </w:r>
    </w:p>
  </w:endnote>
  <w:endnote w:id="8">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proofErr w:type="spellStart"/>
      <w:proofErr w:type="gramStart"/>
      <w:r w:rsidRPr="008A1EDA">
        <w:rPr>
          <w:rFonts w:ascii="Arial" w:eastAsia="Calibri" w:hAnsi="Arial" w:cs="Arial"/>
          <w:sz w:val="18"/>
          <w:szCs w:val="18"/>
        </w:rPr>
        <w:t>Huckshorn</w:t>
      </w:r>
      <w:proofErr w:type="spellEnd"/>
      <w:r w:rsidRPr="008A1EDA">
        <w:rPr>
          <w:rFonts w:ascii="Arial" w:eastAsia="Calibri" w:hAnsi="Arial" w:cs="Arial"/>
          <w:sz w:val="18"/>
          <w:szCs w:val="18"/>
        </w:rPr>
        <w:t xml:space="preserve">, K. and </w:t>
      </w:r>
      <w:proofErr w:type="spellStart"/>
      <w:r w:rsidRPr="008A1EDA">
        <w:rPr>
          <w:rFonts w:ascii="Arial" w:eastAsia="Calibri" w:hAnsi="Arial" w:cs="Arial"/>
          <w:sz w:val="18"/>
          <w:szCs w:val="18"/>
        </w:rPr>
        <w:t>LeBel</w:t>
      </w:r>
      <w:proofErr w:type="spellEnd"/>
      <w:r w:rsidRPr="008A1EDA">
        <w:rPr>
          <w:rFonts w:ascii="Arial" w:eastAsia="Calibri" w:hAnsi="Arial" w:cs="Arial"/>
          <w:sz w:val="18"/>
          <w:szCs w:val="18"/>
        </w:rPr>
        <w:t>, J. (2009).</w:t>
      </w:r>
      <w:proofErr w:type="gramEnd"/>
      <w:r w:rsidRPr="008A1EDA">
        <w:rPr>
          <w:rFonts w:ascii="Arial" w:eastAsia="Calibri" w:hAnsi="Arial" w:cs="Arial"/>
          <w:sz w:val="18"/>
          <w:szCs w:val="18"/>
        </w:rPr>
        <w:t xml:space="preserve"> </w:t>
      </w:r>
      <w:proofErr w:type="gramStart"/>
      <w:r w:rsidRPr="008A1EDA">
        <w:rPr>
          <w:rFonts w:ascii="Arial" w:eastAsia="Calibri" w:hAnsi="Arial" w:cs="Arial"/>
          <w:sz w:val="18"/>
          <w:szCs w:val="18"/>
        </w:rPr>
        <w:t xml:space="preserve">‘Improving safety in mental health treatment settings: Preventing conflict, violence and the use of seclusion and restraint’, in S. S. </w:t>
      </w:r>
      <w:proofErr w:type="spellStart"/>
      <w:r w:rsidRPr="008A1EDA">
        <w:rPr>
          <w:rFonts w:ascii="Arial" w:eastAsia="Calibri" w:hAnsi="Arial" w:cs="Arial"/>
          <w:sz w:val="18"/>
          <w:szCs w:val="18"/>
        </w:rPr>
        <w:t>Sharfstein</w:t>
      </w:r>
      <w:proofErr w:type="spellEnd"/>
      <w:r w:rsidRPr="008A1EDA">
        <w:rPr>
          <w:rFonts w:ascii="Arial" w:eastAsia="Calibri" w:hAnsi="Arial" w:cs="Arial"/>
          <w:sz w:val="18"/>
          <w:szCs w:val="18"/>
        </w:rPr>
        <w:t xml:space="preserve"> and F. B. Dickerson (Eds.), </w:t>
      </w:r>
      <w:r w:rsidRPr="008A1EDA">
        <w:rPr>
          <w:rFonts w:ascii="Arial" w:eastAsia="Calibri" w:hAnsi="Arial" w:cs="Arial"/>
          <w:i/>
          <w:sz w:val="18"/>
          <w:szCs w:val="18"/>
        </w:rPr>
        <w:t>Textbook of hospital psychiatry</w:t>
      </w:r>
      <w:r w:rsidRPr="008A1EDA">
        <w:rPr>
          <w:rFonts w:ascii="Arial" w:eastAsia="Calibri" w:hAnsi="Arial" w:cs="Arial"/>
          <w:sz w:val="18"/>
          <w:szCs w:val="18"/>
        </w:rPr>
        <w:t xml:space="preserve"> (pp. 253–265).</w:t>
      </w:r>
      <w:proofErr w:type="gramEnd"/>
      <w:r w:rsidRPr="008A1EDA">
        <w:rPr>
          <w:rFonts w:ascii="Arial" w:eastAsia="Calibri" w:hAnsi="Arial" w:cs="Arial"/>
          <w:sz w:val="18"/>
          <w:szCs w:val="18"/>
        </w:rPr>
        <w:t xml:space="preserve"> </w:t>
      </w:r>
      <w:proofErr w:type="gramStart"/>
      <w:r w:rsidRPr="008A1EDA">
        <w:rPr>
          <w:rFonts w:ascii="Arial" w:eastAsia="Calibri" w:hAnsi="Arial" w:cs="Arial"/>
          <w:sz w:val="18"/>
          <w:szCs w:val="18"/>
        </w:rPr>
        <w:t>Washington, DC: American Psychiatric Publishing.</w:t>
      </w:r>
      <w:proofErr w:type="gramEnd"/>
    </w:p>
  </w:endnote>
  <w:endnote w:id="9">
    <w:p w:rsidR="008A1EDA" w:rsidRPr="000720FC" w:rsidRDefault="008A1EDA" w:rsidP="008A1EDA">
      <w:pPr>
        <w:pStyle w:val="EndnoteText"/>
        <w:spacing w:after="120"/>
        <w:rPr>
          <w:rFonts w:ascii="Arial" w:hAnsi="Arial" w:cs="Arial"/>
          <w:sz w:val="18"/>
          <w:szCs w:val="18"/>
        </w:rPr>
      </w:pPr>
      <w:r w:rsidRPr="000720FC">
        <w:rPr>
          <w:rFonts w:ascii="Arial" w:hAnsi="Arial" w:cs="Arial"/>
          <w:sz w:val="18"/>
          <w:szCs w:val="18"/>
        </w:rPr>
        <w:endnoteRef/>
      </w:r>
      <w:r w:rsidRPr="000720FC">
        <w:rPr>
          <w:rFonts w:ascii="Arial" w:hAnsi="Arial" w:cs="Arial"/>
          <w:sz w:val="18"/>
          <w:szCs w:val="18"/>
        </w:rPr>
        <w:t xml:space="preserve"> Pro Re </w:t>
      </w:r>
      <w:proofErr w:type="gramStart"/>
      <w:r w:rsidRPr="000720FC">
        <w:rPr>
          <w:rFonts w:ascii="Arial" w:hAnsi="Arial" w:cs="Arial"/>
          <w:sz w:val="18"/>
          <w:szCs w:val="18"/>
        </w:rPr>
        <w:t>Nata  -</w:t>
      </w:r>
      <w:proofErr w:type="gramEnd"/>
      <w:r w:rsidRPr="000720FC">
        <w:rPr>
          <w:rFonts w:ascii="Arial" w:hAnsi="Arial" w:cs="Arial"/>
          <w:sz w:val="18"/>
          <w:szCs w:val="18"/>
        </w:rPr>
        <w:t xml:space="preserve">  to mean as needed or as the situation arises.</w:t>
      </w:r>
    </w:p>
  </w:endnote>
  <w:endnote w:id="10">
    <w:p w:rsidR="008A1EDA" w:rsidRPr="0014327B" w:rsidRDefault="008A1EDA" w:rsidP="008A1EDA">
      <w:pPr>
        <w:pStyle w:val="EndnoteText"/>
        <w:spacing w:after="120"/>
        <w:rPr>
          <w:rFonts w:ascii="Arial" w:hAnsi="Arial" w:cs="Arial"/>
          <w:sz w:val="18"/>
          <w:szCs w:val="18"/>
        </w:rPr>
      </w:pPr>
      <w:r w:rsidRPr="000720FC">
        <w:endnoteRef/>
      </w:r>
      <w:r w:rsidRPr="0014327B">
        <w:rPr>
          <w:rFonts w:ascii="Arial" w:hAnsi="Arial" w:cs="Arial"/>
          <w:sz w:val="18"/>
          <w:szCs w:val="18"/>
        </w:rPr>
        <w:t xml:space="preserve"> </w:t>
      </w:r>
      <w:r w:rsidRPr="000720FC">
        <w:rPr>
          <w:rFonts w:ascii="Arial" w:hAnsi="Arial" w:cs="Arial"/>
          <w:sz w:val="18"/>
          <w:szCs w:val="18"/>
        </w:rPr>
        <w:t xml:space="preserve">Health services may find guidance to determine the tiered level of training based on risk in </w:t>
      </w:r>
      <w:proofErr w:type="spellStart"/>
      <w:r w:rsidRPr="000720FC">
        <w:rPr>
          <w:rFonts w:ascii="Arial" w:hAnsi="Arial" w:cs="Arial"/>
          <w:sz w:val="18"/>
          <w:szCs w:val="18"/>
        </w:rPr>
        <w:t>WorkSafe</w:t>
      </w:r>
      <w:proofErr w:type="spellEnd"/>
      <w:r w:rsidRPr="000720FC">
        <w:rPr>
          <w:rFonts w:ascii="Arial" w:hAnsi="Arial" w:cs="Arial"/>
          <w:sz w:val="18"/>
          <w:szCs w:val="18"/>
        </w:rPr>
        <w:t xml:space="preserve"> Victoria (2008)</w:t>
      </w:r>
      <w:r w:rsidRPr="0014327B">
        <w:rPr>
          <w:rFonts w:ascii="Arial" w:hAnsi="Arial" w:cs="Arial"/>
          <w:sz w:val="18"/>
          <w:szCs w:val="18"/>
        </w:rPr>
        <w:t xml:space="preserve"> </w:t>
      </w:r>
      <w:hyperlink r:id="rId7" w:history="1">
        <w:r w:rsidRPr="0014327B">
          <w:rPr>
            <w:rStyle w:val="Hyperlink"/>
            <w:rFonts w:ascii="Arial" w:hAnsi="Arial" w:cs="Arial"/>
            <w:sz w:val="18"/>
            <w:szCs w:val="18"/>
          </w:rPr>
          <w:t>Prevention and management of aggression in health services – a handbook for workplaces</w:t>
        </w:r>
      </w:hyperlink>
      <w:r w:rsidRPr="0014327B">
        <w:rPr>
          <w:rFonts w:ascii="Arial" w:hAnsi="Arial" w:cs="Arial"/>
          <w:sz w:val="18"/>
          <w:szCs w:val="18"/>
        </w:rPr>
        <w:t>. &lt;http://www.worksafe.vic.gov.au/pages/forms-and-publications/forms-and-publications/prevention-and-management-of-aggression-in-health-services-a-handbook-for-workplaces&gt;</w:t>
      </w:r>
    </w:p>
  </w:endnote>
  <w:endnote w:id="11">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r w:rsidRPr="008A1EDA">
        <w:rPr>
          <w:rFonts w:ascii="Arial" w:eastAsia="Calibri" w:hAnsi="Arial" w:cs="Arial"/>
          <w:sz w:val="18"/>
          <w:szCs w:val="18"/>
        </w:rPr>
        <w:t xml:space="preserve">Department of Health and Human Services, Restrictive interventions involve the use of bodily restraint (physical and mechanical restraint) and seclusion. Further information can be found at, </w:t>
      </w:r>
      <w:hyperlink r:id="rId8" w:history="1">
        <w:r w:rsidRPr="008A1EDA">
          <w:rPr>
            <w:rStyle w:val="Hyperlink"/>
            <w:rFonts w:ascii="Arial" w:eastAsia="Calibri" w:hAnsi="Arial" w:cs="Arial"/>
            <w:sz w:val="18"/>
            <w:szCs w:val="18"/>
          </w:rPr>
          <w:t>Restrictive interventions – bodily restraint and seclusion</w:t>
        </w:r>
      </w:hyperlink>
      <w:r w:rsidRPr="008A1EDA">
        <w:rPr>
          <w:rFonts w:ascii="Arial" w:eastAsia="Calibri" w:hAnsi="Arial" w:cs="Arial"/>
          <w:sz w:val="18"/>
          <w:szCs w:val="18"/>
        </w:rPr>
        <w:t xml:space="preserve">. </w:t>
      </w:r>
      <w:r w:rsidR="00927D72">
        <w:rPr>
          <w:rFonts w:ascii="Arial" w:hAnsi="Arial" w:cs="Arial"/>
          <w:sz w:val="18"/>
          <w:szCs w:val="18"/>
        </w:rPr>
        <w:t>&lt;https//www2.health.vic.gov.au/mental-health/practice-and-service-quality/mental-health-act-2014-handbook/safeguards/restrictive-interventions-bodily-restraint-and-seclusion&gt;</w:t>
      </w:r>
    </w:p>
  </w:endnote>
  <w:endnote w:id="12">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r w:rsidRPr="008A1EDA">
        <w:rPr>
          <w:rFonts w:ascii="Arial" w:eastAsia="Calibri" w:hAnsi="Arial" w:cs="Arial"/>
          <w:sz w:val="18"/>
          <w:szCs w:val="18"/>
        </w:rPr>
        <w:t>There is limited information in the published literature regarding effective goals and measures. Health services are encouraged to consider measures that best meet local need.</w:t>
      </w:r>
    </w:p>
  </w:endnote>
  <w:endnote w:id="13">
    <w:p w:rsidR="008A1EDA" w:rsidRPr="0014327B" w:rsidRDefault="008A1EDA" w:rsidP="008A1EDA">
      <w:pPr>
        <w:pStyle w:val="EndnoteText"/>
        <w:spacing w:after="120"/>
        <w:rPr>
          <w:rFonts w:ascii="Arial" w:hAnsi="Arial" w:cs="Arial"/>
          <w:sz w:val="18"/>
          <w:szCs w:val="18"/>
        </w:rPr>
      </w:pPr>
      <w:r w:rsidRPr="0014327B">
        <w:rPr>
          <w:rStyle w:val="EndnoteReference"/>
          <w:rFonts w:ascii="Arial" w:hAnsi="Arial" w:cs="Arial"/>
          <w:sz w:val="18"/>
          <w:szCs w:val="18"/>
        </w:rPr>
        <w:endnoteRef/>
      </w:r>
      <w:r w:rsidRPr="0014327B">
        <w:rPr>
          <w:rFonts w:ascii="Arial" w:hAnsi="Arial" w:cs="Arial"/>
          <w:sz w:val="18"/>
          <w:szCs w:val="18"/>
        </w:rPr>
        <w:t xml:space="preserve"> </w:t>
      </w:r>
      <w:r w:rsidRPr="008A1EDA">
        <w:rPr>
          <w:rFonts w:ascii="Arial" w:eastAsia="Calibri" w:hAnsi="Arial" w:cs="Arial"/>
          <w:sz w:val="18"/>
          <w:szCs w:val="18"/>
        </w:rPr>
        <w:t xml:space="preserve">Health services may find guidance for training evaluation in </w:t>
      </w:r>
      <w:proofErr w:type="spellStart"/>
      <w:r w:rsidRPr="008A1EDA">
        <w:rPr>
          <w:rFonts w:ascii="Arial" w:eastAsia="Calibri" w:hAnsi="Arial" w:cs="Arial"/>
          <w:sz w:val="18"/>
          <w:szCs w:val="18"/>
        </w:rPr>
        <w:t>WorkSafe</w:t>
      </w:r>
      <w:proofErr w:type="spellEnd"/>
      <w:r w:rsidRPr="008A1EDA">
        <w:rPr>
          <w:rFonts w:ascii="Arial" w:eastAsia="Calibri" w:hAnsi="Arial" w:cs="Arial"/>
          <w:sz w:val="18"/>
          <w:szCs w:val="18"/>
        </w:rPr>
        <w:t xml:space="preserve"> Victoria</w:t>
      </w:r>
      <w:r w:rsidRPr="0014327B">
        <w:rPr>
          <w:rFonts w:ascii="Arial" w:hAnsi="Arial" w:cs="Arial"/>
          <w:sz w:val="18"/>
          <w:szCs w:val="18"/>
        </w:rPr>
        <w:t xml:space="preserve"> (2008) </w:t>
      </w:r>
      <w:hyperlink r:id="rId9" w:history="1">
        <w:r w:rsidRPr="0014327B">
          <w:rPr>
            <w:rStyle w:val="Hyperlink"/>
            <w:rFonts w:ascii="Arial" w:hAnsi="Arial" w:cs="Arial"/>
            <w:sz w:val="18"/>
            <w:szCs w:val="18"/>
          </w:rPr>
          <w:t>Prevention and management of aggression in health services – a handbook for workplaces</w:t>
        </w:r>
      </w:hyperlink>
      <w:r w:rsidRPr="0014327B">
        <w:rPr>
          <w:rStyle w:val="Hyperlink"/>
          <w:rFonts w:ascii="Arial" w:hAnsi="Arial" w:cs="Arial"/>
          <w:sz w:val="18"/>
          <w:szCs w:val="18"/>
        </w:rPr>
        <w:t>.</w:t>
      </w:r>
      <w:r w:rsidRPr="0014327B">
        <w:rPr>
          <w:rFonts w:ascii="Arial" w:hAnsi="Arial" w:cs="Arial"/>
          <w:sz w:val="18"/>
          <w:szCs w:val="18"/>
        </w:rPr>
        <w:t xml:space="preserve"> </w:t>
      </w:r>
      <w:r>
        <w:rPr>
          <w:rFonts w:ascii="Arial" w:hAnsi="Arial" w:cs="Arial"/>
          <w:sz w:val="18"/>
          <w:szCs w:val="18"/>
        </w:rPr>
        <w:t>&lt;</w:t>
      </w:r>
      <w:r w:rsidRPr="0014327B">
        <w:rPr>
          <w:rFonts w:ascii="Arial" w:hAnsi="Arial" w:cs="Arial"/>
          <w:sz w:val="18"/>
          <w:szCs w:val="18"/>
        </w:rPr>
        <w:t>http://www.worksafe.vic.gov.au/pages/forms-and-publications/forms-and-publications/prevention-and-management-of-aggression-in-health-services-a-handbook-for-workplaces</w:t>
      </w:r>
      <w:r>
        <w:rPr>
          <w:rFonts w:ascii="Arial" w:hAnsi="Arial" w:cs="Arial"/>
          <w:sz w:val="18"/>
          <w:szCs w:val="18"/>
        </w:rPr>
        <w:t>&gt;</w:t>
      </w:r>
    </w:p>
    <w:p w:rsidR="008A1EDA" w:rsidRDefault="008A1EDA" w:rsidP="008A1EDA">
      <w:pPr>
        <w:pStyle w:val="EndnoteText"/>
        <w:rPr>
          <w:rFonts w:ascii="Arial" w:hAnsi="Arial" w:cs="Arial"/>
          <w:sz w:val="16"/>
          <w:szCs w:val="16"/>
        </w:rPr>
      </w:pPr>
    </w:p>
    <w:p w:rsidR="008A1EDA" w:rsidRDefault="008A1EDA" w:rsidP="008A1EDA">
      <w:pPr>
        <w:pStyle w:val="EndnoteText"/>
        <w:rPr>
          <w:rFonts w:ascii="Arial" w:hAnsi="Arial" w:cs="Arial"/>
          <w:sz w:val="16"/>
          <w:szCs w:val="16"/>
        </w:rPr>
      </w:pPr>
    </w:p>
    <w:p w:rsidR="008A1EDA" w:rsidRDefault="008A1EDA" w:rsidP="008A1EDA">
      <w:pPr>
        <w:pStyle w:val="EndnoteText"/>
        <w:rPr>
          <w:rFonts w:ascii="Arial" w:hAnsi="Arial" w:cs="Arial"/>
          <w:sz w:val="16"/>
          <w:szCs w:val="16"/>
        </w:rPr>
      </w:pPr>
    </w:p>
    <w:tbl>
      <w:tblPr>
        <w:tblW w:w="4800" w:type="pct"/>
        <w:tblCellMar>
          <w:top w:w="113" w:type="dxa"/>
          <w:bottom w:w="57" w:type="dxa"/>
        </w:tblCellMar>
        <w:tblLook w:val="00A0" w:firstRow="1" w:lastRow="0" w:firstColumn="1" w:lastColumn="0" w:noHBand="0" w:noVBand="0"/>
      </w:tblPr>
      <w:tblGrid>
        <w:gridCol w:w="10003"/>
      </w:tblGrid>
      <w:tr w:rsidR="008A1EDA" w:rsidRPr="002802E3" w:rsidTr="005B0412">
        <w:trPr>
          <w:cantSplit/>
          <w:trHeight w:val="2483"/>
        </w:trPr>
        <w:tc>
          <w:tcPr>
            <w:tcW w:w="5000" w:type="pct"/>
            <w:tcBorders>
              <w:top w:val="single" w:sz="4" w:space="0" w:color="auto"/>
              <w:left w:val="single" w:sz="4" w:space="0" w:color="auto"/>
              <w:bottom w:val="single" w:sz="4" w:space="0" w:color="auto"/>
              <w:right w:val="single" w:sz="4" w:space="0" w:color="auto"/>
            </w:tcBorders>
            <w:vAlign w:val="bottom"/>
          </w:tcPr>
          <w:p w:rsidR="008A1EDA" w:rsidRPr="00254F58" w:rsidRDefault="008A1EDA" w:rsidP="005B0412">
            <w:pPr>
              <w:pStyle w:val="DHHSaccessibilitypara"/>
            </w:pPr>
            <w:r w:rsidRPr="00254F58">
              <w:t xml:space="preserve">To receive this publication in </w:t>
            </w:r>
            <w:r w:rsidRPr="00770F37">
              <w:t>an</w:t>
            </w:r>
            <w:r>
              <w:t xml:space="preserve"> accessible format email: </w:t>
            </w:r>
            <w:hyperlink r:id="rId10" w:history="1">
              <w:r w:rsidRPr="0071590C">
                <w:rPr>
                  <w:rStyle w:val="Hyperlink"/>
                  <w:color w:val="0070C0"/>
                </w:rPr>
                <w:t>worker health and wellbeing</w:t>
              </w:r>
            </w:hyperlink>
            <w:r>
              <w:t xml:space="preserve"> </w:t>
            </w:r>
            <w:r w:rsidRPr="00AE4163">
              <w:t>&lt;whwb@dhhs.vic.gov.au&gt;</w:t>
            </w:r>
          </w:p>
          <w:p w:rsidR="008A1EDA" w:rsidRPr="00254F58" w:rsidRDefault="008A1EDA" w:rsidP="005B0412">
            <w:pPr>
              <w:pStyle w:val="DHHSbody"/>
            </w:pPr>
            <w:r w:rsidRPr="00254F58">
              <w:t>Authorised and published by the Victorian Governmen</w:t>
            </w:r>
            <w:r>
              <w:t>t, 1 Treasury Place, Melbourne.</w:t>
            </w:r>
          </w:p>
          <w:p w:rsidR="008A1EDA" w:rsidRPr="00254F58" w:rsidRDefault="008A1EDA" w:rsidP="005B0412">
            <w:pPr>
              <w:pStyle w:val="DHHSbody"/>
            </w:pPr>
            <w:r w:rsidRPr="00254F58">
              <w:t xml:space="preserve">© State of </w:t>
            </w:r>
            <w:r>
              <w:t>Victoria, Department of Health and</w:t>
            </w:r>
            <w:r w:rsidRPr="00254F58">
              <w:t xml:space="preserve"> Human Services</w:t>
            </w:r>
            <w:r w:rsidRPr="00BA3F8D">
              <w:rPr>
                <w:color w:val="008950"/>
              </w:rPr>
              <w:t xml:space="preserve"> </w:t>
            </w:r>
            <w:r w:rsidR="009B2FCD">
              <w:t>May</w:t>
            </w:r>
            <w:r w:rsidRPr="00A63F59">
              <w:t>, 2017.</w:t>
            </w:r>
          </w:p>
          <w:p w:rsidR="008A1EDA" w:rsidRPr="00280312" w:rsidRDefault="008A1EDA" w:rsidP="005B0412">
            <w:pPr>
              <w:pStyle w:val="DHHSbody"/>
            </w:pPr>
            <w:r w:rsidRPr="006F3194">
              <w:t xml:space="preserve">ISBN 978-0-7311-7188-0 </w:t>
            </w:r>
            <w:r w:rsidRPr="0047000F">
              <w:rPr>
                <w:rStyle w:val="valuetext1"/>
                <w:rFonts w:cs="Arial"/>
                <w:color w:val="auto"/>
                <w:sz w:val="19"/>
                <w:szCs w:val="19"/>
              </w:rPr>
              <w:t>(pdf/online)</w:t>
            </w:r>
          </w:p>
          <w:p w:rsidR="00825926" w:rsidRPr="00825926" w:rsidRDefault="008A1EDA" w:rsidP="0047000F">
            <w:pPr>
              <w:pStyle w:val="DHHSbody"/>
              <w:rPr>
                <w:rFonts w:ascii="Helv" w:hAnsi="Helv" w:cs="Helv"/>
                <w:color w:val="000000"/>
                <w:lang w:eastAsia="en-AU"/>
              </w:rPr>
            </w:pPr>
            <w:r w:rsidRPr="00254F58">
              <w:rPr>
                <w:szCs w:val="19"/>
              </w:rPr>
              <w:t xml:space="preserve">Available at </w:t>
            </w:r>
            <w:hyperlink r:id="rId11" w:history="1">
              <w:r w:rsidR="00825926" w:rsidRPr="000138B1">
                <w:rPr>
                  <w:rStyle w:val="Hyperlink"/>
                  <w:rFonts w:ascii="Helv" w:hAnsi="Helv" w:cs="Helv"/>
                  <w:lang w:eastAsia="en-AU"/>
                </w:rPr>
                <w:t>https://www2.health.vic.gov.au/health-workforce/worker-health-wellbeing/occupational-violence-aggression</w:t>
              </w:r>
            </w:hyperlink>
            <w:bookmarkStart w:id="2" w:name="_GoBack"/>
            <w:bookmarkEnd w:id="2"/>
          </w:p>
        </w:tc>
      </w:tr>
    </w:tbl>
    <w:p w:rsidR="008A1EDA" w:rsidRDefault="008A1EDA" w:rsidP="008A1ED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D0" w:rsidRDefault="00F64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71590C" w:rsidP="0051568D">
    <w:pPr>
      <w:pStyle w:val="DHHSfooter"/>
    </w:pPr>
    <w:r>
      <w:rPr>
        <w:noProof/>
        <w:lang w:eastAsia="en-AU"/>
      </w:rPr>
      <w:drawing>
        <wp:anchor distT="0" distB="0" distL="114300" distR="114300" simplePos="0" relativeHeight="251657728" behindDoc="0" locked="1" layoutInCell="0" allowOverlap="1" wp14:anchorId="6D5F57D2" wp14:editId="7DB91164">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D0" w:rsidRDefault="00F644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8A1EDA" w:rsidP="0051568D">
    <w:pPr>
      <w:pStyle w:val="DHHSfooter"/>
    </w:pPr>
    <w:r>
      <w:t>Guiding principles for violence and aggression training in Victorian health services</w:t>
    </w:r>
    <w:r w:rsidR="009D70A4" w:rsidRPr="00A11421">
      <w:tab/>
    </w:r>
    <w:r w:rsidR="009D70A4" w:rsidRPr="00A11421">
      <w:fldChar w:fldCharType="begin"/>
    </w:r>
    <w:r w:rsidR="009D70A4" w:rsidRPr="00A11421">
      <w:instrText xml:space="preserve"> PAGE </w:instrText>
    </w:r>
    <w:r w:rsidR="009D70A4" w:rsidRPr="00A11421">
      <w:fldChar w:fldCharType="separate"/>
    </w:r>
    <w:r w:rsidR="00825926">
      <w:rPr>
        <w:noProof/>
      </w:rPr>
      <w:t>7</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DA" w:rsidRDefault="008A1EDA" w:rsidP="002862F1">
      <w:pPr>
        <w:spacing w:before="120"/>
      </w:pPr>
      <w:r>
        <w:separator/>
      </w:r>
    </w:p>
  </w:footnote>
  <w:footnote w:type="continuationSeparator" w:id="0">
    <w:p w:rsidR="008A1EDA" w:rsidRDefault="008A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D0" w:rsidRDefault="00F64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D0" w:rsidRDefault="00F64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D0" w:rsidRDefault="00F644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1816E22"/>
    <w:multiLevelType w:val="multilevel"/>
    <w:tmpl w:val="D214EC12"/>
    <w:lvl w:ilvl="0">
      <w:start w:val="2"/>
      <w:numFmt w:val="none"/>
      <w:lvlText w:val="5.1"/>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B3436D"/>
    <w:multiLevelType w:val="multilevel"/>
    <w:tmpl w:val="6CFEC5FC"/>
    <w:lvl w:ilvl="0">
      <w:start w:val="2"/>
      <w:numFmt w:val="none"/>
      <w:lvlText w:val="4.3"/>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4D7AD4"/>
    <w:multiLevelType w:val="multilevel"/>
    <w:tmpl w:val="A2702E58"/>
    <w:lvl w:ilvl="0">
      <w:start w:val="2"/>
      <w:numFmt w:val="none"/>
      <w:lvlText w:val="6.1"/>
      <w:lvlJc w:val="left"/>
      <w:pPr>
        <w:ind w:left="360" w:hanging="360"/>
      </w:pPr>
      <w:rPr>
        <w:rFonts w:hint="default"/>
        <w:b/>
        <w:sz w:val="18"/>
        <w:szCs w:val="18"/>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E75B17"/>
    <w:multiLevelType w:val="multilevel"/>
    <w:tmpl w:val="E014FF48"/>
    <w:lvl w:ilvl="0">
      <w:start w:val="2"/>
      <w:numFmt w:val="none"/>
      <w:lvlText w:val="7.1"/>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8C3CDB"/>
    <w:multiLevelType w:val="multilevel"/>
    <w:tmpl w:val="43F2168A"/>
    <w:lvl w:ilvl="0">
      <w:start w:val="2"/>
      <w:numFmt w:val="none"/>
      <w:lvlText w:val="4.6"/>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8D43DB"/>
    <w:multiLevelType w:val="multilevel"/>
    <w:tmpl w:val="4B4E7622"/>
    <w:numStyleLink w:val="ZZNumbers"/>
  </w:abstractNum>
  <w:abstractNum w:abstractNumId="8">
    <w:nsid w:val="0EC2494D"/>
    <w:multiLevelType w:val="multilevel"/>
    <w:tmpl w:val="27C63E9C"/>
    <w:lvl w:ilvl="0">
      <w:start w:val="2"/>
      <w:numFmt w:val="none"/>
      <w:lvlText w:val="6.2"/>
      <w:lvlJc w:val="left"/>
      <w:pPr>
        <w:ind w:left="360" w:hanging="360"/>
      </w:pPr>
      <w:rPr>
        <w:rFonts w:hint="default"/>
        <w:b/>
        <w:sz w:val="18"/>
        <w:szCs w:val="18"/>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15819"/>
    <w:multiLevelType w:val="multilevel"/>
    <w:tmpl w:val="C8A02992"/>
    <w:lvl w:ilvl="0">
      <w:start w:val="2"/>
      <w:numFmt w:val="none"/>
      <w:lvlText w:val="4.5"/>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7A45A3"/>
    <w:multiLevelType w:val="multilevel"/>
    <w:tmpl w:val="5A307BBA"/>
    <w:lvl w:ilvl="0">
      <w:start w:val="2"/>
      <w:numFmt w:val="none"/>
      <w:lvlText w:val="3.3"/>
      <w:lvlJc w:val="left"/>
      <w:pPr>
        <w:ind w:left="360" w:hanging="360"/>
      </w:pPr>
      <w:rPr>
        <w:rFonts w:hint="default"/>
        <w:b/>
        <w:sz w:val="18"/>
        <w:szCs w:val="18"/>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492586"/>
    <w:multiLevelType w:val="multilevel"/>
    <w:tmpl w:val="1A9AF602"/>
    <w:lvl w:ilvl="0">
      <w:start w:val="2"/>
      <w:numFmt w:val="none"/>
      <w:lvlText w:val="4.4"/>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30D27"/>
    <w:multiLevelType w:val="multilevel"/>
    <w:tmpl w:val="3F505908"/>
    <w:lvl w:ilvl="0">
      <w:start w:val="2"/>
      <w:numFmt w:val="none"/>
      <w:lvlText w:val="2.1"/>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620526"/>
    <w:multiLevelType w:val="multilevel"/>
    <w:tmpl w:val="683E8776"/>
    <w:lvl w:ilvl="0">
      <w:start w:val="2"/>
      <w:numFmt w:val="none"/>
      <w:lvlText w:val="6.3"/>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A74AF8"/>
    <w:multiLevelType w:val="multilevel"/>
    <w:tmpl w:val="58E6DA90"/>
    <w:lvl w:ilvl="0">
      <w:start w:val="2"/>
      <w:numFmt w:val="none"/>
      <w:lvlText w:val="5.3"/>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nsid w:val="48EF3BF6"/>
    <w:multiLevelType w:val="multilevel"/>
    <w:tmpl w:val="0DDC1632"/>
    <w:lvl w:ilvl="0">
      <w:start w:val="2"/>
      <w:numFmt w:val="none"/>
      <w:lvlText w:val="5.2"/>
      <w:lvlJc w:val="left"/>
      <w:pPr>
        <w:ind w:left="360" w:hanging="360"/>
      </w:pPr>
      <w:rPr>
        <w:rFonts w:hint="default"/>
        <w:b/>
        <w:sz w:val="18"/>
        <w:szCs w:val="18"/>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4213FE9"/>
    <w:multiLevelType w:val="multilevel"/>
    <w:tmpl w:val="ED86AD80"/>
    <w:lvl w:ilvl="0">
      <w:start w:val="2"/>
      <w:numFmt w:val="none"/>
      <w:lvlText w:val="7.2"/>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nsid w:val="5A6B0FDB"/>
    <w:multiLevelType w:val="multilevel"/>
    <w:tmpl w:val="E2B0FD7E"/>
    <w:lvl w:ilvl="0">
      <w:start w:val="2"/>
      <w:numFmt w:val="decimal"/>
      <w:lvlText w:val="%1.2"/>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A9D7694"/>
    <w:multiLevelType w:val="multilevel"/>
    <w:tmpl w:val="594C4D7A"/>
    <w:lvl w:ilvl="0">
      <w:start w:val="2"/>
      <w:numFmt w:val="none"/>
      <w:lvlText w:val="4.1"/>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16242C"/>
    <w:multiLevelType w:val="multilevel"/>
    <w:tmpl w:val="B79A14BC"/>
    <w:lvl w:ilvl="0">
      <w:start w:val="2"/>
      <w:numFmt w:val="none"/>
      <w:lvlText w:val="5.4"/>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C83426"/>
    <w:multiLevelType w:val="multilevel"/>
    <w:tmpl w:val="8E885DA4"/>
    <w:lvl w:ilvl="0">
      <w:start w:val="2"/>
      <w:numFmt w:val="none"/>
      <w:lvlText w:val="4.2"/>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4C6527"/>
    <w:multiLevelType w:val="multilevel"/>
    <w:tmpl w:val="F39C546A"/>
    <w:lvl w:ilvl="0">
      <w:start w:val="2"/>
      <w:numFmt w:val="none"/>
      <w:lvlText w:val="3.2"/>
      <w:lvlJc w:val="left"/>
      <w:pPr>
        <w:ind w:left="360" w:hanging="360"/>
      </w:pPr>
      <w:rPr>
        <w:rFonts w:hint="default"/>
        <w:b/>
        <w:sz w:val="18"/>
        <w:szCs w:val="18"/>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4E83EF1"/>
    <w:multiLevelType w:val="multilevel"/>
    <w:tmpl w:val="8DE03274"/>
    <w:lvl w:ilvl="0">
      <w:start w:val="2"/>
      <w:numFmt w:val="none"/>
      <w:lvlText w:val="3.1"/>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9354AF3"/>
    <w:multiLevelType w:val="multilevel"/>
    <w:tmpl w:val="74CC1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E309D8"/>
    <w:multiLevelType w:val="multilevel"/>
    <w:tmpl w:val="2CB0B0D8"/>
    <w:lvl w:ilvl="0">
      <w:start w:val="2"/>
      <w:numFmt w:val="none"/>
      <w:lvlText w:val="7.3"/>
      <w:lvlJc w:val="left"/>
      <w:pPr>
        <w:ind w:left="360" w:hanging="360"/>
      </w:pPr>
      <w:rPr>
        <w:rFonts w:hint="default"/>
      </w:rPr>
    </w:lvl>
    <w:lvl w:ilvl="1">
      <w:start w:val="1"/>
      <w:numFmt w:val="decimal"/>
      <w:lvlText w:val="%1.%2."/>
      <w:lvlJc w:val="left"/>
      <w:pPr>
        <w:ind w:left="792" w:hanging="432"/>
      </w:pPr>
      <w:rPr>
        <w:rFonts w:hint="default"/>
        <w:b/>
        <w:color w:val="20154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25"/>
  </w:num>
  <w:num w:numId="10">
    <w:abstractNumId w:val="12"/>
  </w:num>
  <w:num w:numId="11">
    <w:abstractNumId w:val="24"/>
  </w:num>
  <w:num w:numId="12">
    <w:abstractNumId w:val="23"/>
  </w:num>
  <w:num w:numId="13">
    <w:abstractNumId w:val="10"/>
  </w:num>
  <w:num w:numId="14">
    <w:abstractNumId w:val="20"/>
  </w:num>
  <w:num w:numId="15">
    <w:abstractNumId w:val="22"/>
  </w:num>
  <w:num w:numId="16">
    <w:abstractNumId w:val="3"/>
  </w:num>
  <w:num w:numId="17">
    <w:abstractNumId w:val="11"/>
  </w:num>
  <w:num w:numId="18">
    <w:abstractNumId w:val="9"/>
  </w:num>
  <w:num w:numId="19">
    <w:abstractNumId w:val="6"/>
  </w:num>
  <w:num w:numId="20">
    <w:abstractNumId w:val="2"/>
  </w:num>
  <w:num w:numId="21">
    <w:abstractNumId w:val="16"/>
  </w:num>
  <w:num w:numId="22">
    <w:abstractNumId w:val="14"/>
  </w:num>
  <w:num w:numId="23">
    <w:abstractNumId w:val="21"/>
  </w:num>
  <w:num w:numId="24">
    <w:abstractNumId w:val="4"/>
  </w:num>
  <w:num w:numId="25">
    <w:abstractNumId w:val="8"/>
  </w:num>
  <w:num w:numId="26">
    <w:abstractNumId w:val="13"/>
  </w:num>
  <w:num w:numId="27">
    <w:abstractNumId w:val="5"/>
  </w:num>
  <w:num w:numId="28">
    <w:abstractNumId w:val="17"/>
  </w:num>
  <w:num w:numId="29">
    <w:abstractNumId w:val="26"/>
  </w:num>
  <w:num w:numId="3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DA"/>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000F"/>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4F77"/>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428F"/>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C3D28"/>
    <w:rsid w:val="006D2A3F"/>
    <w:rsid w:val="006D2FBC"/>
    <w:rsid w:val="006E138B"/>
    <w:rsid w:val="006F1FDC"/>
    <w:rsid w:val="007013EF"/>
    <w:rsid w:val="0071590C"/>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78A"/>
    <w:rsid w:val="007E3B98"/>
    <w:rsid w:val="007F31B6"/>
    <w:rsid w:val="007F546C"/>
    <w:rsid w:val="007F625F"/>
    <w:rsid w:val="007F665E"/>
    <w:rsid w:val="00800412"/>
    <w:rsid w:val="0080587B"/>
    <w:rsid w:val="00806468"/>
    <w:rsid w:val="008155F0"/>
    <w:rsid w:val="00816735"/>
    <w:rsid w:val="00820141"/>
    <w:rsid w:val="00820E0C"/>
    <w:rsid w:val="00825926"/>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1EDA"/>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27D72"/>
    <w:rsid w:val="00937BD9"/>
    <w:rsid w:val="00950E2C"/>
    <w:rsid w:val="00951D50"/>
    <w:rsid w:val="009525EB"/>
    <w:rsid w:val="00954874"/>
    <w:rsid w:val="00961400"/>
    <w:rsid w:val="00963646"/>
    <w:rsid w:val="009853E1"/>
    <w:rsid w:val="00986E6B"/>
    <w:rsid w:val="00991769"/>
    <w:rsid w:val="00994386"/>
    <w:rsid w:val="009959F7"/>
    <w:rsid w:val="009A13D8"/>
    <w:rsid w:val="009A279E"/>
    <w:rsid w:val="009B0A6F"/>
    <w:rsid w:val="009B0A94"/>
    <w:rsid w:val="009B2FCD"/>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19F4"/>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58BE"/>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46A15"/>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149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30D6"/>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72C29"/>
    <w:rsid w:val="00E82C55"/>
    <w:rsid w:val="00E92AC3"/>
    <w:rsid w:val="00E9444D"/>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4D0"/>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257F"/>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8A1EDA"/>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8A1EDA"/>
    <w:rPr>
      <w:sz w:val="16"/>
      <w:szCs w:val="16"/>
    </w:rPr>
  </w:style>
  <w:style w:type="paragraph" w:styleId="CommentText">
    <w:name w:val="annotation text"/>
    <w:basedOn w:val="Normal"/>
    <w:link w:val="CommentTextChar"/>
    <w:uiPriority w:val="99"/>
    <w:semiHidden/>
    <w:unhideWhenUsed/>
    <w:rsid w:val="008A1EDA"/>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8A1EDA"/>
    <w:rPr>
      <w:rFonts w:ascii="Cambria" w:hAnsi="Cambria"/>
      <w:lang w:eastAsia="en-US"/>
    </w:rPr>
  </w:style>
  <w:style w:type="character" w:customStyle="1" w:styleId="valuetext1">
    <w:name w:val="valuetext1"/>
    <w:rsid w:val="008A1EDA"/>
    <w:rPr>
      <w:color w:val="0000CD"/>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8A1EDA"/>
    <w:rPr>
      <w:rFonts w:ascii="Tahoma" w:hAnsi="Tahoma" w:cs="Tahoma"/>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alloonTextChar">
    <w:name w:val="Balloon Text Char"/>
    <w:basedOn w:val="DefaultParagraphFont"/>
    <w:link w:val="BalloonText"/>
    <w:uiPriority w:val="99"/>
    <w:semiHidden/>
    <w:rsid w:val="008A1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8A1EDA"/>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8A1EDA"/>
    <w:rPr>
      <w:sz w:val="16"/>
      <w:szCs w:val="16"/>
    </w:rPr>
  </w:style>
  <w:style w:type="paragraph" w:styleId="CommentText">
    <w:name w:val="annotation text"/>
    <w:basedOn w:val="Normal"/>
    <w:link w:val="CommentTextChar"/>
    <w:uiPriority w:val="99"/>
    <w:semiHidden/>
    <w:unhideWhenUsed/>
    <w:rsid w:val="008A1EDA"/>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8A1EDA"/>
    <w:rPr>
      <w:rFonts w:ascii="Cambria" w:hAnsi="Cambria"/>
      <w:lang w:eastAsia="en-US"/>
    </w:rPr>
  </w:style>
  <w:style w:type="character" w:customStyle="1" w:styleId="valuetext1">
    <w:name w:val="valuetext1"/>
    <w:rsid w:val="008A1EDA"/>
    <w:rPr>
      <w:color w:val="0000CD"/>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8A1EDA"/>
    <w:rPr>
      <w:rFonts w:ascii="Tahoma" w:hAnsi="Tahoma" w:cs="Tahoma"/>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alloonTextChar">
    <w:name w:val="Balloon Text Char"/>
    <w:basedOn w:val="DefaultParagraphFont"/>
    <w:link w:val="BalloonText"/>
    <w:uiPriority w:val="99"/>
    <w:semiHidden/>
    <w:rsid w:val="008A1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preview-azure.health.vic.gov.au/about/publications/policiesandguidelines/violence-aggression-training-guide-health-serv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2.health.vic.gov.au/mental-health/practice-and-service-quality/mental-health-act-2014-handbook/safeguards/restrictive-interventions-bodily-restraint-and-seclusion" TargetMode="External"/><Relationship Id="rId3" Type="http://schemas.openxmlformats.org/officeDocument/2006/relationships/hyperlink" Target="http://valuingpeople.org.au/the-resource/what-is-person-centred-care" TargetMode="External"/><Relationship Id="rId7" Type="http://schemas.openxmlformats.org/officeDocument/2006/relationships/hyperlink" Target="http://www.worksafe.vic.gov.au/pages/forms-and-publications/forms-and-publications/prevention-and-management-of-aggression-in-health-services-a-handbook-for-workplaces" TargetMode="External"/><Relationship Id="rId2" Type="http://schemas.openxmlformats.org/officeDocument/2006/relationships/hyperlink" Target="http://safetyandquality.gov.au/our-work/patient-and-consumer-centred-care/" TargetMode="External"/><Relationship Id="rId1" Type="http://schemas.openxmlformats.org/officeDocument/2006/relationships/hyperlink" Target="http://www.worksafe.vic.gov.au/pages/forms-and-publications/forms-and-publications/prevention-and-management-of-aggression-in-health-services-a-handbook-for-workplaces" TargetMode="External"/><Relationship Id="rId6" Type="http://schemas.openxmlformats.org/officeDocument/2006/relationships/hyperlink" Target="https://www2.health.vic.gov.au/about/key-staff/chief-psychiatrist/chief-psychiatrist-guidelines/reducing-restrictive-interventions" TargetMode="External"/><Relationship Id="rId11" Type="http://schemas.openxmlformats.org/officeDocument/2006/relationships/hyperlink" Target="https://www2.health.vic.gov.au/health-workforce/worker-health-wellbeing/occupational-violence-aggression" TargetMode="External"/><Relationship Id="rId5" Type="http://schemas.openxmlformats.org/officeDocument/2006/relationships/hyperlink" Target="https://www2.health.vic.gov.au/getfile/?sc_itemid=%7b47D26EAC-5A2C-44FA-A52A-2F387F3C4612%7d&amp;title=Framework%20for%20Recovery-oriented%20Practice" TargetMode="External"/><Relationship Id="rId10" Type="http://schemas.openxmlformats.org/officeDocument/2006/relationships/hyperlink" Target="mailto:whwb@dhhs.vic.gov.au" TargetMode="External"/><Relationship Id="rId4" Type="http://schemas.openxmlformats.org/officeDocument/2006/relationships/hyperlink" Target="https://www2.health.vic.gov.au/mental-health/practice-and-service-quality/safety/safewards" TargetMode="External"/><Relationship Id="rId9" Type="http://schemas.openxmlformats.org/officeDocument/2006/relationships/hyperlink" Target="http://www.worksafe.vic.gov.au/pages/forms-and-publications/forms-and-publications/prevention-and-management-of-aggression-in-health-services-a-handbook-for-workpla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066B-8B30-44B8-A42E-7FC89F89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04 Green 7726.dot</Template>
  <TotalTime>157</TotalTime>
  <Pages>7</Pages>
  <Words>2130</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Guiding principles for violence and agression training in Victorian health services</vt:lpstr>
    </vt:vector>
  </TitlesOfParts>
  <Company>Department of Health and Human Services</Company>
  <LinksUpToDate>false</LinksUpToDate>
  <CharactersWithSpaces>15163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Heyward</dc:creator>
  <cp:keywords/>
  <cp:lastModifiedBy>Melanie Heyward</cp:lastModifiedBy>
  <cp:revision>7</cp:revision>
  <cp:lastPrinted>2017-05-09T03:14:00Z</cp:lastPrinted>
  <dcterms:created xsi:type="dcterms:W3CDTF">2017-05-09T00:07:00Z</dcterms:created>
  <dcterms:modified xsi:type="dcterms:W3CDTF">2017-05-16T06:47:00Z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